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704853">
      <w:pPr>
        <w:jc w:val="center"/>
        <w:rPr>
          <w:rFonts w:hint="eastAsia" w:ascii="黑体" w:hAnsi="宋体" w:eastAsia="黑体"/>
          <w:bCs/>
          <w:color w:val="auto"/>
          <w:spacing w:val="-12"/>
          <w:sz w:val="48"/>
          <w:szCs w:val="48"/>
          <w:highlight w:val="none"/>
          <w:lang w:eastAsia="zh-CN"/>
        </w:rPr>
      </w:pPr>
      <w:r>
        <w:rPr>
          <w:rFonts w:hint="eastAsia" w:ascii="黑体" w:hAnsi="宋体" w:eastAsia="黑体"/>
          <w:bCs/>
          <w:color w:val="auto"/>
          <w:spacing w:val="-12"/>
          <w:sz w:val="48"/>
          <w:szCs w:val="48"/>
          <w:highlight w:val="none"/>
          <w:lang w:eastAsia="zh-CN"/>
        </w:rPr>
        <w:t>阿克苏地区矿山安全服务保障中心矿山应急救援支队安全生产领域设备更新项目</w:t>
      </w:r>
    </w:p>
    <w:p w14:paraId="0EA43EB5">
      <w:pPr>
        <w:jc w:val="center"/>
        <w:rPr>
          <w:rFonts w:hint="default" w:ascii="黑体" w:hAnsi="宋体" w:eastAsia="黑体"/>
          <w:bCs/>
          <w:color w:val="auto"/>
          <w:spacing w:val="-12"/>
          <w:sz w:val="48"/>
          <w:szCs w:val="48"/>
          <w:highlight w:val="none"/>
          <w:lang w:val="en-US" w:eastAsia="zh-CN"/>
        </w:rPr>
      </w:pPr>
      <w:r>
        <w:rPr>
          <w:rFonts w:hint="eastAsia" w:ascii="黑体" w:hAnsi="宋体" w:eastAsia="黑体"/>
          <w:bCs/>
          <w:color w:val="auto"/>
          <w:spacing w:val="-12"/>
          <w:sz w:val="48"/>
          <w:szCs w:val="48"/>
          <w:highlight w:val="none"/>
          <w:lang w:eastAsia="zh-CN"/>
        </w:rPr>
        <w:t>（结余资金）</w:t>
      </w:r>
    </w:p>
    <w:p w14:paraId="1948627C">
      <w:pPr>
        <w:jc w:val="center"/>
        <w:rPr>
          <w:rFonts w:hint="eastAsia" w:ascii="黑体" w:hAnsi="宋体" w:eastAsia="黑体"/>
          <w:bCs/>
          <w:color w:val="auto"/>
          <w:sz w:val="24"/>
          <w:szCs w:val="24"/>
          <w:highlight w:val="none"/>
          <w:lang w:eastAsia="zh-CN"/>
        </w:rPr>
      </w:pPr>
      <w:r>
        <w:rPr>
          <w:rFonts w:hint="eastAsia" w:ascii="黑体" w:hAnsi="宋体" w:eastAsia="黑体"/>
          <w:color w:val="auto"/>
          <w:sz w:val="32"/>
          <w:szCs w:val="32"/>
          <w:highlight w:val="none"/>
        </w:rPr>
        <w:t>项目编号：</w:t>
      </w:r>
      <w:r>
        <w:rPr>
          <w:rFonts w:hint="eastAsia" w:ascii="黑体" w:hAnsi="宋体" w:eastAsia="黑体"/>
          <w:color w:val="auto"/>
          <w:sz w:val="32"/>
          <w:szCs w:val="32"/>
          <w:highlight w:val="none"/>
          <w:lang w:eastAsia="zh-CN"/>
        </w:rPr>
        <w:t>[2026]655号-008</w:t>
      </w:r>
    </w:p>
    <w:p w14:paraId="5F4A8D58">
      <w:pPr>
        <w:jc w:val="center"/>
        <w:rPr>
          <w:rFonts w:ascii="黑体" w:hAnsi="宋体" w:eastAsia="黑体"/>
          <w:bCs/>
          <w:color w:val="auto"/>
          <w:sz w:val="24"/>
          <w:szCs w:val="24"/>
          <w:highlight w:val="none"/>
        </w:rPr>
      </w:pPr>
    </w:p>
    <w:p w14:paraId="02631624">
      <w:pPr>
        <w:jc w:val="center"/>
        <w:rPr>
          <w:rFonts w:ascii="黑体" w:hAnsi="宋体" w:eastAsia="黑体"/>
          <w:bCs/>
          <w:color w:val="auto"/>
          <w:sz w:val="24"/>
          <w:szCs w:val="24"/>
          <w:highlight w:val="none"/>
        </w:rPr>
      </w:pPr>
    </w:p>
    <w:p w14:paraId="2192DB41">
      <w:pPr>
        <w:tabs>
          <w:tab w:val="left" w:pos="8040"/>
        </w:tabs>
        <w:jc w:val="left"/>
        <w:rPr>
          <w:rFonts w:ascii="黑体" w:hAnsi="宋体" w:eastAsia="黑体"/>
          <w:bCs/>
          <w:color w:val="auto"/>
          <w:sz w:val="24"/>
          <w:szCs w:val="24"/>
          <w:highlight w:val="none"/>
        </w:rPr>
      </w:pPr>
      <w:r>
        <w:rPr>
          <w:rFonts w:ascii="黑体" w:hAnsi="宋体" w:eastAsia="黑体"/>
          <w:bCs/>
          <w:color w:val="auto"/>
          <w:sz w:val="24"/>
          <w:szCs w:val="24"/>
          <w:highlight w:val="none"/>
        </w:rPr>
        <w:tab/>
      </w:r>
    </w:p>
    <w:p w14:paraId="4C8E03EE">
      <w:pPr>
        <w:jc w:val="center"/>
        <w:rPr>
          <w:rFonts w:ascii="黑体" w:hAnsi="宋体" w:eastAsia="黑体"/>
          <w:bCs/>
          <w:color w:val="auto"/>
          <w:sz w:val="24"/>
          <w:szCs w:val="24"/>
          <w:highlight w:val="none"/>
        </w:rPr>
      </w:pPr>
    </w:p>
    <w:p w14:paraId="31C4A1FE">
      <w:pPr>
        <w:jc w:val="center"/>
        <w:rPr>
          <w:rFonts w:ascii="黑体" w:hAnsi="宋体" w:eastAsia="黑体"/>
          <w:bCs/>
          <w:color w:val="auto"/>
          <w:sz w:val="24"/>
          <w:szCs w:val="24"/>
          <w:highlight w:val="none"/>
        </w:rPr>
      </w:pPr>
    </w:p>
    <w:p w14:paraId="0C642825">
      <w:pPr>
        <w:jc w:val="center"/>
        <w:rPr>
          <w:rFonts w:ascii="黑体" w:hAnsi="宋体" w:eastAsia="黑体"/>
          <w:bCs/>
          <w:color w:val="auto"/>
          <w:sz w:val="24"/>
          <w:szCs w:val="24"/>
          <w:highlight w:val="none"/>
        </w:rPr>
      </w:pPr>
    </w:p>
    <w:p w14:paraId="7ADDD8A8">
      <w:pPr>
        <w:jc w:val="center"/>
        <w:rPr>
          <w:rFonts w:ascii="黑体" w:hAnsi="宋体" w:eastAsia="黑体"/>
          <w:bCs/>
          <w:color w:val="auto"/>
          <w:sz w:val="24"/>
          <w:szCs w:val="24"/>
          <w:highlight w:val="none"/>
        </w:rPr>
      </w:pPr>
    </w:p>
    <w:p w14:paraId="53FEA7BC">
      <w:pPr>
        <w:jc w:val="center"/>
        <w:rPr>
          <w:rFonts w:ascii="黑体" w:hAnsi="宋体" w:eastAsia="黑体"/>
          <w:bCs/>
          <w:color w:val="auto"/>
          <w:sz w:val="24"/>
          <w:szCs w:val="24"/>
          <w:highlight w:val="none"/>
        </w:rPr>
      </w:pPr>
    </w:p>
    <w:p w14:paraId="4825DE11">
      <w:pPr>
        <w:jc w:val="center"/>
        <w:rPr>
          <w:rFonts w:ascii="黑体" w:hAnsi="宋体" w:eastAsia="黑体"/>
          <w:bCs/>
          <w:color w:val="auto"/>
          <w:sz w:val="24"/>
          <w:szCs w:val="24"/>
          <w:highlight w:val="none"/>
        </w:rPr>
      </w:pPr>
    </w:p>
    <w:p w14:paraId="26250EEB">
      <w:pPr>
        <w:jc w:val="center"/>
        <w:outlineLvl w:val="0"/>
        <w:rPr>
          <w:rFonts w:ascii="黑体" w:hAnsi="宋体" w:eastAsia="黑体"/>
          <w:color w:val="auto"/>
          <w:sz w:val="80"/>
          <w:szCs w:val="80"/>
          <w:highlight w:val="none"/>
        </w:rPr>
      </w:pPr>
      <w:bookmarkStart w:id="0" w:name="_Toc16376"/>
      <w:bookmarkStart w:id="1" w:name="_Toc31878"/>
      <w:r>
        <w:rPr>
          <w:rFonts w:hint="eastAsia" w:ascii="黑体" w:hAnsi="宋体" w:eastAsia="黑体"/>
          <w:color w:val="auto"/>
          <w:sz w:val="80"/>
          <w:szCs w:val="80"/>
          <w:highlight w:val="none"/>
        </w:rPr>
        <w:t>招标文件</w:t>
      </w:r>
      <w:bookmarkEnd w:id="0"/>
      <w:bookmarkEnd w:id="1"/>
    </w:p>
    <w:p w14:paraId="3993DF1C">
      <w:pPr>
        <w:jc w:val="center"/>
        <w:rPr>
          <w:rFonts w:ascii="黑体" w:hAnsi="宋体" w:eastAsia="黑体"/>
          <w:bCs/>
          <w:color w:val="auto"/>
          <w:sz w:val="24"/>
          <w:szCs w:val="24"/>
          <w:highlight w:val="none"/>
        </w:rPr>
      </w:pPr>
    </w:p>
    <w:p w14:paraId="0F37E2FB">
      <w:pPr>
        <w:jc w:val="center"/>
        <w:rPr>
          <w:rFonts w:ascii="黑体" w:hAnsi="宋体" w:eastAsia="黑体"/>
          <w:bCs/>
          <w:color w:val="auto"/>
          <w:sz w:val="24"/>
          <w:szCs w:val="24"/>
          <w:highlight w:val="none"/>
        </w:rPr>
      </w:pPr>
    </w:p>
    <w:p w14:paraId="1CFB84B4">
      <w:pPr>
        <w:jc w:val="center"/>
        <w:rPr>
          <w:rFonts w:ascii="黑体" w:hAnsi="宋体" w:eastAsia="黑体"/>
          <w:bCs/>
          <w:color w:val="auto"/>
          <w:sz w:val="24"/>
          <w:szCs w:val="24"/>
          <w:highlight w:val="none"/>
        </w:rPr>
      </w:pPr>
    </w:p>
    <w:p w14:paraId="30927F9A">
      <w:pPr>
        <w:jc w:val="center"/>
        <w:rPr>
          <w:rFonts w:ascii="黑体" w:hAnsi="宋体" w:eastAsia="黑体"/>
          <w:bCs/>
          <w:color w:val="auto"/>
          <w:sz w:val="24"/>
          <w:szCs w:val="24"/>
          <w:highlight w:val="none"/>
        </w:rPr>
      </w:pPr>
    </w:p>
    <w:p w14:paraId="1C47F236">
      <w:pPr>
        <w:jc w:val="center"/>
        <w:rPr>
          <w:rFonts w:ascii="黑体" w:hAnsi="宋体" w:eastAsia="黑体"/>
          <w:bCs/>
          <w:color w:val="auto"/>
          <w:sz w:val="24"/>
          <w:szCs w:val="24"/>
          <w:highlight w:val="none"/>
        </w:rPr>
      </w:pPr>
    </w:p>
    <w:p w14:paraId="60C08A76">
      <w:pPr>
        <w:rPr>
          <w:rFonts w:ascii="黑体" w:hAnsi="宋体" w:eastAsia="黑体"/>
          <w:bCs/>
          <w:color w:val="auto"/>
          <w:sz w:val="24"/>
          <w:szCs w:val="24"/>
          <w:highlight w:val="none"/>
        </w:rPr>
      </w:pPr>
    </w:p>
    <w:p w14:paraId="475E992E">
      <w:pPr>
        <w:rPr>
          <w:rFonts w:ascii="黑体" w:hAnsi="宋体" w:eastAsia="黑体"/>
          <w:bCs/>
          <w:color w:val="auto"/>
          <w:sz w:val="24"/>
          <w:szCs w:val="24"/>
          <w:highlight w:val="none"/>
        </w:rPr>
      </w:pPr>
    </w:p>
    <w:p w14:paraId="7FD4F022">
      <w:pPr>
        <w:jc w:val="center"/>
        <w:rPr>
          <w:rFonts w:ascii="黑体" w:hAnsi="宋体" w:eastAsia="黑体"/>
          <w:bCs/>
          <w:color w:val="auto"/>
          <w:sz w:val="24"/>
          <w:szCs w:val="24"/>
          <w:highlight w:val="none"/>
        </w:rPr>
      </w:pPr>
    </w:p>
    <w:p w14:paraId="00686AF7">
      <w:pPr>
        <w:jc w:val="center"/>
        <w:rPr>
          <w:rFonts w:ascii="黑体" w:hAnsi="宋体" w:eastAsia="黑体"/>
          <w:bCs/>
          <w:color w:val="auto"/>
          <w:sz w:val="24"/>
          <w:szCs w:val="24"/>
          <w:highlight w:val="none"/>
        </w:rPr>
      </w:pPr>
    </w:p>
    <w:p w14:paraId="63BEC5E2">
      <w:pPr>
        <w:jc w:val="center"/>
        <w:rPr>
          <w:rFonts w:ascii="黑体" w:hAnsi="宋体" w:eastAsia="黑体"/>
          <w:bCs/>
          <w:color w:val="auto"/>
          <w:sz w:val="24"/>
          <w:szCs w:val="24"/>
          <w:highlight w:val="none"/>
        </w:rPr>
      </w:pPr>
    </w:p>
    <w:p w14:paraId="76727D9E">
      <w:pPr>
        <w:spacing w:line="360" w:lineRule="auto"/>
        <w:ind w:firstLine="560" w:firstLineChars="200"/>
        <w:rPr>
          <w:rFonts w:hint="eastAsia" w:ascii="黑体" w:hAnsi="宋体" w:eastAsia="黑体"/>
          <w:color w:val="auto"/>
          <w:sz w:val="28"/>
          <w:szCs w:val="28"/>
          <w:highlight w:val="none"/>
          <w:lang w:eastAsia="zh-CN"/>
        </w:rPr>
      </w:pPr>
      <w:r>
        <w:rPr>
          <w:rFonts w:hint="eastAsia" w:ascii="黑体" w:hAnsi="宋体" w:eastAsia="黑体"/>
          <w:color w:val="auto"/>
          <w:sz w:val="28"/>
          <w:szCs w:val="28"/>
          <w:highlight w:val="none"/>
        </w:rPr>
        <w:t>采 购 人：</w:t>
      </w:r>
      <w:r>
        <w:rPr>
          <w:rFonts w:hint="eastAsia" w:ascii="黑体" w:hAnsi="宋体" w:eastAsia="黑体"/>
          <w:color w:val="auto"/>
          <w:sz w:val="28"/>
          <w:szCs w:val="28"/>
          <w:highlight w:val="none"/>
          <w:lang w:eastAsia="zh-CN"/>
        </w:rPr>
        <w:t>新疆维吾尔自治区阿克苏地区应急管理局</w:t>
      </w:r>
    </w:p>
    <w:p w14:paraId="1BD1633A">
      <w:pPr>
        <w:spacing w:line="360" w:lineRule="auto"/>
        <w:ind w:firstLine="560" w:firstLineChars="200"/>
        <w:rPr>
          <w:rFonts w:hint="eastAsia" w:ascii="黑体" w:hAnsi="宋体" w:eastAsia="黑体"/>
          <w:color w:val="auto"/>
          <w:sz w:val="28"/>
          <w:szCs w:val="28"/>
          <w:highlight w:val="none"/>
          <w:lang w:eastAsia="zh-CN"/>
        </w:rPr>
      </w:pPr>
      <w:r>
        <w:rPr>
          <w:rFonts w:hint="eastAsia" w:ascii="黑体" w:hAnsi="宋体" w:eastAsia="黑体"/>
          <w:color w:val="auto"/>
          <w:sz w:val="28"/>
          <w:szCs w:val="28"/>
          <w:highlight w:val="none"/>
        </w:rPr>
        <w:t>代理机构：</w:t>
      </w:r>
      <w:r>
        <w:rPr>
          <w:rFonts w:hint="eastAsia" w:ascii="黑体" w:hAnsi="宋体" w:eastAsia="黑体"/>
          <w:color w:val="auto"/>
          <w:sz w:val="28"/>
          <w:szCs w:val="28"/>
          <w:highlight w:val="none"/>
          <w:lang w:eastAsia="zh-CN"/>
        </w:rPr>
        <w:t>新疆卓普项目管理有限公司</w:t>
      </w:r>
    </w:p>
    <w:p w14:paraId="05B2B741">
      <w:pPr>
        <w:jc w:val="center"/>
        <w:rPr>
          <w:rFonts w:ascii="黑体" w:hAnsi="黑体" w:eastAsia="黑体" w:cs="黑体"/>
          <w:color w:val="auto"/>
          <w:sz w:val="28"/>
          <w:szCs w:val="28"/>
          <w:highlight w:val="none"/>
        </w:rPr>
      </w:pPr>
    </w:p>
    <w:p w14:paraId="18D1B683">
      <w:pPr>
        <w:jc w:val="center"/>
        <w:rPr>
          <w:rFonts w:ascii="黑体" w:hAnsi="黑体" w:eastAsia="黑体" w:cs="黑体"/>
          <w:color w:val="auto"/>
          <w:sz w:val="28"/>
          <w:szCs w:val="28"/>
          <w:highlight w:val="none"/>
        </w:rPr>
        <w:sectPr>
          <w:pgSz w:w="11906" w:h="16838"/>
          <w:pgMar w:top="1440" w:right="1440" w:bottom="1440" w:left="1440" w:header="851" w:footer="992" w:gutter="0"/>
          <w:cols w:space="0" w:num="1"/>
          <w:docGrid w:type="lines" w:linePitch="317" w:charSpace="0"/>
        </w:sectPr>
      </w:pPr>
      <w:r>
        <w:rPr>
          <w:rFonts w:hint="eastAsia" w:ascii="黑体" w:hAnsi="黑体" w:eastAsia="黑体" w:cs="黑体"/>
          <w:color w:val="auto"/>
          <w:sz w:val="28"/>
          <w:szCs w:val="28"/>
          <w:highlight w:val="none"/>
        </w:rPr>
        <w:t>二0二</w:t>
      </w:r>
      <w:r>
        <w:rPr>
          <w:rFonts w:hint="eastAsia" w:ascii="黑体" w:hAnsi="黑体" w:eastAsia="黑体" w:cs="黑体"/>
          <w:color w:val="auto"/>
          <w:sz w:val="28"/>
          <w:szCs w:val="28"/>
          <w:highlight w:val="none"/>
          <w:lang w:val="en-US" w:eastAsia="zh-CN"/>
        </w:rPr>
        <w:t>六</w:t>
      </w:r>
      <w:r>
        <w:rPr>
          <w:rFonts w:hint="eastAsia" w:ascii="黑体" w:hAnsi="黑体" w:eastAsia="黑体" w:cs="黑体"/>
          <w:color w:val="auto"/>
          <w:sz w:val="28"/>
          <w:szCs w:val="28"/>
          <w:highlight w:val="none"/>
        </w:rPr>
        <w:t>年</w:t>
      </w:r>
      <w:r>
        <w:rPr>
          <w:rFonts w:hint="eastAsia" w:ascii="黑体" w:hAnsi="黑体" w:eastAsia="黑体" w:cs="黑体"/>
          <w:color w:val="auto"/>
          <w:sz w:val="28"/>
          <w:szCs w:val="28"/>
          <w:highlight w:val="none"/>
          <w:lang w:eastAsia="zh-CN"/>
        </w:rPr>
        <w:t>四</w:t>
      </w:r>
      <w:r>
        <w:rPr>
          <w:rFonts w:hint="eastAsia" w:ascii="黑体" w:hAnsi="黑体" w:eastAsia="黑体" w:cs="黑体"/>
          <w:color w:val="auto"/>
          <w:sz w:val="28"/>
          <w:szCs w:val="28"/>
          <w:highlight w:val="none"/>
        </w:rPr>
        <w:t>月</w:t>
      </w:r>
    </w:p>
    <w:p w14:paraId="779D2BF1">
      <w:pPr>
        <w:spacing w:beforeLines="100"/>
        <w:jc w:val="center"/>
        <w:outlineLvl w:val="0"/>
        <w:rPr>
          <w:color w:val="auto"/>
          <w:highlight w:val="none"/>
        </w:rPr>
      </w:pPr>
      <w:bookmarkStart w:id="2" w:name="_Toc8218"/>
      <w:bookmarkStart w:id="3" w:name="_Toc12764"/>
      <w:r>
        <w:rPr>
          <w:rFonts w:hint="eastAsia" w:ascii="黑体" w:hAnsi="黑体" w:eastAsia="黑体" w:cs="黑体"/>
          <w:color w:val="auto"/>
          <w:sz w:val="32"/>
          <w:szCs w:val="32"/>
          <w:highlight w:val="none"/>
        </w:rPr>
        <w:t>货物采购招标文件</w:t>
      </w:r>
      <w:bookmarkEnd w:id="2"/>
      <w:bookmarkEnd w:id="3"/>
    </w:p>
    <w:p w14:paraId="24FF1A3E">
      <w:pPr>
        <w:rPr>
          <w:color w:val="auto"/>
          <w:highlight w:val="none"/>
        </w:rPr>
      </w:pPr>
    </w:p>
    <w:p w14:paraId="0FA95A34">
      <w:pPr>
        <w:rPr>
          <w:color w:val="auto"/>
          <w:highlight w:val="none"/>
        </w:rPr>
      </w:pPr>
    </w:p>
    <w:p w14:paraId="0D973221">
      <w:pPr>
        <w:rPr>
          <w:color w:val="auto"/>
          <w:highlight w:val="none"/>
        </w:rPr>
      </w:pPr>
    </w:p>
    <w:p w14:paraId="21091D40">
      <w:pPr>
        <w:spacing w:line="480" w:lineRule="auto"/>
        <w:ind w:firstLine="720" w:firstLineChars="3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 目 名 称：</w:t>
      </w:r>
      <w:r>
        <w:rPr>
          <w:rFonts w:hint="eastAsia" w:ascii="仿宋" w:hAnsi="仿宋" w:eastAsia="仿宋" w:cs="仿宋"/>
          <w:color w:val="auto"/>
          <w:sz w:val="24"/>
          <w:highlight w:val="none"/>
          <w:lang w:eastAsia="zh-CN"/>
        </w:rPr>
        <w:t>阿克苏地区矿山安全服务保障中心矿山应急救援支队安全生产领域设备更新项目（结余资金）</w:t>
      </w:r>
    </w:p>
    <w:p w14:paraId="4CC69083">
      <w:pPr>
        <w:spacing w:line="480" w:lineRule="auto"/>
        <w:ind w:firstLine="720" w:firstLineChars="3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采  购  人（公章）：</w:t>
      </w:r>
      <w:r>
        <w:rPr>
          <w:rFonts w:hint="eastAsia" w:ascii="仿宋" w:hAnsi="仿宋" w:eastAsia="仿宋" w:cs="仿宋"/>
          <w:color w:val="auto"/>
          <w:sz w:val="24"/>
          <w:highlight w:val="none"/>
          <w:lang w:eastAsia="zh-CN"/>
        </w:rPr>
        <w:t>新疆维吾尔自治区阿克苏地区应急管理局</w:t>
      </w:r>
    </w:p>
    <w:p w14:paraId="78922849">
      <w:pPr>
        <w:spacing w:line="480"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 xml:space="preserve">法定代表人（签字或盖章）： </w:t>
      </w:r>
    </w:p>
    <w:p w14:paraId="5AA6510F">
      <w:pPr>
        <w:spacing w:line="48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联  系  人：</w:t>
      </w:r>
      <w:r>
        <w:rPr>
          <w:rFonts w:hint="eastAsia" w:ascii="仿宋" w:hAnsi="仿宋" w:eastAsia="仿宋" w:cs="仿宋"/>
          <w:color w:val="auto"/>
          <w:sz w:val="24"/>
          <w:highlight w:val="none"/>
          <w:lang w:eastAsia="zh-CN"/>
        </w:rPr>
        <w:t>何工</w:t>
      </w:r>
      <w:r>
        <w:rPr>
          <w:rFonts w:hint="eastAsia" w:ascii="仿宋" w:hAnsi="仿宋" w:eastAsia="仿宋" w:cs="仿宋"/>
          <w:color w:val="auto"/>
          <w:sz w:val="24"/>
          <w:highlight w:val="none"/>
        </w:rPr>
        <w:t> </w:t>
      </w:r>
    </w:p>
    <w:p w14:paraId="446F9DB9">
      <w:pPr>
        <w:spacing w:line="480" w:lineRule="auto"/>
        <w:ind w:firstLine="720" w:firstLineChars="3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电      话：</w:t>
      </w:r>
      <w:r>
        <w:rPr>
          <w:rFonts w:hint="eastAsia" w:ascii="仿宋" w:hAnsi="仿宋" w:eastAsia="仿宋" w:cs="仿宋"/>
          <w:color w:val="auto"/>
          <w:sz w:val="24"/>
          <w:highlight w:val="none"/>
          <w:lang w:eastAsia="zh-CN"/>
        </w:rPr>
        <w:t>0997-2131117</w:t>
      </w:r>
    </w:p>
    <w:p w14:paraId="6818B4D6">
      <w:pPr>
        <w:spacing w:line="480" w:lineRule="auto"/>
        <w:ind w:firstLine="720" w:firstLineChars="300"/>
        <w:rPr>
          <w:rFonts w:ascii="仿宋" w:hAnsi="仿宋" w:eastAsia="仿宋" w:cs="仿宋"/>
          <w:color w:val="auto"/>
          <w:sz w:val="24"/>
          <w:highlight w:val="none"/>
        </w:rPr>
      </w:pPr>
    </w:p>
    <w:p w14:paraId="7E4835A9">
      <w:pPr>
        <w:spacing w:line="480" w:lineRule="auto"/>
        <w:ind w:firstLine="720" w:firstLineChars="300"/>
        <w:rPr>
          <w:rFonts w:ascii="仿宋" w:hAnsi="仿宋" w:eastAsia="仿宋" w:cs="仿宋"/>
          <w:color w:val="auto"/>
          <w:sz w:val="24"/>
          <w:highlight w:val="none"/>
        </w:rPr>
      </w:pPr>
    </w:p>
    <w:p w14:paraId="4697DC78">
      <w:pPr>
        <w:spacing w:line="480" w:lineRule="auto"/>
        <w:ind w:firstLine="720" w:firstLineChars="3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采购代理机构（公章）：</w:t>
      </w:r>
      <w:r>
        <w:rPr>
          <w:rFonts w:hint="eastAsia" w:ascii="仿宋" w:hAnsi="仿宋" w:eastAsia="仿宋" w:cs="仿宋"/>
          <w:color w:val="auto"/>
          <w:sz w:val="24"/>
          <w:szCs w:val="24"/>
          <w:highlight w:val="none"/>
          <w:lang w:eastAsia="zh-CN"/>
        </w:rPr>
        <w:t>新疆卓普项目管理有限公司</w:t>
      </w:r>
    </w:p>
    <w:p w14:paraId="15056F2E">
      <w:pPr>
        <w:spacing w:line="480"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55CAA220">
      <w:pPr>
        <w:spacing w:line="48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联  系  人：</w:t>
      </w:r>
      <w:r>
        <w:rPr>
          <w:rFonts w:hint="eastAsia" w:ascii="仿宋" w:hAnsi="仿宋" w:eastAsia="仿宋" w:cs="仿宋"/>
          <w:color w:val="auto"/>
          <w:sz w:val="24"/>
          <w:highlight w:val="none"/>
          <w:lang w:val="en-US" w:eastAsia="zh-CN"/>
        </w:rPr>
        <w:t>董青琴</w:t>
      </w:r>
    </w:p>
    <w:p w14:paraId="0A2B583F">
      <w:pPr>
        <w:spacing w:line="48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电      话：</w:t>
      </w:r>
      <w:r>
        <w:rPr>
          <w:rFonts w:hint="eastAsia" w:ascii="仿宋" w:hAnsi="仿宋" w:eastAsia="仿宋" w:cs="仿宋"/>
          <w:color w:val="auto"/>
          <w:sz w:val="24"/>
          <w:highlight w:val="none"/>
          <w:lang w:eastAsia="zh-CN"/>
        </w:rPr>
        <w:t>15699353525</w:t>
      </w:r>
    </w:p>
    <w:p w14:paraId="7FDCD6AF">
      <w:pPr>
        <w:spacing w:line="48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联系地址：</w:t>
      </w:r>
      <w:r>
        <w:rPr>
          <w:rFonts w:hint="eastAsia" w:ascii="仿宋" w:hAnsi="仿宋" w:eastAsia="仿宋" w:cs="仿宋"/>
          <w:color w:val="auto"/>
          <w:sz w:val="24"/>
          <w:szCs w:val="24"/>
          <w:highlight w:val="none"/>
          <w:lang w:eastAsia="zh-CN"/>
        </w:rPr>
        <w:t>阿克苏市东大街18号友好家属院5号楼</w:t>
      </w:r>
    </w:p>
    <w:p w14:paraId="5BAFB050">
      <w:pPr>
        <w:spacing w:line="360" w:lineRule="auto"/>
        <w:rPr>
          <w:rFonts w:ascii="仿宋" w:hAnsi="仿宋" w:eastAsia="仿宋" w:cs="仿宋"/>
          <w:color w:val="auto"/>
          <w:sz w:val="24"/>
          <w:highlight w:val="none"/>
        </w:rPr>
      </w:pPr>
    </w:p>
    <w:p w14:paraId="45FAEE74">
      <w:pPr>
        <w:spacing w:line="360" w:lineRule="auto"/>
        <w:rPr>
          <w:rFonts w:ascii="仿宋" w:hAnsi="仿宋" w:eastAsia="仿宋" w:cs="仿宋"/>
          <w:color w:val="auto"/>
          <w:sz w:val="24"/>
          <w:highlight w:val="none"/>
        </w:rPr>
      </w:pPr>
    </w:p>
    <w:p w14:paraId="62C21F3C">
      <w:pPr>
        <w:spacing w:line="360" w:lineRule="auto"/>
        <w:rPr>
          <w:rFonts w:ascii="仿宋" w:hAnsi="仿宋" w:eastAsia="仿宋" w:cs="仿宋"/>
          <w:color w:val="auto"/>
          <w:sz w:val="24"/>
          <w:highlight w:val="none"/>
        </w:rPr>
      </w:pPr>
    </w:p>
    <w:p w14:paraId="22F11101">
      <w:pPr>
        <w:spacing w:line="360" w:lineRule="auto"/>
        <w:jc w:val="center"/>
        <w:rPr>
          <w:rFonts w:ascii="仿宋" w:hAnsi="仿宋" w:eastAsia="仿宋" w:cs="仿宋"/>
          <w:color w:val="auto"/>
          <w:sz w:val="24"/>
          <w:highlight w:val="none"/>
        </w:rPr>
      </w:pPr>
    </w:p>
    <w:p w14:paraId="43408082">
      <w:pPr>
        <w:jc w:val="center"/>
        <w:rPr>
          <w:rFonts w:ascii="仿宋" w:hAnsi="仿宋" w:eastAsia="仿宋" w:cs="仿宋"/>
          <w:color w:val="auto"/>
          <w:sz w:val="24"/>
          <w:highlight w:val="none"/>
        </w:rPr>
        <w:sectPr>
          <w:footerReference r:id="rId3" w:type="default"/>
          <w:pgSz w:w="11906" w:h="16838"/>
          <w:pgMar w:top="1440" w:right="1440" w:bottom="1440" w:left="1440" w:header="851" w:footer="992" w:gutter="0"/>
          <w:pgNumType w:start="1"/>
          <w:cols w:space="0" w:num="1"/>
          <w:docGrid w:type="lines" w:linePitch="317" w:charSpace="0"/>
        </w:sectPr>
      </w:pPr>
      <w:r>
        <w:rPr>
          <w:rFonts w:hint="eastAsia" w:ascii="仿宋" w:hAnsi="仿宋" w:eastAsia="仿宋" w:cs="仿宋"/>
          <w:color w:val="auto"/>
          <w:sz w:val="24"/>
          <w:highlight w:val="none"/>
          <w:lang w:eastAsia="zh-CN"/>
        </w:rPr>
        <w:t>202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01</w:t>
      </w:r>
      <w:r>
        <w:rPr>
          <w:rFonts w:hint="eastAsia" w:ascii="仿宋" w:hAnsi="仿宋" w:eastAsia="仿宋" w:cs="仿宋"/>
          <w:color w:val="auto"/>
          <w:sz w:val="24"/>
          <w:highlight w:val="none"/>
        </w:rPr>
        <w:t>月</w:t>
      </w:r>
    </w:p>
    <w:p w14:paraId="6AAF383D">
      <w:pPr>
        <w:jc w:val="center"/>
        <w:outlineLvl w:val="0"/>
        <w:rPr>
          <w:rFonts w:ascii="黑体" w:hAnsi="黑体" w:eastAsia="黑体"/>
          <w:color w:val="auto"/>
          <w:sz w:val="28"/>
          <w:szCs w:val="28"/>
          <w:highlight w:val="none"/>
        </w:rPr>
      </w:pPr>
      <w:bookmarkStart w:id="4" w:name="_Toc28532"/>
      <w:bookmarkStart w:id="5" w:name="_Toc2425"/>
      <w:r>
        <w:rPr>
          <w:rFonts w:ascii="黑体" w:hAnsi="黑体" w:eastAsia="黑体"/>
          <w:color w:val="auto"/>
          <w:sz w:val="32"/>
          <w:szCs w:val="32"/>
          <w:highlight w:val="none"/>
        </w:rPr>
        <w:t>目</w:t>
      </w:r>
      <w:r>
        <w:rPr>
          <w:rFonts w:hint="eastAsia" w:ascii="黑体" w:hAnsi="黑体" w:eastAsia="黑体"/>
          <w:color w:val="auto"/>
          <w:sz w:val="32"/>
          <w:szCs w:val="32"/>
          <w:highlight w:val="none"/>
        </w:rPr>
        <w:t xml:space="preserve">  </w:t>
      </w:r>
      <w:r>
        <w:rPr>
          <w:rFonts w:ascii="黑体" w:hAnsi="黑体" w:eastAsia="黑体"/>
          <w:color w:val="auto"/>
          <w:sz w:val="32"/>
          <w:szCs w:val="32"/>
          <w:highlight w:val="none"/>
        </w:rPr>
        <w:t>录</w:t>
      </w:r>
      <w:bookmarkEnd w:id="4"/>
      <w:bookmarkEnd w:id="5"/>
    </w:p>
    <w:p w14:paraId="4414799E">
      <w:pPr>
        <w:pStyle w:val="12"/>
        <w:tabs>
          <w:tab w:val="right" w:leader="dot" w:pos="9026"/>
        </w:tabs>
        <w:rPr>
          <w:color w:val="auto"/>
          <w:highlight w:val="none"/>
        </w:rPr>
      </w:pPr>
      <w:r>
        <w:rPr>
          <w:rFonts w:ascii="黑体" w:hAnsi="黑体" w:eastAsia="黑体"/>
          <w:color w:val="auto"/>
          <w:sz w:val="24"/>
          <w:szCs w:val="24"/>
          <w:highlight w:val="none"/>
        </w:rPr>
        <w:fldChar w:fldCharType="begin"/>
      </w:r>
      <w:r>
        <w:rPr>
          <w:rFonts w:ascii="黑体" w:hAnsi="黑体" w:eastAsia="黑体"/>
          <w:color w:val="auto"/>
          <w:sz w:val="24"/>
          <w:szCs w:val="24"/>
          <w:highlight w:val="none"/>
        </w:rPr>
        <w:instrText xml:space="preserve">TOC \o "1-3" \h \u </w:instrText>
      </w:r>
      <w:r>
        <w:rPr>
          <w:rFonts w:ascii="黑体" w:hAnsi="黑体" w:eastAsia="黑体"/>
          <w:color w:val="auto"/>
          <w:sz w:val="24"/>
          <w:szCs w:val="24"/>
          <w:highlight w:val="none"/>
        </w:rPr>
        <w:fldChar w:fldCharType="separate"/>
      </w:r>
      <w:r>
        <w:rPr>
          <w:rFonts w:ascii="黑体" w:hAnsi="黑体" w:eastAsia="黑体"/>
          <w:color w:val="auto"/>
          <w:szCs w:val="24"/>
          <w:highlight w:val="none"/>
        </w:rPr>
        <w:fldChar w:fldCharType="begin"/>
      </w:r>
      <w:r>
        <w:rPr>
          <w:rFonts w:ascii="黑体" w:hAnsi="黑体" w:eastAsia="黑体"/>
          <w:color w:val="auto"/>
          <w:szCs w:val="24"/>
          <w:highlight w:val="none"/>
        </w:rPr>
        <w:instrText xml:space="preserve"> HYPERLINK \l _Toc16376 </w:instrText>
      </w:r>
      <w:r>
        <w:rPr>
          <w:rFonts w:ascii="黑体" w:hAnsi="黑体" w:eastAsia="黑体"/>
          <w:color w:val="auto"/>
          <w:szCs w:val="24"/>
          <w:highlight w:val="none"/>
        </w:rPr>
        <w:fldChar w:fldCharType="separate"/>
      </w:r>
      <w:r>
        <w:rPr>
          <w:rFonts w:hint="eastAsia" w:ascii="黑体" w:hAnsi="宋体" w:eastAsia="黑体"/>
          <w:color w:val="auto"/>
          <w:szCs w:val="80"/>
          <w:highlight w:val="none"/>
        </w:rPr>
        <w:t>招标文件</w:t>
      </w:r>
      <w:r>
        <w:rPr>
          <w:color w:val="auto"/>
          <w:highlight w:val="none"/>
        </w:rPr>
        <w:tab/>
      </w:r>
      <w:r>
        <w:rPr>
          <w:color w:val="auto"/>
          <w:highlight w:val="none"/>
        </w:rPr>
        <w:fldChar w:fldCharType="begin"/>
      </w:r>
      <w:r>
        <w:rPr>
          <w:color w:val="auto"/>
          <w:highlight w:val="none"/>
        </w:rPr>
        <w:instrText xml:space="preserve"> PAGEREF _Toc16376 \h </w:instrText>
      </w:r>
      <w:r>
        <w:rPr>
          <w:color w:val="auto"/>
          <w:highlight w:val="none"/>
        </w:rPr>
        <w:fldChar w:fldCharType="separate"/>
      </w:r>
      <w:r>
        <w:rPr>
          <w:color w:val="auto"/>
          <w:highlight w:val="none"/>
        </w:rPr>
        <w:t>1</w:t>
      </w:r>
      <w:r>
        <w:rPr>
          <w:color w:val="auto"/>
          <w:highlight w:val="none"/>
        </w:rPr>
        <w:fldChar w:fldCharType="end"/>
      </w:r>
      <w:r>
        <w:rPr>
          <w:rFonts w:ascii="黑体" w:hAnsi="黑体" w:eastAsia="黑体"/>
          <w:color w:val="auto"/>
          <w:szCs w:val="24"/>
          <w:highlight w:val="none"/>
        </w:rPr>
        <w:fldChar w:fldCharType="end"/>
      </w:r>
    </w:p>
    <w:p w14:paraId="4BDDA42F">
      <w:pPr>
        <w:pStyle w:val="12"/>
        <w:tabs>
          <w:tab w:val="right" w:leader="dot" w:pos="9026"/>
        </w:tabs>
        <w:rPr>
          <w:color w:val="auto"/>
          <w:highlight w:val="none"/>
        </w:rPr>
      </w:pPr>
      <w:r>
        <w:rPr>
          <w:rFonts w:ascii="黑体" w:hAnsi="黑体" w:eastAsia="黑体"/>
          <w:color w:val="auto"/>
          <w:szCs w:val="24"/>
          <w:highlight w:val="none"/>
        </w:rPr>
        <w:fldChar w:fldCharType="begin"/>
      </w:r>
      <w:r>
        <w:rPr>
          <w:rFonts w:ascii="黑体" w:hAnsi="黑体" w:eastAsia="黑体"/>
          <w:color w:val="auto"/>
          <w:szCs w:val="24"/>
          <w:highlight w:val="none"/>
        </w:rPr>
        <w:instrText xml:space="preserve"> HYPERLINK \l _Toc8218 </w:instrText>
      </w:r>
      <w:r>
        <w:rPr>
          <w:rFonts w:ascii="黑体" w:hAnsi="黑体" w:eastAsia="黑体"/>
          <w:color w:val="auto"/>
          <w:szCs w:val="24"/>
          <w:highlight w:val="none"/>
        </w:rPr>
        <w:fldChar w:fldCharType="separate"/>
      </w:r>
      <w:r>
        <w:rPr>
          <w:rFonts w:hint="eastAsia" w:ascii="黑体" w:hAnsi="黑体" w:eastAsia="黑体" w:cs="黑体"/>
          <w:color w:val="auto"/>
          <w:szCs w:val="32"/>
          <w:highlight w:val="none"/>
        </w:rPr>
        <w:t>货物采购招标文件</w:t>
      </w:r>
      <w:r>
        <w:rPr>
          <w:color w:val="auto"/>
          <w:highlight w:val="none"/>
        </w:rPr>
        <w:tab/>
      </w:r>
      <w:r>
        <w:rPr>
          <w:color w:val="auto"/>
          <w:highlight w:val="none"/>
        </w:rPr>
        <w:fldChar w:fldCharType="begin"/>
      </w:r>
      <w:r>
        <w:rPr>
          <w:color w:val="auto"/>
          <w:highlight w:val="none"/>
        </w:rPr>
        <w:instrText xml:space="preserve"> PAGEREF _Toc8218 \h </w:instrText>
      </w:r>
      <w:r>
        <w:rPr>
          <w:color w:val="auto"/>
          <w:highlight w:val="none"/>
        </w:rPr>
        <w:fldChar w:fldCharType="separate"/>
      </w:r>
      <w:r>
        <w:rPr>
          <w:color w:val="auto"/>
          <w:highlight w:val="none"/>
        </w:rPr>
        <w:t>1</w:t>
      </w:r>
      <w:r>
        <w:rPr>
          <w:color w:val="auto"/>
          <w:highlight w:val="none"/>
        </w:rPr>
        <w:fldChar w:fldCharType="end"/>
      </w:r>
      <w:r>
        <w:rPr>
          <w:rFonts w:ascii="黑体" w:hAnsi="黑体" w:eastAsia="黑体"/>
          <w:color w:val="auto"/>
          <w:szCs w:val="24"/>
          <w:highlight w:val="none"/>
        </w:rPr>
        <w:fldChar w:fldCharType="end"/>
      </w:r>
    </w:p>
    <w:p w14:paraId="131655EC">
      <w:pPr>
        <w:pStyle w:val="12"/>
        <w:tabs>
          <w:tab w:val="right" w:leader="dot" w:pos="9026"/>
        </w:tabs>
        <w:rPr>
          <w:color w:val="auto"/>
          <w:highlight w:val="none"/>
        </w:rPr>
      </w:pPr>
      <w:r>
        <w:rPr>
          <w:rFonts w:ascii="黑体" w:hAnsi="黑体" w:eastAsia="黑体"/>
          <w:color w:val="auto"/>
          <w:szCs w:val="24"/>
          <w:highlight w:val="none"/>
        </w:rPr>
        <w:fldChar w:fldCharType="begin"/>
      </w:r>
      <w:r>
        <w:rPr>
          <w:rFonts w:ascii="黑体" w:hAnsi="黑体" w:eastAsia="黑体"/>
          <w:color w:val="auto"/>
          <w:szCs w:val="24"/>
          <w:highlight w:val="none"/>
        </w:rPr>
        <w:instrText xml:space="preserve"> HYPERLINK \l _Toc28532 </w:instrText>
      </w:r>
      <w:r>
        <w:rPr>
          <w:rFonts w:ascii="黑体" w:hAnsi="黑体" w:eastAsia="黑体"/>
          <w:color w:val="auto"/>
          <w:szCs w:val="24"/>
          <w:highlight w:val="none"/>
        </w:rPr>
        <w:fldChar w:fldCharType="separate"/>
      </w:r>
      <w:r>
        <w:rPr>
          <w:rFonts w:ascii="黑体" w:hAnsi="黑体" w:eastAsia="黑体"/>
          <w:color w:val="auto"/>
          <w:szCs w:val="32"/>
          <w:highlight w:val="none"/>
        </w:rPr>
        <w:t>目</w:t>
      </w:r>
      <w:r>
        <w:rPr>
          <w:rFonts w:hint="eastAsia" w:ascii="黑体" w:hAnsi="黑体" w:eastAsia="黑体"/>
          <w:color w:val="auto"/>
          <w:szCs w:val="32"/>
          <w:highlight w:val="none"/>
        </w:rPr>
        <w:t xml:space="preserve">  </w:t>
      </w:r>
      <w:r>
        <w:rPr>
          <w:rFonts w:ascii="黑体" w:hAnsi="黑体" w:eastAsia="黑体"/>
          <w:color w:val="auto"/>
          <w:szCs w:val="32"/>
          <w:highlight w:val="none"/>
        </w:rPr>
        <w:t>录</w:t>
      </w:r>
      <w:r>
        <w:rPr>
          <w:color w:val="auto"/>
          <w:highlight w:val="none"/>
        </w:rPr>
        <w:tab/>
      </w:r>
      <w:r>
        <w:rPr>
          <w:color w:val="auto"/>
          <w:highlight w:val="none"/>
        </w:rPr>
        <w:fldChar w:fldCharType="begin"/>
      </w:r>
      <w:r>
        <w:rPr>
          <w:color w:val="auto"/>
          <w:highlight w:val="none"/>
        </w:rPr>
        <w:instrText xml:space="preserve"> PAGEREF _Toc28532 \h </w:instrText>
      </w:r>
      <w:r>
        <w:rPr>
          <w:color w:val="auto"/>
          <w:highlight w:val="none"/>
        </w:rPr>
        <w:fldChar w:fldCharType="separate"/>
      </w:r>
      <w:r>
        <w:rPr>
          <w:color w:val="auto"/>
          <w:highlight w:val="none"/>
        </w:rPr>
        <w:t>1</w:t>
      </w:r>
      <w:r>
        <w:rPr>
          <w:color w:val="auto"/>
          <w:highlight w:val="none"/>
        </w:rPr>
        <w:fldChar w:fldCharType="end"/>
      </w:r>
      <w:r>
        <w:rPr>
          <w:rFonts w:ascii="黑体" w:hAnsi="黑体" w:eastAsia="黑体"/>
          <w:color w:val="auto"/>
          <w:szCs w:val="24"/>
          <w:highlight w:val="none"/>
        </w:rPr>
        <w:fldChar w:fldCharType="end"/>
      </w:r>
    </w:p>
    <w:p w14:paraId="0220459B">
      <w:pPr>
        <w:pStyle w:val="13"/>
        <w:tabs>
          <w:tab w:val="right" w:leader="dot" w:pos="9026"/>
        </w:tabs>
        <w:rPr>
          <w:color w:val="auto"/>
          <w:highlight w:val="none"/>
        </w:rPr>
      </w:pPr>
      <w:r>
        <w:rPr>
          <w:rFonts w:ascii="黑体" w:hAnsi="黑体" w:eastAsia="黑体"/>
          <w:color w:val="auto"/>
          <w:szCs w:val="24"/>
          <w:highlight w:val="none"/>
        </w:rPr>
        <w:fldChar w:fldCharType="begin"/>
      </w:r>
      <w:r>
        <w:rPr>
          <w:rFonts w:ascii="黑体" w:hAnsi="黑体" w:eastAsia="黑体"/>
          <w:color w:val="auto"/>
          <w:szCs w:val="24"/>
          <w:highlight w:val="none"/>
        </w:rPr>
        <w:instrText xml:space="preserve"> HYPERLINK \l _Toc22870 </w:instrText>
      </w:r>
      <w:r>
        <w:rPr>
          <w:rFonts w:ascii="黑体" w:hAnsi="黑体" w:eastAsia="黑体"/>
          <w:color w:val="auto"/>
          <w:szCs w:val="24"/>
          <w:highlight w:val="none"/>
        </w:rPr>
        <w:fldChar w:fldCharType="separate"/>
      </w:r>
      <w:r>
        <w:rPr>
          <w:rFonts w:hint="eastAsia" w:ascii="黑体" w:hAnsi="黑体" w:eastAsia="黑体"/>
          <w:color w:val="auto"/>
          <w:szCs w:val="32"/>
          <w:highlight w:val="none"/>
        </w:rPr>
        <w:t>第一章  招标公告</w:t>
      </w:r>
      <w:r>
        <w:rPr>
          <w:color w:val="auto"/>
          <w:highlight w:val="none"/>
        </w:rPr>
        <w:tab/>
      </w:r>
      <w:r>
        <w:rPr>
          <w:color w:val="auto"/>
          <w:highlight w:val="none"/>
        </w:rPr>
        <w:fldChar w:fldCharType="begin"/>
      </w:r>
      <w:r>
        <w:rPr>
          <w:color w:val="auto"/>
          <w:highlight w:val="none"/>
        </w:rPr>
        <w:instrText xml:space="preserve"> PAGEREF _Toc22870 \h </w:instrText>
      </w:r>
      <w:r>
        <w:rPr>
          <w:color w:val="auto"/>
          <w:highlight w:val="none"/>
        </w:rPr>
        <w:fldChar w:fldCharType="separate"/>
      </w:r>
      <w:r>
        <w:rPr>
          <w:color w:val="auto"/>
          <w:highlight w:val="none"/>
        </w:rPr>
        <w:t>2</w:t>
      </w:r>
      <w:r>
        <w:rPr>
          <w:color w:val="auto"/>
          <w:highlight w:val="none"/>
        </w:rPr>
        <w:fldChar w:fldCharType="end"/>
      </w:r>
      <w:r>
        <w:rPr>
          <w:rFonts w:ascii="黑体" w:hAnsi="黑体" w:eastAsia="黑体"/>
          <w:color w:val="auto"/>
          <w:szCs w:val="24"/>
          <w:highlight w:val="none"/>
        </w:rPr>
        <w:fldChar w:fldCharType="end"/>
      </w:r>
    </w:p>
    <w:p w14:paraId="40F39468">
      <w:pPr>
        <w:pStyle w:val="13"/>
        <w:tabs>
          <w:tab w:val="right" w:leader="dot" w:pos="9026"/>
        </w:tabs>
        <w:rPr>
          <w:color w:val="auto"/>
          <w:highlight w:val="none"/>
        </w:rPr>
      </w:pPr>
      <w:r>
        <w:rPr>
          <w:rFonts w:ascii="黑体" w:hAnsi="黑体" w:eastAsia="黑体"/>
          <w:color w:val="auto"/>
          <w:szCs w:val="24"/>
          <w:highlight w:val="none"/>
        </w:rPr>
        <w:fldChar w:fldCharType="begin"/>
      </w:r>
      <w:r>
        <w:rPr>
          <w:rFonts w:ascii="黑体" w:hAnsi="黑体" w:eastAsia="黑体"/>
          <w:color w:val="auto"/>
          <w:szCs w:val="24"/>
          <w:highlight w:val="none"/>
        </w:rPr>
        <w:instrText xml:space="preserve"> HYPERLINK \l _Toc17446 </w:instrText>
      </w:r>
      <w:r>
        <w:rPr>
          <w:rFonts w:ascii="黑体" w:hAnsi="黑体" w:eastAsia="黑体"/>
          <w:color w:val="auto"/>
          <w:szCs w:val="24"/>
          <w:highlight w:val="none"/>
        </w:rPr>
        <w:fldChar w:fldCharType="separate"/>
      </w:r>
      <w:r>
        <w:rPr>
          <w:rFonts w:ascii="黑体" w:hAnsi="黑体" w:eastAsia="黑体"/>
          <w:color w:val="auto"/>
          <w:szCs w:val="32"/>
          <w:highlight w:val="none"/>
        </w:rPr>
        <w:t>第二章</w:t>
      </w:r>
      <w:r>
        <w:rPr>
          <w:rFonts w:hint="eastAsia" w:ascii="黑体" w:hAnsi="黑体" w:eastAsia="黑体"/>
          <w:color w:val="auto"/>
          <w:szCs w:val="32"/>
          <w:highlight w:val="none"/>
        </w:rPr>
        <w:t xml:space="preserve">  投标人须知</w:t>
      </w:r>
      <w:r>
        <w:rPr>
          <w:color w:val="auto"/>
          <w:highlight w:val="none"/>
        </w:rPr>
        <w:tab/>
      </w:r>
      <w:r>
        <w:rPr>
          <w:color w:val="auto"/>
          <w:highlight w:val="none"/>
        </w:rPr>
        <w:fldChar w:fldCharType="begin"/>
      </w:r>
      <w:r>
        <w:rPr>
          <w:color w:val="auto"/>
          <w:highlight w:val="none"/>
        </w:rPr>
        <w:instrText xml:space="preserve"> PAGEREF _Toc17446 \h </w:instrText>
      </w:r>
      <w:r>
        <w:rPr>
          <w:color w:val="auto"/>
          <w:highlight w:val="none"/>
        </w:rPr>
        <w:fldChar w:fldCharType="separate"/>
      </w:r>
      <w:r>
        <w:rPr>
          <w:color w:val="auto"/>
          <w:highlight w:val="none"/>
        </w:rPr>
        <w:t>8</w:t>
      </w:r>
      <w:r>
        <w:rPr>
          <w:color w:val="auto"/>
          <w:highlight w:val="none"/>
        </w:rPr>
        <w:fldChar w:fldCharType="end"/>
      </w:r>
      <w:r>
        <w:rPr>
          <w:rFonts w:ascii="黑体" w:hAnsi="黑体" w:eastAsia="黑体"/>
          <w:color w:val="auto"/>
          <w:szCs w:val="24"/>
          <w:highlight w:val="none"/>
        </w:rPr>
        <w:fldChar w:fldCharType="end"/>
      </w:r>
    </w:p>
    <w:p w14:paraId="2E54875A">
      <w:pPr>
        <w:pStyle w:val="13"/>
        <w:tabs>
          <w:tab w:val="right" w:leader="dot" w:pos="9026"/>
        </w:tabs>
        <w:rPr>
          <w:color w:val="auto"/>
          <w:highlight w:val="none"/>
        </w:rPr>
      </w:pPr>
      <w:r>
        <w:rPr>
          <w:rFonts w:ascii="黑体" w:hAnsi="黑体" w:eastAsia="黑体"/>
          <w:color w:val="auto"/>
          <w:szCs w:val="24"/>
          <w:highlight w:val="none"/>
        </w:rPr>
        <w:fldChar w:fldCharType="begin"/>
      </w:r>
      <w:r>
        <w:rPr>
          <w:rFonts w:ascii="黑体" w:hAnsi="黑体" w:eastAsia="黑体"/>
          <w:color w:val="auto"/>
          <w:szCs w:val="24"/>
          <w:highlight w:val="none"/>
        </w:rPr>
        <w:instrText xml:space="preserve"> HYPERLINK \l _Toc11469 </w:instrText>
      </w:r>
      <w:r>
        <w:rPr>
          <w:rFonts w:ascii="黑体" w:hAnsi="黑体" w:eastAsia="黑体"/>
          <w:color w:val="auto"/>
          <w:szCs w:val="24"/>
          <w:highlight w:val="none"/>
        </w:rPr>
        <w:fldChar w:fldCharType="separate"/>
      </w:r>
      <w:r>
        <w:rPr>
          <w:rFonts w:hint="eastAsia" w:ascii="黑体" w:hAnsi="黑体" w:eastAsia="黑体" w:cs="Times New Roman"/>
          <w:color w:val="auto"/>
          <w:szCs w:val="28"/>
          <w:highlight w:val="none"/>
        </w:rPr>
        <w:t>投标人须知前附表</w:t>
      </w:r>
      <w:r>
        <w:rPr>
          <w:color w:val="auto"/>
          <w:highlight w:val="none"/>
        </w:rPr>
        <w:tab/>
      </w:r>
      <w:r>
        <w:rPr>
          <w:color w:val="auto"/>
          <w:highlight w:val="none"/>
        </w:rPr>
        <w:fldChar w:fldCharType="begin"/>
      </w:r>
      <w:r>
        <w:rPr>
          <w:color w:val="auto"/>
          <w:highlight w:val="none"/>
        </w:rPr>
        <w:instrText xml:space="preserve"> PAGEREF _Toc11469 \h </w:instrText>
      </w:r>
      <w:r>
        <w:rPr>
          <w:color w:val="auto"/>
          <w:highlight w:val="none"/>
        </w:rPr>
        <w:fldChar w:fldCharType="separate"/>
      </w:r>
      <w:r>
        <w:rPr>
          <w:color w:val="auto"/>
          <w:highlight w:val="none"/>
        </w:rPr>
        <w:t>8</w:t>
      </w:r>
      <w:r>
        <w:rPr>
          <w:color w:val="auto"/>
          <w:highlight w:val="none"/>
        </w:rPr>
        <w:fldChar w:fldCharType="end"/>
      </w:r>
      <w:r>
        <w:rPr>
          <w:rFonts w:ascii="黑体" w:hAnsi="黑体" w:eastAsia="黑体"/>
          <w:color w:val="auto"/>
          <w:szCs w:val="24"/>
          <w:highlight w:val="none"/>
        </w:rPr>
        <w:fldChar w:fldCharType="end"/>
      </w:r>
    </w:p>
    <w:p w14:paraId="14EE2575">
      <w:pPr>
        <w:pStyle w:val="13"/>
        <w:tabs>
          <w:tab w:val="right" w:leader="dot" w:pos="9026"/>
        </w:tabs>
        <w:rPr>
          <w:color w:val="auto"/>
          <w:highlight w:val="none"/>
        </w:rPr>
      </w:pPr>
      <w:r>
        <w:rPr>
          <w:rFonts w:ascii="黑体" w:hAnsi="黑体" w:eastAsia="黑体"/>
          <w:color w:val="auto"/>
          <w:szCs w:val="24"/>
          <w:highlight w:val="none"/>
        </w:rPr>
        <w:fldChar w:fldCharType="begin"/>
      </w:r>
      <w:r>
        <w:rPr>
          <w:rFonts w:ascii="黑体" w:hAnsi="黑体" w:eastAsia="黑体"/>
          <w:color w:val="auto"/>
          <w:szCs w:val="24"/>
          <w:highlight w:val="none"/>
        </w:rPr>
        <w:instrText xml:space="preserve"> HYPERLINK \l _Toc1992 </w:instrText>
      </w:r>
      <w:r>
        <w:rPr>
          <w:rFonts w:ascii="黑体" w:hAnsi="黑体" w:eastAsia="黑体"/>
          <w:color w:val="auto"/>
          <w:szCs w:val="24"/>
          <w:highlight w:val="none"/>
        </w:rPr>
        <w:fldChar w:fldCharType="separate"/>
      </w:r>
      <w:r>
        <w:rPr>
          <w:rFonts w:hint="eastAsia" w:ascii="黑体" w:hAnsi="黑体" w:eastAsia="黑体"/>
          <w:color w:val="auto"/>
          <w:szCs w:val="28"/>
          <w:highlight w:val="none"/>
        </w:rPr>
        <w:t>投标人须知</w:t>
      </w:r>
      <w:r>
        <w:rPr>
          <w:rFonts w:hint="eastAsia" w:ascii="黑体" w:hAnsi="黑体" w:eastAsia="黑体"/>
          <w:color w:val="auto"/>
          <w:szCs w:val="28"/>
          <w:highlight w:val="none"/>
          <w:lang w:val="en-US" w:eastAsia="zh-CN"/>
        </w:rPr>
        <w:t>正文</w:t>
      </w:r>
      <w:r>
        <w:rPr>
          <w:color w:val="auto"/>
          <w:highlight w:val="none"/>
        </w:rPr>
        <w:tab/>
      </w:r>
      <w:r>
        <w:rPr>
          <w:color w:val="auto"/>
          <w:highlight w:val="none"/>
        </w:rPr>
        <w:fldChar w:fldCharType="begin"/>
      </w:r>
      <w:r>
        <w:rPr>
          <w:color w:val="auto"/>
          <w:highlight w:val="none"/>
        </w:rPr>
        <w:instrText xml:space="preserve"> PAGEREF _Toc1992 \h </w:instrText>
      </w:r>
      <w:r>
        <w:rPr>
          <w:color w:val="auto"/>
          <w:highlight w:val="none"/>
        </w:rPr>
        <w:fldChar w:fldCharType="separate"/>
      </w:r>
      <w:r>
        <w:rPr>
          <w:color w:val="auto"/>
          <w:highlight w:val="none"/>
        </w:rPr>
        <w:t>16</w:t>
      </w:r>
      <w:r>
        <w:rPr>
          <w:color w:val="auto"/>
          <w:highlight w:val="none"/>
        </w:rPr>
        <w:fldChar w:fldCharType="end"/>
      </w:r>
      <w:r>
        <w:rPr>
          <w:rFonts w:ascii="黑体" w:hAnsi="黑体" w:eastAsia="黑体"/>
          <w:color w:val="auto"/>
          <w:szCs w:val="24"/>
          <w:highlight w:val="none"/>
        </w:rPr>
        <w:fldChar w:fldCharType="end"/>
      </w:r>
    </w:p>
    <w:p w14:paraId="03271A2E">
      <w:pPr>
        <w:pStyle w:val="9"/>
        <w:tabs>
          <w:tab w:val="right" w:leader="dot" w:pos="9026"/>
        </w:tabs>
        <w:rPr>
          <w:color w:val="auto"/>
          <w:highlight w:val="none"/>
        </w:rPr>
      </w:pPr>
      <w:r>
        <w:rPr>
          <w:rFonts w:ascii="黑体" w:hAnsi="黑体" w:eastAsia="黑体"/>
          <w:color w:val="auto"/>
          <w:szCs w:val="24"/>
          <w:highlight w:val="none"/>
        </w:rPr>
        <w:fldChar w:fldCharType="begin"/>
      </w:r>
      <w:r>
        <w:rPr>
          <w:rFonts w:ascii="黑体" w:hAnsi="黑体" w:eastAsia="黑体"/>
          <w:color w:val="auto"/>
          <w:szCs w:val="24"/>
          <w:highlight w:val="none"/>
        </w:rPr>
        <w:instrText xml:space="preserve"> HYPERLINK \l _Toc14005 </w:instrText>
      </w:r>
      <w:r>
        <w:rPr>
          <w:rFonts w:ascii="黑体" w:hAnsi="黑体" w:eastAsia="黑体"/>
          <w:color w:val="auto"/>
          <w:szCs w:val="24"/>
          <w:highlight w:val="none"/>
        </w:rPr>
        <w:fldChar w:fldCharType="separate"/>
      </w:r>
      <w:r>
        <w:rPr>
          <w:rFonts w:ascii="楷体" w:hAnsi="楷体" w:eastAsia="楷体"/>
          <w:color w:val="auto"/>
          <w:szCs w:val="28"/>
          <w:highlight w:val="none"/>
        </w:rPr>
        <w:t>1</w:t>
      </w:r>
      <w:r>
        <w:rPr>
          <w:rFonts w:hint="eastAsia" w:ascii="楷体" w:hAnsi="楷体" w:eastAsia="楷体"/>
          <w:color w:val="auto"/>
          <w:szCs w:val="28"/>
          <w:highlight w:val="none"/>
        </w:rPr>
        <w:t>.招标依据以及原则</w:t>
      </w:r>
      <w:r>
        <w:rPr>
          <w:color w:val="auto"/>
          <w:highlight w:val="none"/>
        </w:rPr>
        <w:tab/>
      </w:r>
      <w:r>
        <w:rPr>
          <w:color w:val="auto"/>
          <w:highlight w:val="none"/>
        </w:rPr>
        <w:fldChar w:fldCharType="begin"/>
      </w:r>
      <w:r>
        <w:rPr>
          <w:color w:val="auto"/>
          <w:highlight w:val="none"/>
        </w:rPr>
        <w:instrText xml:space="preserve"> PAGEREF _Toc14005 \h </w:instrText>
      </w:r>
      <w:r>
        <w:rPr>
          <w:color w:val="auto"/>
          <w:highlight w:val="none"/>
        </w:rPr>
        <w:fldChar w:fldCharType="separate"/>
      </w:r>
      <w:r>
        <w:rPr>
          <w:color w:val="auto"/>
          <w:highlight w:val="none"/>
        </w:rPr>
        <w:t>16</w:t>
      </w:r>
      <w:r>
        <w:rPr>
          <w:color w:val="auto"/>
          <w:highlight w:val="none"/>
        </w:rPr>
        <w:fldChar w:fldCharType="end"/>
      </w:r>
      <w:r>
        <w:rPr>
          <w:rFonts w:ascii="黑体" w:hAnsi="黑体" w:eastAsia="黑体"/>
          <w:color w:val="auto"/>
          <w:szCs w:val="24"/>
          <w:highlight w:val="none"/>
        </w:rPr>
        <w:fldChar w:fldCharType="end"/>
      </w:r>
    </w:p>
    <w:p w14:paraId="2DEFF58F">
      <w:pPr>
        <w:pStyle w:val="9"/>
        <w:tabs>
          <w:tab w:val="right" w:leader="dot" w:pos="9026"/>
        </w:tabs>
        <w:rPr>
          <w:color w:val="auto"/>
          <w:highlight w:val="none"/>
        </w:rPr>
      </w:pPr>
      <w:r>
        <w:rPr>
          <w:rFonts w:ascii="黑体" w:hAnsi="黑体" w:eastAsia="黑体"/>
          <w:color w:val="auto"/>
          <w:szCs w:val="24"/>
          <w:highlight w:val="none"/>
        </w:rPr>
        <w:fldChar w:fldCharType="begin"/>
      </w:r>
      <w:r>
        <w:rPr>
          <w:rFonts w:ascii="黑体" w:hAnsi="黑体" w:eastAsia="黑体"/>
          <w:color w:val="auto"/>
          <w:szCs w:val="24"/>
          <w:highlight w:val="none"/>
        </w:rPr>
        <w:instrText xml:space="preserve"> HYPERLINK \l _Toc11837 </w:instrText>
      </w:r>
      <w:r>
        <w:rPr>
          <w:rFonts w:ascii="黑体" w:hAnsi="黑体" w:eastAsia="黑体"/>
          <w:color w:val="auto"/>
          <w:szCs w:val="24"/>
          <w:highlight w:val="none"/>
        </w:rPr>
        <w:fldChar w:fldCharType="separate"/>
      </w:r>
      <w:r>
        <w:rPr>
          <w:rFonts w:ascii="楷体" w:hAnsi="楷体" w:eastAsia="楷体"/>
          <w:color w:val="auto"/>
          <w:szCs w:val="28"/>
          <w:highlight w:val="none"/>
        </w:rPr>
        <w:t>2</w:t>
      </w:r>
      <w:r>
        <w:rPr>
          <w:rFonts w:hint="eastAsia" w:ascii="楷体" w:hAnsi="楷体" w:eastAsia="楷体"/>
          <w:color w:val="auto"/>
          <w:szCs w:val="28"/>
          <w:highlight w:val="none"/>
        </w:rPr>
        <w:t>.合格的投标人</w:t>
      </w:r>
      <w:r>
        <w:rPr>
          <w:color w:val="auto"/>
          <w:highlight w:val="none"/>
        </w:rPr>
        <w:tab/>
      </w:r>
      <w:r>
        <w:rPr>
          <w:color w:val="auto"/>
          <w:highlight w:val="none"/>
        </w:rPr>
        <w:fldChar w:fldCharType="begin"/>
      </w:r>
      <w:r>
        <w:rPr>
          <w:color w:val="auto"/>
          <w:highlight w:val="none"/>
        </w:rPr>
        <w:instrText xml:space="preserve"> PAGEREF _Toc11837 \h </w:instrText>
      </w:r>
      <w:r>
        <w:rPr>
          <w:color w:val="auto"/>
          <w:highlight w:val="none"/>
        </w:rPr>
        <w:fldChar w:fldCharType="separate"/>
      </w:r>
      <w:r>
        <w:rPr>
          <w:color w:val="auto"/>
          <w:highlight w:val="none"/>
        </w:rPr>
        <w:t>16</w:t>
      </w:r>
      <w:r>
        <w:rPr>
          <w:color w:val="auto"/>
          <w:highlight w:val="none"/>
        </w:rPr>
        <w:fldChar w:fldCharType="end"/>
      </w:r>
      <w:r>
        <w:rPr>
          <w:rFonts w:ascii="黑体" w:hAnsi="黑体" w:eastAsia="黑体"/>
          <w:color w:val="auto"/>
          <w:szCs w:val="24"/>
          <w:highlight w:val="none"/>
        </w:rPr>
        <w:fldChar w:fldCharType="end"/>
      </w:r>
    </w:p>
    <w:p w14:paraId="7F2AD23C">
      <w:pPr>
        <w:pStyle w:val="9"/>
        <w:tabs>
          <w:tab w:val="right" w:leader="dot" w:pos="9026"/>
        </w:tabs>
        <w:rPr>
          <w:color w:val="auto"/>
          <w:highlight w:val="none"/>
        </w:rPr>
      </w:pPr>
      <w:r>
        <w:rPr>
          <w:rFonts w:ascii="黑体" w:hAnsi="黑体" w:eastAsia="黑体"/>
          <w:color w:val="auto"/>
          <w:szCs w:val="24"/>
          <w:highlight w:val="none"/>
        </w:rPr>
        <w:fldChar w:fldCharType="begin"/>
      </w:r>
      <w:r>
        <w:rPr>
          <w:rFonts w:ascii="黑体" w:hAnsi="黑体" w:eastAsia="黑体"/>
          <w:color w:val="auto"/>
          <w:szCs w:val="24"/>
          <w:highlight w:val="none"/>
        </w:rPr>
        <w:instrText xml:space="preserve"> HYPERLINK \l _Toc12009 </w:instrText>
      </w:r>
      <w:r>
        <w:rPr>
          <w:rFonts w:ascii="黑体" w:hAnsi="黑体" w:eastAsia="黑体"/>
          <w:color w:val="auto"/>
          <w:szCs w:val="24"/>
          <w:highlight w:val="none"/>
        </w:rPr>
        <w:fldChar w:fldCharType="separate"/>
      </w:r>
      <w:r>
        <w:rPr>
          <w:rFonts w:ascii="楷体" w:hAnsi="楷体" w:eastAsia="楷体"/>
          <w:color w:val="auto"/>
          <w:szCs w:val="28"/>
          <w:highlight w:val="none"/>
        </w:rPr>
        <w:t>3</w:t>
      </w:r>
      <w:r>
        <w:rPr>
          <w:rFonts w:hint="eastAsia" w:ascii="楷体" w:hAnsi="楷体" w:eastAsia="楷体"/>
          <w:color w:val="auto"/>
          <w:szCs w:val="28"/>
          <w:highlight w:val="none"/>
        </w:rPr>
        <w:t>.保密</w:t>
      </w:r>
      <w:r>
        <w:rPr>
          <w:color w:val="auto"/>
          <w:highlight w:val="none"/>
        </w:rPr>
        <w:tab/>
      </w:r>
      <w:r>
        <w:rPr>
          <w:color w:val="auto"/>
          <w:highlight w:val="none"/>
        </w:rPr>
        <w:fldChar w:fldCharType="begin"/>
      </w:r>
      <w:r>
        <w:rPr>
          <w:color w:val="auto"/>
          <w:highlight w:val="none"/>
        </w:rPr>
        <w:instrText xml:space="preserve"> PAGEREF _Toc12009 \h </w:instrText>
      </w:r>
      <w:r>
        <w:rPr>
          <w:color w:val="auto"/>
          <w:highlight w:val="none"/>
        </w:rPr>
        <w:fldChar w:fldCharType="separate"/>
      </w:r>
      <w:r>
        <w:rPr>
          <w:color w:val="auto"/>
          <w:highlight w:val="none"/>
        </w:rPr>
        <w:t>17</w:t>
      </w:r>
      <w:r>
        <w:rPr>
          <w:color w:val="auto"/>
          <w:highlight w:val="none"/>
        </w:rPr>
        <w:fldChar w:fldCharType="end"/>
      </w:r>
      <w:r>
        <w:rPr>
          <w:rFonts w:ascii="黑体" w:hAnsi="黑体" w:eastAsia="黑体"/>
          <w:color w:val="auto"/>
          <w:szCs w:val="24"/>
          <w:highlight w:val="none"/>
        </w:rPr>
        <w:fldChar w:fldCharType="end"/>
      </w:r>
    </w:p>
    <w:p w14:paraId="7CB4B07C">
      <w:pPr>
        <w:pStyle w:val="9"/>
        <w:tabs>
          <w:tab w:val="right" w:leader="dot" w:pos="9026"/>
        </w:tabs>
        <w:rPr>
          <w:color w:val="auto"/>
          <w:highlight w:val="none"/>
        </w:rPr>
      </w:pPr>
      <w:r>
        <w:rPr>
          <w:rFonts w:ascii="黑体" w:hAnsi="黑体" w:eastAsia="黑体"/>
          <w:color w:val="auto"/>
          <w:szCs w:val="24"/>
          <w:highlight w:val="none"/>
        </w:rPr>
        <w:fldChar w:fldCharType="begin"/>
      </w:r>
      <w:r>
        <w:rPr>
          <w:rFonts w:ascii="黑体" w:hAnsi="黑体" w:eastAsia="黑体"/>
          <w:color w:val="auto"/>
          <w:szCs w:val="24"/>
          <w:highlight w:val="none"/>
        </w:rPr>
        <w:instrText xml:space="preserve"> HYPERLINK \l _Toc23182 </w:instrText>
      </w:r>
      <w:r>
        <w:rPr>
          <w:rFonts w:ascii="黑体" w:hAnsi="黑体" w:eastAsia="黑体"/>
          <w:color w:val="auto"/>
          <w:szCs w:val="24"/>
          <w:highlight w:val="none"/>
        </w:rPr>
        <w:fldChar w:fldCharType="separate"/>
      </w:r>
      <w:r>
        <w:rPr>
          <w:rFonts w:ascii="楷体" w:hAnsi="楷体" w:eastAsia="楷体"/>
          <w:color w:val="auto"/>
          <w:szCs w:val="28"/>
          <w:highlight w:val="none"/>
        </w:rPr>
        <w:t>4.</w:t>
      </w:r>
      <w:r>
        <w:rPr>
          <w:rFonts w:hint="eastAsia" w:ascii="楷体" w:hAnsi="楷体" w:eastAsia="楷体"/>
          <w:color w:val="auto"/>
          <w:szCs w:val="28"/>
          <w:highlight w:val="none"/>
        </w:rPr>
        <w:t>语言文字、计量单位、时间单位、投标有效期以及投标费用</w:t>
      </w:r>
      <w:r>
        <w:rPr>
          <w:color w:val="auto"/>
          <w:highlight w:val="none"/>
        </w:rPr>
        <w:tab/>
      </w:r>
      <w:r>
        <w:rPr>
          <w:color w:val="auto"/>
          <w:highlight w:val="none"/>
        </w:rPr>
        <w:fldChar w:fldCharType="begin"/>
      </w:r>
      <w:r>
        <w:rPr>
          <w:color w:val="auto"/>
          <w:highlight w:val="none"/>
        </w:rPr>
        <w:instrText xml:space="preserve"> PAGEREF _Toc23182 \h </w:instrText>
      </w:r>
      <w:r>
        <w:rPr>
          <w:color w:val="auto"/>
          <w:highlight w:val="none"/>
        </w:rPr>
        <w:fldChar w:fldCharType="separate"/>
      </w:r>
      <w:r>
        <w:rPr>
          <w:color w:val="auto"/>
          <w:highlight w:val="none"/>
        </w:rPr>
        <w:t>17</w:t>
      </w:r>
      <w:r>
        <w:rPr>
          <w:color w:val="auto"/>
          <w:highlight w:val="none"/>
        </w:rPr>
        <w:fldChar w:fldCharType="end"/>
      </w:r>
      <w:r>
        <w:rPr>
          <w:rFonts w:ascii="黑体" w:hAnsi="黑体" w:eastAsia="黑体"/>
          <w:color w:val="auto"/>
          <w:szCs w:val="24"/>
          <w:highlight w:val="none"/>
        </w:rPr>
        <w:fldChar w:fldCharType="end"/>
      </w:r>
    </w:p>
    <w:p w14:paraId="2A1F67F7">
      <w:pPr>
        <w:pStyle w:val="9"/>
        <w:tabs>
          <w:tab w:val="right" w:leader="dot" w:pos="9026"/>
        </w:tabs>
        <w:rPr>
          <w:color w:val="auto"/>
          <w:highlight w:val="none"/>
        </w:rPr>
      </w:pPr>
      <w:r>
        <w:rPr>
          <w:rFonts w:ascii="黑体" w:hAnsi="黑体" w:eastAsia="黑体"/>
          <w:color w:val="auto"/>
          <w:szCs w:val="24"/>
          <w:highlight w:val="none"/>
        </w:rPr>
        <w:fldChar w:fldCharType="begin"/>
      </w:r>
      <w:r>
        <w:rPr>
          <w:rFonts w:ascii="黑体" w:hAnsi="黑体" w:eastAsia="黑体"/>
          <w:color w:val="auto"/>
          <w:szCs w:val="24"/>
          <w:highlight w:val="none"/>
        </w:rPr>
        <w:instrText xml:space="preserve"> HYPERLINK \l _Toc25682 </w:instrText>
      </w:r>
      <w:r>
        <w:rPr>
          <w:rFonts w:ascii="黑体" w:hAnsi="黑体" w:eastAsia="黑体"/>
          <w:color w:val="auto"/>
          <w:szCs w:val="24"/>
          <w:highlight w:val="none"/>
        </w:rPr>
        <w:fldChar w:fldCharType="separate"/>
      </w:r>
      <w:r>
        <w:rPr>
          <w:rFonts w:ascii="楷体" w:hAnsi="楷体" w:eastAsia="楷体"/>
          <w:color w:val="auto"/>
          <w:szCs w:val="28"/>
          <w:highlight w:val="none"/>
        </w:rPr>
        <w:t>5.</w:t>
      </w:r>
      <w:r>
        <w:rPr>
          <w:rFonts w:hint="eastAsia" w:ascii="楷体" w:hAnsi="楷体" w:eastAsia="楷体"/>
          <w:color w:val="auto"/>
          <w:szCs w:val="28"/>
          <w:highlight w:val="none"/>
        </w:rPr>
        <w:t>踏勘现场</w:t>
      </w:r>
      <w:r>
        <w:rPr>
          <w:color w:val="auto"/>
          <w:highlight w:val="none"/>
        </w:rPr>
        <w:tab/>
      </w:r>
      <w:r>
        <w:rPr>
          <w:color w:val="auto"/>
          <w:highlight w:val="none"/>
        </w:rPr>
        <w:fldChar w:fldCharType="begin"/>
      </w:r>
      <w:r>
        <w:rPr>
          <w:color w:val="auto"/>
          <w:highlight w:val="none"/>
        </w:rPr>
        <w:instrText xml:space="preserve"> PAGEREF _Toc25682 \h </w:instrText>
      </w:r>
      <w:r>
        <w:rPr>
          <w:color w:val="auto"/>
          <w:highlight w:val="none"/>
        </w:rPr>
        <w:fldChar w:fldCharType="separate"/>
      </w:r>
      <w:r>
        <w:rPr>
          <w:color w:val="auto"/>
          <w:highlight w:val="none"/>
        </w:rPr>
        <w:t>17</w:t>
      </w:r>
      <w:r>
        <w:rPr>
          <w:color w:val="auto"/>
          <w:highlight w:val="none"/>
        </w:rPr>
        <w:fldChar w:fldCharType="end"/>
      </w:r>
      <w:r>
        <w:rPr>
          <w:rFonts w:ascii="黑体" w:hAnsi="黑体" w:eastAsia="黑体"/>
          <w:color w:val="auto"/>
          <w:szCs w:val="24"/>
          <w:highlight w:val="none"/>
        </w:rPr>
        <w:fldChar w:fldCharType="end"/>
      </w:r>
    </w:p>
    <w:p w14:paraId="63A985DE">
      <w:pPr>
        <w:pStyle w:val="9"/>
        <w:tabs>
          <w:tab w:val="right" w:leader="dot" w:pos="9026"/>
        </w:tabs>
        <w:rPr>
          <w:color w:val="auto"/>
          <w:highlight w:val="none"/>
        </w:rPr>
      </w:pPr>
      <w:r>
        <w:rPr>
          <w:rFonts w:ascii="黑体" w:hAnsi="黑体" w:eastAsia="黑体"/>
          <w:color w:val="auto"/>
          <w:szCs w:val="24"/>
          <w:highlight w:val="none"/>
        </w:rPr>
        <w:fldChar w:fldCharType="begin"/>
      </w:r>
      <w:r>
        <w:rPr>
          <w:rFonts w:ascii="黑体" w:hAnsi="黑体" w:eastAsia="黑体"/>
          <w:color w:val="auto"/>
          <w:szCs w:val="24"/>
          <w:highlight w:val="none"/>
        </w:rPr>
        <w:instrText xml:space="preserve"> HYPERLINK \l _Toc8159 </w:instrText>
      </w:r>
      <w:r>
        <w:rPr>
          <w:rFonts w:ascii="黑体" w:hAnsi="黑体" w:eastAsia="黑体"/>
          <w:color w:val="auto"/>
          <w:szCs w:val="24"/>
          <w:highlight w:val="none"/>
        </w:rPr>
        <w:fldChar w:fldCharType="separate"/>
      </w:r>
      <w:r>
        <w:rPr>
          <w:rFonts w:ascii="楷体" w:hAnsi="楷体" w:eastAsia="楷体"/>
          <w:color w:val="auto"/>
          <w:szCs w:val="28"/>
          <w:highlight w:val="none"/>
        </w:rPr>
        <w:t>6</w:t>
      </w:r>
      <w:r>
        <w:rPr>
          <w:rFonts w:hint="eastAsia" w:ascii="楷体" w:hAnsi="楷体" w:eastAsia="楷体"/>
          <w:color w:val="auto"/>
          <w:szCs w:val="28"/>
          <w:highlight w:val="none"/>
        </w:rPr>
        <w:t>.询问</w:t>
      </w:r>
      <w:r>
        <w:rPr>
          <w:color w:val="auto"/>
          <w:highlight w:val="none"/>
        </w:rPr>
        <w:tab/>
      </w:r>
      <w:r>
        <w:rPr>
          <w:color w:val="auto"/>
          <w:highlight w:val="none"/>
        </w:rPr>
        <w:fldChar w:fldCharType="begin"/>
      </w:r>
      <w:r>
        <w:rPr>
          <w:color w:val="auto"/>
          <w:highlight w:val="none"/>
        </w:rPr>
        <w:instrText xml:space="preserve"> PAGEREF _Toc8159 \h </w:instrText>
      </w:r>
      <w:r>
        <w:rPr>
          <w:color w:val="auto"/>
          <w:highlight w:val="none"/>
        </w:rPr>
        <w:fldChar w:fldCharType="separate"/>
      </w:r>
      <w:r>
        <w:rPr>
          <w:color w:val="auto"/>
          <w:highlight w:val="none"/>
        </w:rPr>
        <w:t>18</w:t>
      </w:r>
      <w:r>
        <w:rPr>
          <w:color w:val="auto"/>
          <w:highlight w:val="none"/>
        </w:rPr>
        <w:fldChar w:fldCharType="end"/>
      </w:r>
      <w:r>
        <w:rPr>
          <w:rFonts w:ascii="黑体" w:hAnsi="黑体" w:eastAsia="黑体"/>
          <w:color w:val="auto"/>
          <w:szCs w:val="24"/>
          <w:highlight w:val="none"/>
        </w:rPr>
        <w:fldChar w:fldCharType="end"/>
      </w:r>
    </w:p>
    <w:p w14:paraId="1EF69AA1">
      <w:pPr>
        <w:pStyle w:val="9"/>
        <w:tabs>
          <w:tab w:val="right" w:leader="dot" w:pos="9026"/>
        </w:tabs>
        <w:rPr>
          <w:color w:val="auto"/>
          <w:highlight w:val="none"/>
        </w:rPr>
      </w:pPr>
      <w:r>
        <w:rPr>
          <w:rFonts w:ascii="黑体" w:hAnsi="黑体" w:eastAsia="黑体"/>
          <w:color w:val="auto"/>
          <w:szCs w:val="24"/>
          <w:highlight w:val="none"/>
        </w:rPr>
        <w:fldChar w:fldCharType="begin"/>
      </w:r>
      <w:r>
        <w:rPr>
          <w:rFonts w:ascii="黑体" w:hAnsi="黑体" w:eastAsia="黑体"/>
          <w:color w:val="auto"/>
          <w:szCs w:val="24"/>
          <w:highlight w:val="none"/>
        </w:rPr>
        <w:instrText xml:space="preserve"> HYPERLINK \l _Toc9698 </w:instrText>
      </w:r>
      <w:r>
        <w:rPr>
          <w:rFonts w:ascii="黑体" w:hAnsi="黑体" w:eastAsia="黑体"/>
          <w:color w:val="auto"/>
          <w:szCs w:val="24"/>
          <w:highlight w:val="none"/>
        </w:rPr>
        <w:fldChar w:fldCharType="separate"/>
      </w:r>
      <w:r>
        <w:rPr>
          <w:rFonts w:ascii="楷体" w:hAnsi="楷体" w:eastAsia="楷体"/>
          <w:color w:val="auto"/>
          <w:szCs w:val="28"/>
          <w:highlight w:val="none"/>
        </w:rPr>
        <w:t>7.</w:t>
      </w:r>
      <w:r>
        <w:rPr>
          <w:rFonts w:hint="eastAsia" w:ascii="楷体" w:hAnsi="楷体" w:eastAsia="楷体"/>
          <w:color w:val="auto"/>
          <w:szCs w:val="28"/>
          <w:highlight w:val="none"/>
        </w:rPr>
        <w:t>偏离</w:t>
      </w:r>
      <w:r>
        <w:rPr>
          <w:color w:val="auto"/>
          <w:highlight w:val="none"/>
        </w:rPr>
        <w:tab/>
      </w:r>
      <w:r>
        <w:rPr>
          <w:color w:val="auto"/>
          <w:highlight w:val="none"/>
        </w:rPr>
        <w:fldChar w:fldCharType="begin"/>
      </w:r>
      <w:r>
        <w:rPr>
          <w:color w:val="auto"/>
          <w:highlight w:val="none"/>
        </w:rPr>
        <w:instrText xml:space="preserve"> PAGEREF _Toc9698 \h </w:instrText>
      </w:r>
      <w:r>
        <w:rPr>
          <w:color w:val="auto"/>
          <w:highlight w:val="none"/>
        </w:rPr>
        <w:fldChar w:fldCharType="separate"/>
      </w:r>
      <w:r>
        <w:rPr>
          <w:color w:val="auto"/>
          <w:highlight w:val="none"/>
        </w:rPr>
        <w:t>18</w:t>
      </w:r>
      <w:r>
        <w:rPr>
          <w:color w:val="auto"/>
          <w:highlight w:val="none"/>
        </w:rPr>
        <w:fldChar w:fldCharType="end"/>
      </w:r>
      <w:r>
        <w:rPr>
          <w:rFonts w:ascii="黑体" w:hAnsi="黑体" w:eastAsia="黑体"/>
          <w:color w:val="auto"/>
          <w:szCs w:val="24"/>
          <w:highlight w:val="none"/>
        </w:rPr>
        <w:fldChar w:fldCharType="end"/>
      </w:r>
    </w:p>
    <w:p w14:paraId="50BF132A">
      <w:pPr>
        <w:pStyle w:val="9"/>
        <w:tabs>
          <w:tab w:val="right" w:leader="dot" w:pos="9026"/>
        </w:tabs>
        <w:rPr>
          <w:color w:val="auto"/>
          <w:highlight w:val="none"/>
        </w:rPr>
      </w:pPr>
      <w:r>
        <w:rPr>
          <w:rFonts w:ascii="黑体" w:hAnsi="黑体" w:eastAsia="黑体"/>
          <w:color w:val="auto"/>
          <w:szCs w:val="24"/>
          <w:highlight w:val="none"/>
        </w:rPr>
        <w:fldChar w:fldCharType="begin"/>
      </w:r>
      <w:r>
        <w:rPr>
          <w:rFonts w:ascii="黑体" w:hAnsi="黑体" w:eastAsia="黑体"/>
          <w:color w:val="auto"/>
          <w:szCs w:val="24"/>
          <w:highlight w:val="none"/>
        </w:rPr>
        <w:instrText xml:space="preserve"> HYPERLINK \l _Toc24647 </w:instrText>
      </w:r>
      <w:r>
        <w:rPr>
          <w:rFonts w:ascii="黑体" w:hAnsi="黑体" w:eastAsia="黑体"/>
          <w:color w:val="auto"/>
          <w:szCs w:val="24"/>
          <w:highlight w:val="none"/>
        </w:rPr>
        <w:fldChar w:fldCharType="separate"/>
      </w:r>
      <w:r>
        <w:rPr>
          <w:rFonts w:ascii="楷体" w:hAnsi="楷体" w:eastAsia="楷体"/>
          <w:color w:val="auto"/>
          <w:szCs w:val="28"/>
          <w:highlight w:val="none"/>
        </w:rPr>
        <w:t>8</w:t>
      </w:r>
      <w:r>
        <w:rPr>
          <w:rFonts w:hint="eastAsia" w:ascii="楷体" w:hAnsi="楷体" w:eastAsia="楷体"/>
          <w:color w:val="auto"/>
          <w:szCs w:val="28"/>
          <w:highlight w:val="none"/>
        </w:rPr>
        <w:t>.履约担保</w:t>
      </w:r>
      <w:r>
        <w:rPr>
          <w:color w:val="auto"/>
          <w:highlight w:val="none"/>
        </w:rPr>
        <w:tab/>
      </w:r>
      <w:r>
        <w:rPr>
          <w:color w:val="auto"/>
          <w:highlight w:val="none"/>
        </w:rPr>
        <w:fldChar w:fldCharType="begin"/>
      </w:r>
      <w:r>
        <w:rPr>
          <w:color w:val="auto"/>
          <w:highlight w:val="none"/>
        </w:rPr>
        <w:instrText xml:space="preserve"> PAGEREF _Toc24647 \h </w:instrText>
      </w:r>
      <w:r>
        <w:rPr>
          <w:color w:val="auto"/>
          <w:highlight w:val="none"/>
        </w:rPr>
        <w:fldChar w:fldCharType="separate"/>
      </w:r>
      <w:r>
        <w:rPr>
          <w:color w:val="auto"/>
          <w:highlight w:val="none"/>
        </w:rPr>
        <w:t>18</w:t>
      </w:r>
      <w:r>
        <w:rPr>
          <w:color w:val="auto"/>
          <w:highlight w:val="none"/>
        </w:rPr>
        <w:fldChar w:fldCharType="end"/>
      </w:r>
      <w:r>
        <w:rPr>
          <w:rFonts w:ascii="黑体" w:hAnsi="黑体" w:eastAsia="黑体"/>
          <w:color w:val="auto"/>
          <w:szCs w:val="24"/>
          <w:highlight w:val="none"/>
        </w:rPr>
        <w:fldChar w:fldCharType="end"/>
      </w:r>
    </w:p>
    <w:p w14:paraId="7DD0638E">
      <w:pPr>
        <w:pStyle w:val="9"/>
        <w:tabs>
          <w:tab w:val="right" w:leader="dot" w:pos="9026"/>
        </w:tabs>
        <w:rPr>
          <w:color w:val="auto"/>
          <w:highlight w:val="none"/>
        </w:rPr>
      </w:pPr>
      <w:r>
        <w:rPr>
          <w:rFonts w:ascii="黑体" w:hAnsi="黑体" w:eastAsia="黑体"/>
          <w:color w:val="auto"/>
          <w:szCs w:val="24"/>
          <w:highlight w:val="none"/>
        </w:rPr>
        <w:fldChar w:fldCharType="begin"/>
      </w:r>
      <w:r>
        <w:rPr>
          <w:rFonts w:ascii="黑体" w:hAnsi="黑体" w:eastAsia="黑体"/>
          <w:color w:val="auto"/>
          <w:szCs w:val="24"/>
          <w:highlight w:val="none"/>
        </w:rPr>
        <w:instrText xml:space="preserve"> HYPERLINK \l _Toc10363 </w:instrText>
      </w:r>
      <w:r>
        <w:rPr>
          <w:rFonts w:ascii="黑体" w:hAnsi="黑体" w:eastAsia="黑体"/>
          <w:color w:val="auto"/>
          <w:szCs w:val="24"/>
          <w:highlight w:val="none"/>
        </w:rPr>
        <w:fldChar w:fldCharType="separate"/>
      </w:r>
      <w:r>
        <w:rPr>
          <w:rFonts w:ascii="楷体" w:hAnsi="楷体" w:eastAsia="楷体"/>
          <w:color w:val="auto"/>
          <w:szCs w:val="28"/>
          <w:highlight w:val="none"/>
        </w:rPr>
        <w:t>9</w:t>
      </w:r>
      <w:r>
        <w:rPr>
          <w:rFonts w:hint="eastAsia" w:ascii="楷体" w:hAnsi="楷体" w:eastAsia="楷体"/>
          <w:color w:val="auto"/>
          <w:szCs w:val="28"/>
          <w:highlight w:val="none"/>
        </w:rPr>
        <w:t>.采购代理服务费</w:t>
      </w:r>
      <w:r>
        <w:rPr>
          <w:color w:val="auto"/>
          <w:highlight w:val="none"/>
        </w:rPr>
        <w:tab/>
      </w:r>
      <w:r>
        <w:rPr>
          <w:color w:val="auto"/>
          <w:highlight w:val="none"/>
        </w:rPr>
        <w:fldChar w:fldCharType="begin"/>
      </w:r>
      <w:r>
        <w:rPr>
          <w:color w:val="auto"/>
          <w:highlight w:val="none"/>
        </w:rPr>
        <w:instrText xml:space="preserve"> PAGEREF _Toc10363 \h </w:instrText>
      </w:r>
      <w:r>
        <w:rPr>
          <w:color w:val="auto"/>
          <w:highlight w:val="none"/>
        </w:rPr>
        <w:fldChar w:fldCharType="separate"/>
      </w:r>
      <w:r>
        <w:rPr>
          <w:color w:val="auto"/>
          <w:highlight w:val="none"/>
        </w:rPr>
        <w:t>18</w:t>
      </w:r>
      <w:r>
        <w:rPr>
          <w:color w:val="auto"/>
          <w:highlight w:val="none"/>
        </w:rPr>
        <w:fldChar w:fldCharType="end"/>
      </w:r>
      <w:r>
        <w:rPr>
          <w:rFonts w:ascii="黑体" w:hAnsi="黑体" w:eastAsia="黑体"/>
          <w:color w:val="auto"/>
          <w:szCs w:val="24"/>
          <w:highlight w:val="none"/>
        </w:rPr>
        <w:fldChar w:fldCharType="end"/>
      </w:r>
    </w:p>
    <w:p w14:paraId="031DBE74">
      <w:pPr>
        <w:pStyle w:val="9"/>
        <w:tabs>
          <w:tab w:val="right" w:leader="dot" w:pos="9026"/>
        </w:tabs>
        <w:rPr>
          <w:color w:val="auto"/>
          <w:highlight w:val="none"/>
        </w:rPr>
      </w:pPr>
      <w:r>
        <w:rPr>
          <w:rFonts w:ascii="黑体" w:hAnsi="黑体" w:eastAsia="黑体"/>
          <w:color w:val="auto"/>
          <w:szCs w:val="24"/>
          <w:highlight w:val="none"/>
        </w:rPr>
        <w:fldChar w:fldCharType="begin"/>
      </w:r>
      <w:r>
        <w:rPr>
          <w:rFonts w:ascii="黑体" w:hAnsi="黑体" w:eastAsia="黑体"/>
          <w:color w:val="auto"/>
          <w:szCs w:val="24"/>
          <w:highlight w:val="none"/>
        </w:rPr>
        <w:instrText xml:space="preserve"> HYPERLINK \l _Toc5034 </w:instrText>
      </w:r>
      <w:r>
        <w:rPr>
          <w:rFonts w:ascii="黑体" w:hAnsi="黑体" w:eastAsia="黑体"/>
          <w:color w:val="auto"/>
          <w:szCs w:val="24"/>
          <w:highlight w:val="none"/>
        </w:rPr>
        <w:fldChar w:fldCharType="separate"/>
      </w:r>
      <w:r>
        <w:rPr>
          <w:rFonts w:hint="eastAsia" w:ascii="楷体" w:hAnsi="楷体" w:eastAsia="楷体"/>
          <w:color w:val="auto"/>
          <w:szCs w:val="28"/>
          <w:highlight w:val="none"/>
        </w:rPr>
        <w:t>1</w:t>
      </w:r>
      <w:r>
        <w:rPr>
          <w:rFonts w:ascii="楷体" w:hAnsi="楷体" w:eastAsia="楷体"/>
          <w:color w:val="auto"/>
          <w:szCs w:val="28"/>
          <w:highlight w:val="none"/>
        </w:rPr>
        <w:t>0.</w:t>
      </w:r>
      <w:r>
        <w:rPr>
          <w:rFonts w:hint="eastAsia" w:ascii="楷体" w:hAnsi="楷体" w:eastAsia="楷体"/>
          <w:color w:val="auto"/>
          <w:szCs w:val="28"/>
          <w:highlight w:val="none"/>
        </w:rPr>
        <w:t>招标文件</w:t>
      </w:r>
      <w:r>
        <w:rPr>
          <w:color w:val="auto"/>
          <w:highlight w:val="none"/>
        </w:rPr>
        <w:tab/>
      </w:r>
      <w:r>
        <w:rPr>
          <w:color w:val="auto"/>
          <w:highlight w:val="none"/>
        </w:rPr>
        <w:fldChar w:fldCharType="begin"/>
      </w:r>
      <w:r>
        <w:rPr>
          <w:color w:val="auto"/>
          <w:highlight w:val="none"/>
        </w:rPr>
        <w:instrText xml:space="preserve"> PAGEREF _Toc5034 \h </w:instrText>
      </w:r>
      <w:r>
        <w:rPr>
          <w:color w:val="auto"/>
          <w:highlight w:val="none"/>
        </w:rPr>
        <w:fldChar w:fldCharType="separate"/>
      </w:r>
      <w:r>
        <w:rPr>
          <w:color w:val="auto"/>
          <w:highlight w:val="none"/>
        </w:rPr>
        <w:t>18</w:t>
      </w:r>
      <w:r>
        <w:rPr>
          <w:color w:val="auto"/>
          <w:highlight w:val="none"/>
        </w:rPr>
        <w:fldChar w:fldCharType="end"/>
      </w:r>
      <w:r>
        <w:rPr>
          <w:rFonts w:ascii="黑体" w:hAnsi="黑体" w:eastAsia="黑体"/>
          <w:color w:val="auto"/>
          <w:szCs w:val="24"/>
          <w:highlight w:val="none"/>
        </w:rPr>
        <w:fldChar w:fldCharType="end"/>
      </w:r>
    </w:p>
    <w:p w14:paraId="06A763F2">
      <w:pPr>
        <w:pStyle w:val="9"/>
        <w:tabs>
          <w:tab w:val="right" w:leader="dot" w:pos="9026"/>
        </w:tabs>
        <w:rPr>
          <w:color w:val="auto"/>
          <w:highlight w:val="none"/>
        </w:rPr>
      </w:pPr>
      <w:r>
        <w:rPr>
          <w:rFonts w:ascii="黑体" w:hAnsi="黑体" w:eastAsia="黑体"/>
          <w:color w:val="auto"/>
          <w:szCs w:val="24"/>
          <w:highlight w:val="none"/>
        </w:rPr>
        <w:fldChar w:fldCharType="begin"/>
      </w:r>
      <w:r>
        <w:rPr>
          <w:rFonts w:ascii="黑体" w:hAnsi="黑体" w:eastAsia="黑体"/>
          <w:color w:val="auto"/>
          <w:szCs w:val="24"/>
          <w:highlight w:val="none"/>
        </w:rPr>
        <w:instrText xml:space="preserve"> HYPERLINK \l _Toc18669 </w:instrText>
      </w:r>
      <w:r>
        <w:rPr>
          <w:rFonts w:ascii="黑体" w:hAnsi="黑体" w:eastAsia="黑体"/>
          <w:color w:val="auto"/>
          <w:szCs w:val="24"/>
          <w:highlight w:val="none"/>
        </w:rPr>
        <w:fldChar w:fldCharType="separate"/>
      </w:r>
      <w:r>
        <w:rPr>
          <w:rFonts w:hint="eastAsia" w:ascii="楷体" w:hAnsi="楷体" w:eastAsia="楷体"/>
          <w:color w:val="auto"/>
          <w:szCs w:val="28"/>
          <w:highlight w:val="none"/>
        </w:rPr>
        <w:t>1</w:t>
      </w:r>
      <w:r>
        <w:rPr>
          <w:rFonts w:ascii="楷体" w:hAnsi="楷体" w:eastAsia="楷体"/>
          <w:color w:val="auto"/>
          <w:szCs w:val="28"/>
          <w:highlight w:val="none"/>
        </w:rPr>
        <w:t>1</w:t>
      </w:r>
      <w:r>
        <w:rPr>
          <w:rFonts w:hint="eastAsia" w:ascii="楷体" w:hAnsi="楷体" w:eastAsia="楷体"/>
          <w:color w:val="auto"/>
          <w:szCs w:val="28"/>
          <w:highlight w:val="none"/>
        </w:rPr>
        <w:t>.投标文件的组成</w:t>
      </w:r>
      <w:r>
        <w:rPr>
          <w:color w:val="auto"/>
          <w:highlight w:val="none"/>
        </w:rPr>
        <w:tab/>
      </w:r>
      <w:r>
        <w:rPr>
          <w:color w:val="auto"/>
          <w:highlight w:val="none"/>
        </w:rPr>
        <w:fldChar w:fldCharType="begin"/>
      </w:r>
      <w:r>
        <w:rPr>
          <w:color w:val="auto"/>
          <w:highlight w:val="none"/>
        </w:rPr>
        <w:instrText xml:space="preserve"> PAGEREF _Toc18669 \h </w:instrText>
      </w:r>
      <w:r>
        <w:rPr>
          <w:color w:val="auto"/>
          <w:highlight w:val="none"/>
        </w:rPr>
        <w:fldChar w:fldCharType="separate"/>
      </w:r>
      <w:r>
        <w:rPr>
          <w:color w:val="auto"/>
          <w:highlight w:val="none"/>
        </w:rPr>
        <w:t>20</w:t>
      </w:r>
      <w:r>
        <w:rPr>
          <w:color w:val="auto"/>
          <w:highlight w:val="none"/>
        </w:rPr>
        <w:fldChar w:fldCharType="end"/>
      </w:r>
      <w:r>
        <w:rPr>
          <w:rFonts w:ascii="黑体" w:hAnsi="黑体" w:eastAsia="黑体"/>
          <w:color w:val="auto"/>
          <w:szCs w:val="24"/>
          <w:highlight w:val="none"/>
        </w:rPr>
        <w:fldChar w:fldCharType="end"/>
      </w:r>
    </w:p>
    <w:p w14:paraId="4C69D0C6">
      <w:pPr>
        <w:pStyle w:val="9"/>
        <w:tabs>
          <w:tab w:val="right" w:leader="dot" w:pos="9026"/>
        </w:tabs>
        <w:rPr>
          <w:color w:val="auto"/>
          <w:highlight w:val="none"/>
        </w:rPr>
      </w:pPr>
      <w:r>
        <w:rPr>
          <w:rFonts w:ascii="黑体" w:hAnsi="黑体" w:eastAsia="黑体"/>
          <w:color w:val="auto"/>
          <w:szCs w:val="24"/>
          <w:highlight w:val="none"/>
        </w:rPr>
        <w:fldChar w:fldCharType="begin"/>
      </w:r>
      <w:r>
        <w:rPr>
          <w:rFonts w:ascii="黑体" w:hAnsi="黑体" w:eastAsia="黑体"/>
          <w:color w:val="auto"/>
          <w:szCs w:val="24"/>
          <w:highlight w:val="none"/>
        </w:rPr>
        <w:instrText xml:space="preserve"> HYPERLINK \l _Toc15909 </w:instrText>
      </w:r>
      <w:r>
        <w:rPr>
          <w:rFonts w:ascii="黑体" w:hAnsi="黑体" w:eastAsia="黑体"/>
          <w:color w:val="auto"/>
          <w:szCs w:val="24"/>
          <w:highlight w:val="none"/>
        </w:rPr>
        <w:fldChar w:fldCharType="separate"/>
      </w:r>
      <w:r>
        <w:rPr>
          <w:rFonts w:hint="eastAsia" w:ascii="楷体" w:hAnsi="楷体" w:eastAsia="楷体"/>
          <w:color w:val="auto"/>
          <w:szCs w:val="28"/>
          <w:highlight w:val="none"/>
        </w:rPr>
        <w:t>1</w:t>
      </w:r>
      <w:r>
        <w:rPr>
          <w:rFonts w:ascii="楷体" w:hAnsi="楷体" w:eastAsia="楷体"/>
          <w:color w:val="auto"/>
          <w:szCs w:val="28"/>
          <w:highlight w:val="none"/>
        </w:rPr>
        <w:t>2</w:t>
      </w:r>
      <w:r>
        <w:rPr>
          <w:rFonts w:hint="eastAsia" w:ascii="楷体" w:hAnsi="楷体" w:eastAsia="楷体"/>
          <w:color w:val="auto"/>
          <w:szCs w:val="28"/>
          <w:highlight w:val="none"/>
        </w:rPr>
        <w:t>.投标报价</w:t>
      </w:r>
      <w:r>
        <w:rPr>
          <w:color w:val="auto"/>
          <w:highlight w:val="none"/>
        </w:rPr>
        <w:tab/>
      </w:r>
      <w:r>
        <w:rPr>
          <w:color w:val="auto"/>
          <w:highlight w:val="none"/>
        </w:rPr>
        <w:fldChar w:fldCharType="begin"/>
      </w:r>
      <w:r>
        <w:rPr>
          <w:color w:val="auto"/>
          <w:highlight w:val="none"/>
        </w:rPr>
        <w:instrText xml:space="preserve"> PAGEREF _Toc15909 \h </w:instrText>
      </w:r>
      <w:r>
        <w:rPr>
          <w:color w:val="auto"/>
          <w:highlight w:val="none"/>
        </w:rPr>
        <w:fldChar w:fldCharType="separate"/>
      </w:r>
      <w:r>
        <w:rPr>
          <w:color w:val="auto"/>
          <w:highlight w:val="none"/>
        </w:rPr>
        <w:t>20</w:t>
      </w:r>
      <w:r>
        <w:rPr>
          <w:color w:val="auto"/>
          <w:highlight w:val="none"/>
        </w:rPr>
        <w:fldChar w:fldCharType="end"/>
      </w:r>
      <w:r>
        <w:rPr>
          <w:rFonts w:ascii="黑体" w:hAnsi="黑体" w:eastAsia="黑体"/>
          <w:color w:val="auto"/>
          <w:szCs w:val="24"/>
          <w:highlight w:val="none"/>
        </w:rPr>
        <w:fldChar w:fldCharType="end"/>
      </w:r>
    </w:p>
    <w:p w14:paraId="65195D87">
      <w:pPr>
        <w:pStyle w:val="9"/>
        <w:tabs>
          <w:tab w:val="right" w:leader="dot" w:pos="9026"/>
        </w:tabs>
        <w:rPr>
          <w:color w:val="auto"/>
          <w:highlight w:val="none"/>
        </w:rPr>
      </w:pPr>
      <w:r>
        <w:rPr>
          <w:rFonts w:ascii="黑体" w:hAnsi="黑体" w:eastAsia="黑体"/>
          <w:color w:val="auto"/>
          <w:szCs w:val="24"/>
          <w:highlight w:val="none"/>
        </w:rPr>
        <w:fldChar w:fldCharType="begin"/>
      </w:r>
      <w:r>
        <w:rPr>
          <w:rFonts w:ascii="黑体" w:hAnsi="黑体" w:eastAsia="黑体"/>
          <w:color w:val="auto"/>
          <w:szCs w:val="24"/>
          <w:highlight w:val="none"/>
        </w:rPr>
        <w:instrText xml:space="preserve"> HYPERLINK \l _Toc29481 </w:instrText>
      </w:r>
      <w:r>
        <w:rPr>
          <w:rFonts w:ascii="黑体" w:hAnsi="黑体" w:eastAsia="黑体"/>
          <w:color w:val="auto"/>
          <w:szCs w:val="24"/>
          <w:highlight w:val="none"/>
        </w:rPr>
        <w:fldChar w:fldCharType="separate"/>
      </w:r>
      <w:r>
        <w:rPr>
          <w:rFonts w:hint="eastAsia" w:ascii="楷体" w:hAnsi="楷体" w:eastAsia="楷体"/>
          <w:color w:val="auto"/>
          <w:szCs w:val="28"/>
          <w:highlight w:val="none"/>
        </w:rPr>
        <w:t>1</w:t>
      </w:r>
      <w:r>
        <w:rPr>
          <w:rFonts w:ascii="楷体" w:hAnsi="楷体" w:eastAsia="楷体"/>
          <w:color w:val="auto"/>
          <w:szCs w:val="28"/>
          <w:highlight w:val="none"/>
        </w:rPr>
        <w:t>3.</w:t>
      </w:r>
      <w:r>
        <w:rPr>
          <w:rFonts w:hint="eastAsia" w:ascii="楷体" w:hAnsi="楷体" w:eastAsia="楷体"/>
          <w:color w:val="auto"/>
          <w:szCs w:val="28"/>
          <w:highlight w:val="none"/>
        </w:rPr>
        <w:t>投标文件格式以及编制要求</w:t>
      </w:r>
      <w:r>
        <w:rPr>
          <w:color w:val="auto"/>
          <w:highlight w:val="none"/>
        </w:rPr>
        <w:tab/>
      </w:r>
      <w:r>
        <w:rPr>
          <w:color w:val="auto"/>
          <w:highlight w:val="none"/>
        </w:rPr>
        <w:fldChar w:fldCharType="begin"/>
      </w:r>
      <w:r>
        <w:rPr>
          <w:color w:val="auto"/>
          <w:highlight w:val="none"/>
        </w:rPr>
        <w:instrText xml:space="preserve"> PAGEREF _Toc29481 \h </w:instrText>
      </w:r>
      <w:r>
        <w:rPr>
          <w:color w:val="auto"/>
          <w:highlight w:val="none"/>
        </w:rPr>
        <w:fldChar w:fldCharType="separate"/>
      </w:r>
      <w:r>
        <w:rPr>
          <w:color w:val="auto"/>
          <w:highlight w:val="none"/>
        </w:rPr>
        <w:t>21</w:t>
      </w:r>
      <w:r>
        <w:rPr>
          <w:color w:val="auto"/>
          <w:highlight w:val="none"/>
        </w:rPr>
        <w:fldChar w:fldCharType="end"/>
      </w:r>
      <w:r>
        <w:rPr>
          <w:rFonts w:ascii="黑体" w:hAnsi="黑体" w:eastAsia="黑体"/>
          <w:color w:val="auto"/>
          <w:szCs w:val="24"/>
          <w:highlight w:val="none"/>
        </w:rPr>
        <w:fldChar w:fldCharType="end"/>
      </w:r>
    </w:p>
    <w:p w14:paraId="4CE81095">
      <w:pPr>
        <w:pStyle w:val="9"/>
        <w:tabs>
          <w:tab w:val="right" w:leader="dot" w:pos="9026"/>
        </w:tabs>
        <w:rPr>
          <w:color w:val="auto"/>
          <w:highlight w:val="none"/>
        </w:rPr>
      </w:pPr>
      <w:r>
        <w:rPr>
          <w:rFonts w:ascii="黑体" w:hAnsi="黑体" w:eastAsia="黑体"/>
          <w:color w:val="auto"/>
          <w:szCs w:val="24"/>
          <w:highlight w:val="none"/>
        </w:rPr>
        <w:fldChar w:fldCharType="begin"/>
      </w:r>
      <w:r>
        <w:rPr>
          <w:rFonts w:ascii="黑体" w:hAnsi="黑体" w:eastAsia="黑体"/>
          <w:color w:val="auto"/>
          <w:szCs w:val="24"/>
          <w:highlight w:val="none"/>
        </w:rPr>
        <w:instrText xml:space="preserve"> HYPERLINK \l _Toc23302 </w:instrText>
      </w:r>
      <w:r>
        <w:rPr>
          <w:rFonts w:ascii="黑体" w:hAnsi="黑体" w:eastAsia="黑体"/>
          <w:color w:val="auto"/>
          <w:szCs w:val="24"/>
          <w:highlight w:val="none"/>
        </w:rPr>
        <w:fldChar w:fldCharType="separate"/>
      </w:r>
      <w:r>
        <w:rPr>
          <w:rFonts w:hint="eastAsia" w:ascii="楷体" w:hAnsi="楷体" w:eastAsia="楷体"/>
          <w:color w:val="auto"/>
          <w:szCs w:val="28"/>
          <w:highlight w:val="none"/>
        </w:rPr>
        <w:t>1</w:t>
      </w:r>
      <w:r>
        <w:rPr>
          <w:rFonts w:ascii="楷体" w:hAnsi="楷体" w:eastAsia="楷体"/>
          <w:color w:val="auto"/>
          <w:szCs w:val="28"/>
          <w:highlight w:val="none"/>
        </w:rPr>
        <w:t>4.</w:t>
      </w:r>
      <w:r>
        <w:rPr>
          <w:rFonts w:hint="eastAsia" w:ascii="楷体" w:hAnsi="楷体" w:eastAsia="楷体"/>
          <w:color w:val="auto"/>
          <w:szCs w:val="28"/>
          <w:highlight w:val="none"/>
        </w:rPr>
        <w:t>投标文件的密封和标记</w:t>
      </w:r>
      <w:r>
        <w:rPr>
          <w:color w:val="auto"/>
          <w:highlight w:val="none"/>
        </w:rPr>
        <w:tab/>
      </w:r>
      <w:r>
        <w:rPr>
          <w:color w:val="auto"/>
          <w:highlight w:val="none"/>
        </w:rPr>
        <w:fldChar w:fldCharType="begin"/>
      </w:r>
      <w:r>
        <w:rPr>
          <w:color w:val="auto"/>
          <w:highlight w:val="none"/>
        </w:rPr>
        <w:instrText xml:space="preserve"> PAGEREF _Toc23302 \h </w:instrText>
      </w:r>
      <w:r>
        <w:rPr>
          <w:color w:val="auto"/>
          <w:highlight w:val="none"/>
        </w:rPr>
        <w:fldChar w:fldCharType="separate"/>
      </w:r>
      <w:r>
        <w:rPr>
          <w:color w:val="auto"/>
          <w:highlight w:val="none"/>
        </w:rPr>
        <w:t>21</w:t>
      </w:r>
      <w:r>
        <w:rPr>
          <w:color w:val="auto"/>
          <w:highlight w:val="none"/>
        </w:rPr>
        <w:fldChar w:fldCharType="end"/>
      </w:r>
      <w:r>
        <w:rPr>
          <w:rFonts w:ascii="黑体" w:hAnsi="黑体" w:eastAsia="黑体"/>
          <w:color w:val="auto"/>
          <w:szCs w:val="24"/>
          <w:highlight w:val="none"/>
        </w:rPr>
        <w:fldChar w:fldCharType="end"/>
      </w:r>
    </w:p>
    <w:p w14:paraId="2E41E28E">
      <w:pPr>
        <w:pStyle w:val="9"/>
        <w:tabs>
          <w:tab w:val="right" w:leader="dot" w:pos="9026"/>
        </w:tabs>
        <w:rPr>
          <w:color w:val="auto"/>
          <w:highlight w:val="none"/>
        </w:rPr>
      </w:pPr>
      <w:r>
        <w:rPr>
          <w:rFonts w:ascii="黑体" w:hAnsi="黑体" w:eastAsia="黑体"/>
          <w:color w:val="auto"/>
          <w:szCs w:val="24"/>
          <w:highlight w:val="none"/>
        </w:rPr>
        <w:fldChar w:fldCharType="begin"/>
      </w:r>
      <w:r>
        <w:rPr>
          <w:rFonts w:ascii="黑体" w:hAnsi="黑体" w:eastAsia="黑体"/>
          <w:color w:val="auto"/>
          <w:szCs w:val="24"/>
          <w:highlight w:val="none"/>
        </w:rPr>
        <w:instrText xml:space="preserve"> HYPERLINK \l _Toc32737 </w:instrText>
      </w:r>
      <w:r>
        <w:rPr>
          <w:rFonts w:ascii="黑体" w:hAnsi="黑体" w:eastAsia="黑体"/>
          <w:color w:val="auto"/>
          <w:szCs w:val="24"/>
          <w:highlight w:val="none"/>
        </w:rPr>
        <w:fldChar w:fldCharType="separate"/>
      </w:r>
      <w:r>
        <w:rPr>
          <w:rFonts w:hint="eastAsia" w:ascii="楷体" w:hAnsi="楷体" w:eastAsia="楷体"/>
          <w:color w:val="auto"/>
          <w:szCs w:val="28"/>
          <w:highlight w:val="none"/>
        </w:rPr>
        <w:t>1</w:t>
      </w:r>
      <w:r>
        <w:rPr>
          <w:rFonts w:ascii="楷体" w:hAnsi="楷体" w:eastAsia="楷体"/>
          <w:color w:val="auto"/>
          <w:szCs w:val="28"/>
          <w:highlight w:val="none"/>
        </w:rPr>
        <w:t>5.</w:t>
      </w:r>
      <w:r>
        <w:rPr>
          <w:rFonts w:hint="eastAsia" w:ascii="楷体" w:hAnsi="楷体" w:eastAsia="楷体"/>
          <w:color w:val="auto"/>
          <w:szCs w:val="28"/>
          <w:highlight w:val="none"/>
        </w:rPr>
        <w:t>投标文件的递交</w:t>
      </w:r>
      <w:r>
        <w:rPr>
          <w:color w:val="auto"/>
          <w:highlight w:val="none"/>
        </w:rPr>
        <w:tab/>
      </w:r>
      <w:r>
        <w:rPr>
          <w:color w:val="auto"/>
          <w:highlight w:val="none"/>
        </w:rPr>
        <w:fldChar w:fldCharType="begin"/>
      </w:r>
      <w:r>
        <w:rPr>
          <w:color w:val="auto"/>
          <w:highlight w:val="none"/>
        </w:rPr>
        <w:instrText xml:space="preserve"> PAGEREF _Toc32737 \h </w:instrText>
      </w:r>
      <w:r>
        <w:rPr>
          <w:color w:val="auto"/>
          <w:highlight w:val="none"/>
        </w:rPr>
        <w:fldChar w:fldCharType="separate"/>
      </w:r>
      <w:r>
        <w:rPr>
          <w:color w:val="auto"/>
          <w:highlight w:val="none"/>
        </w:rPr>
        <w:t>21</w:t>
      </w:r>
      <w:r>
        <w:rPr>
          <w:color w:val="auto"/>
          <w:highlight w:val="none"/>
        </w:rPr>
        <w:fldChar w:fldCharType="end"/>
      </w:r>
      <w:r>
        <w:rPr>
          <w:rFonts w:ascii="黑体" w:hAnsi="黑体" w:eastAsia="黑体"/>
          <w:color w:val="auto"/>
          <w:szCs w:val="24"/>
          <w:highlight w:val="none"/>
        </w:rPr>
        <w:fldChar w:fldCharType="end"/>
      </w:r>
    </w:p>
    <w:p w14:paraId="33B8978B">
      <w:pPr>
        <w:pStyle w:val="9"/>
        <w:tabs>
          <w:tab w:val="right" w:leader="dot" w:pos="9026"/>
        </w:tabs>
        <w:rPr>
          <w:color w:val="auto"/>
          <w:highlight w:val="none"/>
        </w:rPr>
      </w:pPr>
      <w:r>
        <w:rPr>
          <w:rFonts w:ascii="黑体" w:hAnsi="黑体" w:eastAsia="黑体"/>
          <w:color w:val="auto"/>
          <w:szCs w:val="24"/>
          <w:highlight w:val="none"/>
        </w:rPr>
        <w:fldChar w:fldCharType="begin"/>
      </w:r>
      <w:r>
        <w:rPr>
          <w:rFonts w:ascii="黑体" w:hAnsi="黑体" w:eastAsia="黑体"/>
          <w:color w:val="auto"/>
          <w:szCs w:val="24"/>
          <w:highlight w:val="none"/>
        </w:rPr>
        <w:instrText xml:space="preserve"> HYPERLINK \l _Toc26734 </w:instrText>
      </w:r>
      <w:r>
        <w:rPr>
          <w:rFonts w:ascii="黑体" w:hAnsi="黑体" w:eastAsia="黑体"/>
          <w:color w:val="auto"/>
          <w:szCs w:val="24"/>
          <w:highlight w:val="none"/>
        </w:rPr>
        <w:fldChar w:fldCharType="separate"/>
      </w:r>
      <w:r>
        <w:rPr>
          <w:rFonts w:hint="eastAsia" w:ascii="楷体" w:hAnsi="楷体" w:eastAsia="楷体"/>
          <w:color w:val="auto"/>
          <w:szCs w:val="28"/>
          <w:highlight w:val="none"/>
        </w:rPr>
        <w:t>1</w:t>
      </w:r>
      <w:r>
        <w:rPr>
          <w:rFonts w:ascii="楷体" w:hAnsi="楷体" w:eastAsia="楷体"/>
          <w:color w:val="auto"/>
          <w:szCs w:val="28"/>
          <w:highlight w:val="none"/>
        </w:rPr>
        <w:t>6</w:t>
      </w:r>
      <w:r>
        <w:rPr>
          <w:rFonts w:hint="eastAsia" w:ascii="楷体" w:hAnsi="楷体" w:eastAsia="楷体"/>
          <w:color w:val="auto"/>
          <w:szCs w:val="28"/>
          <w:highlight w:val="none"/>
        </w:rPr>
        <w:t>.投标文件的修改与撤回</w:t>
      </w:r>
      <w:r>
        <w:rPr>
          <w:color w:val="auto"/>
          <w:highlight w:val="none"/>
        </w:rPr>
        <w:tab/>
      </w:r>
      <w:r>
        <w:rPr>
          <w:color w:val="auto"/>
          <w:highlight w:val="none"/>
        </w:rPr>
        <w:fldChar w:fldCharType="begin"/>
      </w:r>
      <w:r>
        <w:rPr>
          <w:color w:val="auto"/>
          <w:highlight w:val="none"/>
        </w:rPr>
        <w:instrText xml:space="preserve"> PAGEREF _Toc26734 \h </w:instrText>
      </w:r>
      <w:r>
        <w:rPr>
          <w:color w:val="auto"/>
          <w:highlight w:val="none"/>
        </w:rPr>
        <w:fldChar w:fldCharType="separate"/>
      </w:r>
      <w:r>
        <w:rPr>
          <w:color w:val="auto"/>
          <w:highlight w:val="none"/>
        </w:rPr>
        <w:t>21</w:t>
      </w:r>
      <w:r>
        <w:rPr>
          <w:color w:val="auto"/>
          <w:highlight w:val="none"/>
        </w:rPr>
        <w:fldChar w:fldCharType="end"/>
      </w:r>
      <w:r>
        <w:rPr>
          <w:rFonts w:ascii="黑体" w:hAnsi="黑体" w:eastAsia="黑体"/>
          <w:color w:val="auto"/>
          <w:szCs w:val="24"/>
          <w:highlight w:val="none"/>
        </w:rPr>
        <w:fldChar w:fldCharType="end"/>
      </w:r>
    </w:p>
    <w:p w14:paraId="3C721E6C">
      <w:pPr>
        <w:pStyle w:val="9"/>
        <w:tabs>
          <w:tab w:val="right" w:leader="dot" w:pos="9026"/>
        </w:tabs>
        <w:rPr>
          <w:color w:val="auto"/>
          <w:highlight w:val="none"/>
        </w:rPr>
      </w:pPr>
      <w:r>
        <w:rPr>
          <w:rFonts w:ascii="黑体" w:hAnsi="黑体" w:eastAsia="黑体"/>
          <w:color w:val="auto"/>
          <w:szCs w:val="24"/>
          <w:highlight w:val="none"/>
        </w:rPr>
        <w:fldChar w:fldCharType="begin"/>
      </w:r>
      <w:r>
        <w:rPr>
          <w:rFonts w:ascii="黑体" w:hAnsi="黑体" w:eastAsia="黑体"/>
          <w:color w:val="auto"/>
          <w:szCs w:val="24"/>
          <w:highlight w:val="none"/>
        </w:rPr>
        <w:instrText xml:space="preserve"> HYPERLINK \l _Toc9244 </w:instrText>
      </w:r>
      <w:r>
        <w:rPr>
          <w:rFonts w:ascii="黑体" w:hAnsi="黑体" w:eastAsia="黑体"/>
          <w:color w:val="auto"/>
          <w:szCs w:val="24"/>
          <w:highlight w:val="none"/>
        </w:rPr>
        <w:fldChar w:fldCharType="separate"/>
      </w:r>
      <w:r>
        <w:rPr>
          <w:rFonts w:hint="eastAsia" w:ascii="楷体" w:hAnsi="楷体" w:eastAsia="楷体"/>
          <w:color w:val="auto"/>
          <w:szCs w:val="28"/>
          <w:highlight w:val="none"/>
        </w:rPr>
        <w:t>1</w:t>
      </w:r>
      <w:r>
        <w:rPr>
          <w:rFonts w:ascii="楷体" w:hAnsi="楷体" w:eastAsia="楷体"/>
          <w:color w:val="auto"/>
          <w:szCs w:val="28"/>
          <w:highlight w:val="none"/>
        </w:rPr>
        <w:t>7.</w:t>
      </w:r>
      <w:r>
        <w:rPr>
          <w:rFonts w:hint="eastAsia" w:ascii="楷体" w:hAnsi="楷体" w:eastAsia="楷体"/>
          <w:color w:val="auto"/>
          <w:szCs w:val="28"/>
          <w:highlight w:val="none"/>
        </w:rPr>
        <w:t>投标保证金</w:t>
      </w:r>
      <w:r>
        <w:rPr>
          <w:color w:val="auto"/>
          <w:highlight w:val="none"/>
        </w:rPr>
        <w:tab/>
      </w:r>
      <w:r>
        <w:rPr>
          <w:color w:val="auto"/>
          <w:highlight w:val="none"/>
        </w:rPr>
        <w:fldChar w:fldCharType="begin"/>
      </w:r>
      <w:r>
        <w:rPr>
          <w:color w:val="auto"/>
          <w:highlight w:val="none"/>
        </w:rPr>
        <w:instrText xml:space="preserve"> PAGEREF _Toc9244 \h </w:instrText>
      </w:r>
      <w:r>
        <w:rPr>
          <w:color w:val="auto"/>
          <w:highlight w:val="none"/>
        </w:rPr>
        <w:fldChar w:fldCharType="separate"/>
      </w:r>
      <w:r>
        <w:rPr>
          <w:color w:val="auto"/>
          <w:highlight w:val="none"/>
        </w:rPr>
        <w:t>22</w:t>
      </w:r>
      <w:r>
        <w:rPr>
          <w:color w:val="auto"/>
          <w:highlight w:val="none"/>
        </w:rPr>
        <w:fldChar w:fldCharType="end"/>
      </w:r>
      <w:r>
        <w:rPr>
          <w:rFonts w:ascii="黑体" w:hAnsi="黑体" w:eastAsia="黑体"/>
          <w:color w:val="auto"/>
          <w:szCs w:val="24"/>
          <w:highlight w:val="none"/>
        </w:rPr>
        <w:fldChar w:fldCharType="end"/>
      </w:r>
    </w:p>
    <w:p w14:paraId="3D915CB7">
      <w:pPr>
        <w:pStyle w:val="9"/>
        <w:tabs>
          <w:tab w:val="right" w:leader="dot" w:pos="9026"/>
        </w:tabs>
        <w:rPr>
          <w:color w:val="auto"/>
          <w:highlight w:val="none"/>
        </w:rPr>
      </w:pPr>
      <w:r>
        <w:rPr>
          <w:rFonts w:ascii="黑体" w:hAnsi="黑体" w:eastAsia="黑体"/>
          <w:color w:val="auto"/>
          <w:szCs w:val="24"/>
          <w:highlight w:val="none"/>
        </w:rPr>
        <w:fldChar w:fldCharType="begin"/>
      </w:r>
      <w:r>
        <w:rPr>
          <w:rFonts w:ascii="黑体" w:hAnsi="黑体" w:eastAsia="黑体"/>
          <w:color w:val="auto"/>
          <w:szCs w:val="24"/>
          <w:highlight w:val="none"/>
        </w:rPr>
        <w:instrText xml:space="preserve"> HYPERLINK \l _Toc24840 </w:instrText>
      </w:r>
      <w:r>
        <w:rPr>
          <w:rFonts w:ascii="黑体" w:hAnsi="黑体" w:eastAsia="黑体"/>
          <w:color w:val="auto"/>
          <w:szCs w:val="24"/>
          <w:highlight w:val="none"/>
        </w:rPr>
        <w:fldChar w:fldCharType="separate"/>
      </w:r>
      <w:r>
        <w:rPr>
          <w:rFonts w:hint="eastAsia" w:ascii="楷体" w:hAnsi="楷体" w:eastAsia="楷体"/>
          <w:color w:val="auto"/>
          <w:szCs w:val="28"/>
          <w:highlight w:val="none"/>
        </w:rPr>
        <w:t>18.开标、评标、定标</w:t>
      </w:r>
      <w:r>
        <w:rPr>
          <w:color w:val="auto"/>
          <w:highlight w:val="none"/>
        </w:rPr>
        <w:tab/>
      </w:r>
      <w:r>
        <w:rPr>
          <w:color w:val="auto"/>
          <w:highlight w:val="none"/>
        </w:rPr>
        <w:fldChar w:fldCharType="begin"/>
      </w:r>
      <w:r>
        <w:rPr>
          <w:color w:val="auto"/>
          <w:highlight w:val="none"/>
        </w:rPr>
        <w:instrText xml:space="preserve"> PAGEREF _Toc24840 \h </w:instrText>
      </w:r>
      <w:r>
        <w:rPr>
          <w:color w:val="auto"/>
          <w:highlight w:val="none"/>
        </w:rPr>
        <w:fldChar w:fldCharType="separate"/>
      </w:r>
      <w:r>
        <w:rPr>
          <w:color w:val="auto"/>
          <w:highlight w:val="none"/>
        </w:rPr>
        <w:t>22</w:t>
      </w:r>
      <w:r>
        <w:rPr>
          <w:color w:val="auto"/>
          <w:highlight w:val="none"/>
        </w:rPr>
        <w:fldChar w:fldCharType="end"/>
      </w:r>
      <w:r>
        <w:rPr>
          <w:rFonts w:ascii="黑体" w:hAnsi="黑体" w:eastAsia="黑体"/>
          <w:color w:val="auto"/>
          <w:szCs w:val="24"/>
          <w:highlight w:val="none"/>
        </w:rPr>
        <w:fldChar w:fldCharType="end"/>
      </w:r>
    </w:p>
    <w:p w14:paraId="7ABDECD8">
      <w:pPr>
        <w:pStyle w:val="9"/>
        <w:tabs>
          <w:tab w:val="right" w:leader="dot" w:pos="9026"/>
        </w:tabs>
        <w:rPr>
          <w:color w:val="auto"/>
          <w:highlight w:val="none"/>
        </w:rPr>
      </w:pPr>
      <w:r>
        <w:rPr>
          <w:rFonts w:ascii="黑体" w:hAnsi="黑体" w:eastAsia="黑体"/>
          <w:color w:val="auto"/>
          <w:szCs w:val="24"/>
          <w:highlight w:val="none"/>
        </w:rPr>
        <w:fldChar w:fldCharType="begin"/>
      </w:r>
      <w:r>
        <w:rPr>
          <w:rFonts w:ascii="黑体" w:hAnsi="黑体" w:eastAsia="黑体"/>
          <w:color w:val="auto"/>
          <w:szCs w:val="24"/>
          <w:highlight w:val="none"/>
        </w:rPr>
        <w:instrText xml:space="preserve"> HYPERLINK \l _Toc10897 </w:instrText>
      </w:r>
      <w:r>
        <w:rPr>
          <w:rFonts w:ascii="黑体" w:hAnsi="黑体" w:eastAsia="黑体"/>
          <w:color w:val="auto"/>
          <w:szCs w:val="24"/>
          <w:highlight w:val="none"/>
        </w:rPr>
        <w:fldChar w:fldCharType="separate"/>
      </w:r>
      <w:r>
        <w:rPr>
          <w:rFonts w:hint="eastAsia" w:ascii="楷体" w:hAnsi="楷体" w:eastAsia="楷体"/>
          <w:color w:val="auto"/>
          <w:szCs w:val="28"/>
          <w:highlight w:val="none"/>
        </w:rPr>
        <w:t>19.纪律要求</w:t>
      </w:r>
      <w:r>
        <w:rPr>
          <w:color w:val="auto"/>
          <w:highlight w:val="none"/>
        </w:rPr>
        <w:tab/>
      </w:r>
      <w:r>
        <w:rPr>
          <w:color w:val="auto"/>
          <w:highlight w:val="none"/>
        </w:rPr>
        <w:fldChar w:fldCharType="begin"/>
      </w:r>
      <w:r>
        <w:rPr>
          <w:color w:val="auto"/>
          <w:highlight w:val="none"/>
        </w:rPr>
        <w:instrText xml:space="preserve"> PAGEREF _Toc10897 \h </w:instrText>
      </w:r>
      <w:r>
        <w:rPr>
          <w:color w:val="auto"/>
          <w:highlight w:val="none"/>
        </w:rPr>
        <w:fldChar w:fldCharType="separate"/>
      </w:r>
      <w:r>
        <w:rPr>
          <w:color w:val="auto"/>
          <w:highlight w:val="none"/>
        </w:rPr>
        <w:t>32</w:t>
      </w:r>
      <w:r>
        <w:rPr>
          <w:color w:val="auto"/>
          <w:highlight w:val="none"/>
        </w:rPr>
        <w:fldChar w:fldCharType="end"/>
      </w:r>
      <w:r>
        <w:rPr>
          <w:rFonts w:ascii="黑体" w:hAnsi="黑体" w:eastAsia="黑体"/>
          <w:color w:val="auto"/>
          <w:szCs w:val="24"/>
          <w:highlight w:val="none"/>
        </w:rPr>
        <w:fldChar w:fldCharType="end"/>
      </w:r>
    </w:p>
    <w:p w14:paraId="5A4B02C9">
      <w:pPr>
        <w:pStyle w:val="9"/>
        <w:tabs>
          <w:tab w:val="right" w:leader="dot" w:pos="9026"/>
        </w:tabs>
        <w:rPr>
          <w:color w:val="auto"/>
          <w:highlight w:val="none"/>
        </w:rPr>
      </w:pPr>
      <w:r>
        <w:rPr>
          <w:rFonts w:ascii="黑体" w:hAnsi="黑体" w:eastAsia="黑体"/>
          <w:color w:val="auto"/>
          <w:szCs w:val="24"/>
          <w:highlight w:val="none"/>
        </w:rPr>
        <w:fldChar w:fldCharType="begin"/>
      </w:r>
      <w:r>
        <w:rPr>
          <w:rFonts w:ascii="黑体" w:hAnsi="黑体" w:eastAsia="黑体"/>
          <w:color w:val="auto"/>
          <w:szCs w:val="24"/>
          <w:highlight w:val="none"/>
        </w:rPr>
        <w:instrText xml:space="preserve"> HYPERLINK \l _Toc7295 </w:instrText>
      </w:r>
      <w:r>
        <w:rPr>
          <w:rFonts w:ascii="黑体" w:hAnsi="黑体" w:eastAsia="黑体"/>
          <w:color w:val="auto"/>
          <w:szCs w:val="24"/>
          <w:highlight w:val="none"/>
        </w:rPr>
        <w:fldChar w:fldCharType="separate"/>
      </w:r>
      <w:r>
        <w:rPr>
          <w:rFonts w:hint="eastAsia" w:ascii="楷体" w:hAnsi="楷体" w:eastAsia="楷体"/>
          <w:color w:val="auto"/>
          <w:szCs w:val="28"/>
          <w:highlight w:val="none"/>
        </w:rPr>
        <w:t>20.质疑</w:t>
      </w:r>
      <w:r>
        <w:rPr>
          <w:color w:val="auto"/>
          <w:highlight w:val="none"/>
        </w:rPr>
        <w:tab/>
      </w:r>
      <w:r>
        <w:rPr>
          <w:color w:val="auto"/>
          <w:highlight w:val="none"/>
        </w:rPr>
        <w:fldChar w:fldCharType="begin"/>
      </w:r>
      <w:r>
        <w:rPr>
          <w:color w:val="auto"/>
          <w:highlight w:val="none"/>
        </w:rPr>
        <w:instrText xml:space="preserve"> PAGEREF _Toc7295 \h </w:instrText>
      </w:r>
      <w:r>
        <w:rPr>
          <w:color w:val="auto"/>
          <w:highlight w:val="none"/>
        </w:rPr>
        <w:fldChar w:fldCharType="separate"/>
      </w:r>
      <w:r>
        <w:rPr>
          <w:color w:val="auto"/>
          <w:highlight w:val="none"/>
        </w:rPr>
        <w:t>33</w:t>
      </w:r>
      <w:r>
        <w:rPr>
          <w:color w:val="auto"/>
          <w:highlight w:val="none"/>
        </w:rPr>
        <w:fldChar w:fldCharType="end"/>
      </w:r>
      <w:r>
        <w:rPr>
          <w:rFonts w:ascii="黑体" w:hAnsi="黑体" w:eastAsia="黑体"/>
          <w:color w:val="auto"/>
          <w:szCs w:val="24"/>
          <w:highlight w:val="none"/>
        </w:rPr>
        <w:fldChar w:fldCharType="end"/>
      </w:r>
    </w:p>
    <w:p w14:paraId="7729CFF6">
      <w:pPr>
        <w:pStyle w:val="9"/>
        <w:tabs>
          <w:tab w:val="right" w:leader="dot" w:pos="9026"/>
        </w:tabs>
        <w:rPr>
          <w:color w:val="auto"/>
          <w:highlight w:val="none"/>
        </w:rPr>
      </w:pPr>
      <w:r>
        <w:rPr>
          <w:rFonts w:ascii="黑体" w:hAnsi="黑体" w:eastAsia="黑体"/>
          <w:color w:val="auto"/>
          <w:szCs w:val="24"/>
          <w:highlight w:val="none"/>
        </w:rPr>
        <w:fldChar w:fldCharType="begin"/>
      </w:r>
      <w:r>
        <w:rPr>
          <w:rFonts w:ascii="黑体" w:hAnsi="黑体" w:eastAsia="黑体"/>
          <w:color w:val="auto"/>
          <w:szCs w:val="24"/>
          <w:highlight w:val="none"/>
        </w:rPr>
        <w:instrText xml:space="preserve"> HYPERLINK \l _Toc11466 </w:instrText>
      </w:r>
      <w:r>
        <w:rPr>
          <w:rFonts w:ascii="黑体" w:hAnsi="黑体" w:eastAsia="黑体"/>
          <w:color w:val="auto"/>
          <w:szCs w:val="24"/>
          <w:highlight w:val="none"/>
        </w:rPr>
        <w:fldChar w:fldCharType="separate"/>
      </w:r>
      <w:r>
        <w:rPr>
          <w:rFonts w:hint="eastAsia" w:ascii="楷体" w:hAnsi="楷体" w:eastAsia="楷体"/>
          <w:color w:val="auto"/>
          <w:szCs w:val="28"/>
          <w:highlight w:val="none"/>
        </w:rPr>
        <w:t>21.投诉</w:t>
      </w:r>
      <w:r>
        <w:rPr>
          <w:color w:val="auto"/>
          <w:highlight w:val="none"/>
        </w:rPr>
        <w:tab/>
      </w:r>
      <w:r>
        <w:rPr>
          <w:color w:val="auto"/>
          <w:highlight w:val="none"/>
        </w:rPr>
        <w:fldChar w:fldCharType="begin"/>
      </w:r>
      <w:r>
        <w:rPr>
          <w:color w:val="auto"/>
          <w:highlight w:val="none"/>
        </w:rPr>
        <w:instrText xml:space="preserve"> PAGEREF _Toc11466 \h </w:instrText>
      </w:r>
      <w:r>
        <w:rPr>
          <w:color w:val="auto"/>
          <w:highlight w:val="none"/>
        </w:rPr>
        <w:fldChar w:fldCharType="separate"/>
      </w:r>
      <w:r>
        <w:rPr>
          <w:color w:val="auto"/>
          <w:highlight w:val="none"/>
        </w:rPr>
        <w:t>34</w:t>
      </w:r>
      <w:r>
        <w:rPr>
          <w:color w:val="auto"/>
          <w:highlight w:val="none"/>
        </w:rPr>
        <w:fldChar w:fldCharType="end"/>
      </w:r>
      <w:r>
        <w:rPr>
          <w:rFonts w:ascii="黑体" w:hAnsi="黑体" w:eastAsia="黑体"/>
          <w:color w:val="auto"/>
          <w:szCs w:val="24"/>
          <w:highlight w:val="none"/>
        </w:rPr>
        <w:fldChar w:fldCharType="end"/>
      </w:r>
    </w:p>
    <w:p w14:paraId="5590A93C">
      <w:pPr>
        <w:pStyle w:val="9"/>
        <w:tabs>
          <w:tab w:val="right" w:leader="dot" w:pos="9026"/>
        </w:tabs>
        <w:rPr>
          <w:color w:val="auto"/>
          <w:highlight w:val="none"/>
        </w:rPr>
      </w:pPr>
      <w:r>
        <w:rPr>
          <w:rFonts w:ascii="黑体" w:hAnsi="黑体" w:eastAsia="黑体"/>
          <w:color w:val="auto"/>
          <w:szCs w:val="24"/>
          <w:highlight w:val="none"/>
        </w:rPr>
        <w:fldChar w:fldCharType="begin"/>
      </w:r>
      <w:r>
        <w:rPr>
          <w:rFonts w:ascii="黑体" w:hAnsi="黑体" w:eastAsia="黑体"/>
          <w:color w:val="auto"/>
          <w:szCs w:val="24"/>
          <w:highlight w:val="none"/>
        </w:rPr>
        <w:instrText xml:space="preserve"> HYPERLINK \l _Toc5270 </w:instrText>
      </w:r>
      <w:r>
        <w:rPr>
          <w:rFonts w:ascii="黑体" w:hAnsi="黑体" w:eastAsia="黑体"/>
          <w:color w:val="auto"/>
          <w:szCs w:val="24"/>
          <w:highlight w:val="none"/>
        </w:rPr>
        <w:fldChar w:fldCharType="separate"/>
      </w:r>
      <w:r>
        <w:rPr>
          <w:rFonts w:ascii="楷体" w:hAnsi="楷体" w:eastAsia="楷体"/>
          <w:color w:val="auto"/>
          <w:szCs w:val="28"/>
          <w:highlight w:val="none"/>
        </w:rPr>
        <w:t>2</w:t>
      </w:r>
      <w:r>
        <w:rPr>
          <w:rFonts w:hint="eastAsia" w:ascii="楷体" w:hAnsi="楷体" w:eastAsia="楷体"/>
          <w:color w:val="auto"/>
          <w:szCs w:val="28"/>
          <w:highlight w:val="none"/>
        </w:rPr>
        <w:t>2.其他需补充的内容</w:t>
      </w:r>
      <w:r>
        <w:rPr>
          <w:color w:val="auto"/>
          <w:highlight w:val="none"/>
        </w:rPr>
        <w:tab/>
      </w:r>
      <w:r>
        <w:rPr>
          <w:color w:val="auto"/>
          <w:highlight w:val="none"/>
        </w:rPr>
        <w:fldChar w:fldCharType="begin"/>
      </w:r>
      <w:r>
        <w:rPr>
          <w:color w:val="auto"/>
          <w:highlight w:val="none"/>
        </w:rPr>
        <w:instrText xml:space="preserve"> PAGEREF _Toc5270 \h </w:instrText>
      </w:r>
      <w:r>
        <w:rPr>
          <w:color w:val="auto"/>
          <w:highlight w:val="none"/>
        </w:rPr>
        <w:fldChar w:fldCharType="separate"/>
      </w:r>
      <w:r>
        <w:rPr>
          <w:color w:val="auto"/>
          <w:highlight w:val="none"/>
        </w:rPr>
        <w:t>35</w:t>
      </w:r>
      <w:r>
        <w:rPr>
          <w:color w:val="auto"/>
          <w:highlight w:val="none"/>
        </w:rPr>
        <w:fldChar w:fldCharType="end"/>
      </w:r>
      <w:r>
        <w:rPr>
          <w:rFonts w:ascii="黑体" w:hAnsi="黑体" w:eastAsia="黑体"/>
          <w:color w:val="auto"/>
          <w:szCs w:val="24"/>
          <w:highlight w:val="none"/>
        </w:rPr>
        <w:fldChar w:fldCharType="end"/>
      </w:r>
    </w:p>
    <w:p w14:paraId="7CAD32DB">
      <w:pPr>
        <w:pStyle w:val="13"/>
        <w:tabs>
          <w:tab w:val="right" w:leader="dot" w:pos="9026"/>
        </w:tabs>
        <w:rPr>
          <w:color w:val="auto"/>
          <w:highlight w:val="none"/>
        </w:rPr>
      </w:pPr>
      <w:r>
        <w:rPr>
          <w:rFonts w:ascii="黑体" w:hAnsi="黑体" w:eastAsia="黑体"/>
          <w:color w:val="auto"/>
          <w:szCs w:val="24"/>
          <w:highlight w:val="none"/>
        </w:rPr>
        <w:fldChar w:fldCharType="begin"/>
      </w:r>
      <w:r>
        <w:rPr>
          <w:rFonts w:ascii="黑体" w:hAnsi="黑体" w:eastAsia="黑体"/>
          <w:color w:val="auto"/>
          <w:szCs w:val="24"/>
          <w:highlight w:val="none"/>
        </w:rPr>
        <w:instrText xml:space="preserve"> HYPERLINK \l _Toc29272 </w:instrText>
      </w:r>
      <w:r>
        <w:rPr>
          <w:rFonts w:ascii="黑体" w:hAnsi="黑体" w:eastAsia="黑体"/>
          <w:color w:val="auto"/>
          <w:szCs w:val="24"/>
          <w:highlight w:val="none"/>
        </w:rPr>
        <w:fldChar w:fldCharType="separate"/>
      </w:r>
      <w:r>
        <w:rPr>
          <w:rFonts w:ascii="黑体" w:hAnsi="黑体" w:eastAsia="黑体"/>
          <w:color w:val="auto"/>
          <w:szCs w:val="32"/>
          <w:highlight w:val="none"/>
        </w:rPr>
        <w:t>第</w:t>
      </w:r>
      <w:r>
        <w:rPr>
          <w:rFonts w:hint="eastAsia" w:ascii="黑体" w:hAnsi="黑体" w:eastAsia="黑体"/>
          <w:color w:val="auto"/>
          <w:szCs w:val="32"/>
          <w:highlight w:val="none"/>
        </w:rPr>
        <w:t>三</w:t>
      </w:r>
      <w:r>
        <w:rPr>
          <w:rFonts w:ascii="黑体" w:hAnsi="黑体" w:eastAsia="黑体"/>
          <w:color w:val="auto"/>
          <w:szCs w:val="32"/>
          <w:highlight w:val="none"/>
        </w:rPr>
        <w:t>章</w:t>
      </w:r>
      <w:r>
        <w:rPr>
          <w:rFonts w:hint="eastAsia" w:ascii="黑体" w:hAnsi="黑体" w:eastAsia="黑体"/>
          <w:color w:val="auto"/>
          <w:szCs w:val="32"/>
          <w:highlight w:val="none"/>
        </w:rPr>
        <w:t xml:space="preserve">  采购需求</w:t>
      </w:r>
      <w:r>
        <w:rPr>
          <w:color w:val="auto"/>
          <w:highlight w:val="none"/>
        </w:rPr>
        <w:tab/>
      </w:r>
      <w:r>
        <w:rPr>
          <w:color w:val="auto"/>
          <w:highlight w:val="none"/>
        </w:rPr>
        <w:fldChar w:fldCharType="begin"/>
      </w:r>
      <w:r>
        <w:rPr>
          <w:color w:val="auto"/>
          <w:highlight w:val="none"/>
        </w:rPr>
        <w:instrText xml:space="preserve"> PAGEREF _Toc29272 \h </w:instrText>
      </w:r>
      <w:r>
        <w:rPr>
          <w:color w:val="auto"/>
          <w:highlight w:val="none"/>
        </w:rPr>
        <w:fldChar w:fldCharType="separate"/>
      </w:r>
      <w:r>
        <w:rPr>
          <w:color w:val="auto"/>
          <w:highlight w:val="none"/>
        </w:rPr>
        <w:t>36</w:t>
      </w:r>
      <w:r>
        <w:rPr>
          <w:color w:val="auto"/>
          <w:highlight w:val="none"/>
        </w:rPr>
        <w:fldChar w:fldCharType="end"/>
      </w:r>
      <w:r>
        <w:rPr>
          <w:rFonts w:ascii="黑体" w:hAnsi="黑体" w:eastAsia="黑体"/>
          <w:color w:val="auto"/>
          <w:szCs w:val="24"/>
          <w:highlight w:val="none"/>
        </w:rPr>
        <w:fldChar w:fldCharType="end"/>
      </w:r>
    </w:p>
    <w:p w14:paraId="30045AD5">
      <w:pPr>
        <w:pStyle w:val="9"/>
        <w:tabs>
          <w:tab w:val="right" w:leader="dot" w:pos="9026"/>
        </w:tabs>
        <w:rPr>
          <w:color w:val="auto"/>
          <w:highlight w:val="none"/>
        </w:rPr>
      </w:pPr>
      <w:r>
        <w:rPr>
          <w:rFonts w:ascii="黑体" w:hAnsi="黑体" w:eastAsia="黑体"/>
          <w:color w:val="auto"/>
          <w:szCs w:val="24"/>
          <w:highlight w:val="none"/>
        </w:rPr>
        <w:fldChar w:fldCharType="begin"/>
      </w:r>
      <w:r>
        <w:rPr>
          <w:rFonts w:ascii="黑体" w:hAnsi="黑体" w:eastAsia="黑体"/>
          <w:color w:val="auto"/>
          <w:szCs w:val="24"/>
          <w:highlight w:val="none"/>
        </w:rPr>
        <w:instrText xml:space="preserve"> HYPERLINK \l _Toc15377 </w:instrText>
      </w:r>
      <w:r>
        <w:rPr>
          <w:rFonts w:ascii="黑体" w:hAnsi="黑体" w:eastAsia="黑体"/>
          <w:color w:val="auto"/>
          <w:szCs w:val="24"/>
          <w:highlight w:val="none"/>
        </w:rPr>
        <w:fldChar w:fldCharType="separate"/>
      </w:r>
      <w:r>
        <w:rPr>
          <w:rFonts w:hint="eastAsia" w:ascii="楷体" w:hAnsi="楷体" w:eastAsia="楷体"/>
          <w:color w:val="auto"/>
          <w:szCs w:val="28"/>
          <w:highlight w:val="none"/>
        </w:rPr>
        <w:t>1.项目说明</w:t>
      </w:r>
      <w:r>
        <w:rPr>
          <w:color w:val="auto"/>
          <w:highlight w:val="none"/>
        </w:rPr>
        <w:tab/>
      </w:r>
      <w:r>
        <w:rPr>
          <w:color w:val="auto"/>
          <w:highlight w:val="none"/>
        </w:rPr>
        <w:fldChar w:fldCharType="begin"/>
      </w:r>
      <w:r>
        <w:rPr>
          <w:color w:val="auto"/>
          <w:highlight w:val="none"/>
        </w:rPr>
        <w:instrText xml:space="preserve"> PAGEREF _Toc15377 \h </w:instrText>
      </w:r>
      <w:r>
        <w:rPr>
          <w:color w:val="auto"/>
          <w:highlight w:val="none"/>
        </w:rPr>
        <w:fldChar w:fldCharType="separate"/>
      </w:r>
      <w:r>
        <w:rPr>
          <w:color w:val="auto"/>
          <w:highlight w:val="none"/>
        </w:rPr>
        <w:t>36</w:t>
      </w:r>
      <w:r>
        <w:rPr>
          <w:color w:val="auto"/>
          <w:highlight w:val="none"/>
        </w:rPr>
        <w:fldChar w:fldCharType="end"/>
      </w:r>
      <w:r>
        <w:rPr>
          <w:rFonts w:ascii="黑体" w:hAnsi="黑体" w:eastAsia="黑体"/>
          <w:color w:val="auto"/>
          <w:szCs w:val="24"/>
          <w:highlight w:val="none"/>
        </w:rPr>
        <w:fldChar w:fldCharType="end"/>
      </w:r>
    </w:p>
    <w:p w14:paraId="31145BFF">
      <w:pPr>
        <w:pStyle w:val="9"/>
        <w:tabs>
          <w:tab w:val="right" w:leader="dot" w:pos="9026"/>
        </w:tabs>
        <w:rPr>
          <w:color w:val="auto"/>
          <w:highlight w:val="none"/>
        </w:rPr>
      </w:pPr>
      <w:r>
        <w:rPr>
          <w:rFonts w:ascii="黑体" w:hAnsi="黑体" w:eastAsia="黑体"/>
          <w:color w:val="auto"/>
          <w:szCs w:val="24"/>
          <w:highlight w:val="none"/>
        </w:rPr>
        <w:fldChar w:fldCharType="begin"/>
      </w:r>
      <w:r>
        <w:rPr>
          <w:rFonts w:ascii="黑体" w:hAnsi="黑体" w:eastAsia="黑体"/>
          <w:color w:val="auto"/>
          <w:szCs w:val="24"/>
          <w:highlight w:val="none"/>
        </w:rPr>
        <w:instrText xml:space="preserve"> HYPERLINK \l _Toc3740 </w:instrText>
      </w:r>
      <w:r>
        <w:rPr>
          <w:rFonts w:ascii="黑体" w:hAnsi="黑体" w:eastAsia="黑体"/>
          <w:color w:val="auto"/>
          <w:szCs w:val="24"/>
          <w:highlight w:val="none"/>
        </w:rPr>
        <w:fldChar w:fldCharType="separate"/>
      </w:r>
      <w:r>
        <w:rPr>
          <w:rFonts w:hint="eastAsia" w:ascii="楷体" w:hAnsi="楷体" w:eastAsia="楷体" w:cs="Times New Roman"/>
          <w:color w:val="auto"/>
          <w:szCs w:val="28"/>
          <w:highlight w:val="none"/>
          <w:lang w:val="en-US" w:eastAsia="zh-CN"/>
        </w:rPr>
        <w:t>3. 技术参数</w:t>
      </w:r>
      <w:r>
        <w:rPr>
          <w:color w:val="auto"/>
          <w:highlight w:val="none"/>
        </w:rPr>
        <w:tab/>
      </w:r>
      <w:r>
        <w:rPr>
          <w:color w:val="auto"/>
          <w:highlight w:val="none"/>
        </w:rPr>
        <w:fldChar w:fldCharType="begin"/>
      </w:r>
      <w:r>
        <w:rPr>
          <w:color w:val="auto"/>
          <w:highlight w:val="none"/>
        </w:rPr>
        <w:instrText xml:space="preserve"> PAGEREF _Toc3740 \h </w:instrText>
      </w:r>
      <w:r>
        <w:rPr>
          <w:color w:val="auto"/>
          <w:highlight w:val="none"/>
        </w:rPr>
        <w:fldChar w:fldCharType="separate"/>
      </w:r>
      <w:r>
        <w:rPr>
          <w:color w:val="auto"/>
          <w:highlight w:val="none"/>
        </w:rPr>
        <w:t>37</w:t>
      </w:r>
      <w:r>
        <w:rPr>
          <w:color w:val="auto"/>
          <w:highlight w:val="none"/>
        </w:rPr>
        <w:fldChar w:fldCharType="end"/>
      </w:r>
      <w:r>
        <w:rPr>
          <w:rFonts w:ascii="黑体" w:hAnsi="黑体" w:eastAsia="黑体"/>
          <w:color w:val="auto"/>
          <w:szCs w:val="24"/>
          <w:highlight w:val="none"/>
        </w:rPr>
        <w:fldChar w:fldCharType="end"/>
      </w:r>
    </w:p>
    <w:p w14:paraId="61AF20C8">
      <w:pPr>
        <w:pStyle w:val="9"/>
        <w:tabs>
          <w:tab w:val="right" w:leader="dot" w:pos="9026"/>
        </w:tabs>
        <w:rPr>
          <w:color w:val="auto"/>
          <w:highlight w:val="none"/>
        </w:rPr>
      </w:pPr>
      <w:r>
        <w:rPr>
          <w:rFonts w:ascii="黑体" w:hAnsi="黑体" w:eastAsia="黑体"/>
          <w:color w:val="auto"/>
          <w:szCs w:val="24"/>
          <w:highlight w:val="none"/>
        </w:rPr>
        <w:fldChar w:fldCharType="begin"/>
      </w:r>
      <w:r>
        <w:rPr>
          <w:rFonts w:ascii="黑体" w:hAnsi="黑体" w:eastAsia="黑体"/>
          <w:color w:val="auto"/>
          <w:szCs w:val="24"/>
          <w:highlight w:val="none"/>
        </w:rPr>
        <w:instrText xml:space="preserve"> HYPERLINK \l _Toc23029 </w:instrText>
      </w:r>
      <w:r>
        <w:rPr>
          <w:rFonts w:ascii="黑体" w:hAnsi="黑体" w:eastAsia="黑体"/>
          <w:color w:val="auto"/>
          <w:szCs w:val="24"/>
          <w:highlight w:val="none"/>
        </w:rPr>
        <w:fldChar w:fldCharType="separate"/>
      </w:r>
      <w:r>
        <w:rPr>
          <w:rFonts w:hint="eastAsia" w:ascii="楷体" w:hAnsi="楷体" w:eastAsia="楷体"/>
          <w:color w:val="auto"/>
          <w:szCs w:val="28"/>
          <w:highlight w:val="none"/>
          <w:lang w:val="en-US" w:eastAsia="zh-CN"/>
        </w:rPr>
        <w:t>4.商务条件（不允许负偏离）</w:t>
      </w:r>
      <w:r>
        <w:rPr>
          <w:color w:val="auto"/>
          <w:highlight w:val="none"/>
        </w:rPr>
        <w:tab/>
      </w:r>
      <w:r>
        <w:rPr>
          <w:color w:val="auto"/>
          <w:highlight w:val="none"/>
        </w:rPr>
        <w:fldChar w:fldCharType="begin"/>
      </w:r>
      <w:r>
        <w:rPr>
          <w:color w:val="auto"/>
          <w:highlight w:val="none"/>
        </w:rPr>
        <w:instrText xml:space="preserve"> PAGEREF _Toc23029 \h </w:instrText>
      </w:r>
      <w:r>
        <w:rPr>
          <w:color w:val="auto"/>
          <w:highlight w:val="none"/>
        </w:rPr>
        <w:fldChar w:fldCharType="separate"/>
      </w:r>
      <w:r>
        <w:rPr>
          <w:color w:val="auto"/>
          <w:highlight w:val="none"/>
        </w:rPr>
        <w:t>40</w:t>
      </w:r>
      <w:r>
        <w:rPr>
          <w:color w:val="auto"/>
          <w:highlight w:val="none"/>
        </w:rPr>
        <w:fldChar w:fldCharType="end"/>
      </w:r>
      <w:r>
        <w:rPr>
          <w:rFonts w:ascii="黑体" w:hAnsi="黑体" w:eastAsia="黑体"/>
          <w:color w:val="auto"/>
          <w:szCs w:val="24"/>
          <w:highlight w:val="none"/>
        </w:rPr>
        <w:fldChar w:fldCharType="end"/>
      </w:r>
    </w:p>
    <w:p w14:paraId="62EAC414">
      <w:pPr>
        <w:pStyle w:val="13"/>
        <w:tabs>
          <w:tab w:val="right" w:leader="dot" w:pos="9026"/>
        </w:tabs>
        <w:rPr>
          <w:color w:val="auto"/>
          <w:highlight w:val="none"/>
        </w:rPr>
      </w:pPr>
      <w:r>
        <w:rPr>
          <w:rFonts w:ascii="黑体" w:hAnsi="黑体" w:eastAsia="黑体"/>
          <w:color w:val="auto"/>
          <w:szCs w:val="24"/>
          <w:highlight w:val="none"/>
        </w:rPr>
        <w:fldChar w:fldCharType="begin"/>
      </w:r>
      <w:r>
        <w:rPr>
          <w:rFonts w:ascii="黑体" w:hAnsi="黑体" w:eastAsia="黑体"/>
          <w:color w:val="auto"/>
          <w:szCs w:val="24"/>
          <w:highlight w:val="none"/>
        </w:rPr>
        <w:instrText xml:space="preserve"> HYPERLINK \l _Toc28091 </w:instrText>
      </w:r>
      <w:r>
        <w:rPr>
          <w:rFonts w:ascii="黑体" w:hAnsi="黑体" w:eastAsia="黑体"/>
          <w:color w:val="auto"/>
          <w:szCs w:val="24"/>
          <w:highlight w:val="none"/>
        </w:rPr>
        <w:fldChar w:fldCharType="separate"/>
      </w:r>
      <w:r>
        <w:rPr>
          <w:rFonts w:ascii="黑体" w:hAnsi="黑体" w:eastAsia="黑体"/>
          <w:color w:val="auto"/>
          <w:szCs w:val="32"/>
          <w:highlight w:val="none"/>
        </w:rPr>
        <w:t>第</w:t>
      </w:r>
      <w:r>
        <w:rPr>
          <w:rFonts w:hint="eastAsia" w:ascii="黑体" w:hAnsi="黑体" w:eastAsia="黑体"/>
          <w:color w:val="auto"/>
          <w:szCs w:val="32"/>
          <w:highlight w:val="none"/>
        </w:rPr>
        <w:t>四</w:t>
      </w:r>
      <w:r>
        <w:rPr>
          <w:rFonts w:ascii="黑体" w:hAnsi="黑体" w:eastAsia="黑体"/>
          <w:color w:val="auto"/>
          <w:szCs w:val="32"/>
          <w:highlight w:val="none"/>
        </w:rPr>
        <w:t>章</w:t>
      </w:r>
      <w:r>
        <w:rPr>
          <w:rFonts w:hint="eastAsia" w:ascii="黑体" w:hAnsi="黑体" w:eastAsia="黑体"/>
          <w:color w:val="auto"/>
          <w:szCs w:val="32"/>
          <w:highlight w:val="none"/>
        </w:rPr>
        <w:t xml:space="preserve">  评标办法</w:t>
      </w:r>
      <w:r>
        <w:rPr>
          <w:color w:val="auto"/>
          <w:highlight w:val="none"/>
        </w:rPr>
        <w:tab/>
      </w:r>
      <w:r>
        <w:rPr>
          <w:color w:val="auto"/>
          <w:highlight w:val="none"/>
        </w:rPr>
        <w:fldChar w:fldCharType="begin"/>
      </w:r>
      <w:r>
        <w:rPr>
          <w:color w:val="auto"/>
          <w:highlight w:val="none"/>
        </w:rPr>
        <w:instrText xml:space="preserve"> PAGEREF _Toc28091 \h </w:instrText>
      </w:r>
      <w:r>
        <w:rPr>
          <w:color w:val="auto"/>
          <w:highlight w:val="none"/>
        </w:rPr>
        <w:fldChar w:fldCharType="separate"/>
      </w:r>
      <w:r>
        <w:rPr>
          <w:color w:val="auto"/>
          <w:highlight w:val="none"/>
        </w:rPr>
        <w:t>42</w:t>
      </w:r>
      <w:r>
        <w:rPr>
          <w:color w:val="auto"/>
          <w:highlight w:val="none"/>
        </w:rPr>
        <w:fldChar w:fldCharType="end"/>
      </w:r>
      <w:r>
        <w:rPr>
          <w:rFonts w:ascii="黑体" w:hAnsi="黑体" w:eastAsia="黑体"/>
          <w:color w:val="auto"/>
          <w:szCs w:val="24"/>
          <w:highlight w:val="none"/>
        </w:rPr>
        <w:fldChar w:fldCharType="end"/>
      </w:r>
    </w:p>
    <w:p w14:paraId="3663631D">
      <w:pPr>
        <w:pStyle w:val="9"/>
        <w:tabs>
          <w:tab w:val="right" w:leader="dot" w:pos="9026"/>
        </w:tabs>
        <w:rPr>
          <w:color w:val="auto"/>
          <w:highlight w:val="none"/>
        </w:rPr>
      </w:pPr>
      <w:r>
        <w:rPr>
          <w:rFonts w:ascii="黑体" w:hAnsi="黑体" w:eastAsia="黑体"/>
          <w:color w:val="auto"/>
          <w:szCs w:val="24"/>
          <w:highlight w:val="none"/>
        </w:rPr>
        <w:fldChar w:fldCharType="begin"/>
      </w:r>
      <w:r>
        <w:rPr>
          <w:rFonts w:ascii="黑体" w:hAnsi="黑体" w:eastAsia="黑体"/>
          <w:color w:val="auto"/>
          <w:szCs w:val="24"/>
          <w:highlight w:val="none"/>
        </w:rPr>
        <w:instrText xml:space="preserve"> HYPERLINK \l _Toc2393 </w:instrText>
      </w:r>
      <w:r>
        <w:rPr>
          <w:rFonts w:ascii="黑体" w:hAnsi="黑体" w:eastAsia="黑体"/>
          <w:color w:val="auto"/>
          <w:szCs w:val="24"/>
          <w:highlight w:val="none"/>
        </w:rPr>
        <w:fldChar w:fldCharType="separate"/>
      </w:r>
      <w:r>
        <w:rPr>
          <w:rFonts w:hint="eastAsia" w:ascii="楷体" w:hAnsi="楷体" w:eastAsia="楷体"/>
          <w:color w:val="auto"/>
          <w:szCs w:val="28"/>
          <w:highlight w:val="none"/>
        </w:rPr>
        <w:t>1.相关要求</w:t>
      </w:r>
      <w:r>
        <w:rPr>
          <w:color w:val="auto"/>
          <w:highlight w:val="none"/>
        </w:rPr>
        <w:tab/>
      </w:r>
      <w:r>
        <w:rPr>
          <w:color w:val="auto"/>
          <w:highlight w:val="none"/>
        </w:rPr>
        <w:fldChar w:fldCharType="begin"/>
      </w:r>
      <w:r>
        <w:rPr>
          <w:color w:val="auto"/>
          <w:highlight w:val="none"/>
        </w:rPr>
        <w:instrText xml:space="preserve"> PAGEREF _Toc2393 \h </w:instrText>
      </w:r>
      <w:r>
        <w:rPr>
          <w:color w:val="auto"/>
          <w:highlight w:val="none"/>
        </w:rPr>
        <w:fldChar w:fldCharType="separate"/>
      </w:r>
      <w:r>
        <w:rPr>
          <w:color w:val="auto"/>
          <w:highlight w:val="none"/>
        </w:rPr>
        <w:t>42</w:t>
      </w:r>
      <w:r>
        <w:rPr>
          <w:color w:val="auto"/>
          <w:highlight w:val="none"/>
        </w:rPr>
        <w:fldChar w:fldCharType="end"/>
      </w:r>
      <w:r>
        <w:rPr>
          <w:rFonts w:ascii="黑体" w:hAnsi="黑体" w:eastAsia="黑体"/>
          <w:color w:val="auto"/>
          <w:szCs w:val="24"/>
          <w:highlight w:val="none"/>
        </w:rPr>
        <w:fldChar w:fldCharType="end"/>
      </w:r>
    </w:p>
    <w:p w14:paraId="5CAB89BF">
      <w:pPr>
        <w:pStyle w:val="9"/>
        <w:tabs>
          <w:tab w:val="right" w:leader="dot" w:pos="9026"/>
        </w:tabs>
        <w:rPr>
          <w:color w:val="auto"/>
          <w:highlight w:val="none"/>
        </w:rPr>
      </w:pPr>
      <w:r>
        <w:rPr>
          <w:rFonts w:ascii="黑体" w:hAnsi="黑体" w:eastAsia="黑体"/>
          <w:color w:val="auto"/>
          <w:szCs w:val="24"/>
          <w:highlight w:val="none"/>
        </w:rPr>
        <w:fldChar w:fldCharType="begin"/>
      </w:r>
      <w:r>
        <w:rPr>
          <w:rFonts w:ascii="黑体" w:hAnsi="黑体" w:eastAsia="黑体"/>
          <w:color w:val="auto"/>
          <w:szCs w:val="24"/>
          <w:highlight w:val="none"/>
        </w:rPr>
        <w:instrText xml:space="preserve"> HYPERLINK \l _Toc17055 </w:instrText>
      </w:r>
      <w:r>
        <w:rPr>
          <w:rFonts w:ascii="黑体" w:hAnsi="黑体" w:eastAsia="黑体"/>
          <w:color w:val="auto"/>
          <w:szCs w:val="24"/>
          <w:highlight w:val="none"/>
        </w:rPr>
        <w:fldChar w:fldCharType="separate"/>
      </w:r>
      <w:r>
        <w:rPr>
          <w:rFonts w:hint="eastAsia" w:ascii="楷体" w:hAnsi="楷体" w:eastAsia="楷体"/>
          <w:color w:val="auto"/>
          <w:szCs w:val="28"/>
          <w:highlight w:val="none"/>
        </w:rPr>
        <w:t>2.评标附表</w:t>
      </w:r>
      <w:r>
        <w:rPr>
          <w:color w:val="auto"/>
          <w:highlight w:val="none"/>
        </w:rPr>
        <w:tab/>
      </w:r>
      <w:r>
        <w:rPr>
          <w:color w:val="auto"/>
          <w:highlight w:val="none"/>
        </w:rPr>
        <w:fldChar w:fldCharType="begin"/>
      </w:r>
      <w:r>
        <w:rPr>
          <w:color w:val="auto"/>
          <w:highlight w:val="none"/>
        </w:rPr>
        <w:instrText xml:space="preserve"> PAGEREF _Toc17055 \h </w:instrText>
      </w:r>
      <w:r>
        <w:rPr>
          <w:color w:val="auto"/>
          <w:highlight w:val="none"/>
        </w:rPr>
        <w:fldChar w:fldCharType="separate"/>
      </w:r>
      <w:r>
        <w:rPr>
          <w:color w:val="auto"/>
          <w:highlight w:val="none"/>
        </w:rPr>
        <w:t>42</w:t>
      </w:r>
      <w:r>
        <w:rPr>
          <w:color w:val="auto"/>
          <w:highlight w:val="none"/>
        </w:rPr>
        <w:fldChar w:fldCharType="end"/>
      </w:r>
      <w:r>
        <w:rPr>
          <w:rFonts w:ascii="黑体" w:hAnsi="黑体" w:eastAsia="黑体"/>
          <w:color w:val="auto"/>
          <w:szCs w:val="24"/>
          <w:highlight w:val="none"/>
        </w:rPr>
        <w:fldChar w:fldCharType="end"/>
      </w:r>
    </w:p>
    <w:p w14:paraId="0FA15270">
      <w:pPr>
        <w:pStyle w:val="9"/>
        <w:tabs>
          <w:tab w:val="right" w:leader="dot" w:pos="9026"/>
        </w:tabs>
        <w:rPr>
          <w:color w:val="auto"/>
          <w:highlight w:val="none"/>
        </w:rPr>
      </w:pPr>
      <w:r>
        <w:rPr>
          <w:rFonts w:ascii="黑体" w:hAnsi="黑体" w:eastAsia="黑体"/>
          <w:color w:val="auto"/>
          <w:szCs w:val="24"/>
          <w:highlight w:val="none"/>
        </w:rPr>
        <w:fldChar w:fldCharType="begin"/>
      </w:r>
      <w:r>
        <w:rPr>
          <w:rFonts w:ascii="黑体" w:hAnsi="黑体" w:eastAsia="黑体"/>
          <w:color w:val="auto"/>
          <w:szCs w:val="24"/>
          <w:highlight w:val="none"/>
        </w:rPr>
        <w:instrText xml:space="preserve"> HYPERLINK \l _Toc32665 </w:instrText>
      </w:r>
      <w:r>
        <w:rPr>
          <w:rFonts w:ascii="黑体" w:hAnsi="黑体" w:eastAsia="黑体"/>
          <w:color w:val="auto"/>
          <w:szCs w:val="24"/>
          <w:highlight w:val="none"/>
        </w:rPr>
        <w:fldChar w:fldCharType="separate"/>
      </w:r>
      <w:r>
        <w:rPr>
          <w:rFonts w:hint="eastAsia" w:ascii="楷体" w:hAnsi="楷体" w:eastAsia="楷体"/>
          <w:color w:val="auto"/>
          <w:szCs w:val="28"/>
          <w:highlight w:val="none"/>
          <w:lang w:val="en-US" w:eastAsia="zh-CN"/>
        </w:rPr>
        <w:t>3</w:t>
      </w:r>
      <w:r>
        <w:rPr>
          <w:rFonts w:hint="eastAsia" w:ascii="楷体" w:hAnsi="楷体" w:eastAsia="楷体"/>
          <w:color w:val="auto"/>
          <w:szCs w:val="28"/>
          <w:highlight w:val="none"/>
        </w:rPr>
        <w:t>.评标方法</w:t>
      </w:r>
      <w:r>
        <w:rPr>
          <w:color w:val="auto"/>
          <w:highlight w:val="none"/>
        </w:rPr>
        <w:tab/>
      </w:r>
      <w:r>
        <w:rPr>
          <w:color w:val="auto"/>
          <w:highlight w:val="none"/>
        </w:rPr>
        <w:fldChar w:fldCharType="begin"/>
      </w:r>
      <w:r>
        <w:rPr>
          <w:color w:val="auto"/>
          <w:highlight w:val="none"/>
        </w:rPr>
        <w:instrText xml:space="preserve"> PAGEREF _Toc32665 \h </w:instrText>
      </w:r>
      <w:r>
        <w:rPr>
          <w:color w:val="auto"/>
          <w:highlight w:val="none"/>
        </w:rPr>
        <w:fldChar w:fldCharType="separate"/>
      </w:r>
      <w:r>
        <w:rPr>
          <w:color w:val="auto"/>
          <w:highlight w:val="none"/>
        </w:rPr>
        <w:t>44</w:t>
      </w:r>
      <w:r>
        <w:rPr>
          <w:color w:val="auto"/>
          <w:highlight w:val="none"/>
        </w:rPr>
        <w:fldChar w:fldCharType="end"/>
      </w:r>
      <w:r>
        <w:rPr>
          <w:rFonts w:ascii="黑体" w:hAnsi="黑体" w:eastAsia="黑体"/>
          <w:color w:val="auto"/>
          <w:szCs w:val="24"/>
          <w:highlight w:val="none"/>
        </w:rPr>
        <w:fldChar w:fldCharType="end"/>
      </w:r>
    </w:p>
    <w:p w14:paraId="5C0C35AB">
      <w:pPr>
        <w:pStyle w:val="13"/>
        <w:tabs>
          <w:tab w:val="right" w:leader="dot" w:pos="9026"/>
        </w:tabs>
        <w:rPr>
          <w:color w:val="auto"/>
          <w:highlight w:val="none"/>
        </w:rPr>
      </w:pPr>
      <w:r>
        <w:rPr>
          <w:rFonts w:ascii="黑体" w:hAnsi="黑体" w:eastAsia="黑体"/>
          <w:color w:val="auto"/>
          <w:szCs w:val="24"/>
          <w:highlight w:val="none"/>
        </w:rPr>
        <w:fldChar w:fldCharType="begin"/>
      </w:r>
      <w:r>
        <w:rPr>
          <w:rFonts w:ascii="黑体" w:hAnsi="黑体" w:eastAsia="黑体"/>
          <w:color w:val="auto"/>
          <w:szCs w:val="24"/>
          <w:highlight w:val="none"/>
        </w:rPr>
        <w:instrText xml:space="preserve"> HYPERLINK \l _Toc9912 </w:instrText>
      </w:r>
      <w:r>
        <w:rPr>
          <w:rFonts w:ascii="黑体" w:hAnsi="黑体" w:eastAsia="黑体"/>
          <w:color w:val="auto"/>
          <w:szCs w:val="24"/>
          <w:highlight w:val="none"/>
        </w:rPr>
        <w:fldChar w:fldCharType="separate"/>
      </w:r>
      <w:r>
        <w:rPr>
          <w:rFonts w:ascii="黑体" w:hAnsi="黑体" w:eastAsia="黑体"/>
          <w:color w:val="auto"/>
          <w:szCs w:val="32"/>
          <w:highlight w:val="none"/>
        </w:rPr>
        <w:t>第</w:t>
      </w:r>
      <w:r>
        <w:rPr>
          <w:rFonts w:hint="eastAsia" w:ascii="黑体" w:hAnsi="黑体" w:eastAsia="黑体"/>
          <w:color w:val="auto"/>
          <w:szCs w:val="32"/>
          <w:highlight w:val="none"/>
        </w:rPr>
        <w:t>五</w:t>
      </w:r>
      <w:r>
        <w:rPr>
          <w:rFonts w:ascii="黑体" w:hAnsi="黑体" w:eastAsia="黑体"/>
          <w:color w:val="auto"/>
          <w:szCs w:val="32"/>
          <w:highlight w:val="none"/>
        </w:rPr>
        <w:t>章</w:t>
      </w:r>
      <w:r>
        <w:rPr>
          <w:rFonts w:hint="eastAsia" w:ascii="黑体" w:hAnsi="黑体" w:eastAsia="黑体"/>
          <w:color w:val="auto"/>
          <w:szCs w:val="32"/>
          <w:highlight w:val="none"/>
        </w:rPr>
        <w:t xml:space="preserve">  签订合同、合同主要条款</w:t>
      </w:r>
      <w:r>
        <w:rPr>
          <w:rFonts w:hint="eastAsia" w:ascii="黑体" w:hAnsi="黑体" w:eastAsia="黑体"/>
          <w:color w:val="auto"/>
          <w:szCs w:val="32"/>
          <w:highlight w:val="none"/>
          <w:lang w:val="en-US" w:eastAsia="zh-CN"/>
        </w:rPr>
        <w:t>(参考）</w:t>
      </w:r>
      <w:r>
        <w:rPr>
          <w:color w:val="auto"/>
          <w:highlight w:val="none"/>
        </w:rPr>
        <w:tab/>
      </w:r>
      <w:r>
        <w:rPr>
          <w:color w:val="auto"/>
          <w:highlight w:val="none"/>
        </w:rPr>
        <w:fldChar w:fldCharType="begin"/>
      </w:r>
      <w:r>
        <w:rPr>
          <w:color w:val="auto"/>
          <w:highlight w:val="none"/>
        </w:rPr>
        <w:instrText xml:space="preserve"> PAGEREF _Toc9912 \h </w:instrText>
      </w:r>
      <w:r>
        <w:rPr>
          <w:color w:val="auto"/>
          <w:highlight w:val="none"/>
        </w:rPr>
        <w:fldChar w:fldCharType="separate"/>
      </w:r>
      <w:r>
        <w:rPr>
          <w:color w:val="auto"/>
          <w:highlight w:val="none"/>
        </w:rPr>
        <w:t>- 46 -</w:t>
      </w:r>
      <w:r>
        <w:rPr>
          <w:color w:val="auto"/>
          <w:highlight w:val="none"/>
        </w:rPr>
        <w:fldChar w:fldCharType="end"/>
      </w:r>
      <w:r>
        <w:rPr>
          <w:rFonts w:ascii="黑体" w:hAnsi="黑体" w:eastAsia="黑体"/>
          <w:color w:val="auto"/>
          <w:szCs w:val="24"/>
          <w:highlight w:val="none"/>
        </w:rPr>
        <w:fldChar w:fldCharType="end"/>
      </w:r>
    </w:p>
    <w:p w14:paraId="68181914">
      <w:pPr>
        <w:pStyle w:val="13"/>
        <w:tabs>
          <w:tab w:val="right" w:leader="dot" w:pos="9026"/>
        </w:tabs>
        <w:rPr>
          <w:color w:val="auto"/>
          <w:highlight w:val="none"/>
        </w:rPr>
      </w:pPr>
      <w:r>
        <w:rPr>
          <w:rFonts w:ascii="黑体" w:hAnsi="黑体" w:eastAsia="黑体"/>
          <w:color w:val="auto"/>
          <w:szCs w:val="24"/>
          <w:highlight w:val="none"/>
        </w:rPr>
        <w:fldChar w:fldCharType="begin"/>
      </w:r>
      <w:r>
        <w:rPr>
          <w:rFonts w:ascii="黑体" w:hAnsi="黑体" w:eastAsia="黑体"/>
          <w:color w:val="auto"/>
          <w:szCs w:val="24"/>
          <w:highlight w:val="none"/>
        </w:rPr>
        <w:instrText xml:space="preserve"> HYPERLINK \l _Toc18721 </w:instrText>
      </w:r>
      <w:r>
        <w:rPr>
          <w:rFonts w:ascii="黑体" w:hAnsi="黑体" w:eastAsia="黑体"/>
          <w:color w:val="auto"/>
          <w:szCs w:val="24"/>
          <w:highlight w:val="none"/>
        </w:rPr>
        <w:fldChar w:fldCharType="separate"/>
      </w:r>
      <w:r>
        <w:rPr>
          <w:rFonts w:ascii="黑体" w:hAnsi="黑体" w:eastAsia="黑体" w:cs="Times New Roman"/>
          <w:color w:val="auto"/>
          <w:szCs w:val="32"/>
          <w:highlight w:val="none"/>
        </w:rPr>
        <w:t>第</w:t>
      </w:r>
      <w:r>
        <w:rPr>
          <w:rFonts w:hint="eastAsia" w:ascii="黑体" w:hAnsi="黑体" w:eastAsia="黑体" w:cs="Times New Roman"/>
          <w:color w:val="auto"/>
          <w:szCs w:val="32"/>
          <w:highlight w:val="none"/>
        </w:rPr>
        <w:t>六</w:t>
      </w:r>
      <w:r>
        <w:rPr>
          <w:rFonts w:ascii="黑体" w:hAnsi="黑体" w:eastAsia="黑体" w:cs="Times New Roman"/>
          <w:color w:val="auto"/>
          <w:szCs w:val="32"/>
          <w:highlight w:val="none"/>
        </w:rPr>
        <w:t>章</w:t>
      </w:r>
      <w:r>
        <w:rPr>
          <w:rFonts w:hint="eastAsia" w:ascii="黑体" w:hAnsi="黑体" w:eastAsia="黑体" w:cs="Times New Roman"/>
          <w:color w:val="auto"/>
          <w:szCs w:val="32"/>
          <w:highlight w:val="none"/>
        </w:rPr>
        <w:t xml:space="preserve">  投标文件格式</w:t>
      </w:r>
      <w:r>
        <w:rPr>
          <w:color w:val="auto"/>
          <w:highlight w:val="none"/>
        </w:rPr>
        <w:tab/>
      </w:r>
      <w:r>
        <w:rPr>
          <w:color w:val="auto"/>
          <w:highlight w:val="none"/>
        </w:rPr>
        <w:fldChar w:fldCharType="begin"/>
      </w:r>
      <w:r>
        <w:rPr>
          <w:color w:val="auto"/>
          <w:highlight w:val="none"/>
        </w:rPr>
        <w:instrText xml:space="preserve"> PAGEREF _Toc18721 \h </w:instrText>
      </w:r>
      <w:r>
        <w:rPr>
          <w:color w:val="auto"/>
          <w:highlight w:val="none"/>
        </w:rPr>
        <w:fldChar w:fldCharType="separate"/>
      </w:r>
      <w:r>
        <w:rPr>
          <w:color w:val="auto"/>
          <w:highlight w:val="none"/>
        </w:rPr>
        <w:t>67</w:t>
      </w:r>
      <w:r>
        <w:rPr>
          <w:color w:val="auto"/>
          <w:highlight w:val="none"/>
        </w:rPr>
        <w:fldChar w:fldCharType="end"/>
      </w:r>
      <w:r>
        <w:rPr>
          <w:rFonts w:ascii="黑体" w:hAnsi="黑体" w:eastAsia="黑体"/>
          <w:color w:val="auto"/>
          <w:szCs w:val="24"/>
          <w:highlight w:val="none"/>
        </w:rPr>
        <w:fldChar w:fldCharType="end"/>
      </w:r>
    </w:p>
    <w:p w14:paraId="13508503">
      <w:pPr>
        <w:spacing w:line="360" w:lineRule="auto"/>
        <w:jc w:val="center"/>
        <w:outlineLvl w:val="9"/>
        <w:rPr>
          <w:rFonts w:ascii="黑体" w:hAnsi="黑体" w:eastAsia="黑体"/>
          <w:color w:val="auto"/>
          <w:szCs w:val="24"/>
          <w:highlight w:val="none"/>
        </w:rPr>
      </w:pPr>
      <w:r>
        <w:rPr>
          <w:rFonts w:ascii="黑体" w:hAnsi="黑体" w:eastAsia="黑体"/>
          <w:color w:val="auto"/>
          <w:szCs w:val="24"/>
          <w:highlight w:val="none"/>
        </w:rPr>
        <w:fldChar w:fldCharType="end"/>
      </w:r>
    </w:p>
    <w:p w14:paraId="353F125C">
      <w:pPr>
        <w:rPr>
          <w:rFonts w:hint="eastAsia" w:ascii="黑体" w:hAnsi="黑体" w:eastAsia="黑体"/>
          <w:color w:val="auto"/>
          <w:sz w:val="32"/>
          <w:szCs w:val="32"/>
          <w:highlight w:val="none"/>
        </w:rPr>
      </w:pPr>
      <w:r>
        <w:rPr>
          <w:rFonts w:hint="eastAsia" w:ascii="黑体" w:hAnsi="黑体" w:eastAsia="黑体"/>
          <w:color w:val="auto"/>
          <w:sz w:val="32"/>
          <w:szCs w:val="32"/>
          <w:highlight w:val="none"/>
        </w:rPr>
        <w:br w:type="page"/>
      </w:r>
    </w:p>
    <w:p w14:paraId="09560D6F">
      <w:pPr>
        <w:spacing w:line="360" w:lineRule="auto"/>
        <w:jc w:val="center"/>
        <w:outlineLvl w:val="1"/>
        <w:rPr>
          <w:rFonts w:ascii="黑体" w:hAnsi="黑体" w:eastAsia="黑体"/>
          <w:color w:val="auto"/>
          <w:sz w:val="32"/>
          <w:szCs w:val="32"/>
          <w:highlight w:val="none"/>
        </w:rPr>
      </w:pPr>
      <w:bookmarkStart w:id="6" w:name="_Toc22870"/>
      <w:r>
        <w:rPr>
          <w:rFonts w:hint="eastAsia" w:ascii="黑体" w:hAnsi="黑体" w:eastAsia="黑体"/>
          <w:color w:val="auto"/>
          <w:sz w:val="32"/>
          <w:szCs w:val="32"/>
          <w:highlight w:val="none"/>
        </w:rPr>
        <w:t>第一章  招标公告</w:t>
      </w:r>
      <w:bookmarkEnd w:id="6"/>
    </w:p>
    <w:p w14:paraId="60272F98">
      <w:pPr>
        <w:pStyle w:val="3"/>
        <w:pageBreakBefore w:val="0"/>
        <w:widowControl w:val="0"/>
        <w:kinsoku/>
        <w:wordWrap/>
        <w:overflowPunct/>
        <w:topLinePunct w:val="0"/>
        <w:autoSpaceDE/>
        <w:autoSpaceDN/>
        <w:bidi w:val="0"/>
        <w:adjustRightInd/>
        <w:snapToGrid/>
        <w:spacing w:before="0" w:after="0" w:line="500" w:lineRule="exact"/>
        <w:ind w:left="0" w:leftChars="0"/>
        <w:jc w:val="left"/>
        <w:textAlignment w:val="auto"/>
        <w:rPr>
          <w:rFonts w:hint="default" w:ascii="仿宋" w:hAnsi="仿宋" w:eastAsia="仿宋" w:cs="仿宋"/>
          <w:b w:val="0"/>
          <w:color w:val="auto"/>
          <w:sz w:val="28"/>
          <w:szCs w:val="28"/>
          <w:highlight w:val="none"/>
          <w:lang w:val="en-US" w:eastAsia="zh-CN"/>
        </w:rPr>
      </w:pPr>
      <w:bookmarkStart w:id="7" w:name="_Toc24146"/>
      <w:r>
        <w:rPr>
          <w:rFonts w:hint="eastAsia" w:ascii="仿宋" w:hAnsi="仿宋" w:eastAsia="仿宋" w:cs="仿宋"/>
          <w:b w:val="0"/>
          <w:color w:val="auto"/>
          <w:sz w:val="28"/>
          <w:szCs w:val="28"/>
          <w:highlight w:val="none"/>
          <w:lang w:val="en-US" w:eastAsia="zh-CN"/>
        </w:rPr>
        <w:t>项目概况：</w:t>
      </w:r>
      <w:bookmarkEnd w:id="7"/>
    </w:p>
    <w:p w14:paraId="0C8EA162">
      <w:pPr>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阿克苏地区矿山安全服务保障中心矿山救援支队安全生产领域设备更新项目</w:t>
      </w:r>
      <w:r>
        <w:rPr>
          <w:rFonts w:hint="eastAsia" w:ascii="仿宋" w:hAnsi="仿宋" w:eastAsia="仿宋" w:cs="仿宋"/>
          <w:color w:val="auto"/>
          <w:sz w:val="28"/>
          <w:szCs w:val="28"/>
          <w:highlight w:val="none"/>
        </w:rPr>
        <w:t>的潜在</w:t>
      </w:r>
      <w:r>
        <w:rPr>
          <w:rFonts w:hint="eastAsia" w:ascii="仿宋" w:hAnsi="仿宋" w:eastAsia="仿宋" w:cs="仿宋"/>
          <w:color w:val="auto"/>
          <w:sz w:val="28"/>
          <w:szCs w:val="28"/>
          <w:highlight w:val="none"/>
          <w:lang w:eastAsia="zh-CN"/>
        </w:rPr>
        <w:t>供应商</w:t>
      </w:r>
      <w:r>
        <w:rPr>
          <w:rFonts w:hint="eastAsia" w:ascii="仿宋" w:hAnsi="仿宋" w:eastAsia="仿宋" w:cs="仿宋"/>
          <w:color w:val="auto"/>
          <w:sz w:val="28"/>
          <w:szCs w:val="28"/>
          <w:highlight w:val="none"/>
        </w:rPr>
        <w:t>应在</w:t>
      </w:r>
      <w:r>
        <w:rPr>
          <w:rFonts w:hint="eastAsia" w:ascii="仿宋" w:hAnsi="仿宋" w:eastAsia="仿宋" w:cs="仿宋"/>
          <w:color w:val="auto"/>
          <w:sz w:val="28"/>
          <w:szCs w:val="28"/>
          <w:highlight w:val="none"/>
          <w:lang w:val="en-US" w:eastAsia="zh-CN"/>
        </w:rPr>
        <w:t>政采云平台</w:t>
      </w:r>
      <w:r>
        <w:rPr>
          <w:rFonts w:hint="eastAsia" w:ascii="仿宋" w:hAnsi="仿宋" w:eastAsia="仿宋" w:cs="仿宋"/>
          <w:color w:val="auto"/>
          <w:sz w:val="28"/>
          <w:szCs w:val="28"/>
          <w:highlight w:val="none"/>
        </w:rPr>
        <w:t>获取招标文件，并于</w:t>
      </w:r>
      <w:r>
        <w:rPr>
          <w:rFonts w:hint="eastAsia" w:ascii="仿宋" w:hAnsi="仿宋" w:eastAsia="仿宋" w:cs="仿宋"/>
          <w:color w:val="auto"/>
          <w:sz w:val="28"/>
          <w:szCs w:val="28"/>
          <w:highlight w:val="none"/>
          <w:lang w:val="en-US" w:eastAsia="zh-CN"/>
        </w:rPr>
        <w:t>2026年05月20日10</w:t>
      </w:r>
      <w:r>
        <w:rPr>
          <w:rFonts w:hint="eastAsia" w:ascii="仿宋" w:hAnsi="仿宋" w:eastAsia="仿宋" w:cs="仿宋"/>
          <w:color w:val="auto"/>
          <w:sz w:val="28"/>
          <w:szCs w:val="28"/>
          <w:highlight w:val="none"/>
        </w:rPr>
        <w:t>点</w:t>
      </w:r>
      <w:r>
        <w:rPr>
          <w:rFonts w:hint="eastAsia" w:ascii="仿宋" w:hAnsi="仿宋" w:eastAsia="仿宋" w:cs="仿宋"/>
          <w:color w:val="auto"/>
          <w:sz w:val="28"/>
          <w:szCs w:val="28"/>
          <w:highlight w:val="none"/>
          <w:lang w:val="en-US" w:eastAsia="zh-CN"/>
        </w:rPr>
        <w:t>30</w:t>
      </w:r>
      <w:r>
        <w:rPr>
          <w:rFonts w:hint="eastAsia" w:ascii="仿宋" w:hAnsi="仿宋" w:eastAsia="仿宋" w:cs="仿宋"/>
          <w:color w:val="auto"/>
          <w:sz w:val="28"/>
          <w:szCs w:val="28"/>
          <w:highlight w:val="none"/>
        </w:rPr>
        <w:t>分（北京时间）前递交投标文件。</w:t>
      </w:r>
    </w:p>
    <w:p w14:paraId="6B236E3D">
      <w:pPr>
        <w:pStyle w:val="3"/>
        <w:pageBreakBefore w:val="0"/>
        <w:widowControl w:val="0"/>
        <w:kinsoku/>
        <w:wordWrap/>
        <w:overflowPunct/>
        <w:topLinePunct w:val="0"/>
        <w:autoSpaceDE/>
        <w:autoSpaceDN/>
        <w:bidi w:val="0"/>
        <w:adjustRightInd/>
        <w:snapToGrid/>
        <w:spacing w:before="0" w:after="0" w:line="500" w:lineRule="exact"/>
        <w:ind w:left="0" w:leftChars="0"/>
        <w:jc w:val="both"/>
        <w:textAlignment w:val="auto"/>
        <w:rPr>
          <w:rFonts w:hint="eastAsia" w:ascii="仿宋" w:hAnsi="仿宋" w:eastAsia="仿宋" w:cs="仿宋"/>
          <w:b w:val="0"/>
          <w:color w:val="auto"/>
          <w:sz w:val="28"/>
          <w:szCs w:val="28"/>
          <w:highlight w:val="none"/>
        </w:rPr>
      </w:pPr>
      <w:bookmarkStart w:id="8" w:name="_Toc35393790"/>
      <w:bookmarkStart w:id="9" w:name="_Toc28359079"/>
      <w:bookmarkStart w:id="10" w:name="_Toc26668"/>
      <w:bookmarkStart w:id="11" w:name="_Toc35393621"/>
      <w:bookmarkStart w:id="12" w:name="_Toc28359002"/>
      <w:bookmarkStart w:id="13" w:name="_Hlk24379207"/>
      <w:r>
        <w:rPr>
          <w:rFonts w:hint="eastAsia" w:ascii="仿宋" w:hAnsi="仿宋" w:eastAsia="仿宋" w:cs="仿宋"/>
          <w:b w:val="0"/>
          <w:color w:val="auto"/>
          <w:sz w:val="28"/>
          <w:szCs w:val="28"/>
          <w:highlight w:val="none"/>
        </w:rPr>
        <w:t>一、项目基本情况</w:t>
      </w:r>
      <w:bookmarkEnd w:id="8"/>
      <w:bookmarkEnd w:id="9"/>
      <w:bookmarkEnd w:id="10"/>
      <w:bookmarkEnd w:id="11"/>
      <w:bookmarkEnd w:id="12"/>
    </w:p>
    <w:p w14:paraId="3A22BA85">
      <w:pPr>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项目编号：</w:t>
      </w:r>
      <w:r>
        <w:rPr>
          <w:rFonts w:hint="eastAsia" w:ascii="仿宋" w:hAnsi="仿宋" w:eastAsia="仿宋" w:cs="仿宋"/>
          <w:color w:val="auto"/>
          <w:sz w:val="28"/>
          <w:szCs w:val="28"/>
          <w:highlight w:val="none"/>
          <w:lang w:eastAsia="zh-CN"/>
        </w:rPr>
        <w:t>[2026]655号-008</w:t>
      </w:r>
    </w:p>
    <w:p w14:paraId="5772D247">
      <w:pPr>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项目名称：</w:t>
      </w:r>
      <w:bookmarkEnd w:id="13"/>
      <w:r>
        <w:rPr>
          <w:rFonts w:hint="eastAsia" w:ascii="仿宋" w:hAnsi="仿宋" w:eastAsia="仿宋" w:cs="仿宋"/>
          <w:color w:val="auto"/>
          <w:sz w:val="28"/>
          <w:szCs w:val="28"/>
          <w:highlight w:val="none"/>
          <w:lang w:eastAsia="zh-CN"/>
        </w:rPr>
        <w:t>阿克苏地区矿山安全服务保障中心矿山救援支队安全生产领域设备更新项目</w:t>
      </w:r>
    </w:p>
    <w:p w14:paraId="656CAD43">
      <w:pPr>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采购方式：公开招标</w:t>
      </w:r>
    </w:p>
    <w:p w14:paraId="0C870EA7">
      <w:pPr>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预算金额：</w:t>
      </w:r>
      <w:r>
        <w:rPr>
          <w:rFonts w:hint="eastAsia" w:ascii="仿宋" w:hAnsi="仿宋" w:eastAsia="仿宋" w:cs="仿宋"/>
          <w:color w:val="auto"/>
          <w:sz w:val="28"/>
          <w:szCs w:val="28"/>
          <w:highlight w:val="none"/>
          <w:lang w:val="en-US" w:eastAsia="zh-CN"/>
        </w:rPr>
        <w:t>2716000.00元</w:t>
      </w:r>
    </w:p>
    <w:p w14:paraId="667F3EEC">
      <w:pPr>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color w:val="auto"/>
          <w:sz w:val="28"/>
          <w:szCs w:val="28"/>
          <w:highlight w:val="none"/>
          <w:vertAlign w:val="baseline"/>
        </w:rPr>
      </w:pPr>
      <w:r>
        <w:rPr>
          <w:rFonts w:hint="eastAsia" w:ascii="仿宋" w:hAnsi="仿宋" w:eastAsia="仿宋" w:cs="仿宋"/>
          <w:color w:val="auto"/>
          <w:sz w:val="28"/>
          <w:szCs w:val="28"/>
          <w:highlight w:val="none"/>
          <w:vertAlign w:val="baseline"/>
          <w:lang w:val="en-US" w:eastAsia="zh-CN"/>
        </w:rPr>
        <w:t>最高限价</w:t>
      </w:r>
      <w:r>
        <w:rPr>
          <w:rFonts w:hint="eastAsia" w:ascii="仿宋" w:hAnsi="仿宋" w:eastAsia="仿宋" w:cs="仿宋"/>
          <w:color w:val="auto"/>
          <w:sz w:val="28"/>
          <w:szCs w:val="28"/>
          <w:highlight w:val="none"/>
          <w:vertAlign w:val="baseline"/>
        </w:rPr>
        <w:t>:</w:t>
      </w:r>
      <w:r>
        <w:rPr>
          <w:rFonts w:hint="eastAsia" w:ascii="仿宋" w:hAnsi="仿宋" w:eastAsia="仿宋" w:cs="仿宋"/>
          <w:color w:val="auto"/>
          <w:sz w:val="28"/>
          <w:szCs w:val="28"/>
          <w:highlight w:val="none"/>
          <w:lang w:val="en-US" w:eastAsia="zh-CN"/>
        </w:rPr>
        <w:t>2716000.00</w:t>
      </w:r>
    </w:p>
    <w:p w14:paraId="4C34B5B3">
      <w:pPr>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采购需求：</w:t>
      </w:r>
    </w:p>
    <w:p w14:paraId="75E89242">
      <w:pPr>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color w:val="auto"/>
          <w:sz w:val="28"/>
          <w:szCs w:val="28"/>
          <w:highlight w:val="none"/>
          <w:vertAlign w:val="baseline"/>
        </w:rPr>
      </w:pPr>
      <w:r>
        <w:rPr>
          <w:rFonts w:hint="eastAsia" w:ascii="仿宋" w:hAnsi="仿宋" w:eastAsia="仿宋" w:cs="仿宋"/>
          <w:color w:val="auto"/>
          <w:sz w:val="28"/>
          <w:szCs w:val="28"/>
          <w:highlight w:val="none"/>
          <w:vertAlign w:val="baseline"/>
        </w:rPr>
        <w:t>标项名称:</w:t>
      </w:r>
      <w:r>
        <w:rPr>
          <w:rFonts w:hint="eastAsia" w:ascii="仿宋" w:hAnsi="仿宋" w:eastAsia="仿宋" w:cs="仿宋"/>
          <w:color w:val="auto"/>
          <w:sz w:val="28"/>
          <w:szCs w:val="28"/>
          <w:highlight w:val="none"/>
          <w:vertAlign w:val="baseline"/>
          <w:lang w:eastAsia="zh-CN"/>
        </w:rPr>
        <w:t>阿克苏地区矿山安全服务保障中心矿山应急救援支队安全生产领域设备更新项目（结余资金）</w:t>
      </w:r>
    </w:p>
    <w:p w14:paraId="3D9D86D7">
      <w:pPr>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color w:val="auto"/>
          <w:sz w:val="28"/>
          <w:szCs w:val="28"/>
          <w:highlight w:val="none"/>
          <w:vertAlign w:val="baseline"/>
        </w:rPr>
      </w:pPr>
      <w:r>
        <w:rPr>
          <w:rFonts w:hint="eastAsia" w:ascii="仿宋" w:hAnsi="仿宋" w:eastAsia="仿宋" w:cs="仿宋"/>
          <w:color w:val="auto"/>
          <w:sz w:val="28"/>
          <w:szCs w:val="28"/>
          <w:highlight w:val="none"/>
          <w:vertAlign w:val="baseline"/>
        </w:rPr>
        <w:t>数量:1</w:t>
      </w:r>
    </w:p>
    <w:p w14:paraId="0C935B58">
      <w:pPr>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rPr>
        <w:t>预算金额（元）:</w:t>
      </w:r>
      <w:r>
        <w:rPr>
          <w:rFonts w:hint="eastAsia" w:ascii="仿宋" w:hAnsi="仿宋" w:eastAsia="仿宋" w:cs="仿宋"/>
          <w:color w:val="auto"/>
          <w:sz w:val="28"/>
          <w:szCs w:val="28"/>
          <w:highlight w:val="none"/>
          <w:lang w:val="en-US" w:eastAsia="zh-CN"/>
        </w:rPr>
        <w:t>2716000.00</w:t>
      </w:r>
    </w:p>
    <w:p w14:paraId="718D1A2D">
      <w:pPr>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单位：批</w:t>
      </w:r>
    </w:p>
    <w:p w14:paraId="6AE7BD19">
      <w:pPr>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vertAlign w:val="baseline"/>
        </w:rPr>
        <w:t>简要规格描述：</w:t>
      </w:r>
      <w:r>
        <w:rPr>
          <w:rFonts w:hint="eastAsia" w:ascii="仿宋" w:hAnsi="仿宋" w:eastAsia="仿宋" w:cs="仿宋"/>
          <w:color w:val="auto"/>
          <w:sz w:val="28"/>
          <w:szCs w:val="28"/>
          <w:highlight w:val="none"/>
          <w:lang w:eastAsia="zh-CN"/>
        </w:rPr>
        <w:t>矿山救援支队安全生产领域设备更新（</w:t>
      </w:r>
      <w:r>
        <w:rPr>
          <w:rFonts w:hint="eastAsia" w:ascii="仿宋" w:hAnsi="仿宋" w:eastAsia="仿宋" w:cs="仿宋"/>
          <w:color w:val="auto"/>
          <w:sz w:val="28"/>
          <w:szCs w:val="28"/>
          <w:highlight w:val="none"/>
          <w:lang w:val="en-US" w:eastAsia="zh-CN"/>
        </w:rPr>
        <w:t>详见采购清单</w:t>
      </w:r>
      <w:r>
        <w:rPr>
          <w:rFonts w:hint="eastAsia" w:ascii="仿宋" w:hAnsi="仿宋" w:eastAsia="仿宋" w:cs="仿宋"/>
          <w:color w:val="auto"/>
          <w:sz w:val="28"/>
          <w:szCs w:val="28"/>
          <w:highlight w:val="none"/>
          <w:lang w:eastAsia="zh-CN"/>
        </w:rPr>
        <w:t>）</w:t>
      </w:r>
    </w:p>
    <w:p w14:paraId="33B1BFF8">
      <w:pPr>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color w:val="auto"/>
          <w:sz w:val="28"/>
          <w:szCs w:val="28"/>
          <w:highlight w:val="none"/>
          <w:vertAlign w:val="baseline"/>
        </w:rPr>
      </w:pPr>
      <w:r>
        <w:rPr>
          <w:rFonts w:hint="eastAsia" w:ascii="仿宋" w:hAnsi="仿宋" w:eastAsia="仿宋" w:cs="仿宋"/>
          <w:color w:val="auto"/>
          <w:sz w:val="28"/>
          <w:szCs w:val="28"/>
          <w:highlight w:val="none"/>
          <w:vertAlign w:val="baseline"/>
        </w:rPr>
        <w:t>备注：</w:t>
      </w:r>
    </w:p>
    <w:p w14:paraId="78B387F9">
      <w:pPr>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color w:val="auto"/>
          <w:sz w:val="28"/>
          <w:szCs w:val="28"/>
          <w:highlight w:val="none"/>
          <w:u w:val="single"/>
          <w:lang w:val="en-US" w:eastAsia="zh-CN"/>
        </w:rPr>
      </w:pPr>
      <w:r>
        <w:rPr>
          <w:rFonts w:hint="eastAsia" w:ascii="仿宋" w:hAnsi="仿宋" w:eastAsia="仿宋" w:cs="仿宋"/>
          <w:color w:val="auto"/>
          <w:sz w:val="28"/>
          <w:szCs w:val="28"/>
          <w:highlight w:val="none"/>
        </w:rPr>
        <w:t>合同履行期限：</w:t>
      </w:r>
      <w:r>
        <w:rPr>
          <w:rFonts w:hint="eastAsia" w:ascii="仿宋" w:hAnsi="仿宋" w:eastAsia="仿宋" w:cs="仿宋"/>
          <w:color w:val="auto"/>
          <w:sz w:val="28"/>
          <w:szCs w:val="28"/>
          <w:highlight w:val="none"/>
          <w:lang w:val="en-US" w:eastAsia="zh-CN"/>
        </w:rPr>
        <w:t>30天。</w:t>
      </w:r>
    </w:p>
    <w:p w14:paraId="7F7B5B41">
      <w:pPr>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本项目</w:t>
      </w:r>
      <w:r>
        <w:rPr>
          <w:rFonts w:hint="eastAsia" w:ascii="仿宋" w:hAnsi="仿宋" w:eastAsia="仿宋" w:cs="仿宋"/>
          <w:color w:val="auto"/>
          <w:sz w:val="28"/>
          <w:szCs w:val="28"/>
          <w:highlight w:val="none"/>
          <w:lang w:val="en-US" w:eastAsia="zh-CN"/>
        </w:rPr>
        <w:t>（否）</w:t>
      </w:r>
      <w:r>
        <w:rPr>
          <w:rFonts w:hint="eastAsia" w:ascii="仿宋" w:hAnsi="仿宋" w:eastAsia="仿宋" w:cs="仿宋"/>
          <w:color w:val="auto"/>
          <w:sz w:val="28"/>
          <w:szCs w:val="28"/>
          <w:highlight w:val="none"/>
        </w:rPr>
        <w:t>接受联合体投标。</w:t>
      </w:r>
    </w:p>
    <w:p w14:paraId="19D50445">
      <w:pPr>
        <w:pStyle w:val="3"/>
        <w:pageBreakBefore w:val="0"/>
        <w:widowControl w:val="0"/>
        <w:kinsoku/>
        <w:wordWrap/>
        <w:overflowPunct/>
        <w:topLinePunct w:val="0"/>
        <w:autoSpaceDE/>
        <w:autoSpaceDN/>
        <w:bidi w:val="0"/>
        <w:adjustRightInd/>
        <w:snapToGrid/>
        <w:spacing w:before="0" w:after="0" w:line="500" w:lineRule="exact"/>
        <w:ind w:left="0" w:leftChars="0"/>
        <w:jc w:val="both"/>
        <w:textAlignment w:val="auto"/>
        <w:rPr>
          <w:rFonts w:hint="eastAsia" w:ascii="仿宋" w:hAnsi="仿宋" w:eastAsia="仿宋" w:cs="仿宋"/>
          <w:b w:val="0"/>
          <w:color w:val="auto"/>
          <w:sz w:val="28"/>
          <w:szCs w:val="28"/>
          <w:highlight w:val="none"/>
        </w:rPr>
      </w:pPr>
      <w:bookmarkStart w:id="14" w:name="_Toc35393791"/>
      <w:bookmarkStart w:id="15" w:name="_Toc35393622"/>
      <w:bookmarkStart w:id="16" w:name="_Toc28359003"/>
      <w:bookmarkStart w:id="17" w:name="_Toc28359080"/>
      <w:bookmarkStart w:id="18" w:name="_Toc7712"/>
      <w:r>
        <w:rPr>
          <w:rFonts w:hint="eastAsia" w:ascii="仿宋" w:hAnsi="仿宋" w:eastAsia="仿宋" w:cs="仿宋"/>
          <w:b w:val="0"/>
          <w:color w:val="auto"/>
          <w:sz w:val="28"/>
          <w:szCs w:val="28"/>
          <w:highlight w:val="none"/>
        </w:rPr>
        <w:t>二、申请人的资格要求：</w:t>
      </w:r>
      <w:bookmarkEnd w:id="14"/>
      <w:bookmarkEnd w:id="15"/>
      <w:bookmarkEnd w:id="16"/>
      <w:bookmarkEnd w:id="17"/>
      <w:bookmarkEnd w:id="18"/>
    </w:p>
    <w:p w14:paraId="455A44E3">
      <w:pPr>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1.满足《中华人民共和国政府采购法》第二十二条规定；</w:t>
      </w:r>
    </w:p>
    <w:p w14:paraId="14F7B9F7">
      <w:pPr>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color w:val="auto"/>
          <w:sz w:val="28"/>
          <w:szCs w:val="28"/>
          <w:highlight w:val="none"/>
          <w:u w:val="none"/>
          <w:lang w:eastAsia="zh-CN"/>
        </w:rPr>
      </w:pPr>
      <w:bookmarkStart w:id="19" w:name="_Toc28359004"/>
      <w:bookmarkStart w:id="20" w:name="_Toc28359081"/>
      <w:r>
        <w:rPr>
          <w:rFonts w:hint="eastAsia" w:ascii="仿宋" w:hAnsi="仿宋" w:eastAsia="仿宋" w:cs="仿宋"/>
          <w:color w:val="auto"/>
          <w:sz w:val="28"/>
          <w:szCs w:val="28"/>
          <w:highlight w:val="none"/>
        </w:rPr>
        <w:t>2.落实政府采购政策需满足的资格要求：本项目</w:t>
      </w:r>
      <w:r>
        <w:rPr>
          <w:rFonts w:hint="eastAsia" w:ascii="仿宋" w:hAnsi="仿宋" w:eastAsia="仿宋" w:cs="仿宋"/>
          <w:color w:val="auto"/>
          <w:sz w:val="28"/>
          <w:szCs w:val="28"/>
          <w:highlight w:val="none"/>
          <w:lang w:val="en-US" w:eastAsia="zh-CN"/>
        </w:rPr>
        <w:t>不</w:t>
      </w:r>
      <w:r>
        <w:rPr>
          <w:rFonts w:hint="eastAsia" w:ascii="仿宋" w:hAnsi="仿宋" w:eastAsia="仿宋" w:cs="仿宋"/>
          <w:color w:val="auto"/>
          <w:sz w:val="28"/>
          <w:szCs w:val="28"/>
          <w:highlight w:val="none"/>
        </w:rPr>
        <w:t>专门面向</w:t>
      </w:r>
      <w:r>
        <w:rPr>
          <w:rFonts w:hint="eastAsia" w:ascii="仿宋" w:hAnsi="仿宋" w:eastAsia="仿宋" w:cs="仿宋"/>
          <w:color w:val="auto"/>
          <w:sz w:val="28"/>
          <w:szCs w:val="28"/>
          <w:highlight w:val="none"/>
          <w:lang w:val="en-US" w:eastAsia="zh-CN"/>
        </w:rPr>
        <w:t>中</w:t>
      </w:r>
      <w:r>
        <w:rPr>
          <w:rFonts w:hint="eastAsia" w:ascii="仿宋" w:hAnsi="仿宋" w:eastAsia="仿宋" w:cs="仿宋"/>
          <w:color w:val="auto"/>
          <w:sz w:val="28"/>
          <w:szCs w:val="28"/>
          <w:highlight w:val="none"/>
        </w:rPr>
        <w:t>小</w:t>
      </w:r>
      <w:r>
        <w:rPr>
          <w:rFonts w:hint="eastAsia" w:ascii="仿宋" w:hAnsi="仿宋" w:eastAsia="仿宋" w:cs="仿宋"/>
          <w:color w:val="auto"/>
          <w:sz w:val="28"/>
          <w:szCs w:val="28"/>
          <w:highlight w:val="none"/>
          <w:lang w:val="en-US" w:eastAsia="zh-CN"/>
        </w:rPr>
        <w:t>微</w:t>
      </w:r>
      <w:r>
        <w:rPr>
          <w:rFonts w:hint="eastAsia" w:ascii="仿宋" w:hAnsi="仿宋" w:eastAsia="仿宋" w:cs="仿宋"/>
          <w:color w:val="auto"/>
          <w:sz w:val="28"/>
          <w:szCs w:val="28"/>
          <w:highlight w:val="none"/>
        </w:rPr>
        <w:t>企业采购</w:t>
      </w:r>
      <w:r>
        <w:rPr>
          <w:rFonts w:hint="eastAsia" w:ascii="仿宋" w:hAnsi="仿宋" w:eastAsia="仿宋" w:cs="仿宋"/>
          <w:color w:val="auto"/>
          <w:sz w:val="28"/>
          <w:szCs w:val="28"/>
          <w:highlight w:val="none"/>
          <w:u w:val="none"/>
          <w:lang w:eastAsia="zh-CN"/>
        </w:rPr>
        <w:t>；</w:t>
      </w:r>
    </w:p>
    <w:p w14:paraId="64F5B496">
      <w:pPr>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3.本项目的特定资格要求：</w:t>
      </w:r>
    </w:p>
    <w:p w14:paraId="68F9F66E">
      <w:pPr>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3.1与招标人存在利害关系可能影响招标公正性的法人、其他组织或者个人，不得参加同一标段投标或者未划分标段的同一招标不得参加投标</w:t>
      </w:r>
    </w:p>
    <w:p w14:paraId="152EC847">
      <w:pPr>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3.2 投标人负责人为同一人或者存在控股、管理关系的不同单位，不得同时参加本项目的投标。</w:t>
      </w:r>
    </w:p>
    <w:p w14:paraId="6D64ACF5">
      <w:pPr>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3.3 根据《财政部关于在政府采购活动中查询及使用信用记录有关问题的通知》（财库﹝2016﹞125号）的要求，凡拟参加本次招标项目的投标供应商，如在“信用中国”网（www.creditchina.gov.cn）、中国政府采购网（www.ccgp.gov.cn）列入失信被执行人、重大税收违法案件当事人名单、政府采购严重违法失信行为记录名单的（尚在处罚期内的），将拒绝其参加本次项目投标。</w:t>
      </w:r>
    </w:p>
    <w:bookmarkEnd w:id="19"/>
    <w:bookmarkEnd w:id="20"/>
    <w:p w14:paraId="14E43822">
      <w:pPr>
        <w:pageBreakBefore w:val="0"/>
        <w:widowControl w:val="0"/>
        <w:kinsoku/>
        <w:wordWrap/>
        <w:overflowPunct/>
        <w:topLinePunct w:val="0"/>
        <w:autoSpaceDE/>
        <w:autoSpaceDN/>
        <w:bidi w:val="0"/>
        <w:adjustRightInd/>
        <w:snapToGrid/>
        <w:spacing w:before="0" w:after="0" w:line="500" w:lineRule="exact"/>
        <w:ind w:left="0" w:leftChars="0" w:firstLine="560" w:firstLineChars="200"/>
        <w:jc w:val="both"/>
        <w:textAlignment w:val="auto"/>
        <w:rPr>
          <w:rFonts w:hint="eastAsia" w:ascii="仿宋" w:hAnsi="仿宋" w:eastAsia="仿宋" w:cs="仿宋"/>
          <w:b w:val="0"/>
          <w:color w:val="auto"/>
          <w:sz w:val="28"/>
          <w:szCs w:val="28"/>
          <w:highlight w:val="none"/>
        </w:rPr>
      </w:pPr>
      <w:r>
        <w:rPr>
          <w:rFonts w:hint="eastAsia" w:ascii="仿宋" w:hAnsi="仿宋" w:eastAsia="仿宋" w:cs="仿宋"/>
          <w:b w:val="0"/>
          <w:color w:val="auto"/>
          <w:sz w:val="28"/>
          <w:szCs w:val="28"/>
          <w:highlight w:val="none"/>
        </w:rPr>
        <w:t>三、获取采购文件</w:t>
      </w:r>
    </w:p>
    <w:p w14:paraId="3C4A06AB">
      <w:pPr>
        <w:pageBreakBefore w:val="0"/>
        <w:widowControl w:val="0"/>
        <w:kinsoku/>
        <w:wordWrap/>
        <w:overflowPunct/>
        <w:topLinePunct w:val="0"/>
        <w:autoSpaceDE/>
        <w:autoSpaceDN/>
        <w:bidi w:val="0"/>
        <w:adjustRightInd/>
        <w:snapToGrid/>
        <w:spacing w:line="500" w:lineRule="exact"/>
        <w:ind w:left="0" w:leftChars="0" w:firstLine="540"/>
        <w:jc w:val="both"/>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u w:val="none"/>
        </w:rPr>
        <w:t>时间：</w:t>
      </w:r>
      <w:r>
        <w:rPr>
          <w:rFonts w:hint="eastAsia" w:ascii="仿宋" w:hAnsi="仿宋" w:eastAsia="仿宋" w:cs="仿宋"/>
          <w:color w:val="auto"/>
          <w:sz w:val="28"/>
          <w:szCs w:val="28"/>
          <w:highlight w:val="none"/>
          <w:u w:val="none"/>
          <w:lang w:val="en-US" w:eastAsia="zh-CN"/>
        </w:rPr>
        <w:t>2026年4月30日至2026年5月11日</w:t>
      </w:r>
      <w:r>
        <w:rPr>
          <w:rFonts w:hint="eastAsia" w:ascii="仿宋" w:hAnsi="仿宋" w:eastAsia="仿宋" w:cs="仿宋"/>
          <w:color w:val="auto"/>
          <w:sz w:val="28"/>
          <w:szCs w:val="28"/>
          <w:highlight w:val="none"/>
          <w:u w:val="none"/>
        </w:rPr>
        <w:t>，每天上午</w:t>
      </w:r>
      <w:r>
        <w:rPr>
          <w:rFonts w:hint="eastAsia" w:ascii="仿宋" w:hAnsi="仿宋" w:eastAsia="仿宋" w:cs="仿宋"/>
          <w:color w:val="auto"/>
          <w:sz w:val="28"/>
          <w:szCs w:val="28"/>
          <w:highlight w:val="none"/>
          <w:u w:val="none"/>
          <w:lang w:val="en-US" w:eastAsia="zh-CN"/>
        </w:rPr>
        <w:t>10点00分</w:t>
      </w:r>
      <w:r>
        <w:rPr>
          <w:rFonts w:hint="eastAsia" w:ascii="仿宋" w:hAnsi="仿宋" w:eastAsia="仿宋" w:cs="仿宋"/>
          <w:color w:val="auto"/>
          <w:sz w:val="28"/>
          <w:szCs w:val="28"/>
          <w:highlight w:val="none"/>
          <w:u w:val="none"/>
        </w:rPr>
        <w:t>至</w:t>
      </w:r>
      <w:r>
        <w:rPr>
          <w:rFonts w:hint="eastAsia" w:ascii="仿宋" w:hAnsi="仿宋" w:eastAsia="仿宋" w:cs="仿宋"/>
          <w:color w:val="auto"/>
          <w:sz w:val="28"/>
          <w:szCs w:val="28"/>
          <w:highlight w:val="none"/>
          <w:u w:val="none"/>
          <w:lang w:val="en-US" w:eastAsia="zh-CN"/>
        </w:rPr>
        <w:t>14点00分</w:t>
      </w:r>
      <w:r>
        <w:rPr>
          <w:rFonts w:hint="eastAsia" w:ascii="仿宋" w:hAnsi="仿宋" w:eastAsia="仿宋" w:cs="仿宋"/>
          <w:color w:val="auto"/>
          <w:sz w:val="28"/>
          <w:szCs w:val="28"/>
          <w:highlight w:val="none"/>
          <w:u w:val="none"/>
        </w:rPr>
        <w:t>，下午</w:t>
      </w:r>
      <w:r>
        <w:rPr>
          <w:rFonts w:hint="eastAsia" w:ascii="仿宋" w:hAnsi="仿宋" w:eastAsia="仿宋" w:cs="仿宋"/>
          <w:color w:val="auto"/>
          <w:sz w:val="28"/>
          <w:szCs w:val="28"/>
          <w:highlight w:val="none"/>
          <w:u w:val="none"/>
          <w:lang w:val="en-US" w:eastAsia="zh-CN"/>
        </w:rPr>
        <w:t>16点00分</w:t>
      </w:r>
      <w:r>
        <w:rPr>
          <w:rFonts w:hint="eastAsia" w:ascii="仿宋" w:hAnsi="仿宋" w:eastAsia="仿宋" w:cs="仿宋"/>
          <w:color w:val="auto"/>
          <w:sz w:val="28"/>
          <w:szCs w:val="28"/>
          <w:highlight w:val="none"/>
          <w:u w:val="none"/>
        </w:rPr>
        <w:t>至</w:t>
      </w:r>
      <w:r>
        <w:rPr>
          <w:rFonts w:hint="eastAsia" w:ascii="仿宋" w:hAnsi="仿宋" w:eastAsia="仿宋" w:cs="仿宋"/>
          <w:color w:val="auto"/>
          <w:sz w:val="28"/>
          <w:szCs w:val="28"/>
          <w:highlight w:val="none"/>
          <w:u w:val="none"/>
          <w:lang w:val="en-US" w:eastAsia="zh-CN"/>
        </w:rPr>
        <w:t>20点00分</w:t>
      </w:r>
      <w:r>
        <w:rPr>
          <w:rFonts w:hint="eastAsia" w:ascii="仿宋" w:hAnsi="仿宋" w:eastAsia="仿宋" w:cs="仿宋"/>
          <w:color w:val="auto"/>
          <w:sz w:val="28"/>
          <w:szCs w:val="28"/>
          <w:highlight w:val="none"/>
          <w:u w:val="none"/>
        </w:rPr>
        <w:t>（北京时间，</w:t>
      </w:r>
      <w:r>
        <w:rPr>
          <w:rFonts w:hint="eastAsia" w:ascii="仿宋" w:hAnsi="仿宋" w:eastAsia="仿宋" w:cs="仿宋"/>
          <w:color w:val="auto"/>
          <w:sz w:val="28"/>
          <w:szCs w:val="28"/>
          <w:highlight w:val="none"/>
        </w:rPr>
        <w:t>法定节假日除外）</w:t>
      </w:r>
    </w:p>
    <w:p w14:paraId="106CC185">
      <w:pPr>
        <w:pageBreakBefore w:val="0"/>
        <w:widowControl w:val="0"/>
        <w:kinsoku/>
        <w:wordWrap/>
        <w:overflowPunct/>
        <w:topLinePunct w:val="0"/>
        <w:autoSpaceDE/>
        <w:autoSpaceDN/>
        <w:bidi w:val="0"/>
        <w:adjustRightInd/>
        <w:snapToGrid/>
        <w:spacing w:line="500" w:lineRule="exact"/>
        <w:ind w:left="0" w:leftChars="0" w:firstLine="540"/>
        <w:jc w:val="both"/>
        <w:textAlignment w:val="auto"/>
        <w:rPr>
          <w:rFonts w:hint="eastAsia" w:ascii="仿宋" w:hAnsi="仿宋" w:eastAsia="仿宋" w:cs="仿宋"/>
          <w:color w:val="auto"/>
          <w:sz w:val="28"/>
          <w:szCs w:val="28"/>
          <w:highlight w:val="none"/>
          <w:u w:val="single"/>
          <w:lang w:val="en-US" w:eastAsia="zh-CN"/>
        </w:rPr>
      </w:pPr>
      <w:r>
        <w:rPr>
          <w:rFonts w:hint="eastAsia" w:ascii="仿宋" w:hAnsi="仿宋" w:eastAsia="仿宋" w:cs="仿宋"/>
          <w:color w:val="auto"/>
          <w:sz w:val="28"/>
          <w:szCs w:val="28"/>
          <w:highlight w:val="none"/>
        </w:rPr>
        <w:t>地点：</w:t>
      </w:r>
      <w:r>
        <w:rPr>
          <w:rFonts w:hint="eastAsia" w:ascii="仿宋" w:hAnsi="仿宋" w:eastAsia="仿宋" w:cs="仿宋"/>
          <w:color w:val="auto"/>
          <w:sz w:val="28"/>
          <w:szCs w:val="28"/>
          <w:highlight w:val="none"/>
          <w:lang w:val="en-US" w:eastAsia="zh-CN"/>
        </w:rPr>
        <w:t>新疆政府采购网</w:t>
      </w:r>
    </w:p>
    <w:p w14:paraId="27088E18">
      <w:pPr>
        <w:pageBreakBefore w:val="0"/>
        <w:widowControl w:val="0"/>
        <w:kinsoku/>
        <w:wordWrap/>
        <w:overflowPunct/>
        <w:topLinePunct w:val="0"/>
        <w:autoSpaceDE/>
        <w:autoSpaceDN/>
        <w:bidi w:val="0"/>
        <w:adjustRightInd/>
        <w:snapToGrid/>
        <w:spacing w:line="500" w:lineRule="exact"/>
        <w:ind w:left="0" w:leftChars="0" w:firstLine="540"/>
        <w:jc w:val="both"/>
        <w:textAlignment w:val="auto"/>
        <w:rPr>
          <w:rFonts w:hint="eastAsia" w:ascii="仿宋" w:hAnsi="仿宋" w:eastAsia="仿宋" w:cs="仿宋"/>
          <w:color w:val="auto"/>
          <w:sz w:val="28"/>
          <w:szCs w:val="28"/>
          <w:highlight w:val="none"/>
          <w:u w:val="single"/>
          <w:lang w:val="en-US"/>
        </w:rPr>
      </w:pPr>
      <w:r>
        <w:rPr>
          <w:rFonts w:hint="eastAsia" w:ascii="仿宋" w:hAnsi="仿宋" w:eastAsia="仿宋" w:cs="仿宋"/>
          <w:color w:val="auto"/>
          <w:sz w:val="28"/>
          <w:szCs w:val="28"/>
          <w:highlight w:val="none"/>
        </w:rPr>
        <w:t>方式：</w:t>
      </w:r>
      <w:r>
        <w:rPr>
          <w:rFonts w:hint="eastAsia" w:ascii="仿宋" w:hAnsi="仿宋" w:eastAsia="仿宋" w:cs="仿宋"/>
          <w:color w:val="auto"/>
          <w:sz w:val="28"/>
          <w:szCs w:val="28"/>
          <w:highlight w:val="none"/>
          <w:lang w:val="en-US" w:eastAsia="zh-CN"/>
        </w:rPr>
        <w:t xml:space="preserve">供应商登录政采云平台https://www.zcygov.cn/在线申请获取采购文件（进入“项目采购”应用，在获取采购文件菜单中选择项目，申请获取采购文件） </w:t>
      </w:r>
    </w:p>
    <w:p w14:paraId="6EB64F20">
      <w:pPr>
        <w:pageBreakBefore w:val="0"/>
        <w:widowControl w:val="0"/>
        <w:kinsoku/>
        <w:wordWrap/>
        <w:overflowPunct/>
        <w:topLinePunct w:val="0"/>
        <w:autoSpaceDE/>
        <w:autoSpaceDN/>
        <w:bidi w:val="0"/>
        <w:adjustRightInd/>
        <w:snapToGrid/>
        <w:spacing w:line="500" w:lineRule="exact"/>
        <w:ind w:left="0" w:leftChars="0" w:firstLine="540"/>
        <w:jc w:val="both"/>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售价：</w:t>
      </w:r>
      <w:r>
        <w:rPr>
          <w:rFonts w:hint="eastAsia" w:ascii="仿宋" w:hAnsi="仿宋" w:eastAsia="仿宋" w:cs="仿宋"/>
          <w:color w:val="auto"/>
          <w:sz w:val="28"/>
          <w:szCs w:val="28"/>
          <w:highlight w:val="none"/>
          <w:lang w:val="en-US" w:eastAsia="zh-CN"/>
        </w:rPr>
        <w:t>0元</w:t>
      </w:r>
    </w:p>
    <w:p w14:paraId="7966BB91">
      <w:pPr>
        <w:pageBreakBefore w:val="0"/>
        <w:widowControl w:val="0"/>
        <w:kinsoku/>
        <w:wordWrap/>
        <w:overflowPunct/>
        <w:topLinePunct w:val="0"/>
        <w:autoSpaceDE/>
        <w:autoSpaceDN/>
        <w:bidi w:val="0"/>
        <w:adjustRightInd/>
        <w:snapToGrid/>
        <w:spacing w:before="0" w:after="0" w:line="500" w:lineRule="exact"/>
        <w:ind w:left="0" w:leftChars="0"/>
        <w:jc w:val="both"/>
        <w:textAlignment w:val="auto"/>
        <w:rPr>
          <w:rFonts w:hint="eastAsia" w:ascii="仿宋" w:hAnsi="仿宋" w:eastAsia="仿宋" w:cs="仿宋"/>
          <w:b w:val="0"/>
          <w:color w:val="auto"/>
          <w:sz w:val="28"/>
          <w:szCs w:val="28"/>
          <w:highlight w:val="none"/>
        </w:rPr>
      </w:pPr>
      <w:bookmarkStart w:id="21" w:name="_Toc35393632"/>
      <w:bookmarkStart w:id="22" w:name="_Toc28359015"/>
      <w:bookmarkStart w:id="23" w:name="_Toc35393801"/>
      <w:bookmarkStart w:id="24" w:name="_Toc28359092"/>
      <w:r>
        <w:rPr>
          <w:rFonts w:hint="eastAsia" w:ascii="仿宋" w:hAnsi="仿宋" w:eastAsia="仿宋" w:cs="仿宋"/>
          <w:b w:val="0"/>
          <w:color w:val="auto"/>
          <w:sz w:val="28"/>
          <w:szCs w:val="28"/>
          <w:highlight w:val="none"/>
        </w:rPr>
        <w:t>四、</w:t>
      </w:r>
      <w:r>
        <w:rPr>
          <w:rFonts w:hint="eastAsia" w:ascii="仿宋" w:hAnsi="仿宋" w:eastAsia="仿宋" w:cs="仿宋"/>
          <w:b w:val="0"/>
          <w:color w:val="auto"/>
          <w:sz w:val="28"/>
          <w:szCs w:val="28"/>
          <w:highlight w:val="none"/>
          <w:lang w:eastAsia="zh-CN"/>
        </w:rPr>
        <w:t>投标文件</w:t>
      </w:r>
      <w:r>
        <w:rPr>
          <w:rFonts w:hint="eastAsia" w:ascii="仿宋" w:hAnsi="仿宋" w:eastAsia="仿宋" w:cs="仿宋"/>
          <w:b w:val="0"/>
          <w:color w:val="auto"/>
          <w:sz w:val="28"/>
          <w:szCs w:val="28"/>
          <w:highlight w:val="none"/>
        </w:rPr>
        <w:t>提交</w:t>
      </w:r>
      <w:bookmarkEnd w:id="21"/>
      <w:bookmarkEnd w:id="22"/>
      <w:bookmarkEnd w:id="23"/>
      <w:bookmarkEnd w:id="24"/>
    </w:p>
    <w:p w14:paraId="2EE2217D">
      <w:pPr>
        <w:pageBreakBefore w:val="0"/>
        <w:widowControl w:val="0"/>
        <w:kinsoku/>
        <w:wordWrap/>
        <w:overflowPunct/>
        <w:topLinePunct w:val="0"/>
        <w:autoSpaceDE/>
        <w:autoSpaceDN/>
        <w:bidi w:val="0"/>
        <w:adjustRightInd/>
        <w:snapToGrid/>
        <w:spacing w:line="500" w:lineRule="exact"/>
        <w:ind w:left="0" w:leftChars="0" w:firstLine="560" w:firstLineChars="200"/>
        <w:jc w:val="both"/>
        <w:textAlignment w:val="auto"/>
        <w:rPr>
          <w:rFonts w:hint="eastAsia" w:ascii="仿宋" w:hAnsi="仿宋" w:eastAsia="仿宋" w:cs="仿宋"/>
          <w:bCs/>
          <w:color w:val="auto"/>
          <w:sz w:val="28"/>
          <w:szCs w:val="28"/>
          <w:highlight w:val="none"/>
        </w:rPr>
      </w:pPr>
      <w:r>
        <w:rPr>
          <w:rFonts w:hint="eastAsia" w:ascii="仿宋" w:hAnsi="仿宋" w:eastAsia="仿宋" w:cs="仿宋"/>
          <w:color w:val="auto"/>
          <w:sz w:val="28"/>
          <w:szCs w:val="28"/>
          <w:highlight w:val="none"/>
        </w:rPr>
        <w:t>截止时间：</w:t>
      </w:r>
      <w:r>
        <w:rPr>
          <w:rFonts w:hint="eastAsia" w:ascii="仿宋" w:hAnsi="仿宋" w:eastAsia="仿宋" w:cs="仿宋"/>
          <w:color w:val="auto"/>
          <w:sz w:val="28"/>
          <w:szCs w:val="28"/>
          <w:highlight w:val="none"/>
          <w:u w:val="none"/>
          <w:lang w:val="en-US" w:eastAsia="zh-CN"/>
        </w:rPr>
        <w:t>2026年05月20日</w:t>
      </w:r>
      <w:r>
        <w:rPr>
          <w:rFonts w:hint="eastAsia" w:ascii="仿宋" w:hAnsi="仿宋" w:eastAsia="仿宋" w:cs="仿宋"/>
          <w:bCs/>
          <w:color w:val="auto"/>
          <w:sz w:val="28"/>
          <w:szCs w:val="28"/>
          <w:highlight w:val="none"/>
          <w:u w:val="none"/>
          <w:lang w:val="en-US" w:eastAsia="zh-CN"/>
        </w:rPr>
        <w:t>10</w:t>
      </w:r>
      <w:r>
        <w:rPr>
          <w:rFonts w:hint="eastAsia" w:ascii="仿宋" w:hAnsi="仿宋" w:eastAsia="仿宋" w:cs="仿宋"/>
          <w:bCs/>
          <w:color w:val="auto"/>
          <w:sz w:val="28"/>
          <w:szCs w:val="28"/>
          <w:highlight w:val="none"/>
          <w:u w:val="none"/>
        </w:rPr>
        <w:t>点</w:t>
      </w:r>
      <w:r>
        <w:rPr>
          <w:rFonts w:hint="eastAsia" w:ascii="仿宋" w:hAnsi="仿宋" w:eastAsia="仿宋" w:cs="仿宋"/>
          <w:bCs/>
          <w:color w:val="auto"/>
          <w:sz w:val="28"/>
          <w:szCs w:val="28"/>
          <w:highlight w:val="none"/>
          <w:u w:val="none"/>
          <w:lang w:val="en-US" w:eastAsia="zh-CN"/>
        </w:rPr>
        <w:t>30</w:t>
      </w:r>
      <w:r>
        <w:rPr>
          <w:rFonts w:hint="eastAsia" w:ascii="仿宋" w:hAnsi="仿宋" w:eastAsia="仿宋" w:cs="仿宋"/>
          <w:bCs/>
          <w:color w:val="auto"/>
          <w:sz w:val="28"/>
          <w:szCs w:val="28"/>
          <w:highlight w:val="none"/>
          <w:u w:val="none"/>
        </w:rPr>
        <w:t>分</w:t>
      </w:r>
      <w:r>
        <w:rPr>
          <w:rFonts w:hint="eastAsia" w:ascii="仿宋" w:hAnsi="仿宋" w:eastAsia="仿宋" w:cs="仿宋"/>
          <w:bCs/>
          <w:color w:val="auto"/>
          <w:sz w:val="28"/>
          <w:szCs w:val="28"/>
          <w:highlight w:val="none"/>
        </w:rPr>
        <w:t>（北京时间）</w:t>
      </w:r>
    </w:p>
    <w:p w14:paraId="49E71AD7">
      <w:pPr>
        <w:pageBreakBefore w:val="0"/>
        <w:widowControl w:val="0"/>
        <w:kinsoku/>
        <w:wordWrap/>
        <w:overflowPunct/>
        <w:topLinePunct w:val="0"/>
        <w:autoSpaceDE/>
        <w:autoSpaceDN/>
        <w:bidi w:val="0"/>
        <w:adjustRightInd/>
        <w:snapToGrid/>
        <w:spacing w:line="500" w:lineRule="exact"/>
        <w:ind w:left="0" w:leftChars="0" w:firstLine="560" w:firstLineChars="200"/>
        <w:jc w:val="both"/>
        <w:textAlignment w:val="auto"/>
        <w:rPr>
          <w:rFonts w:hint="eastAsia" w:ascii="仿宋" w:hAnsi="仿宋" w:eastAsia="仿宋" w:cs="仿宋"/>
          <w:bCs/>
          <w:color w:val="auto"/>
          <w:sz w:val="28"/>
          <w:szCs w:val="28"/>
          <w:highlight w:val="none"/>
          <w:u w:val="single"/>
          <w:lang w:eastAsia="zh-CN"/>
        </w:rPr>
      </w:pPr>
      <w:r>
        <w:rPr>
          <w:rFonts w:hint="eastAsia" w:ascii="仿宋" w:hAnsi="仿宋" w:eastAsia="仿宋" w:cs="仿宋"/>
          <w:color w:val="auto"/>
          <w:sz w:val="28"/>
          <w:szCs w:val="28"/>
          <w:highlight w:val="none"/>
        </w:rPr>
        <w:t>地点：</w:t>
      </w:r>
      <w:r>
        <w:rPr>
          <w:rFonts w:hint="eastAsia" w:ascii="仿宋" w:hAnsi="仿宋" w:eastAsia="仿宋" w:cs="仿宋"/>
          <w:color w:val="auto"/>
          <w:sz w:val="28"/>
          <w:szCs w:val="28"/>
          <w:highlight w:val="none"/>
          <w:lang w:eastAsia="zh-CN"/>
        </w:rPr>
        <w:t>政采云投标客户端投标</w:t>
      </w:r>
    </w:p>
    <w:p w14:paraId="0D796AEB">
      <w:pPr>
        <w:pageBreakBefore w:val="0"/>
        <w:widowControl w:val="0"/>
        <w:kinsoku/>
        <w:wordWrap/>
        <w:overflowPunct/>
        <w:topLinePunct w:val="0"/>
        <w:autoSpaceDE/>
        <w:autoSpaceDN/>
        <w:bidi w:val="0"/>
        <w:adjustRightInd/>
        <w:snapToGrid/>
        <w:spacing w:before="0" w:after="0" w:line="500" w:lineRule="exact"/>
        <w:ind w:left="0" w:leftChars="0"/>
        <w:jc w:val="both"/>
        <w:textAlignment w:val="auto"/>
        <w:rPr>
          <w:rFonts w:hint="eastAsia" w:ascii="仿宋" w:hAnsi="仿宋" w:eastAsia="仿宋" w:cs="仿宋"/>
          <w:b w:val="0"/>
          <w:color w:val="auto"/>
          <w:sz w:val="28"/>
          <w:szCs w:val="28"/>
          <w:highlight w:val="none"/>
        </w:rPr>
      </w:pPr>
      <w:bookmarkStart w:id="25" w:name="_Toc35393802"/>
      <w:bookmarkStart w:id="26" w:name="_Toc35393633"/>
      <w:bookmarkStart w:id="27" w:name="_Toc28359093"/>
      <w:bookmarkStart w:id="28" w:name="_Toc28359016"/>
      <w:r>
        <w:rPr>
          <w:rFonts w:hint="eastAsia" w:ascii="仿宋" w:hAnsi="仿宋" w:eastAsia="仿宋" w:cs="仿宋"/>
          <w:b w:val="0"/>
          <w:color w:val="auto"/>
          <w:sz w:val="28"/>
          <w:szCs w:val="28"/>
          <w:highlight w:val="none"/>
        </w:rPr>
        <w:t>五、</w:t>
      </w:r>
      <w:r>
        <w:rPr>
          <w:rFonts w:hint="eastAsia" w:ascii="仿宋" w:hAnsi="仿宋" w:eastAsia="仿宋" w:cs="仿宋"/>
          <w:b w:val="0"/>
          <w:color w:val="auto"/>
          <w:sz w:val="28"/>
          <w:szCs w:val="28"/>
          <w:highlight w:val="none"/>
          <w:lang w:eastAsia="zh-CN"/>
        </w:rPr>
        <w:t>投标文件</w:t>
      </w:r>
      <w:r>
        <w:rPr>
          <w:rFonts w:hint="eastAsia" w:ascii="仿宋" w:hAnsi="仿宋" w:eastAsia="仿宋" w:cs="仿宋"/>
          <w:b w:val="0"/>
          <w:color w:val="auto"/>
          <w:sz w:val="28"/>
          <w:szCs w:val="28"/>
          <w:highlight w:val="none"/>
        </w:rPr>
        <w:t>开启</w:t>
      </w:r>
      <w:bookmarkEnd w:id="25"/>
      <w:bookmarkEnd w:id="26"/>
      <w:bookmarkEnd w:id="27"/>
      <w:bookmarkEnd w:id="28"/>
    </w:p>
    <w:p w14:paraId="25ED35E9">
      <w:pPr>
        <w:pageBreakBefore w:val="0"/>
        <w:widowControl w:val="0"/>
        <w:kinsoku/>
        <w:wordWrap/>
        <w:overflowPunct/>
        <w:topLinePunct w:val="0"/>
        <w:autoSpaceDE/>
        <w:autoSpaceDN/>
        <w:bidi w:val="0"/>
        <w:adjustRightInd/>
        <w:snapToGrid/>
        <w:spacing w:line="500" w:lineRule="exact"/>
        <w:ind w:left="0" w:leftChars="0" w:firstLine="560" w:firstLineChars="200"/>
        <w:jc w:val="both"/>
        <w:textAlignment w:val="auto"/>
        <w:rPr>
          <w:rFonts w:hint="eastAsia" w:ascii="仿宋" w:hAnsi="仿宋" w:eastAsia="仿宋" w:cs="仿宋"/>
          <w:bCs/>
          <w:color w:val="auto"/>
          <w:sz w:val="28"/>
          <w:szCs w:val="28"/>
          <w:highlight w:val="none"/>
          <w:u w:val="single"/>
        </w:rPr>
      </w:pPr>
      <w:r>
        <w:rPr>
          <w:rFonts w:hint="eastAsia" w:ascii="仿宋" w:hAnsi="仿宋" w:eastAsia="仿宋" w:cs="仿宋"/>
          <w:b w:val="0"/>
          <w:color w:val="auto"/>
          <w:sz w:val="28"/>
          <w:szCs w:val="28"/>
          <w:highlight w:val="none"/>
        </w:rPr>
        <w:t>开启</w:t>
      </w:r>
      <w:r>
        <w:rPr>
          <w:rFonts w:hint="eastAsia" w:ascii="仿宋" w:hAnsi="仿宋" w:eastAsia="仿宋" w:cs="仿宋"/>
          <w:color w:val="auto"/>
          <w:sz w:val="28"/>
          <w:szCs w:val="28"/>
          <w:highlight w:val="none"/>
        </w:rPr>
        <w:t>时间：</w:t>
      </w:r>
      <w:r>
        <w:rPr>
          <w:rFonts w:hint="eastAsia" w:ascii="仿宋" w:hAnsi="仿宋" w:eastAsia="仿宋" w:cs="仿宋"/>
          <w:color w:val="auto"/>
          <w:sz w:val="28"/>
          <w:szCs w:val="28"/>
          <w:highlight w:val="none"/>
          <w:u w:val="none"/>
          <w:lang w:val="en-US" w:eastAsia="zh-CN"/>
        </w:rPr>
        <w:t>2026年05月20日</w:t>
      </w:r>
      <w:r>
        <w:rPr>
          <w:rFonts w:hint="eastAsia" w:ascii="仿宋" w:hAnsi="仿宋" w:eastAsia="仿宋" w:cs="仿宋"/>
          <w:bCs/>
          <w:color w:val="auto"/>
          <w:sz w:val="28"/>
          <w:szCs w:val="28"/>
          <w:highlight w:val="none"/>
          <w:u w:val="none"/>
          <w:lang w:val="en-US" w:eastAsia="zh-CN"/>
        </w:rPr>
        <w:t>10</w:t>
      </w:r>
      <w:r>
        <w:rPr>
          <w:rFonts w:hint="eastAsia" w:ascii="仿宋" w:hAnsi="仿宋" w:eastAsia="仿宋" w:cs="仿宋"/>
          <w:bCs/>
          <w:color w:val="auto"/>
          <w:sz w:val="28"/>
          <w:szCs w:val="28"/>
          <w:highlight w:val="none"/>
          <w:u w:val="none"/>
        </w:rPr>
        <w:t>点</w:t>
      </w:r>
      <w:r>
        <w:rPr>
          <w:rFonts w:hint="eastAsia" w:ascii="仿宋" w:hAnsi="仿宋" w:eastAsia="仿宋" w:cs="仿宋"/>
          <w:bCs/>
          <w:color w:val="auto"/>
          <w:sz w:val="28"/>
          <w:szCs w:val="28"/>
          <w:highlight w:val="none"/>
          <w:u w:val="none"/>
          <w:lang w:val="en-US" w:eastAsia="zh-CN"/>
        </w:rPr>
        <w:t>30</w:t>
      </w:r>
      <w:r>
        <w:rPr>
          <w:rFonts w:hint="eastAsia" w:ascii="仿宋" w:hAnsi="仿宋" w:eastAsia="仿宋" w:cs="仿宋"/>
          <w:bCs/>
          <w:color w:val="auto"/>
          <w:sz w:val="28"/>
          <w:szCs w:val="28"/>
          <w:highlight w:val="none"/>
          <w:u w:val="none"/>
        </w:rPr>
        <w:t>分</w:t>
      </w:r>
      <w:r>
        <w:rPr>
          <w:rFonts w:hint="eastAsia" w:ascii="仿宋" w:hAnsi="仿宋" w:eastAsia="仿宋" w:cs="仿宋"/>
          <w:bCs/>
          <w:color w:val="auto"/>
          <w:sz w:val="28"/>
          <w:szCs w:val="28"/>
          <w:highlight w:val="none"/>
        </w:rPr>
        <w:t>（北京时间）</w:t>
      </w:r>
    </w:p>
    <w:p w14:paraId="18728042">
      <w:pPr>
        <w:pageBreakBefore w:val="0"/>
        <w:widowControl w:val="0"/>
        <w:kinsoku/>
        <w:wordWrap/>
        <w:overflowPunct/>
        <w:topLinePunct w:val="0"/>
        <w:autoSpaceDE/>
        <w:autoSpaceDN/>
        <w:bidi w:val="0"/>
        <w:adjustRightInd/>
        <w:snapToGrid/>
        <w:spacing w:line="500" w:lineRule="exact"/>
        <w:ind w:left="0" w:leftChars="0" w:firstLine="560" w:firstLineChars="200"/>
        <w:textAlignment w:val="auto"/>
        <w:outlineLvl w:val="9"/>
        <w:rPr>
          <w:rFonts w:hint="eastAsia" w:ascii="仿宋" w:hAnsi="仿宋" w:eastAsia="仿宋" w:cs="仿宋"/>
          <w:bCs/>
          <w:color w:val="auto"/>
          <w:sz w:val="28"/>
          <w:szCs w:val="28"/>
          <w:highlight w:val="none"/>
          <w:u w:val="single"/>
          <w:lang w:eastAsia="zh-CN"/>
        </w:rPr>
      </w:pPr>
      <w:r>
        <w:rPr>
          <w:rFonts w:hint="eastAsia" w:ascii="仿宋" w:hAnsi="仿宋" w:eastAsia="仿宋" w:cs="仿宋"/>
          <w:color w:val="auto"/>
          <w:sz w:val="28"/>
          <w:szCs w:val="28"/>
          <w:highlight w:val="none"/>
        </w:rPr>
        <w:t>地点：政采云平台（http://www.zcygov.cn/ ）</w:t>
      </w:r>
    </w:p>
    <w:p w14:paraId="16ACE84A">
      <w:pPr>
        <w:pageBreakBefore w:val="0"/>
        <w:widowControl w:val="0"/>
        <w:kinsoku/>
        <w:wordWrap/>
        <w:overflowPunct/>
        <w:topLinePunct w:val="0"/>
        <w:autoSpaceDE/>
        <w:autoSpaceDN/>
        <w:bidi w:val="0"/>
        <w:adjustRightInd/>
        <w:snapToGrid/>
        <w:spacing w:before="0" w:after="0" w:line="500" w:lineRule="exact"/>
        <w:ind w:left="0" w:leftChars="0"/>
        <w:jc w:val="both"/>
        <w:textAlignment w:val="auto"/>
        <w:rPr>
          <w:rFonts w:hint="eastAsia" w:ascii="仿宋" w:hAnsi="仿宋" w:eastAsia="仿宋" w:cs="仿宋"/>
          <w:b w:val="0"/>
          <w:color w:val="auto"/>
          <w:sz w:val="28"/>
          <w:szCs w:val="28"/>
          <w:highlight w:val="none"/>
        </w:rPr>
      </w:pPr>
      <w:bookmarkStart w:id="29" w:name="_Toc35393634"/>
      <w:bookmarkStart w:id="30" w:name="_Toc28359017"/>
      <w:bookmarkStart w:id="31" w:name="_Toc35393803"/>
      <w:bookmarkStart w:id="32" w:name="_Toc28359094"/>
      <w:r>
        <w:rPr>
          <w:rFonts w:hint="eastAsia" w:ascii="仿宋" w:hAnsi="仿宋" w:eastAsia="仿宋" w:cs="仿宋"/>
          <w:b w:val="0"/>
          <w:color w:val="auto"/>
          <w:sz w:val="28"/>
          <w:szCs w:val="28"/>
          <w:highlight w:val="none"/>
        </w:rPr>
        <w:t>六、公告期限</w:t>
      </w:r>
      <w:bookmarkEnd w:id="29"/>
      <w:bookmarkEnd w:id="30"/>
      <w:bookmarkEnd w:id="31"/>
      <w:bookmarkEnd w:id="32"/>
    </w:p>
    <w:p w14:paraId="42DFB8E0">
      <w:pPr>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自本公告发布之日起5个工作日。</w:t>
      </w:r>
    </w:p>
    <w:p w14:paraId="104F56E4">
      <w:pPr>
        <w:pStyle w:val="3"/>
        <w:pageBreakBefore w:val="0"/>
        <w:widowControl w:val="0"/>
        <w:kinsoku/>
        <w:wordWrap/>
        <w:overflowPunct/>
        <w:topLinePunct w:val="0"/>
        <w:autoSpaceDE/>
        <w:autoSpaceDN/>
        <w:bidi w:val="0"/>
        <w:adjustRightInd/>
        <w:snapToGrid/>
        <w:spacing w:before="0" w:after="0" w:line="500" w:lineRule="exact"/>
        <w:ind w:left="0" w:leftChars="0"/>
        <w:jc w:val="both"/>
        <w:textAlignment w:val="auto"/>
        <w:rPr>
          <w:rFonts w:hint="eastAsia" w:ascii="仿宋" w:hAnsi="仿宋" w:eastAsia="仿宋" w:cs="仿宋"/>
          <w:b w:val="0"/>
          <w:color w:val="auto"/>
          <w:sz w:val="28"/>
          <w:szCs w:val="28"/>
          <w:highlight w:val="none"/>
        </w:rPr>
      </w:pPr>
      <w:bookmarkStart w:id="33" w:name="_Toc35393626"/>
      <w:bookmarkStart w:id="34" w:name="_Toc35393795"/>
      <w:bookmarkStart w:id="35" w:name="_Toc26601"/>
      <w:r>
        <w:rPr>
          <w:rFonts w:hint="eastAsia" w:ascii="仿宋" w:hAnsi="仿宋" w:eastAsia="仿宋" w:cs="仿宋"/>
          <w:b w:val="0"/>
          <w:color w:val="auto"/>
          <w:sz w:val="28"/>
          <w:szCs w:val="28"/>
          <w:highlight w:val="none"/>
          <w:lang w:val="en-US" w:eastAsia="zh-CN"/>
        </w:rPr>
        <w:t>七</w:t>
      </w:r>
      <w:r>
        <w:rPr>
          <w:rFonts w:hint="eastAsia" w:ascii="仿宋" w:hAnsi="仿宋" w:eastAsia="仿宋" w:cs="仿宋"/>
          <w:b w:val="0"/>
          <w:color w:val="auto"/>
          <w:sz w:val="28"/>
          <w:szCs w:val="28"/>
          <w:highlight w:val="none"/>
        </w:rPr>
        <w:t>、其他补充事宜</w:t>
      </w:r>
      <w:bookmarkEnd w:id="33"/>
      <w:bookmarkEnd w:id="34"/>
      <w:bookmarkEnd w:id="35"/>
    </w:p>
    <w:p w14:paraId="01C2C58D">
      <w:pPr>
        <w:pageBreakBefore w:val="0"/>
        <w:widowControl w:val="0"/>
        <w:numPr>
          <w:ilvl w:val="0"/>
          <w:numId w:val="0"/>
        </w:numPr>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b w:val="0"/>
          <w:color w:val="auto"/>
          <w:sz w:val="28"/>
          <w:szCs w:val="28"/>
          <w:highlight w:val="none"/>
          <w:lang w:eastAsia="zh-CN"/>
        </w:rPr>
      </w:pPr>
      <w:bookmarkStart w:id="36" w:name="_Toc28359085"/>
      <w:bookmarkStart w:id="37" w:name="_Toc28359008"/>
      <w:bookmarkStart w:id="38" w:name="_Toc35393796"/>
      <w:bookmarkStart w:id="39" w:name="_Toc35393627"/>
      <w:r>
        <w:rPr>
          <w:rFonts w:hint="eastAsia" w:ascii="仿宋" w:hAnsi="仿宋" w:eastAsia="仿宋" w:cs="仿宋"/>
          <w:b w:val="0"/>
          <w:color w:val="auto"/>
          <w:sz w:val="28"/>
          <w:szCs w:val="28"/>
          <w:highlight w:val="none"/>
          <w:lang w:eastAsia="zh-CN"/>
        </w:rPr>
        <w:t>1、本项目实行网上投标，采用电子投标文件。</w:t>
      </w:r>
    </w:p>
    <w:p w14:paraId="5700D104">
      <w:pPr>
        <w:pageBreakBefore w:val="0"/>
        <w:widowControl w:val="0"/>
        <w:numPr>
          <w:ilvl w:val="0"/>
          <w:numId w:val="0"/>
        </w:numPr>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b w:val="0"/>
          <w:color w:val="auto"/>
          <w:sz w:val="28"/>
          <w:szCs w:val="28"/>
          <w:highlight w:val="none"/>
          <w:lang w:eastAsia="zh-CN"/>
        </w:rPr>
      </w:pPr>
      <w:r>
        <w:rPr>
          <w:rFonts w:hint="eastAsia" w:ascii="仿宋" w:hAnsi="仿宋" w:eastAsia="仿宋" w:cs="仿宋"/>
          <w:b w:val="0"/>
          <w:color w:val="auto"/>
          <w:sz w:val="28"/>
          <w:szCs w:val="28"/>
          <w:highlight w:val="none"/>
          <w:lang w:eastAsia="zh-CN"/>
        </w:rPr>
        <w:t>2、各供应商应在开标前确保成为正式注册入库供应商，并完成CA 数字证书(符合 国密标准)申领。因未注册入库、未办理 CA 数字证书等原因造成无法投标或投标失败等 后果由供应商自行承担。如需咨询，请联系新疆-安信 CA 服务热线 18399999326；翔晟 CA 服务热线 025-66085508；新疆 CA 服务热线 4000921999。</w:t>
      </w:r>
    </w:p>
    <w:p w14:paraId="06E1E2C4">
      <w:pPr>
        <w:pageBreakBefore w:val="0"/>
        <w:widowControl w:val="0"/>
        <w:numPr>
          <w:ilvl w:val="0"/>
          <w:numId w:val="0"/>
        </w:numPr>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b w:val="0"/>
          <w:color w:val="auto"/>
          <w:sz w:val="28"/>
          <w:szCs w:val="28"/>
          <w:highlight w:val="none"/>
          <w:lang w:eastAsia="zh-CN"/>
        </w:rPr>
      </w:pPr>
      <w:r>
        <w:rPr>
          <w:rFonts w:hint="eastAsia" w:ascii="仿宋" w:hAnsi="仿宋" w:eastAsia="仿宋" w:cs="仿宋"/>
          <w:b w:val="0"/>
          <w:color w:val="auto"/>
          <w:sz w:val="28"/>
          <w:szCs w:val="28"/>
          <w:highlight w:val="none"/>
          <w:lang w:eastAsia="zh-CN"/>
        </w:rPr>
        <w:t>3、供应商将政采云电子交易客户端下载、安装完成后，可通过账号密码或CA 登录 客户端进行投标文件的制作。在使用政采云投标客户端时，建议使用WIN7 及以上操作 系统。</w:t>
      </w:r>
    </w:p>
    <w:p w14:paraId="098E5708">
      <w:pPr>
        <w:pageBreakBefore w:val="0"/>
        <w:widowControl w:val="0"/>
        <w:numPr>
          <w:ilvl w:val="0"/>
          <w:numId w:val="0"/>
        </w:numPr>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b w:val="0"/>
          <w:color w:val="auto"/>
          <w:sz w:val="28"/>
          <w:szCs w:val="28"/>
          <w:highlight w:val="none"/>
          <w:lang w:eastAsia="zh-CN"/>
        </w:rPr>
      </w:pPr>
      <w:r>
        <w:rPr>
          <w:rFonts w:hint="eastAsia" w:ascii="仿宋" w:hAnsi="仿宋" w:eastAsia="仿宋" w:cs="仿宋"/>
          <w:b w:val="0"/>
          <w:color w:val="auto"/>
          <w:sz w:val="28"/>
          <w:szCs w:val="28"/>
          <w:highlight w:val="none"/>
          <w:lang w:eastAsia="zh-CN"/>
        </w:rPr>
        <w:t>4、其他事项：</w:t>
      </w:r>
    </w:p>
    <w:p w14:paraId="13777B5F">
      <w:pPr>
        <w:pageBreakBefore w:val="0"/>
        <w:widowControl w:val="0"/>
        <w:numPr>
          <w:ilvl w:val="0"/>
          <w:numId w:val="0"/>
        </w:numPr>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b w:val="0"/>
          <w:color w:val="auto"/>
          <w:sz w:val="28"/>
          <w:szCs w:val="28"/>
          <w:highlight w:val="none"/>
          <w:lang w:eastAsia="zh-CN"/>
        </w:rPr>
      </w:pPr>
      <w:r>
        <w:rPr>
          <w:rFonts w:hint="eastAsia" w:ascii="仿宋" w:hAnsi="仿宋" w:eastAsia="仿宋" w:cs="仿宋"/>
          <w:b w:val="0"/>
          <w:color w:val="auto"/>
          <w:sz w:val="28"/>
          <w:szCs w:val="28"/>
          <w:highlight w:val="none"/>
          <w:lang w:eastAsia="zh-CN"/>
        </w:rPr>
        <w:t>4.1 本次公告在新疆政府采购网、阿克苏地区行政公署网发布；</w:t>
      </w:r>
    </w:p>
    <w:p w14:paraId="26D1F69C">
      <w:pPr>
        <w:pageBreakBefore w:val="0"/>
        <w:widowControl w:val="0"/>
        <w:numPr>
          <w:ilvl w:val="0"/>
          <w:numId w:val="0"/>
        </w:numPr>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b w:val="0"/>
          <w:color w:val="auto"/>
          <w:sz w:val="28"/>
          <w:szCs w:val="28"/>
          <w:highlight w:val="none"/>
          <w:lang w:eastAsia="zh-CN"/>
        </w:rPr>
      </w:pPr>
      <w:r>
        <w:rPr>
          <w:rFonts w:hint="eastAsia" w:ascii="仿宋" w:hAnsi="仿宋" w:eastAsia="仿宋" w:cs="仿宋"/>
          <w:b w:val="0"/>
          <w:color w:val="auto"/>
          <w:sz w:val="28"/>
          <w:szCs w:val="28"/>
          <w:highlight w:val="none"/>
          <w:lang w:eastAsia="zh-CN"/>
        </w:rPr>
        <w:t>4.2 请投标单位随时关注本项目的变更、答疑、澄清文件。</w:t>
      </w:r>
    </w:p>
    <w:p w14:paraId="6E47749F">
      <w:pPr>
        <w:pageBreakBefore w:val="0"/>
        <w:widowControl w:val="0"/>
        <w:numPr>
          <w:ilvl w:val="0"/>
          <w:numId w:val="0"/>
        </w:numPr>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b w:val="0"/>
          <w:color w:val="auto"/>
          <w:sz w:val="28"/>
          <w:szCs w:val="28"/>
          <w:highlight w:val="none"/>
          <w:lang w:eastAsia="zh-CN"/>
        </w:rPr>
      </w:pPr>
      <w:r>
        <w:rPr>
          <w:rFonts w:hint="eastAsia" w:ascii="仿宋" w:hAnsi="仿宋" w:eastAsia="仿宋" w:cs="仿宋"/>
          <w:b w:val="0"/>
          <w:color w:val="auto"/>
          <w:sz w:val="28"/>
          <w:szCs w:val="28"/>
          <w:highlight w:val="none"/>
          <w:lang w:eastAsia="zh-CN"/>
        </w:rPr>
        <w:t>4.3 本项目实行电子招投标，投标人须登录政采云平台申请获取招标文件，并通过 政采云电子投标客户端制作投标文件，同时自行承担与投标有关的一切费用。</w:t>
      </w:r>
    </w:p>
    <w:p w14:paraId="0BD4C3BB">
      <w:pPr>
        <w:pageBreakBefore w:val="0"/>
        <w:widowControl w:val="0"/>
        <w:numPr>
          <w:ilvl w:val="0"/>
          <w:numId w:val="0"/>
        </w:numPr>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b w:val="0"/>
          <w:color w:val="auto"/>
          <w:sz w:val="28"/>
          <w:szCs w:val="28"/>
          <w:highlight w:val="none"/>
          <w:lang w:eastAsia="zh-CN"/>
        </w:rPr>
      </w:pPr>
      <w:r>
        <w:rPr>
          <w:rFonts w:hint="eastAsia" w:ascii="仿宋" w:hAnsi="仿宋" w:eastAsia="仿宋" w:cs="仿宋"/>
          <w:b w:val="0"/>
          <w:color w:val="auto"/>
          <w:sz w:val="28"/>
          <w:szCs w:val="28"/>
          <w:highlight w:val="none"/>
          <w:lang w:eastAsia="zh-CN"/>
        </w:rPr>
        <w:t>4.4、本项目采用不见面开标，投标人须在投标截止时间前通过 CA 在政采云平台上 传加密的电子投标文件。备注：投标人对不见面开评标系统的技术操作咨询，可通过 https://edu.zcygov.cn/luban/xinjiang-e-biding 自助查询，也可在政采云帮助中心 常 见 问 题 解 答 和 操 作 流 程 讲 解 视 频 中 自 助 查 询 ， 网 址 为 ： https://service.zcygov.cn/#/help，“项目采购”—“操作流程-电子招投标”—“政 府采购项目电子交易管理操作指南-投标人 ”版面获取操作指南，同时对自助查询无法 解决的问题可通过钉钉群及政采云在线客服获取服务支持。</w:t>
      </w:r>
    </w:p>
    <w:p w14:paraId="1D4E16B3">
      <w:pPr>
        <w:pageBreakBefore w:val="0"/>
        <w:widowControl w:val="0"/>
        <w:numPr>
          <w:ilvl w:val="0"/>
          <w:numId w:val="0"/>
        </w:numPr>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b w:val="0"/>
          <w:color w:val="auto"/>
          <w:sz w:val="28"/>
          <w:szCs w:val="28"/>
          <w:highlight w:val="none"/>
          <w:lang w:eastAsia="zh-CN"/>
        </w:rPr>
      </w:pPr>
      <w:r>
        <w:rPr>
          <w:rFonts w:hint="eastAsia" w:ascii="仿宋" w:hAnsi="仿宋" w:eastAsia="仿宋" w:cs="仿宋"/>
          <w:b w:val="0"/>
          <w:color w:val="auto"/>
          <w:sz w:val="28"/>
          <w:szCs w:val="28"/>
          <w:highlight w:val="none"/>
          <w:lang w:eastAsia="zh-CN"/>
        </w:rPr>
        <w:t>4.5、投标人在开标前须提前配置好电脑浏览器（建议使用 360 浏览器或谷歌浏览 器），开标时请使用制作加密电子投标文件的CA 锁进行解密及报价确认。本项目投标 文件解密时间定为30 分钟，如因自身原因导致无法正常解密，后果由投标人自行承担。</w:t>
      </w:r>
    </w:p>
    <w:p w14:paraId="41FDE743">
      <w:pPr>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color w:val="auto"/>
          <w:sz w:val="24"/>
          <w:szCs w:val="24"/>
          <w:highlight w:val="none"/>
        </w:rPr>
        <w:t>特别提示：</w:t>
      </w:r>
    </w:p>
    <w:p w14:paraId="554D05CC">
      <w:pPr>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color w:val="auto"/>
          <w:sz w:val="24"/>
          <w:szCs w:val="24"/>
          <w:highlight w:val="none"/>
        </w:rPr>
        <w:t>1、采购限额标准以上，200万元以下的货物和服务采购项目、400万元以下的工程采购项目，适宜由中小企业提供的，采购人应当专门面向中小企业采购。</w:t>
      </w:r>
    </w:p>
    <w:p w14:paraId="72B6BC1A">
      <w:pPr>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color w:val="auto"/>
          <w:sz w:val="24"/>
          <w:szCs w:val="24"/>
          <w:highlight w:val="none"/>
        </w:rPr>
        <w:t>2、超过200万元的货物和服务采购项目，预留该部分采购项目预算总额的30%以上专门面向中小企业采购，其中预留给小微企业的比例不低于60%。</w:t>
      </w:r>
    </w:p>
    <w:p w14:paraId="5BDA1582">
      <w:pPr>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color w:val="auto"/>
          <w:sz w:val="24"/>
          <w:szCs w:val="24"/>
          <w:highlight w:val="none"/>
        </w:rPr>
        <w:t>3、超过400万元的工程采购项目中适宜由中小企业提供的，预留该部分采购项目预算总额的40%以上专门面向中小企业采购，其中预留给小微企业的比例不低于60%。</w:t>
      </w:r>
    </w:p>
    <w:p w14:paraId="5E813F28">
      <w:pPr>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color w:val="auto"/>
          <w:sz w:val="24"/>
          <w:szCs w:val="24"/>
          <w:highlight w:val="none"/>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602D5D3F">
      <w:pPr>
        <w:pStyle w:val="3"/>
        <w:pageBreakBefore w:val="0"/>
        <w:widowControl w:val="0"/>
        <w:kinsoku/>
        <w:wordWrap/>
        <w:overflowPunct/>
        <w:topLinePunct w:val="0"/>
        <w:autoSpaceDE/>
        <w:autoSpaceDN/>
        <w:bidi w:val="0"/>
        <w:adjustRightInd/>
        <w:snapToGrid/>
        <w:spacing w:before="0" w:after="0" w:line="500" w:lineRule="exact"/>
        <w:ind w:left="0" w:leftChars="0"/>
        <w:jc w:val="both"/>
        <w:textAlignment w:val="auto"/>
        <w:rPr>
          <w:rFonts w:hint="eastAsia" w:ascii="微软雅黑" w:hAnsi="微软雅黑" w:eastAsia="微软雅黑" w:cs="微软雅黑"/>
          <w:b w:val="0"/>
          <w:bCs w:val="0"/>
          <w:color w:val="auto"/>
          <w:sz w:val="24"/>
          <w:szCs w:val="24"/>
          <w:highlight w:val="none"/>
        </w:rPr>
      </w:pPr>
      <w:bookmarkStart w:id="40" w:name="_Toc21777"/>
      <w:r>
        <w:rPr>
          <w:rFonts w:hint="eastAsia" w:ascii="微软雅黑" w:hAnsi="微软雅黑" w:eastAsia="微软雅黑" w:cs="微软雅黑"/>
          <w:b w:val="0"/>
          <w:bCs w:val="0"/>
          <w:color w:val="auto"/>
          <w:sz w:val="24"/>
          <w:szCs w:val="24"/>
          <w:highlight w:val="none"/>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bookmarkEnd w:id="40"/>
    </w:p>
    <w:p w14:paraId="06486578">
      <w:pPr>
        <w:pStyle w:val="3"/>
        <w:pageBreakBefore w:val="0"/>
        <w:widowControl w:val="0"/>
        <w:kinsoku/>
        <w:wordWrap/>
        <w:overflowPunct/>
        <w:topLinePunct w:val="0"/>
        <w:autoSpaceDE/>
        <w:autoSpaceDN/>
        <w:bidi w:val="0"/>
        <w:adjustRightInd/>
        <w:snapToGrid/>
        <w:spacing w:before="0" w:after="0" w:line="500" w:lineRule="exact"/>
        <w:ind w:left="0" w:leftChars="0"/>
        <w:jc w:val="both"/>
        <w:textAlignment w:val="auto"/>
        <w:rPr>
          <w:rFonts w:hint="eastAsia" w:ascii="仿宋" w:hAnsi="仿宋" w:eastAsia="仿宋" w:cs="仿宋"/>
          <w:b w:val="0"/>
          <w:color w:val="auto"/>
          <w:sz w:val="28"/>
          <w:szCs w:val="28"/>
          <w:highlight w:val="none"/>
        </w:rPr>
      </w:pPr>
      <w:bookmarkStart w:id="41" w:name="_Toc17857"/>
      <w:r>
        <w:rPr>
          <w:rFonts w:hint="eastAsia" w:ascii="仿宋" w:hAnsi="仿宋" w:eastAsia="仿宋" w:cs="仿宋"/>
          <w:b w:val="0"/>
          <w:color w:val="auto"/>
          <w:sz w:val="28"/>
          <w:szCs w:val="28"/>
          <w:highlight w:val="none"/>
          <w:lang w:val="en-US" w:eastAsia="zh-CN"/>
        </w:rPr>
        <w:t>八</w:t>
      </w:r>
      <w:r>
        <w:rPr>
          <w:rFonts w:hint="eastAsia" w:ascii="仿宋" w:hAnsi="仿宋" w:eastAsia="仿宋" w:cs="仿宋"/>
          <w:b w:val="0"/>
          <w:color w:val="auto"/>
          <w:sz w:val="28"/>
          <w:szCs w:val="28"/>
          <w:highlight w:val="none"/>
        </w:rPr>
        <w:t>、对本次招标提出询问，请按以下方式联系。</w:t>
      </w:r>
      <w:bookmarkEnd w:id="36"/>
      <w:bookmarkEnd w:id="37"/>
      <w:bookmarkEnd w:id="38"/>
      <w:bookmarkEnd w:id="39"/>
      <w:bookmarkEnd w:id="41"/>
    </w:p>
    <w:p w14:paraId="6A90E5E1">
      <w:pPr>
        <w:pageBreakBefore w:val="0"/>
        <w:widowControl w:val="0"/>
        <w:kinsoku/>
        <w:wordWrap/>
        <w:overflowPunct/>
        <w:topLinePunct w:val="0"/>
        <w:autoSpaceDE/>
        <w:autoSpaceDN/>
        <w:bidi w:val="0"/>
        <w:adjustRightInd/>
        <w:snapToGrid/>
        <w:spacing w:line="500" w:lineRule="exact"/>
        <w:ind w:left="638" w:leftChars="304" w:firstLine="210" w:firstLineChars="75"/>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1.采购人信息</w:t>
      </w:r>
    </w:p>
    <w:p w14:paraId="35903BEC">
      <w:pPr>
        <w:pageBreakBefore w:val="0"/>
        <w:widowControl w:val="0"/>
        <w:kinsoku/>
        <w:wordWrap/>
        <w:overflowPunct/>
        <w:topLinePunct w:val="0"/>
        <w:autoSpaceDE/>
        <w:autoSpaceDN/>
        <w:bidi w:val="0"/>
        <w:adjustRightInd/>
        <w:snapToGrid/>
        <w:spacing w:line="500" w:lineRule="exact"/>
        <w:ind w:left="638" w:leftChars="304" w:firstLine="210" w:firstLineChars="75"/>
        <w:jc w:val="left"/>
        <w:textAlignment w:val="auto"/>
        <w:rPr>
          <w:rFonts w:hint="eastAsia" w:ascii="仿宋" w:hAnsi="仿宋" w:eastAsia="仿宋" w:cs="仿宋"/>
          <w:color w:val="auto"/>
          <w:sz w:val="28"/>
          <w:szCs w:val="28"/>
          <w:highlight w:val="none"/>
          <w:u w:val="none"/>
          <w:lang w:eastAsia="zh-CN"/>
        </w:rPr>
      </w:pPr>
      <w:r>
        <w:rPr>
          <w:rFonts w:hint="eastAsia" w:ascii="仿宋" w:hAnsi="仿宋" w:eastAsia="仿宋" w:cs="仿宋"/>
          <w:color w:val="auto"/>
          <w:sz w:val="28"/>
          <w:szCs w:val="28"/>
          <w:highlight w:val="none"/>
          <w:u w:val="none"/>
        </w:rPr>
        <w:t xml:space="preserve">名 </w:t>
      </w:r>
      <w:r>
        <w:rPr>
          <w:rFonts w:hint="eastAsia" w:ascii="仿宋" w:hAnsi="仿宋" w:eastAsia="仿宋" w:cs="仿宋"/>
          <w:color w:val="auto"/>
          <w:sz w:val="28"/>
          <w:szCs w:val="28"/>
          <w:highlight w:val="none"/>
          <w:u w:val="none"/>
          <w:lang w:val="en-US" w:eastAsia="zh-CN"/>
        </w:rPr>
        <w:t xml:space="preserve"> </w:t>
      </w:r>
      <w:r>
        <w:rPr>
          <w:rFonts w:hint="eastAsia" w:ascii="仿宋" w:hAnsi="仿宋" w:eastAsia="仿宋" w:cs="仿宋"/>
          <w:color w:val="auto"/>
          <w:sz w:val="28"/>
          <w:szCs w:val="28"/>
          <w:highlight w:val="none"/>
          <w:u w:val="none"/>
        </w:rPr>
        <w:t>称：</w:t>
      </w:r>
      <w:r>
        <w:rPr>
          <w:rFonts w:hint="eastAsia" w:ascii="仿宋" w:hAnsi="仿宋" w:eastAsia="仿宋" w:cs="仿宋"/>
          <w:color w:val="auto"/>
          <w:sz w:val="28"/>
          <w:szCs w:val="28"/>
          <w:highlight w:val="none"/>
          <w:u w:val="none"/>
          <w:lang w:eastAsia="zh-CN"/>
        </w:rPr>
        <w:t>新疆维吾尔自治区阿克苏地区应急管理局</w:t>
      </w:r>
    </w:p>
    <w:p w14:paraId="17D4A993">
      <w:pPr>
        <w:pageBreakBefore w:val="0"/>
        <w:widowControl w:val="0"/>
        <w:kinsoku/>
        <w:wordWrap/>
        <w:overflowPunct/>
        <w:topLinePunct w:val="0"/>
        <w:autoSpaceDE/>
        <w:autoSpaceDN/>
        <w:bidi w:val="0"/>
        <w:adjustRightInd/>
        <w:snapToGrid/>
        <w:spacing w:line="500" w:lineRule="exact"/>
        <w:ind w:left="638" w:leftChars="304" w:firstLine="210" w:firstLineChars="75"/>
        <w:jc w:val="left"/>
        <w:textAlignment w:val="auto"/>
        <w:rPr>
          <w:rFonts w:hint="eastAsia" w:ascii="仿宋" w:hAnsi="仿宋" w:eastAsia="仿宋" w:cs="仿宋"/>
          <w:color w:val="auto"/>
          <w:sz w:val="28"/>
          <w:szCs w:val="28"/>
          <w:highlight w:val="none"/>
          <w:u w:val="none"/>
          <w:lang w:eastAsia="zh-CN"/>
        </w:rPr>
      </w:pPr>
      <w:r>
        <w:rPr>
          <w:rFonts w:hint="eastAsia" w:ascii="仿宋" w:hAnsi="仿宋" w:eastAsia="仿宋" w:cs="仿宋"/>
          <w:color w:val="auto"/>
          <w:sz w:val="28"/>
          <w:szCs w:val="28"/>
          <w:highlight w:val="none"/>
          <w:u w:val="none"/>
        </w:rPr>
        <w:t>地</w:t>
      </w:r>
      <w:r>
        <w:rPr>
          <w:rFonts w:hint="eastAsia" w:ascii="仿宋" w:hAnsi="仿宋" w:eastAsia="仿宋" w:cs="仿宋"/>
          <w:color w:val="auto"/>
          <w:sz w:val="28"/>
          <w:szCs w:val="28"/>
          <w:highlight w:val="none"/>
          <w:u w:val="none"/>
          <w:lang w:val="en-US" w:eastAsia="zh-CN"/>
        </w:rPr>
        <w:t xml:space="preserve">  </w:t>
      </w:r>
      <w:r>
        <w:rPr>
          <w:rFonts w:hint="eastAsia" w:ascii="仿宋" w:hAnsi="仿宋" w:eastAsia="仿宋" w:cs="仿宋"/>
          <w:color w:val="auto"/>
          <w:sz w:val="28"/>
          <w:szCs w:val="28"/>
          <w:highlight w:val="none"/>
          <w:u w:val="none"/>
        </w:rPr>
        <w:t>址：</w:t>
      </w:r>
      <w:r>
        <w:rPr>
          <w:rFonts w:hint="eastAsia" w:ascii="仿宋" w:hAnsi="仿宋" w:eastAsia="仿宋" w:cs="仿宋"/>
          <w:color w:val="auto"/>
          <w:sz w:val="28"/>
          <w:szCs w:val="28"/>
          <w:highlight w:val="none"/>
          <w:u w:val="none"/>
          <w:lang w:eastAsia="zh-CN"/>
        </w:rPr>
        <w:t>阿克苏市文化路28号</w:t>
      </w:r>
    </w:p>
    <w:p w14:paraId="6B376CC4">
      <w:pPr>
        <w:pageBreakBefore w:val="0"/>
        <w:widowControl w:val="0"/>
        <w:kinsoku/>
        <w:wordWrap/>
        <w:overflowPunct/>
        <w:topLinePunct w:val="0"/>
        <w:autoSpaceDE/>
        <w:autoSpaceDN/>
        <w:bidi w:val="0"/>
        <w:adjustRightInd/>
        <w:snapToGrid/>
        <w:spacing w:line="500" w:lineRule="exact"/>
        <w:ind w:left="638" w:leftChars="304" w:firstLine="210" w:firstLineChars="75"/>
        <w:jc w:val="left"/>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u w:val="none"/>
        </w:rPr>
        <w:t>联系方式：</w:t>
      </w:r>
      <w:bookmarkStart w:id="42" w:name="_Toc28359086"/>
      <w:bookmarkStart w:id="43" w:name="_Toc28359009"/>
      <w:r>
        <w:rPr>
          <w:rFonts w:hint="eastAsia" w:ascii="仿宋" w:hAnsi="仿宋" w:eastAsia="仿宋" w:cs="仿宋"/>
          <w:color w:val="auto"/>
          <w:sz w:val="28"/>
          <w:szCs w:val="28"/>
          <w:highlight w:val="none"/>
          <w:u w:val="none"/>
          <w:lang w:eastAsia="zh-CN"/>
        </w:rPr>
        <w:t>0997-2131117</w:t>
      </w:r>
    </w:p>
    <w:p w14:paraId="01B42C3E">
      <w:pPr>
        <w:pageBreakBefore w:val="0"/>
        <w:widowControl w:val="0"/>
        <w:kinsoku/>
        <w:wordWrap/>
        <w:overflowPunct/>
        <w:topLinePunct w:val="0"/>
        <w:autoSpaceDE/>
        <w:autoSpaceDN/>
        <w:bidi w:val="0"/>
        <w:adjustRightInd/>
        <w:snapToGrid/>
        <w:spacing w:line="500" w:lineRule="exact"/>
        <w:ind w:left="638" w:leftChars="304" w:firstLine="210" w:firstLineChars="75"/>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2.采购代理机构信息</w:t>
      </w:r>
      <w:bookmarkEnd w:id="42"/>
      <w:bookmarkEnd w:id="43"/>
    </w:p>
    <w:p w14:paraId="26818748">
      <w:pPr>
        <w:pageBreakBefore w:val="0"/>
        <w:widowControl w:val="0"/>
        <w:kinsoku/>
        <w:wordWrap/>
        <w:overflowPunct/>
        <w:topLinePunct w:val="0"/>
        <w:autoSpaceDE/>
        <w:autoSpaceDN/>
        <w:bidi w:val="0"/>
        <w:adjustRightInd/>
        <w:snapToGrid/>
        <w:spacing w:line="500" w:lineRule="exact"/>
        <w:ind w:left="638" w:leftChars="304" w:firstLine="210" w:firstLineChars="75"/>
        <w:jc w:val="left"/>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名</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称：</w:t>
      </w:r>
      <w:r>
        <w:rPr>
          <w:rFonts w:hint="eastAsia" w:ascii="仿宋" w:hAnsi="仿宋" w:eastAsia="仿宋" w:cs="仿宋"/>
          <w:color w:val="auto"/>
          <w:sz w:val="28"/>
          <w:szCs w:val="28"/>
          <w:highlight w:val="none"/>
          <w:lang w:eastAsia="zh-CN"/>
        </w:rPr>
        <w:t>新疆卓普项目管理有限公司</w:t>
      </w:r>
    </w:p>
    <w:p w14:paraId="3244B59C">
      <w:pPr>
        <w:pageBreakBefore w:val="0"/>
        <w:widowControl w:val="0"/>
        <w:kinsoku/>
        <w:wordWrap/>
        <w:overflowPunct/>
        <w:topLinePunct w:val="0"/>
        <w:autoSpaceDE/>
        <w:autoSpaceDN/>
        <w:bidi w:val="0"/>
        <w:adjustRightInd/>
        <w:snapToGrid/>
        <w:spacing w:line="500" w:lineRule="exact"/>
        <w:ind w:left="638" w:leftChars="304" w:firstLine="210" w:firstLineChars="75"/>
        <w:jc w:val="left"/>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地　址：</w:t>
      </w:r>
      <w:r>
        <w:rPr>
          <w:rFonts w:hint="eastAsia" w:ascii="仿宋" w:hAnsi="仿宋" w:eastAsia="仿宋" w:cs="仿宋"/>
          <w:color w:val="auto"/>
          <w:sz w:val="28"/>
          <w:szCs w:val="28"/>
          <w:highlight w:val="none"/>
          <w:lang w:eastAsia="zh-CN"/>
        </w:rPr>
        <w:t>阿克苏市东大街18号友好家属院5号楼</w:t>
      </w:r>
    </w:p>
    <w:p w14:paraId="6154EC19">
      <w:pPr>
        <w:pageBreakBefore w:val="0"/>
        <w:widowControl w:val="0"/>
        <w:kinsoku/>
        <w:wordWrap/>
        <w:overflowPunct/>
        <w:topLinePunct w:val="0"/>
        <w:autoSpaceDE/>
        <w:autoSpaceDN/>
        <w:bidi w:val="0"/>
        <w:adjustRightInd/>
        <w:snapToGrid/>
        <w:spacing w:line="500" w:lineRule="exact"/>
        <w:ind w:left="638" w:leftChars="304" w:firstLine="210" w:firstLineChars="75"/>
        <w:jc w:val="left"/>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联系方式：</w:t>
      </w:r>
      <w:bookmarkStart w:id="44" w:name="_Toc28359010"/>
      <w:bookmarkStart w:id="45" w:name="_Toc28359087"/>
      <w:r>
        <w:rPr>
          <w:rFonts w:hint="eastAsia" w:ascii="仿宋" w:hAnsi="仿宋" w:eastAsia="仿宋" w:cs="仿宋"/>
          <w:color w:val="auto"/>
          <w:sz w:val="28"/>
          <w:szCs w:val="28"/>
          <w:highlight w:val="none"/>
          <w:lang w:val="en-US" w:eastAsia="zh-CN"/>
        </w:rPr>
        <w:t>15699353525</w:t>
      </w:r>
    </w:p>
    <w:p w14:paraId="7ADECFE5">
      <w:pPr>
        <w:pageBreakBefore w:val="0"/>
        <w:widowControl w:val="0"/>
        <w:kinsoku/>
        <w:wordWrap/>
        <w:overflowPunct/>
        <w:topLinePunct w:val="0"/>
        <w:autoSpaceDE/>
        <w:autoSpaceDN/>
        <w:bidi w:val="0"/>
        <w:adjustRightInd/>
        <w:snapToGrid/>
        <w:spacing w:line="500" w:lineRule="exact"/>
        <w:ind w:left="638" w:leftChars="304" w:firstLine="210" w:firstLineChars="75"/>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3.项目联系方式</w:t>
      </w:r>
      <w:bookmarkEnd w:id="44"/>
      <w:bookmarkEnd w:id="45"/>
    </w:p>
    <w:p w14:paraId="41167688">
      <w:pPr>
        <w:pageBreakBefore w:val="0"/>
        <w:widowControl w:val="0"/>
        <w:kinsoku/>
        <w:wordWrap/>
        <w:overflowPunct/>
        <w:topLinePunct w:val="0"/>
        <w:autoSpaceDE/>
        <w:autoSpaceDN/>
        <w:bidi w:val="0"/>
        <w:adjustRightInd/>
        <w:snapToGrid/>
        <w:spacing w:line="500" w:lineRule="exact"/>
        <w:ind w:left="638" w:leftChars="304" w:firstLine="210" w:firstLineChars="75"/>
        <w:jc w:val="left"/>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项目联系人：</w:t>
      </w:r>
      <w:r>
        <w:rPr>
          <w:rFonts w:hint="eastAsia" w:ascii="仿宋" w:hAnsi="仿宋" w:eastAsia="仿宋" w:cs="仿宋"/>
          <w:color w:val="auto"/>
          <w:sz w:val="28"/>
          <w:szCs w:val="28"/>
          <w:highlight w:val="none"/>
          <w:lang w:val="en-US" w:eastAsia="zh-CN"/>
        </w:rPr>
        <w:t>董青琴</w:t>
      </w:r>
    </w:p>
    <w:p w14:paraId="05713049">
      <w:pPr>
        <w:pageBreakBefore w:val="0"/>
        <w:widowControl w:val="0"/>
        <w:kinsoku/>
        <w:wordWrap/>
        <w:overflowPunct/>
        <w:topLinePunct w:val="0"/>
        <w:autoSpaceDE/>
        <w:autoSpaceDN/>
        <w:bidi w:val="0"/>
        <w:adjustRightInd/>
        <w:snapToGrid/>
        <w:spacing w:line="500" w:lineRule="exact"/>
        <w:ind w:left="638" w:leftChars="304" w:firstLine="210" w:firstLineChars="75"/>
        <w:jc w:val="left"/>
        <w:textAlignment w:val="auto"/>
        <w:outlineLvl w:val="9"/>
        <w:rPr>
          <w:rFonts w:hint="eastAsia" w:ascii="仿宋" w:hAnsi="仿宋" w:eastAsia="仿宋" w:cs="仿宋"/>
          <w:color w:val="auto"/>
          <w:sz w:val="28"/>
          <w:szCs w:val="28"/>
          <w:highlight w:val="none"/>
          <w:u w:val="none"/>
          <w:lang w:val="en-US" w:eastAsia="zh-CN"/>
        </w:rPr>
      </w:pPr>
      <w:r>
        <w:rPr>
          <w:rFonts w:hint="eastAsia" w:ascii="仿宋" w:hAnsi="仿宋" w:eastAsia="仿宋" w:cs="仿宋"/>
          <w:color w:val="auto"/>
          <w:sz w:val="28"/>
          <w:szCs w:val="28"/>
          <w:highlight w:val="none"/>
        </w:rPr>
        <w:t>电　</w:t>
      </w:r>
      <w:r>
        <w:rPr>
          <w:rFonts w:hint="eastAsia" w:ascii="仿宋" w:hAnsi="仿宋" w:eastAsia="仿宋" w:cs="仿宋"/>
          <w:color w:val="auto"/>
          <w:sz w:val="28"/>
          <w:szCs w:val="28"/>
          <w:highlight w:val="none"/>
          <w:u w:val="none"/>
        </w:rPr>
        <w:t>话：</w:t>
      </w:r>
      <w:r>
        <w:rPr>
          <w:rFonts w:hint="eastAsia" w:ascii="仿宋" w:hAnsi="仿宋" w:eastAsia="仿宋" w:cs="仿宋"/>
          <w:color w:val="auto"/>
          <w:sz w:val="28"/>
          <w:szCs w:val="28"/>
          <w:highlight w:val="none"/>
          <w:u w:val="none"/>
          <w:lang w:val="en-US" w:eastAsia="zh-CN"/>
        </w:rPr>
        <w:t>15699353525</w:t>
      </w:r>
    </w:p>
    <w:p w14:paraId="166589EC">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9"/>
        <w:rPr>
          <w:rFonts w:hint="eastAsia" w:ascii="宋体" w:hAnsi="宋体" w:eastAsia="宋体" w:cs="宋体"/>
          <w:color w:val="auto"/>
          <w:sz w:val="24"/>
          <w:szCs w:val="24"/>
          <w:highlight w:val="none"/>
          <w:lang w:val="en-US" w:eastAsia="zh-CN"/>
        </w:rPr>
      </w:pPr>
    </w:p>
    <w:p w14:paraId="23AC039E">
      <w:pPr>
        <w:rPr>
          <w:rFonts w:ascii="黑体" w:hAnsi="黑体" w:eastAsia="黑体"/>
          <w:color w:val="auto"/>
          <w:sz w:val="32"/>
          <w:szCs w:val="32"/>
          <w:highlight w:val="none"/>
        </w:rPr>
      </w:pPr>
      <w:bookmarkStart w:id="46" w:name="_Toc494455908"/>
    </w:p>
    <w:p w14:paraId="62A68DEB">
      <w:pPr>
        <w:rPr>
          <w:rFonts w:ascii="黑体" w:hAnsi="黑体" w:eastAsia="黑体"/>
          <w:color w:val="auto"/>
          <w:sz w:val="32"/>
          <w:szCs w:val="32"/>
          <w:highlight w:val="none"/>
        </w:rPr>
      </w:pPr>
      <w:r>
        <w:rPr>
          <w:rFonts w:ascii="黑体" w:hAnsi="黑体" w:eastAsia="黑体"/>
          <w:color w:val="auto"/>
          <w:sz w:val="32"/>
          <w:szCs w:val="32"/>
          <w:highlight w:val="none"/>
        </w:rPr>
        <w:br w:type="page"/>
      </w:r>
    </w:p>
    <w:p w14:paraId="15A0C4FD">
      <w:pPr>
        <w:spacing w:afterLines="100" w:line="400" w:lineRule="exact"/>
        <w:jc w:val="center"/>
        <w:outlineLvl w:val="1"/>
        <w:rPr>
          <w:rFonts w:hint="eastAsia" w:ascii="黑体" w:hAnsi="黑体" w:eastAsia="黑体"/>
          <w:color w:val="auto"/>
          <w:sz w:val="32"/>
          <w:szCs w:val="32"/>
          <w:highlight w:val="none"/>
        </w:rPr>
      </w:pPr>
      <w:bookmarkStart w:id="47" w:name="_Toc17446"/>
      <w:r>
        <w:rPr>
          <w:rFonts w:ascii="黑体" w:hAnsi="黑体" w:eastAsia="黑体"/>
          <w:color w:val="auto"/>
          <w:sz w:val="32"/>
          <w:szCs w:val="32"/>
          <w:highlight w:val="none"/>
        </w:rPr>
        <w:t>第二章</w:t>
      </w:r>
      <w:r>
        <w:rPr>
          <w:rFonts w:hint="eastAsia" w:ascii="黑体" w:hAnsi="黑体" w:eastAsia="黑体"/>
          <w:color w:val="auto"/>
          <w:sz w:val="32"/>
          <w:szCs w:val="32"/>
          <w:highlight w:val="none"/>
        </w:rPr>
        <w:t xml:space="preserve">  投标人须知</w:t>
      </w:r>
      <w:bookmarkEnd w:id="47"/>
    </w:p>
    <w:p w14:paraId="375563BB">
      <w:pPr>
        <w:keepNext w:val="0"/>
        <w:keepLines w:val="0"/>
        <w:pageBreakBefore w:val="0"/>
        <w:widowControl w:val="0"/>
        <w:kinsoku/>
        <w:wordWrap/>
        <w:overflowPunct/>
        <w:topLinePunct w:val="0"/>
        <w:autoSpaceDE/>
        <w:autoSpaceDN/>
        <w:bidi w:val="0"/>
        <w:adjustRightInd/>
        <w:snapToGrid/>
        <w:jc w:val="both"/>
        <w:textAlignment w:val="auto"/>
        <w:outlineLvl w:val="1"/>
        <w:rPr>
          <w:rFonts w:hint="eastAsia" w:ascii="黑体" w:hAnsi="黑体" w:eastAsia="黑体" w:cs="Times New Roman"/>
          <w:color w:val="auto"/>
          <w:sz w:val="28"/>
          <w:szCs w:val="28"/>
          <w:highlight w:val="none"/>
        </w:rPr>
      </w:pPr>
      <w:bookmarkStart w:id="48" w:name="_Toc11469"/>
      <w:r>
        <w:rPr>
          <w:rFonts w:hint="eastAsia" w:ascii="黑体" w:hAnsi="黑体" w:eastAsia="黑体" w:cs="Times New Roman"/>
          <w:color w:val="auto"/>
          <w:sz w:val="28"/>
          <w:szCs w:val="28"/>
          <w:highlight w:val="none"/>
        </w:rPr>
        <w:t>投标人须知前附表</w:t>
      </w:r>
      <w:bookmarkEnd w:id="46"/>
      <w:bookmarkEnd w:id="48"/>
    </w:p>
    <w:tbl>
      <w:tblPr>
        <w:tblStyle w:val="15"/>
        <w:tblW w:w="9571" w:type="dxa"/>
        <w:jc w:val="center"/>
        <w:tblLayout w:type="fixed"/>
        <w:tblCellMar>
          <w:top w:w="0" w:type="dxa"/>
          <w:left w:w="108" w:type="dxa"/>
          <w:bottom w:w="0" w:type="dxa"/>
          <w:right w:w="108" w:type="dxa"/>
        </w:tblCellMar>
      </w:tblPr>
      <w:tblGrid>
        <w:gridCol w:w="706"/>
        <w:gridCol w:w="2720"/>
        <w:gridCol w:w="6145"/>
      </w:tblGrid>
      <w:tr w14:paraId="088C56F9">
        <w:tblPrEx>
          <w:tblCellMar>
            <w:top w:w="0" w:type="dxa"/>
            <w:left w:w="108" w:type="dxa"/>
            <w:bottom w:w="0" w:type="dxa"/>
            <w:right w:w="108" w:type="dxa"/>
          </w:tblCellMar>
        </w:tblPrEx>
        <w:trPr>
          <w:jc w:val="center"/>
        </w:trPr>
        <w:tc>
          <w:tcPr>
            <w:tcW w:w="706" w:type="dxa"/>
            <w:tcBorders>
              <w:top w:val="single" w:color="auto" w:sz="4" w:space="0"/>
              <w:left w:val="single" w:color="auto" w:sz="4" w:space="0"/>
              <w:bottom w:val="single" w:color="auto" w:sz="4" w:space="0"/>
              <w:right w:val="single" w:color="auto" w:sz="4" w:space="0"/>
            </w:tcBorders>
            <w:vAlign w:val="center"/>
          </w:tcPr>
          <w:p w14:paraId="54D68343">
            <w:pPr>
              <w:tabs>
                <w:tab w:val="left" w:pos="7665"/>
              </w:tabs>
              <w:spacing w:line="400" w:lineRule="exact"/>
              <w:jc w:val="center"/>
              <w:rPr>
                <w:rFonts w:ascii="仿宋" w:hAnsi="仿宋" w:eastAsia="仿宋"/>
                <w:color w:val="auto"/>
                <w:sz w:val="24"/>
                <w:szCs w:val="24"/>
                <w:highlight w:val="none"/>
                <w:lang w:val="zh-CN"/>
              </w:rPr>
            </w:pPr>
            <w:r>
              <w:rPr>
                <w:rFonts w:hint="eastAsia" w:ascii="仿宋" w:hAnsi="仿宋" w:eastAsia="仿宋" w:cs="仿宋"/>
                <w:color w:val="auto"/>
                <w:sz w:val="24"/>
                <w:szCs w:val="24"/>
                <w:highlight w:val="none"/>
                <w:lang w:val="zh-CN"/>
              </w:rPr>
              <w:t>序号</w:t>
            </w:r>
          </w:p>
        </w:tc>
        <w:tc>
          <w:tcPr>
            <w:tcW w:w="2720" w:type="dxa"/>
            <w:tcBorders>
              <w:top w:val="single" w:color="auto" w:sz="4" w:space="0"/>
              <w:left w:val="single" w:color="auto" w:sz="4" w:space="0"/>
              <w:bottom w:val="single" w:color="auto" w:sz="4" w:space="0"/>
              <w:right w:val="single" w:color="auto" w:sz="4" w:space="0"/>
            </w:tcBorders>
            <w:vAlign w:val="center"/>
          </w:tcPr>
          <w:p w14:paraId="0C472DF7">
            <w:pPr>
              <w:tabs>
                <w:tab w:val="left" w:pos="7665"/>
              </w:tabs>
              <w:spacing w:line="400" w:lineRule="exact"/>
              <w:jc w:val="center"/>
              <w:rPr>
                <w:rFonts w:ascii="仿宋" w:hAnsi="仿宋" w:eastAsia="仿宋"/>
                <w:color w:val="auto"/>
                <w:sz w:val="24"/>
                <w:szCs w:val="24"/>
                <w:highlight w:val="none"/>
                <w:lang w:val="zh-CN"/>
              </w:rPr>
            </w:pPr>
            <w:r>
              <w:rPr>
                <w:rFonts w:hint="eastAsia" w:ascii="仿宋" w:hAnsi="仿宋" w:eastAsia="仿宋" w:cs="仿宋"/>
                <w:color w:val="auto"/>
                <w:sz w:val="24"/>
                <w:szCs w:val="24"/>
                <w:highlight w:val="none"/>
                <w:lang w:val="zh-CN"/>
              </w:rPr>
              <w:t>条款名称</w:t>
            </w:r>
          </w:p>
        </w:tc>
        <w:tc>
          <w:tcPr>
            <w:tcW w:w="6145" w:type="dxa"/>
            <w:tcBorders>
              <w:top w:val="single" w:color="auto" w:sz="4" w:space="0"/>
              <w:left w:val="single" w:color="auto" w:sz="4" w:space="0"/>
              <w:bottom w:val="single" w:color="auto" w:sz="4" w:space="0"/>
              <w:right w:val="single" w:color="auto" w:sz="4" w:space="0"/>
            </w:tcBorders>
            <w:vAlign w:val="center"/>
          </w:tcPr>
          <w:p w14:paraId="444437A2">
            <w:pPr>
              <w:tabs>
                <w:tab w:val="left" w:pos="7665"/>
              </w:tabs>
              <w:spacing w:line="400" w:lineRule="exact"/>
              <w:jc w:val="center"/>
              <w:rPr>
                <w:rFonts w:ascii="仿宋" w:hAnsi="仿宋" w:eastAsia="仿宋"/>
                <w:color w:val="auto"/>
                <w:sz w:val="24"/>
                <w:szCs w:val="24"/>
                <w:highlight w:val="none"/>
                <w:lang w:val="zh-CN"/>
              </w:rPr>
            </w:pPr>
            <w:r>
              <w:rPr>
                <w:rFonts w:hint="eastAsia" w:ascii="仿宋" w:hAnsi="仿宋" w:eastAsia="仿宋" w:cs="仿宋"/>
                <w:color w:val="auto"/>
                <w:sz w:val="24"/>
                <w:szCs w:val="24"/>
                <w:highlight w:val="none"/>
                <w:lang w:val="zh-CN"/>
              </w:rPr>
              <w:t>编列内容</w:t>
            </w:r>
          </w:p>
        </w:tc>
      </w:tr>
      <w:tr w14:paraId="437A6028">
        <w:tblPrEx>
          <w:tblCellMar>
            <w:top w:w="0" w:type="dxa"/>
            <w:left w:w="108" w:type="dxa"/>
            <w:bottom w:w="0" w:type="dxa"/>
            <w:right w:w="108" w:type="dxa"/>
          </w:tblCellMar>
        </w:tblPrEx>
        <w:trPr>
          <w:jc w:val="center"/>
        </w:trPr>
        <w:tc>
          <w:tcPr>
            <w:tcW w:w="706" w:type="dxa"/>
            <w:tcBorders>
              <w:top w:val="single" w:color="auto" w:sz="4" w:space="0"/>
              <w:left w:val="single" w:color="auto" w:sz="4" w:space="0"/>
              <w:bottom w:val="single" w:color="auto" w:sz="4" w:space="0"/>
              <w:right w:val="single" w:color="auto" w:sz="4" w:space="0"/>
            </w:tcBorders>
            <w:vAlign w:val="center"/>
          </w:tcPr>
          <w:p w14:paraId="50C652E0">
            <w:pPr>
              <w:numPr>
                <w:ilvl w:val="0"/>
                <w:numId w:val="1"/>
              </w:numPr>
              <w:spacing w:line="400" w:lineRule="exact"/>
              <w:jc w:val="center"/>
              <w:rPr>
                <w:rFonts w:ascii="仿宋" w:hAnsi="仿宋" w:eastAsia="仿宋" w:cs="仿宋"/>
                <w:color w:val="auto"/>
                <w:sz w:val="24"/>
                <w:szCs w:val="24"/>
                <w:highlight w:val="none"/>
                <w:lang w:val="zh-CN"/>
              </w:rPr>
            </w:pPr>
          </w:p>
        </w:tc>
        <w:tc>
          <w:tcPr>
            <w:tcW w:w="2720" w:type="dxa"/>
            <w:tcBorders>
              <w:top w:val="single" w:color="auto" w:sz="4" w:space="0"/>
              <w:left w:val="single" w:color="auto" w:sz="4" w:space="0"/>
              <w:bottom w:val="single" w:color="auto" w:sz="4" w:space="0"/>
              <w:right w:val="single" w:color="auto" w:sz="4" w:space="0"/>
            </w:tcBorders>
            <w:vAlign w:val="center"/>
          </w:tcPr>
          <w:p w14:paraId="7D99BBF3">
            <w:pPr>
              <w:spacing w:line="400" w:lineRule="exact"/>
              <w:rPr>
                <w:rFonts w:ascii="仿宋" w:hAnsi="仿宋" w:eastAsia="仿宋"/>
                <w:color w:val="auto"/>
                <w:sz w:val="24"/>
                <w:szCs w:val="24"/>
                <w:highlight w:val="none"/>
                <w:lang w:val="zh-CN"/>
              </w:rPr>
            </w:pPr>
            <w:r>
              <w:rPr>
                <w:rFonts w:hint="eastAsia" w:ascii="仿宋" w:hAnsi="仿宋" w:eastAsia="仿宋"/>
                <w:color w:val="auto"/>
                <w:sz w:val="24"/>
                <w:szCs w:val="24"/>
                <w:highlight w:val="none"/>
                <w:lang w:val="zh-CN"/>
              </w:rPr>
              <w:t>采购人</w:t>
            </w:r>
          </w:p>
        </w:tc>
        <w:tc>
          <w:tcPr>
            <w:tcW w:w="6145" w:type="dxa"/>
            <w:tcBorders>
              <w:top w:val="single" w:color="auto" w:sz="4" w:space="0"/>
              <w:left w:val="single" w:color="auto" w:sz="4" w:space="0"/>
              <w:bottom w:val="single" w:color="auto" w:sz="4" w:space="0"/>
              <w:right w:val="single" w:color="auto" w:sz="4" w:space="0"/>
            </w:tcBorders>
            <w:vAlign w:val="center"/>
          </w:tcPr>
          <w:p w14:paraId="48CCBF37">
            <w:pPr>
              <w:spacing w:line="400" w:lineRule="exact"/>
              <w:rPr>
                <w:rFonts w:ascii="仿宋" w:hAnsi="仿宋" w:eastAsia="仿宋"/>
                <w:color w:val="auto"/>
                <w:sz w:val="24"/>
                <w:szCs w:val="24"/>
                <w:highlight w:val="none"/>
                <w:shd w:val="clear" w:color="auto" w:fill="auto"/>
                <w:lang w:val="zh-CN"/>
              </w:rPr>
            </w:pPr>
            <w:r>
              <w:rPr>
                <w:rFonts w:hint="eastAsia" w:ascii="仿宋" w:hAnsi="仿宋" w:eastAsia="仿宋"/>
                <w:color w:val="auto"/>
                <w:sz w:val="24"/>
                <w:szCs w:val="24"/>
                <w:highlight w:val="none"/>
                <w:shd w:val="clear" w:color="auto" w:fill="auto"/>
                <w:lang w:val="zh-CN"/>
              </w:rPr>
              <w:t>名称：新疆维吾尔自治区阿克苏地区应急管理局</w:t>
            </w:r>
          </w:p>
          <w:p w14:paraId="3287944E">
            <w:pPr>
              <w:spacing w:line="400" w:lineRule="exact"/>
              <w:rPr>
                <w:rFonts w:ascii="仿宋" w:hAnsi="仿宋" w:eastAsia="仿宋"/>
                <w:color w:val="auto"/>
                <w:sz w:val="24"/>
                <w:szCs w:val="24"/>
                <w:highlight w:val="none"/>
                <w:shd w:val="clear" w:color="auto" w:fill="auto"/>
                <w:lang w:val="zh-CN"/>
              </w:rPr>
            </w:pPr>
            <w:r>
              <w:rPr>
                <w:rFonts w:hint="eastAsia" w:ascii="仿宋" w:hAnsi="仿宋" w:eastAsia="仿宋"/>
                <w:color w:val="auto"/>
                <w:sz w:val="24"/>
                <w:szCs w:val="24"/>
                <w:highlight w:val="none"/>
                <w:shd w:val="clear" w:color="auto" w:fill="auto"/>
                <w:lang w:val="zh-CN"/>
              </w:rPr>
              <w:t>地址：阿克苏市文化路28号</w:t>
            </w:r>
          </w:p>
          <w:p w14:paraId="5A8FD3EB">
            <w:pPr>
              <w:spacing w:line="400" w:lineRule="exact"/>
              <w:rPr>
                <w:rFonts w:hint="eastAsia" w:ascii="仿宋" w:hAnsi="仿宋" w:eastAsia="仿宋"/>
                <w:color w:val="auto"/>
                <w:sz w:val="24"/>
                <w:szCs w:val="24"/>
                <w:highlight w:val="none"/>
                <w:shd w:val="clear" w:color="auto" w:fill="auto"/>
                <w:lang w:eastAsia="zh-CN"/>
              </w:rPr>
            </w:pPr>
            <w:r>
              <w:rPr>
                <w:rFonts w:hint="eastAsia" w:ascii="仿宋" w:hAnsi="仿宋" w:eastAsia="仿宋"/>
                <w:color w:val="auto"/>
                <w:sz w:val="24"/>
                <w:szCs w:val="24"/>
                <w:highlight w:val="none"/>
                <w:shd w:val="clear" w:color="auto" w:fill="auto"/>
                <w:lang w:val="zh-CN"/>
              </w:rPr>
              <w:t>联系人：</w:t>
            </w:r>
            <w:r>
              <w:rPr>
                <w:rFonts w:hint="eastAsia" w:ascii="仿宋" w:hAnsi="仿宋" w:eastAsia="仿宋"/>
                <w:color w:val="auto"/>
                <w:sz w:val="24"/>
                <w:szCs w:val="24"/>
                <w:highlight w:val="none"/>
                <w:lang w:val="zh-CN" w:eastAsia="zh-CN"/>
              </w:rPr>
              <w:t>何工</w:t>
            </w:r>
            <w:r>
              <w:rPr>
                <w:rFonts w:hint="eastAsia" w:ascii="仿宋" w:hAnsi="仿宋" w:eastAsia="仿宋"/>
                <w:color w:val="auto"/>
                <w:sz w:val="24"/>
                <w:szCs w:val="24"/>
                <w:highlight w:val="none"/>
                <w:shd w:val="clear" w:color="auto" w:fill="auto"/>
              </w:rPr>
              <w:t xml:space="preserve"> </w:t>
            </w:r>
            <w:r>
              <w:rPr>
                <w:rFonts w:hint="eastAsia" w:ascii="仿宋" w:hAnsi="仿宋" w:eastAsia="仿宋"/>
                <w:color w:val="auto"/>
                <w:sz w:val="24"/>
                <w:szCs w:val="24"/>
                <w:highlight w:val="none"/>
                <w:shd w:val="clear" w:color="auto" w:fill="auto"/>
                <w:lang w:val="en-US" w:eastAsia="zh-CN"/>
              </w:rPr>
              <w:t xml:space="preserve">  </w:t>
            </w:r>
            <w:r>
              <w:rPr>
                <w:rFonts w:hint="eastAsia" w:ascii="仿宋" w:hAnsi="仿宋" w:eastAsia="仿宋"/>
                <w:color w:val="auto"/>
                <w:sz w:val="24"/>
                <w:szCs w:val="24"/>
                <w:highlight w:val="none"/>
                <w:shd w:val="clear" w:color="auto" w:fill="auto"/>
              </w:rPr>
              <w:t>电话：</w:t>
            </w:r>
            <w:r>
              <w:rPr>
                <w:rFonts w:hint="eastAsia" w:ascii="仿宋" w:hAnsi="仿宋" w:eastAsia="仿宋" w:cs="仿宋"/>
                <w:color w:val="auto"/>
                <w:sz w:val="24"/>
                <w:szCs w:val="24"/>
                <w:highlight w:val="none"/>
                <w:shd w:val="clear" w:color="auto" w:fill="auto"/>
              </w:rPr>
              <w:t xml:space="preserve"> </w:t>
            </w:r>
            <w:r>
              <w:rPr>
                <w:rFonts w:hint="eastAsia" w:ascii="仿宋" w:hAnsi="仿宋" w:eastAsia="仿宋" w:cs="仿宋"/>
                <w:color w:val="auto"/>
                <w:sz w:val="24"/>
                <w:szCs w:val="24"/>
                <w:highlight w:val="none"/>
                <w:shd w:val="clear" w:color="auto" w:fill="auto"/>
                <w:lang w:eastAsia="zh-CN"/>
              </w:rPr>
              <w:t>0997-2131117</w:t>
            </w:r>
          </w:p>
        </w:tc>
      </w:tr>
      <w:tr w14:paraId="75AC56CD">
        <w:tblPrEx>
          <w:tblCellMar>
            <w:top w:w="0" w:type="dxa"/>
            <w:left w:w="108" w:type="dxa"/>
            <w:bottom w:w="0" w:type="dxa"/>
            <w:right w:w="108" w:type="dxa"/>
          </w:tblCellMar>
        </w:tblPrEx>
        <w:trPr>
          <w:jc w:val="center"/>
        </w:trPr>
        <w:tc>
          <w:tcPr>
            <w:tcW w:w="706" w:type="dxa"/>
            <w:tcBorders>
              <w:top w:val="single" w:color="auto" w:sz="4" w:space="0"/>
              <w:left w:val="single" w:color="auto" w:sz="4" w:space="0"/>
              <w:bottom w:val="single" w:color="auto" w:sz="4" w:space="0"/>
              <w:right w:val="single" w:color="auto" w:sz="4" w:space="0"/>
            </w:tcBorders>
            <w:vAlign w:val="center"/>
          </w:tcPr>
          <w:p w14:paraId="67FA32A0">
            <w:pPr>
              <w:numPr>
                <w:ilvl w:val="0"/>
                <w:numId w:val="1"/>
              </w:numPr>
              <w:spacing w:line="400" w:lineRule="exact"/>
              <w:jc w:val="center"/>
              <w:rPr>
                <w:rFonts w:ascii="仿宋" w:hAnsi="仿宋" w:eastAsia="仿宋" w:cs="仿宋"/>
                <w:color w:val="auto"/>
                <w:sz w:val="24"/>
                <w:szCs w:val="24"/>
                <w:highlight w:val="none"/>
                <w:lang w:val="zh-CN"/>
              </w:rPr>
            </w:pPr>
          </w:p>
        </w:tc>
        <w:tc>
          <w:tcPr>
            <w:tcW w:w="2720" w:type="dxa"/>
            <w:tcBorders>
              <w:top w:val="single" w:color="auto" w:sz="4" w:space="0"/>
              <w:left w:val="single" w:color="auto" w:sz="4" w:space="0"/>
              <w:bottom w:val="single" w:color="auto" w:sz="4" w:space="0"/>
              <w:right w:val="single" w:color="auto" w:sz="4" w:space="0"/>
            </w:tcBorders>
            <w:vAlign w:val="center"/>
          </w:tcPr>
          <w:p w14:paraId="6FB8321A">
            <w:pPr>
              <w:spacing w:line="40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采购代理机构</w:t>
            </w:r>
          </w:p>
        </w:tc>
        <w:tc>
          <w:tcPr>
            <w:tcW w:w="6145" w:type="dxa"/>
            <w:tcBorders>
              <w:top w:val="single" w:color="auto" w:sz="4" w:space="0"/>
              <w:left w:val="single" w:color="auto" w:sz="4" w:space="0"/>
              <w:bottom w:val="single" w:color="auto" w:sz="4" w:space="0"/>
              <w:right w:val="single" w:color="auto" w:sz="4" w:space="0"/>
            </w:tcBorders>
            <w:vAlign w:val="center"/>
          </w:tcPr>
          <w:p w14:paraId="6A1B0F8C">
            <w:pPr>
              <w:spacing w:line="400" w:lineRule="exact"/>
              <w:rPr>
                <w:rFonts w:ascii="仿宋" w:hAnsi="仿宋" w:eastAsia="仿宋"/>
                <w:color w:val="auto"/>
                <w:sz w:val="24"/>
                <w:szCs w:val="24"/>
                <w:highlight w:val="none"/>
                <w:shd w:val="clear" w:color="auto" w:fill="auto"/>
                <w:lang w:val="zh-CN"/>
              </w:rPr>
            </w:pPr>
            <w:r>
              <w:rPr>
                <w:rFonts w:hint="eastAsia" w:ascii="仿宋" w:hAnsi="仿宋" w:eastAsia="仿宋"/>
                <w:color w:val="auto"/>
                <w:sz w:val="24"/>
                <w:szCs w:val="24"/>
                <w:highlight w:val="none"/>
                <w:shd w:val="clear" w:color="auto" w:fill="auto"/>
                <w:lang w:val="zh-CN"/>
              </w:rPr>
              <w:t>名称：新疆卓普项目管理有限公司</w:t>
            </w:r>
          </w:p>
          <w:p w14:paraId="47F49877">
            <w:pPr>
              <w:spacing w:line="400" w:lineRule="exact"/>
              <w:rPr>
                <w:rFonts w:hint="eastAsia" w:ascii="仿宋" w:hAnsi="仿宋" w:eastAsia="仿宋"/>
                <w:color w:val="auto"/>
                <w:sz w:val="24"/>
                <w:szCs w:val="24"/>
                <w:highlight w:val="none"/>
                <w:shd w:val="clear" w:color="auto" w:fill="auto"/>
                <w:lang w:val="zh-CN" w:eastAsia="zh-CN"/>
              </w:rPr>
            </w:pPr>
            <w:r>
              <w:rPr>
                <w:rFonts w:hint="eastAsia" w:ascii="仿宋" w:hAnsi="仿宋" w:eastAsia="仿宋"/>
                <w:color w:val="auto"/>
                <w:sz w:val="24"/>
                <w:szCs w:val="24"/>
                <w:highlight w:val="none"/>
                <w:shd w:val="clear" w:color="auto" w:fill="auto"/>
                <w:lang w:val="zh-CN"/>
              </w:rPr>
              <w:t>地址：</w:t>
            </w:r>
            <w:r>
              <w:rPr>
                <w:rFonts w:hint="eastAsia" w:ascii="仿宋" w:hAnsi="仿宋" w:eastAsia="仿宋" w:cs="仿宋"/>
                <w:color w:val="auto"/>
                <w:sz w:val="24"/>
                <w:szCs w:val="24"/>
                <w:highlight w:val="none"/>
                <w:shd w:val="clear" w:color="auto" w:fill="auto"/>
                <w:lang w:eastAsia="zh-CN"/>
              </w:rPr>
              <w:t>阿克苏市东大街18号友好家属院5号楼</w:t>
            </w:r>
          </w:p>
          <w:p w14:paraId="111EC57D">
            <w:pPr>
              <w:spacing w:line="400" w:lineRule="exact"/>
              <w:rPr>
                <w:rFonts w:hint="eastAsia" w:ascii="仿宋" w:hAnsi="仿宋" w:eastAsia="仿宋"/>
                <w:color w:val="auto"/>
                <w:sz w:val="24"/>
                <w:szCs w:val="24"/>
                <w:highlight w:val="none"/>
                <w:shd w:val="clear" w:color="auto" w:fill="auto"/>
                <w:lang w:val="en-US" w:eastAsia="zh-CN"/>
              </w:rPr>
            </w:pPr>
            <w:r>
              <w:rPr>
                <w:rFonts w:hint="eastAsia" w:ascii="仿宋" w:hAnsi="仿宋" w:eastAsia="仿宋"/>
                <w:color w:val="auto"/>
                <w:sz w:val="24"/>
                <w:szCs w:val="24"/>
                <w:highlight w:val="none"/>
                <w:shd w:val="clear" w:color="auto" w:fill="auto"/>
                <w:lang w:val="zh-CN"/>
              </w:rPr>
              <w:t>联系人：</w:t>
            </w:r>
            <w:r>
              <w:rPr>
                <w:rFonts w:hint="eastAsia" w:ascii="仿宋" w:hAnsi="仿宋" w:eastAsia="仿宋" w:cs="仿宋"/>
                <w:color w:val="auto"/>
                <w:sz w:val="24"/>
                <w:highlight w:val="none"/>
                <w:shd w:val="clear" w:color="auto" w:fill="auto"/>
                <w:lang w:val="en-US" w:eastAsia="zh-CN"/>
              </w:rPr>
              <w:t>董青琴</w:t>
            </w:r>
            <w:r>
              <w:rPr>
                <w:rFonts w:hint="eastAsia" w:ascii="仿宋" w:hAnsi="仿宋" w:eastAsia="仿宋" w:cs="仿宋"/>
                <w:color w:val="auto"/>
                <w:sz w:val="24"/>
                <w:highlight w:val="none"/>
                <w:shd w:val="clear" w:color="auto" w:fill="auto"/>
              </w:rPr>
              <w:t xml:space="preserve">  </w:t>
            </w:r>
            <w:r>
              <w:rPr>
                <w:rFonts w:hint="eastAsia" w:ascii="仿宋" w:hAnsi="仿宋" w:eastAsia="仿宋" w:cs="仿宋"/>
                <w:color w:val="auto"/>
                <w:sz w:val="24"/>
                <w:highlight w:val="none"/>
                <w:shd w:val="clear" w:color="auto" w:fill="auto"/>
                <w:lang w:val="en-US" w:eastAsia="zh-CN"/>
              </w:rPr>
              <w:t xml:space="preserve"> </w:t>
            </w:r>
            <w:r>
              <w:rPr>
                <w:rFonts w:hint="eastAsia" w:ascii="仿宋" w:hAnsi="仿宋" w:eastAsia="仿宋"/>
                <w:color w:val="auto"/>
                <w:sz w:val="24"/>
                <w:szCs w:val="24"/>
                <w:highlight w:val="none"/>
                <w:shd w:val="clear" w:color="auto" w:fill="auto"/>
              </w:rPr>
              <w:t>电话：</w:t>
            </w:r>
            <w:r>
              <w:rPr>
                <w:rFonts w:hint="eastAsia" w:ascii="仿宋" w:hAnsi="仿宋" w:eastAsia="仿宋"/>
                <w:color w:val="auto"/>
                <w:sz w:val="24"/>
                <w:szCs w:val="24"/>
                <w:highlight w:val="none"/>
                <w:shd w:val="clear" w:color="auto" w:fill="auto"/>
                <w:lang w:eastAsia="zh-CN"/>
              </w:rPr>
              <w:t>15699353525</w:t>
            </w:r>
          </w:p>
        </w:tc>
      </w:tr>
      <w:tr w14:paraId="6701FE01">
        <w:tblPrEx>
          <w:tblCellMar>
            <w:top w:w="0" w:type="dxa"/>
            <w:left w:w="108" w:type="dxa"/>
            <w:bottom w:w="0" w:type="dxa"/>
            <w:right w:w="108" w:type="dxa"/>
          </w:tblCellMar>
        </w:tblPrEx>
        <w:trPr>
          <w:jc w:val="center"/>
        </w:trPr>
        <w:tc>
          <w:tcPr>
            <w:tcW w:w="706" w:type="dxa"/>
            <w:tcBorders>
              <w:top w:val="single" w:color="auto" w:sz="4" w:space="0"/>
              <w:left w:val="single" w:color="auto" w:sz="4" w:space="0"/>
              <w:bottom w:val="single" w:color="auto" w:sz="4" w:space="0"/>
              <w:right w:val="single" w:color="auto" w:sz="4" w:space="0"/>
            </w:tcBorders>
            <w:vAlign w:val="center"/>
          </w:tcPr>
          <w:p w14:paraId="1DF7F82C">
            <w:pPr>
              <w:numPr>
                <w:ilvl w:val="0"/>
                <w:numId w:val="1"/>
              </w:numPr>
              <w:spacing w:line="400" w:lineRule="exact"/>
              <w:jc w:val="center"/>
              <w:rPr>
                <w:rFonts w:ascii="仿宋" w:hAnsi="仿宋" w:eastAsia="仿宋" w:cs="仿宋"/>
                <w:color w:val="auto"/>
                <w:sz w:val="24"/>
                <w:szCs w:val="24"/>
                <w:highlight w:val="none"/>
                <w:lang w:val="zh-CN"/>
              </w:rPr>
            </w:pPr>
          </w:p>
        </w:tc>
        <w:tc>
          <w:tcPr>
            <w:tcW w:w="2720" w:type="dxa"/>
            <w:tcBorders>
              <w:top w:val="single" w:color="auto" w:sz="4" w:space="0"/>
              <w:left w:val="single" w:color="auto" w:sz="4" w:space="0"/>
              <w:bottom w:val="single" w:color="auto" w:sz="4" w:space="0"/>
              <w:right w:val="single" w:color="auto" w:sz="4" w:space="0"/>
            </w:tcBorders>
            <w:vAlign w:val="center"/>
          </w:tcPr>
          <w:p w14:paraId="046BAD30">
            <w:pPr>
              <w:spacing w:line="400" w:lineRule="exact"/>
              <w:rPr>
                <w:rFonts w:ascii="仿宋" w:hAnsi="仿宋" w:eastAsia="仿宋"/>
                <w:color w:val="auto"/>
                <w:sz w:val="24"/>
                <w:szCs w:val="24"/>
                <w:highlight w:val="none"/>
              </w:rPr>
            </w:pPr>
            <w:r>
              <w:rPr>
                <w:rFonts w:ascii="仿宋" w:hAnsi="仿宋" w:eastAsia="仿宋"/>
                <w:color w:val="auto"/>
                <w:sz w:val="24"/>
                <w:szCs w:val="24"/>
                <w:highlight w:val="none"/>
              </w:rPr>
              <w:t>项目名称</w:t>
            </w:r>
          </w:p>
        </w:tc>
        <w:tc>
          <w:tcPr>
            <w:tcW w:w="6145" w:type="dxa"/>
            <w:tcBorders>
              <w:top w:val="single" w:color="auto" w:sz="4" w:space="0"/>
              <w:left w:val="single" w:color="auto" w:sz="4" w:space="0"/>
              <w:bottom w:val="single" w:color="auto" w:sz="4" w:space="0"/>
              <w:right w:val="single" w:color="auto" w:sz="4" w:space="0"/>
            </w:tcBorders>
            <w:vAlign w:val="center"/>
          </w:tcPr>
          <w:p w14:paraId="2F3255ED">
            <w:pPr>
              <w:spacing w:line="400" w:lineRule="exact"/>
              <w:rPr>
                <w:rFonts w:hint="eastAsia" w:ascii="仿宋" w:hAnsi="仿宋" w:eastAsia="仿宋"/>
                <w:color w:val="auto"/>
                <w:sz w:val="24"/>
                <w:szCs w:val="24"/>
                <w:highlight w:val="none"/>
                <w:shd w:val="clear" w:color="auto" w:fill="auto"/>
                <w:lang w:eastAsia="zh-CN"/>
              </w:rPr>
            </w:pPr>
            <w:r>
              <w:rPr>
                <w:rFonts w:hint="eastAsia" w:ascii="仿宋" w:hAnsi="仿宋" w:eastAsia="仿宋"/>
                <w:color w:val="auto"/>
                <w:sz w:val="24"/>
                <w:szCs w:val="24"/>
                <w:highlight w:val="none"/>
                <w:shd w:val="clear" w:color="auto" w:fill="auto"/>
                <w:lang w:eastAsia="zh-CN"/>
              </w:rPr>
              <w:t>阿克苏地区矿山安全服务保障中心矿山应急救援支队安全生产领域设备更新项目（结余资金）</w:t>
            </w:r>
          </w:p>
        </w:tc>
      </w:tr>
      <w:tr w14:paraId="377F6D1B">
        <w:tblPrEx>
          <w:tblCellMar>
            <w:top w:w="0" w:type="dxa"/>
            <w:left w:w="108" w:type="dxa"/>
            <w:bottom w:w="0" w:type="dxa"/>
            <w:right w:w="108" w:type="dxa"/>
          </w:tblCellMar>
        </w:tblPrEx>
        <w:trPr>
          <w:jc w:val="center"/>
        </w:trPr>
        <w:tc>
          <w:tcPr>
            <w:tcW w:w="706" w:type="dxa"/>
            <w:tcBorders>
              <w:top w:val="single" w:color="auto" w:sz="4" w:space="0"/>
              <w:left w:val="single" w:color="auto" w:sz="4" w:space="0"/>
              <w:bottom w:val="single" w:color="auto" w:sz="4" w:space="0"/>
              <w:right w:val="single" w:color="auto" w:sz="4" w:space="0"/>
            </w:tcBorders>
            <w:vAlign w:val="center"/>
          </w:tcPr>
          <w:p w14:paraId="572F9223">
            <w:pPr>
              <w:numPr>
                <w:ilvl w:val="0"/>
                <w:numId w:val="1"/>
              </w:numPr>
              <w:spacing w:line="400" w:lineRule="exact"/>
              <w:jc w:val="center"/>
              <w:rPr>
                <w:rFonts w:ascii="仿宋" w:hAnsi="仿宋" w:eastAsia="仿宋" w:cs="仿宋"/>
                <w:color w:val="auto"/>
                <w:sz w:val="24"/>
                <w:szCs w:val="24"/>
                <w:highlight w:val="none"/>
                <w:lang w:val="zh-CN"/>
              </w:rPr>
            </w:pPr>
          </w:p>
        </w:tc>
        <w:tc>
          <w:tcPr>
            <w:tcW w:w="2720" w:type="dxa"/>
            <w:tcBorders>
              <w:top w:val="single" w:color="auto" w:sz="4" w:space="0"/>
              <w:left w:val="single" w:color="auto" w:sz="4" w:space="0"/>
              <w:bottom w:val="single" w:color="auto" w:sz="4" w:space="0"/>
              <w:right w:val="single" w:color="auto" w:sz="4" w:space="0"/>
            </w:tcBorders>
            <w:vAlign w:val="center"/>
          </w:tcPr>
          <w:p w14:paraId="10C20E09">
            <w:pPr>
              <w:spacing w:line="40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项目编号</w:t>
            </w:r>
          </w:p>
        </w:tc>
        <w:tc>
          <w:tcPr>
            <w:tcW w:w="6145" w:type="dxa"/>
            <w:tcBorders>
              <w:top w:val="single" w:color="auto" w:sz="4" w:space="0"/>
              <w:left w:val="single" w:color="auto" w:sz="4" w:space="0"/>
              <w:bottom w:val="single" w:color="auto" w:sz="4" w:space="0"/>
              <w:right w:val="single" w:color="auto" w:sz="4" w:space="0"/>
            </w:tcBorders>
            <w:vAlign w:val="center"/>
          </w:tcPr>
          <w:p w14:paraId="4113E367">
            <w:pPr>
              <w:tabs>
                <w:tab w:val="center" w:pos="2801"/>
              </w:tabs>
              <w:spacing w:line="400" w:lineRule="exact"/>
              <w:rPr>
                <w:rFonts w:hint="eastAsia" w:ascii="仿宋" w:hAnsi="仿宋" w:eastAsia="仿宋"/>
                <w:color w:val="auto"/>
                <w:sz w:val="24"/>
                <w:szCs w:val="24"/>
                <w:highlight w:val="none"/>
                <w:shd w:val="clear" w:color="auto" w:fill="auto"/>
                <w:lang w:eastAsia="zh-CN"/>
              </w:rPr>
            </w:pPr>
            <w:r>
              <w:rPr>
                <w:rFonts w:hint="eastAsia" w:ascii="仿宋" w:hAnsi="仿宋" w:eastAsia="仿宋" w:cs="仿宋"/>
                <w:color w:val="auto"/>
                <w:sz w:val="24"/>
                <w:szCs w:val="24"/>
                <w:highlight w:val="none"/>
                <w:shd w:val="clear" w:color="auto" w:fill="auto"/>
                <w:lang w:eastAsia="zh-CN"/>
              </w:rPr>
              <w:t>[2026]655号-008</w:t>
            </w:r>
          </w:p>
        </w:tc>
      </w:tr>
      <w:tr w14:paraId="6889D2EA">
        <w:tblPrEx>
          <w:tblCellMar>
            <w:top w:w="0" w:type="dxa"/>
            <w:left w:w="108" w:type="dxa"/>
            <w:bottom w:w="0" w:type="dxa"/>
            <w:right w:w="108" w:type="dxa"/>
          </w:tblCellMar>
        </w:tblPrEx>
        <w:trPr>
          <w:jc w:val="center"/>
        </w:trPr>
        <w:tc>
          <w:tcPr>
            <w:tcW w:w="706" w:type="dxa"/>
            <w:tcBorders>
              <w:top w:val="single" w:color="auto" w:sz="4" w:space="0"/>
              <w:left w:val="single" w:color="auto" w:sz="4" w:space="0"/>
              <w:bottom w:val="single" w:color="auto" w:sz="4" w:space="0"/>
              <w:right w:val="single" w:color="auto" w:sz="4" w:space="0"/>
            </w:tcBorders>
            <w:vAlign w:val="center"/>
          </w:tcPr>
          <w:p w14:paraId="36CA754C">
            <w:pPr>
              <w:numPr>
                <w:ilvl w:val="0"/>
                <w:numId w:val="1"/>
              </w:numPr>
              <w:spacing w:line="400" w:lineRule="exact"/>
              <w:jc w:val="center"/>
              <w:rPr>
                <w:rFonts w:ascii="仿宋" w:hAnsi="仿宋" w:eastAsia="仿宋" w:cs="仿宋"/>
                <w:color w:val="auto"/>
                <w:sz w:val="24"/>
                <w:szCs w:val="24"/>
                <w:highlight w:val="none"/>
                <w:lang w:val="zh-CN"/>
              </w:rPr>
            </w:pPr>
          </w:p>
        </w:tc>
        <w:tc>
          <w:tcPr>
            <w:tcW w:w="2720" w:type="dxa"/>
            <w:tcBorders>
              <w:top w:val="single" w:color="auto" w:sz="4" w:space="0"/>
              <w:left w:val="single" w:color="auto" w:sz="4" w:space="0"/>
              <w:bottom w:val="single" w:color="auto" w:sz="4" w:space="0"/>
              <w:right w:val="single" w:color="auto" w:sz="4" w:space="0"/>
            </w:tcBorders>
            <w:vAlign w:val="center"/>
          </w:tcPr>
          <w:p w14:paraId="41C2BCF8">
            <w:pPr>
              <w:spacing w:line="400" w:lineRule="exact"/>
              <w:rPr>
                <w:rFonts w:ascii="仿宋" w:hAnsi="仿宋" w:eastAsia="仿宋"/>
                <w:color w:val="auto"/>
                <w:sz w:val="24"/>
                <w:szCs w:val="24"/>
                <w:highlight w:val="none"/>
                <w:lang w:val="zh-CN"/>
              </w:rPr>
            </w:pPr>
            <w:r>
              <w:rPr>
                <w:rFonts w:hint="eastAsia" w:ascii="仿宋" w:hAnsi="仿宋" w:eastAsia="仿宋"/>
                <w:color w:val="auto"/>
                <w:sz w:val="24"/>
                <w:szCs w:val="24"/>
                <w:highlight w:val="none"/>
              </w:rPr>
              <w:t>资金来源以及资金构成</w:t>
            </w:r>
          </w:p>
        </w:tc>
        <w:tc>
          <w:tcPr>
            <w:tcW w:w="6145" w:type="dxa"/>
            <w:tcBorders>
              <w:top w:val="single" w:color="auto" w:sz="4" w:space="0"/>
              <w:left w:val="single" w:color="auto" w:sz="4" w:space="0"/>
              <w:bottom w:val="single" w:color="auto" w:sz="4" w:space="0"/>
              <w:right w:val="single" w:color="auto" w:sz="4" w:space="0"/>
            </w:tcBorders>
            <w:vAlign w:val="center"/>
          </w:tcPr>
          <w:p w14:paraId="070A77EF">
            <w:pPr>
              <w:spacing w:line="400" w:lineRule="exact"/>
              <w:rPr>
                <w:rFonts w:hint="default" w:ascii="仿宋" w:hAnsi="仿宋" w:eastAsia="仿宋"/>
                <w:color w:val="auto"/>
                <w:sz w:val="24"/>
                <w:szCs w:val="24"/>
                <w:highlight w:val="none"/>
                <w:shd w:val="clear" w:color="auto" w:fill="auto"/>
                <w:lang w:val="en-US" w:eastAsia="zh-CN"/>
              </w:rPr>
            </w:pPr>
            <w:r>
              <w:rPr>
                <w:rFonts w:hint="eastAsia" w:ascii="仿宋" w:hAnsi="仿宋" w:eastAsia="仿宋"/>
                <w:color w:val="auto"/>
                <w:sz w:val="24"/>
                <w:szCs w:val="24"/>
                <w:highlight w:val="none"/>
                <w:shd w:val="clear" w:color="auto" w:fill="auto"/>
                <w:lang w:val="en-US" w:eastAsia="zh-CN"/>
              </w:rPr>
              <w:t>超长期特别国债资金及财政资金</w:t>
            </w:r>
          </w:p>
        </w:tc>
      </w:tr>
      <w:tr w14:paraId="1F2BAF43">
        <w:tblPrEx>
          <w:tblCellMar>
            <w:top w:w="0" w:type="dxa"/>
            <w:left w:w="108" w:type="dxa"/>
            <w:bottom w:w="0" w:type="dxa"/>
            <w:right w:w="108" w:type="dxa"/>
          </w:tblCellMar>
        </w:tblPrEx>
        <w:trPr>
          <w:jc w:val="center"/>
        </w:trPr>
        <w:tc>
          <w:tcPr>
            <w:tcW w:w="706" w:type="dxa"/>
            <w:tcBorders>
              <w:top w:val="single" w:color="auto" w:sz="4" w:space="0"/>
              <w:left w:val="single" w:color="auto" w:sz="4" w:space="0"/>
              <w:bottom w:val="single" w:color="auto" w:sz="4" w:space="0"/>
              <w:right w:val="single" w:color="auto" w:sz="4" w:space="0"/>
            </w:tcBorders>
            <w:vAlign w:val="center"/>
          </w:tcPr>
          <w:p w14:paraId="6FFB2628">
            <w:pPr>
              <w:numPr>
                <w:ilvl w:val="0"/>
                <w:numId w:val="1"/>
              </w:numPr>
              <w:spacing w:line="400" w:lineRule="exact"/>
              <w:jc w:val="center"/>
              <w:rPr>
                <w:rFonts w:ascii="仿宋" w:hAnsi="仿宋" w:eastAsia="仿宋" w:cs="仿宋"/>
                <w:color w:val="auto"/>
                <w:sz w:val="24"/>
                <w:szCs w:val="24"/>
                <w:highlight w:val="none"/>
                <w:lang w:val="zh-CN"/>
              </w:rPr>
            </w:pPr>
          </w:p>
        </w:tc>
        <w:tc>
          <w:tcPr>
            <w:tcW w:w="2720" w:type="dxa"/>
            <w:tcBorders>
              <w:top w:val="single" w:color="auto" w:sz="4" w:space="0"/>
              <w:left w:val="single" w:color="auto" w:sz="4" w:space="0"/>
              <w:bottom w:val="single" w:color="auto" w:sz="4" w:space="0"/>
              <w:right w:val="single" w:color="auto" w:sz="4" w:space="0"/>
            </w:tcBorders>
            <w:vAlign w:val="center"/>
          </w:tcPr>
          <w:p w14:paraId="6D049B32">
            <w:pPr>
              <w:spacing w:line="40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采购内容</w:t>
            </w:r>
          </w:p>
        </w:tc>
        <w:tc>
          <w:tcPr>
            <w:tcW w:w="6145" w:type="dxa"/>
            <w:tcBorders>
              <w:top w:val="single" w:color="auto" w:sz="4" w:space="0"/>
              <w:left w:val="single" w:color="auto" w:sz="4" w:space="0"/>
              <w:bottom w:val="single" w:color="auto" w:sz="4" w:space="0"/>
              <w:right w:val="single" w:color="auto" w:sz="4" w:space="0"/>
            </w:tcBorders>
            <w:vAlign w:val="center"/>
          </w:tcPr>
          <w:p w14:paraId="44AE1096">
            <w:pPr>
              <w:spacing w:line="400" w:lineRule="exact"/>
              <w:rPr>
                <w:rFonts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矿山救援支队安全生产领域设备更新（详见采购清单）</w:t>
            </w:r>
          </w:p>
        </w:tc>
      </w:tr>
      <w:tr w14:paraId="3DD12A78">
        <w:tblPrEx>
          <w:tblCellMar>
            <w:top w:w="0" w:type="dxa"/>
            <w:left w:w="108" w:type="dxa"/>
            <w:bottom w:w="0" w:type="dxa"/>
            <w:right w:w="108" w:type="dxa"/>
          </w:tblCellMar>
        </w:tblPrEx>
        <w:trPr>
          <w:jc w:val="center"/>
        </w:trPr>
        <w:tc>
          <w:tcPr>
            <w:tcW w:w="706" w:type="dxa"/>
            <w:tcBorders>
              <w:top w:val="single" w:color="auto" w:sz="4" w:space="0"/>
              <w:left w:val="single" w:color="auto" w:sz="4" w:space="0"/>
              <w:bottom w:val="single" w:color="auto" w:sz="4" w:space="0"/>
              <w:right w:val="single" w:color="auto" w:sz="4" w:space="0"/>
            </w:tcBorders>
            <w:vAlign w:val="center"/>
          </w:tcPr>
          <w:p w14:paraId="25BF208E">
            <w:pPr>
              <w:numPr>
                <w:ilvl w:val="0"/>
                <w:numId w:val="1"/>
              </w:numPr>
              <w:spacing w:line="400" w:lineRule="exact"/>
              <w:jc w:val="center"/>
              <w:rPr>
                <w:rFonts w:ascii="仿宋" w:hAnsi="仿宋" w:eastAsia="仿宋" w:cs="仿宋"/>
                <w:color w:val="auto"/>
                <w:sz w:val="24"/>
                <w:szCs w:val="24"/>
                <w:highlight w:val="none"/>
                <w:lang w:val="zh-CN"/>
              </w:rPr>
            </w:pPr>
          </w:p>
        </w:tc>
        <w:tc>
          <w:tcPr>
            <w:tcW w:w="2720" w:type="dxa"/>
            <w:tcBorders>
              <w:top w:val="single" w:color="auto" w:sz="4" w:space="0"/>
              <w:left w:val="single" w:color="auto" w:sz="4" w:space="0"/>
              <w:bottom w:val="single" w:color="auto" w:sz="4" w:space="0"/>
              <w:right w:val="single" w:color="auto" w:sz="4" w:space="0"/>
            </w:tcBorders>
            <w:vAlign w:val="center"/>
          </w:tcPr>
          <w:p w14:paraId="325CBFCF">
            <w:pPr>
              <w:spacing w:line="40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最高限价</w:t>
            </w:r>
          </w:p>
        </w:tc>
        <w:tc>
          <w:tcPr>
            <w:tcW w:w="6145" w:type="dxa"/>
            <w:tcBorders>
              <w:top w:val="single" w:color="auto" w:sz="4" w:space="0"/>
              <w:left w:val="single" w:color="auto" w:sz="4" w:space="0"/>
              <w:bottom w:val="single" w:color="auto" w:sz="4" w:space="0"/>
              <w:right w:val="single" w:color="auto" w:sz="4" w:space="0"/>
            </w:tcBorders>
            <w:vAlign w:val="center"/>
          </w:tcPr>
          <w:p w14:paraId="2965C54E">
            <w:pPr>
              <w:spacing w:line="400" w:lineRule="exact"/>
              <w:rPr>
                <w:rFonts w:hint="default"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2716000.00元</w:t>
            </w:r>
          </w:p>
        </w:tc>
      </w:tr>
      <w:tr w14:paraId="1C9C739A">
        <w:tblPrEx>
          <w:tblCellMar>
            <w:top w:w="0" w:type="dxa"/>
            <w:left w:w="108" w:type="dxa"/>
            <w:bottom w:w="0" w:type="dxa"/>
            <w:right w:w="108" w:type="dxa"/>
          </w:tblCellMar>
        </w:tblPrEx>
        <w:trPr>
          <w:jc w:val="center"/>
        </w:trPr>
        <w:tc>
          <w:tcPr>
            <w:tcW w:w="706" w:type="dxa"/>
            <w:tcBorders>
              <w:top w:val="single" w:color="auto" w:sz="4" w:space="0"/>
              <w:left w:val="single" w:color="auto" w:sz="4" w:space="0"/>
              <w:bottom w:val="single" w:color="auto" w:sz="4" w:space="0"/>
              <w:right w:val="single" w:color="auto" w:sz="4" w:space="0"/>
            </w:tcBorders>
            <w:vAlign w:val="center"/>
          </w:tcPr>
          <w:p w14:paraId="1F576487">
            <w:pPr>
              <w:numPr>
                <w:ilvl w:val="0"/>
                <w:numId w:val="1"/>
              </w:numPr>
              <w:spacing w:line="400" w:lineRule="exact"/>
              <w:jc w:val="center"/>
              <w:rPr>
                <w:rFonts w:ascii="仿宋" w:hAnsi="仿宋" w:eastAsia="仿宋" w:cs="仿宋"/>
                <w:color w:val="auto"/>
                <w:sz w:val="24"/>
                <w:szCs w:val="24"/>
                <w:highlight w:val="none"/>
                <w:lang w:val="zh-CN"/>
              </w:rPr>
            </w:pPr>
          </w:p>
        </w:tc>
        <w:tc>
          <w:tcPr>
            <w:tcW w:w="2720" w:type="dxa"/>
            <w:tcBorders>
              <w:top w:val="single" w:color="auto" w:sz="4" w:space="0"/>
              <w:left w:val="single" w:color="auto" w:sz="4" w:space="0"/>
              <w:bottom w:val="single" w:color="auto" w:sz="4" w:space="0"/>
              <w:right w:val="single" w:color="auto" w:sz="4" w:space="0"/>
            </w:tcBorders>
            <w:vAlign w:val="center"/>
          </w:tcPr>
          <w:p w14:paraId="52C1B500">
            <w:pPr>
              <w:spacing w:line="40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交货期</w:t>
            </w:r>
          </w:p>
        </w:tc>
        <w:tc>
          <w:tcPr>
            <w:tcW w:w="6145" w:type="dxa"/>
            <w:tcBorders>
              <w:top w:val="single" w:color="auto" w:sz="4" w:space="0"/>
              <w:left w:val="single" w:color="auto" w:sz="4" w:space="0"/>
              <w:bottom w:val="single" w:color="auto" w:sz="4" w:space="0"/>
              <w:right w:val="single" w:color="auto" w:sz="4" w:space="0"/>
            </w:tcBorders>
            <w:vAlign w:val="center"/>
          </w:tcPr>
          <w:p w14:paraId="7837D38D">
            <w:pPr>
              <w:spacing w:line="400" w:lineRule="exact"/>
              <w:rPr>
                <w:rFonts w:hint="default" w:ascii="仿宋" w:hAnsi="仿宋" w:eastAsia="仿宋" w:cs="仿宋"/>
                <w:color w:val="auto"/>
                <w:sz w:val="24"/>
                <w:highlight w:val="none"/>
                <w:lang w:val="en-US" w:eastAsia="zh-CN"/>
              </w:rPr>
            </w:pPr>
            <w:r>
              <w:rPr>
                <w:rFonts w:hint="eastAsia" w:ascii="仿宋" w:hAnsi="仿宋" w:eastAsia="仿宋"/>
                <w:color w:val="auto"/>
                <w:sz w:val="24"/>
                <w:szCs w:val="24"/>
                <w:highlight w:val="none"/>
                <w:lang w:val="en-US" w:eastAsia="zh-CN"/>
              </w:rPr>
              <w:t>30天</w:t>
            </w:r>
          </w:p>
        </w:tc>
      </w:tr>
      <w:tr w14:paraId="636520D5">
        <w:tblPrEx>
          <w:tblCellMar>
            <w:top w:w="0" w:type="dxa"/>
            <w:left w:w="108" w:type="dxa"/>
            <w:bottom w:w="0" w:type="dxa"/>
            <w:right w:w="108" w:type="dxa"/>
          </w:tblCellMar>
        </w:tblPrEx>
        <w:trPr>
          <w:jc w:val="center"/>
        </w:trPr>
        <w:tc>
          <w:tcPr>
            <w:tcW w:w="706" w:type="dxa"/>
            <w:tcBorders>
              <w:top w:val="single" w:color="auto" w:sz="4" w:space="0"/>
              <w:left w:val="single" w:color="auto" w:sz="4" w:space="0"/>
              <w:bottom w:val="single" w:color="auto" w:sz="4" w:space="0"/>
              <w:right w:val="single" w:color="auto" w:sz="4" w:space="0"/>
            </w:tcBorders>
            <w:vAlign w:val="center"/>
          </w:tcPr>
          <w:p w14:paraId="7AEC8EDA">
            <w:pPr>
              <w:numPr>
                <w:ilvl w:val="0"/>
                <w:numId w:val="1"/>
              </w:numPr>
              <w:spacing w:line="400" w:lineRule="exact"/>
              <w:jc w:val="center"/>
              <w:rPr>
                <w:rFonts w:ascii="仿宋" w:hAnsi="仿宋" w:eastAsia="仿宋" w:cs="仿宋"/>
                <w:color w:val="auto"/>
                <w:sz w:val="24"/>
                <w:szCs w:val="24"/>
                <w:highlight w:val="none"/>
                <w:lang w:val="zh-CN"/>
              </w:rPr>
            </w:pPr>
          </w:p>
        </w:tc>
        <w:tc>
          <w:tcPr>
            <w:tcW w:w="2720" w:type="dxa"/>
            <w:tcBorders>
              <w:top w:val="single" w:color="auto" w:sz="4" w:space="0"/>
              <w:left w:val="single" w:color="auto" w:sz="4" w:space="0"/>
              <w:bottom w:val="single" w:color="auto" w:sz="4" w:space="0"/>
              <w:right w:val="single" w:color="auto" w:sz="4" w:space="0"/>
            </w:tcBorders>
            <w:vAlign w:val="center"/>
          </w:tcPr>
          <w:p w14:paraId="103FC5BF">
            <w:pPr>
              <w:spacing w:line="40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交货地点</w:t>
            </w:r>
          </w:p>
        </w:tc>
        <w:tc>
          <w:tcPr>
            <w:tcW w:w="6145" w:type="dxa"/>
            <w:tcBorders>
              <w:top w:val="single" w:color="auto" w:sz="4" w:space="0"/>
              <w:left w:val="single" w:color="auto" w:sz="4" w:space="0"/>
              <w:bottom w:val="single" w:color="auto" w:sz="4" w:space="0"/>
              <w:right w:val="single" w:color="auto" w:sz="4" w:space="0"/>
            </w:tcBorders>
            <w:vAlign w:val="center"/>
          </w:tcPr>
          <w:p w14:paraId="08E859B9">
            <w:pPr>
              <w:spacing w:line="400" w:lineRule="exact"/>
              <w:rPr>
                <w:rFonts w:hint="default" w:ascii="仿宋" w:hAnsi="仿宋" w:eastAsia="仿宋" w:cs="仿宋"/>
                <w:color w:val="auto"/>
                <w:sz w:val="24"/>
                <w:highlight w:val="none"/>
                <w:lang w:val="en-US" w:eastAsia="zh-CN"/>
              </w:rPr>
            </w:pPr>
            <w:r>
              <w:rPr>
                <w:rFonts w:hint="eastAsia" w:ascii="仿宋" w:hAnsi="仿宋" w:eastAsia="仿宋"/>
                <w:color w:val="auto"/>
                <w:sz w:val="24"/>
                <w:szCs w:val="24"/>
                <w:highlight w:val="none"/>
                <w:lang w:val="en-US" w:eastAsia="zh-CN"/>
              </w:rPr>
              <w:t>甲方指定地点</w:t>
            </w:r>
          </w:p>
        </w:tc>
      </w:tr>
      <w:tr w14:paraId="44A749D9">
        <w:tblPrEx>
          <w:tblCellMar>
            <w:top w:w="0" w:type="dxa"/>
            <w:left w:w="108" w:type="dxa"/>
            <w:bottom w:w="0" w:type="dxa"/>
            <w:right w:w="108" w:type="dxa"/>
          </w:tblCellMar>
        </w:tblPrEx>
        <w:trPr>
          <w:jc w:val="center"/>
        </w:trPr>
        <w:tc>
          <w:tcPr>
            <w:tcW w:w="706" w:type="dxa"/>
            <w:tcBorders>
              <w:top w:val="single" w:color="auto" w:sz="4" w:space="0"/>
              <w:left w:val="single" w:color="auto" w:sz="4" w:space="0"/>
              <w:bottom w:val="single" w:color="auto" w:sz="4" w:space="0"/>
              <w:right w:val="single" w:color="auto" w:sz="4" w:space="0"/>
            </w:tcBorders>
            <w:vAlign w:val="center"/>
          </w:tcPr>
          <w:p w14:paraId="54DBAE26">
            <w:pPr>
              <w:numPr>
                <w:ilvl w:val="0"/>
                <w:numId w:val="1"/>
              </w:numPr>
              <w:spacing w:line="400" w:lineRule="exact"/>
              <w:jc w:val="center"/>
              <w:rPr>
                <w:rFonts w:ascii="仿宋" w:hAnsi="仿宋" w:eastAsia="仿宋" w:cs="仿宋"/>
                <w:color w:val="auto"/>
                <w:sz w:val="24"/>
                <w:szCs w:val="24"/>
                <w:highlight w:val="none"/>
                <w:lang w:val="zh-CN"/>
              </w:rPr>
            </w:pPr>
          </w:p>
        </w:tc>
        <w:tc>
          <w:tcPr>
            <w:tcW w:w="2720" w:type="dxa"/>
            <w:tcBorders>
              <w:top w:val="single" w:color="auto" w:sz="4" w:space="0"/>
              <w:left w:val="single" w:color="auto" w:sz="4" w:space="0"/>
              <w:bottom w:val="single" w:color="auto" w:sz="4" w:space="0"/>
              <w:right w:val="single" w:color="auto" w:sz="4" w:space="0"/>
            </w:tcBorders>
            <w:vAlign w:val="center"/>
          </w:tcPr>
          <w:p w14:paraId="2FA103E9">
            <w:pPr>
              <w:spacing w:line="400" w:lineRule="exact"/>
              <w:rPr>
                <w:rFonts w:hint="default" w:ascii="仿宋" w:hAnsi="仿宋" w:eastAsia="仿宋"/>
                <w:color w:val="auto"/>
                <w:sz w:val="24"/>
                <w:szCs w:val="24"/>
                <w:highlight w:val="none"/>
                <w:lang w:val="en-US" w:eastAsia="zh-CN"/>
              </w:rPr>
            </w:pPr>
            <w:r>
              <w:rPr>
                <w:rFonts w:hint="eastAsia" w:ascii="仿宋" w:hAnsi="仿宋" w:eastAsia="仿宋"/>
                <w:color w:val="auto"/>
                <w:sz w:val="24"/>
                <w:szCs w:val="24"/>
                <w:highlight w:val="none"/>
                <w:lang w:val="en-US" w:eastAsia="zh-CN"/>
              </w:rPr>
              <w:t>是否专门面向中小企业</w:t>
            </w:r>
          </w:p>
        </w:tc>
        <w:tc>
          <w:tcPr>
            <w:tcW w:w="6145" w:type="dxa"/>
            <w:tcBorders>
              <w:top w:val="single" w:color="auto" w:sz="4" w:space="0"/>
              <w:left w:val="single" w:color="auto" w:sz="4" w:space="0"/>
              <w:bottom w:val="single" w:color="auto" w:sz="4" w:space="0"/>
              <w:right w:val="single" w:color="auto" w:sz="4" w:space="0"/>
            </w:tcBorders>
            <w:vAlign w:val="center"/>
          </w:tcPr>
          <w:p w14:paraId="3025D828">
            <w:pPr>
              <w:spacing w:line="400" w:lineRule="exact"/>
              <w:rPr>
                <w:rFonts w:hint="eastAsia" w:ascii="仿宋" w:hAnsi="仿宋" w:eastAsia="仿宋"/>
                <w:color w:val="auto"/>
                <w:sz w:val="24"/>
                <w:szCs w:val="24"/>
                <w:highlight w:val="none"/>
                <w:lang w:val="zh-CN" w:eastAsia="zh-CN"/>
              </w:rPr>
            </w:pPr>
            <w:r>
              <w:rPr>
                <w:rFonts w:hint="eastAsia" w:ascii="仿宋" w:hAnsi="仿宋" w:eastAsia="仿宋" w:cs="仿宋"/>
                <w:color w:val="auto"/>
                <w:sz w:val="24"/>
                <w:szCs w:val="24"/>
                <w:highlight w:val="none"/>
                <w:lang w:val="zh-CN"/>
              </w:rPr>
              <w:t xml:space="preserve">□ </w:t>
            </w:r>
            <w:r>
              <w:rPr>
                <w:rFonts w:hint="eastAsia" w:ascii="仿宋" w:hAnsi="仿宋" w:eastAsia="仿宋" w:cs="仿宋"/>
                <w:color w:val="auto"/>
                <w:sz w:val="24"/>
                <w:szCs w:val="24"/>
                <w:highlight w:val="none"/>
                <w:lang w:val="en-US" w:eastAsia="zh-CN"/>
              </w:rPr>
              <w:t>是</w:t>
            </w:r>
          </w:p>
          <w:p w14:paraId="62EA0D7C">
            <w:pPr>
              <w:spacing w:line="40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zh-CN"/>
              </w:rPr>
              <w:t xml:space="preserve">☑ </w:t>
            </w:r>
            <w:r>
              <w:rPr>
                <w:rFonts w:hint="eastAsia" w:ascii="仿宋" w:hAnsi="仿宋" w:eastAsia="仿宋" w:cs="仿宋"/>
                <w:color w:val="auto"/>
                <w:sz w:val="24"/>
                <w:szCs w:val="24"/>
                <w:highlight w:val="none"/>
                <w:lang w:val="en-US" w:eastAsia="zh-CN"/>
              </w:rPr>
              <w:t>否</w:t>
            </w:r>
          </w:p>
          <w:p w14:paraId="59AAE9D3">
            <w:pPr>
              <w:spacing w:line="400" w:lineRule="exact"/>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注：该项目所属行业为：工业。</w:t>
            </w:r>
          </w:p>
          <w:p w14:paraId="7CEFE3EC">
            <w:pPr>
              <w:spacing w:line="400" w:lineRule="exact"/>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本项目不专门面向中小企业，中小企业价格扣浮10%</w:t>
            </w:r>
          </w:p>
        </w:tc>
      </w:tr>
      <w:tr w14:paraId="70D6CB40">
        <w:tblPrEx>
          <w:tblCellMar>
            <w:top w:w="0" w:type="dxa"/>
            <w:left w:w="108" w:type="dxa"/>
            <w:bottom w:w="0" w:type="dxa"/>
            <w:right w:w="108" w:type="dxa"/>
          </w:tblCellMar>
        </w:tblPrEx>
        <w:trPr>
          <w:jc w:val="center"/>
        </w:trPr>
        <w:tc>
          <w:tcPr>
            <w:tcW w:w="706" w:type="dxa"/>
            <w:tcBorders>
              <w:top w:val="single" w:color="auto" w:sz="4" w:space="0"/>
              <w:left w:val="single" w:color="auto" w:sz="4" w:space="0"/>
              <w:bottom w:val="single" w:color="auto" w:sz="4" w:space="0"/>
              <w:right w:val="single" w:color="auto" w:sz="4" w:space="0"/>
            </w:tcBorders>
            <w:vAlign w:val="center"/>
          </w:tcPr>
          <w:p w14:paraId="664ECF08">
            <w:pPr>
              <w:numPr>
                <w:ilvl w:val="0"/>
                <w:numId w:val="1"/>
              </w:numPr>
              <w:spacing w:line="400" w:lineRule="exact"/>
              <w:jc w:val="center"/>
              <w:rPr>
                <w:rFonts w:ascii="仿宋" w:hAnsi="仿宋" w:eastAsia="仿宋" w:cs="仿宋"/>
                <w:color w:val="auto"/>
                <w:sz w:val="24"/>
                <w:szCs w:val="24"/>
                <w:highlight w:val="none"/>
                <w:lang w:val="zh-CN"/>
              </w:rPr>
            </w:pPr>
          </w:p>
        </w:tc>
        <w:tc>
          <w:tcPr>
            <w:tcW w:w="2720" w:type="dxa"/>
            <w:tcBorders>
              <w:top w:val="single" w:color="auto" w:sz="4" w:space="0"/>
              <w:left w:val="single" w:color="auto" w:sz="4" w:space="0"/>
              <w:bottom w:val="single" w:color="auto" w:sz="4" w:space="0"/>
              <w:right w:val="single" w:color="auto" w:sz="4" w:space="0"/>
            </w:tcBorders>
            <w:vAlign w:val="center"/>
          </w:tcPr>
          <w:p w14:paraId="3A65967F">
            <w:pPr>
              <w:spacing w:line="40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是否接受联合体投标</w:t>
            </w:r>
          </w:p>
        </w:tc>
        <w:tc>
          <w:tcPr>
            <w:tcW w:w="6145" w:type="dxa"/>
            <w:tcBorders>
              <w:top w:val="single" w:color="auto" w:sz="4" w:space="0"/>
              <w:left w:val="single" w:color="auto" w:sz="4" w:space="0"/>
              <w:bottom w:val="single" w:color="auto" w:sz="4" w:space="0"/>
              <w:right w:val="single" w:color="auto" w:sz="4" w:space="0"/>
            </w:tcBorders>
            <w:vAlign w:val="center"/>
          </w:tcPr>
          <w:p w14:paraId="1D3571DE">
            <w:pPr>
              <w:spacing w:line="40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 不接受</w:t>
            </w:r>
          </w:p>
          <w:p w14:paraId="6900DBC9">
            <w:pPr>
              <w:spacing w:line="40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 接受，应满足下列要求：</w:t>
            </w:r>
            <w:r>
              <w:rPr>
                <w:rFonts w:hint="eastAsia" w:ascii="仿宋" w:hAnsi="仿宋" w:eastAsia="仿宋"/>
                <w:color w:val="auto"/>
                <w:sz w:val="24"/>
                <w:szCs w:val="24"/>
                <w:highlight w:val="none"/>
                <w:u w:val="single"/>
              </w:rPr>
              <w:t xml:space="preserve">           </w:t>
            </w:r>
          </w:p>
        </w:tc>
      </w:tr>
      <w:tr w14:paraId="5C1421EB">
        <w:tblPrEx>
          <w:tblCellMar>
            <w:top w:w="0" w:type="dxa"/>
            <w:left w:w="108" w:type="dxa"/>
            <w:bottom w:w="0" w:type="dxa"/>
            <w:right w:w="108" w:type="dxa"/>
          </w:tblCellMar>
        </w:tblPrEx>
        <w:trPr>
          <w:jc w:val="center"/>
        </w:trPr>
        <w:tc>
          <w:tcPr>
            <w:tcW w:w="706" w:type="dxa"/>
            <w:tcBorders>
              <w:top w:val="single" w:color="auto" w:sz="4" w:space="0"/>
              <w:left w:val="single" w:color="auto" w:sz="4" w:space="0"/>
              <w:bottom w:val="single" w:color="auto" w:sz="4" w:space="0"/>
              <w:right w:val="single" w:color="auto" w:sz="4" w:space="0"/>
            </w:tcBorders>
            <w:vAlign w:val="center"/>
          </w:tcPr>
          <w:p w14:paraId="449CB0B3">
            <w:pPr>
              <w:numPr>
                <w:ilvl w:val="0"/>
                <w:numId w:val="1"/>
              </w:numPr>
              <w:spacing w:line="400" w:lineRule="exact"/>
              <w:jc w:val="center"/>
              <w:rPr>
                <w:rFonts w:ascii="仿宋" w:hAnsi="仿宋" w:eastAsia="仿宋" w:cs="仿宋"/>
                <w:color w:val="auto"/>
                <w:sz w:val="24"/>
                <w:szCs w:val="24"/>
                <w:highlight w:val="none"/>
                <w:lang w:val="zh-CN"/>
              </w:rPr>
            </w:pPr>
          </w:p>
        </w:tc>
        <w:tc>
          <w:tcPr>
            <w:tcW w:w="2720" w:type="dxa"/>
            <w:tcBorders>
              <w:top w:val="single" w:color="auto" w:sz="4" w:space="0"/>
              <w:left w:val="single" w:color="auto" w:sz="4" w:space="0"/>
              <w:bottom w:val="single" w:color="auto" w:sz="4" w:space="0"/>
              <w:right w:val="single" w:color="auto" w:sz="4" w:space="0"/>
            </w:tcBorders>
            <w:vAlign w:val="center"/>
          </w:tcPr>
          <w:p w14:paraId="05094336">
            <w:pPr>
              <w:spacing w:line="400" w:lineRule="exact"/>
              <w:rPr>
                <w:rFonts w:ascii="仿宋" w:hAnsi="仿宋" w:eastAsia="仿宋"/>
                <w:color w:val="auto"/>
                <w:sz w:val="24"/>
                <w:szCs w:val="24"/>
                <w:highlight w:val="none"/>
                <w:lang w:val="zh-CN"/>
              </w:rPr>
            </w:pPr>
            <w:r>
              <w:rPr>
                <w:rFonts w:hint="eastAsia" w:ascii="仿宋" w:hAnsi="仿宋" w:eastAsia="仿宋"/>
                <w:color w:val="auto"/>
                <w:sz w:val="24"/>
                <w:szCs w:val="24"/>
                <w:highlight w:val="none"/>
                <w:lang w:val="zh-CN"/>
              </w:rPr>
              <w:t>投标有效期</w:t>
            </w:r>
          </w:p>
        </w:tc>
        <w:tc>
          <w:tcPr>
            <w:tcW w:w="6145" w:type="dxa"/>
            <w:tcBorders>
              <w:top w:val="single" w:color="auto" w:sz="4" w:space="0"/>
              <w:left w:val="single" w:color="auto" w:sz="4" w:space="0"/>
              <w:bottom w:val="single" w:color="auto" w:sz="4" w:space="0"/>
              <w:right w:val="single" w:color="auto" w:sz="4" w:space="0"/>
            </w:tcBorders>
            <w:vAlign w:val="center"/>
          </w:tcPr>
          <w:p w14:paraId="24796BB2">
            <w:pPr>
              <w:spacing w:line="400" w:lineRule="exact"/>
              <w:rPr>
                <w:rFonts w:ascii="仿宋" w:hAnsi="仿宋" w:eastAsia="仿宋"/>
                <w:color w:val="auto"/>
                <w:sz w:val="24"/>
                <w:szCs w:val="24"/>
                <w:highlight w:val="none"/>
                <w:lang w:val="zh-CN"/>
              </w:rPr>
            </w:pPr>
            <w:r>
              <w:rPr>
                <w:rFonts w:hint="eastAsia" w:ascii="仿宋" w:hAnsi="仿宋" w:eastAsia="仿宋"/>
                <w:color w:val="auto"/>
                <w:sz w:val="24"/>
                <w:szCs w:val="24"/>
                <w:highlight w:val="none"/>
              </w:rPr>
              <w:t>自投标截止之日起</w:t>
            </w:r>
            <w:r>
              <w:rPr>
                <w:rFonts w:hint="eastAsia" w:ascii="仿宋" w:hAnsi="仿宋" w:eastAsia="仿宋"/>
                <w:color w:val="auto"/>
                <w:sz w:val="24"/>
                <w:szCs w:val="24"/>
                <w:highlight w:val="none"/>
                <w:u w:val="single"/>
              </w:rPr>
              <w:t xml:space="preserve"> 30</w:t>
            </w:r>
            <w:r>
              <w:rPr>
                <w:rFonts w:ascii="仿宋" w:hAnsi="仿宋" w:eastAsia="仿宋"/>
                <w:color w:val="auto"/>
                <w:sz w:val="24"/>
                <w:szCs w:val="24"/>
                <w:highlight w:val="none"/>
                <w:u w:val="single"/>
              </w:rPr>
              <w:t xml:space="preserve"> </w:t>
            </w:r>
            <w:r>
              <w:rPr>
                <w:rFonts w:hint="eastAsia" w:ascii="仿宋" w:hAnsi="仿宋" w:eastAsia="仿宋"/>
                <w:color w:val="auto"/>
                <w:sz w:val="24"/>
                <w:szCs w:val="24"/>
                <w:highlight w:val="none"/>
                <w:u w:val="single"/>
              </w:rPr>
              <w:t>天</w:t>
            </w:r>
            <w:r>
              <w:rPr>
                <w:rFonts w:hint="eastAsia" w:ascii="仿宋" w:hAnsi="仿宋" w:eastAsia="仿宋"/>
                <w:color w:val="auto"/>
                <w:sz w:val="24"/>
                <w:szCs w:val="24"/>
                <w:highlight w:val="none"/>
              </w:rPr>
              <w:t>。</w:t>
            </w:r>
          </w:p>
        </w:tc>
      </w:tr>
      <w:tr w14:paraId="3C5F2FF3">
        <w:tblPrEx>
          <w:tblCellMar>
            <w:top w:w="0" w:type="dxa"/>
            <w:left w:w="108" w:type="dxa"/>
            <w:bottom w:w="0" w:type="dxa"/>
            <w:right w:w="108" w:type="dxa"/>
          </w:tblCellMar>
        </w:tblPrEx>
        <w:trPr>
          <w:jc w:val="center"/>
        </w:trPr>
        <w:tc>
          <w:tcPr>
            <w:tcW w:w="706" w:type="dxa"/>
            <w:tcBorders>
              <w:top w:val="single" w:color="auto" w:sz="4" w:space="0"/>
              <w:left w:val="single" w:color="auto" w:sz="4" w:space="0"/>
              <w:bottom w:val="single" w:color="auto" w:sz="4" w:space="0"/>
              <w:right w:val="single" w:color="auto" w:sz="4" w:space="0"/>
            </w:tcBorders>
            <w:vAlign w:val="center"/>
          </w:tcPr>
          <w:p w14:paraId="1753B364">
            <w:pPr>
              <w:numPr>
                <w:ilvl w:val="0"/>
                <w:numId w:val="1"/>
              </w:numPr>
              <w:spacing w:line="400" w:lineRule="exact"/>
              <w:jc w:val="center"/>
              <w:rPr>
                <w:rFonts w:ascii="仿宋" w:hAnsi="仿宋" w:eastAsia="仿宋" w:cs="仿宋"/>
                <w:color w:val="auto"/>
                <w:sz w:val="24"/>
                <w:szCs w:val="24"/>
                <w:highlight w:val="none"/>
                <w:lang w:val="zh-CN"/>
              </w:rPr>
            </w:pPr>
          </w:p>
        </w:tc>
        <w:tc>
          <w:tcPr>
            <w:tcW w:w="2720" w:type="dxa"/>
            <w:tcBorders>
              <w:top w:val="single" w:color="auto" w:sz="4" w:space="0"/>
              <w:left w:val="single" w:color="auto" w:sz="4" w:space="0"/>
              <w:bottom w:val="single" w:color="auto" w:sz="4" w:space="0"/>
              <w:right w:val="single" w:color="auto" w:sz="4" w:space="0"/>
            </w:tcBorders>
            <w:vAlign w:val="center"/>
          </w:tcPr>
          <w:p w14:paraId="0FC0F40D">
            <w:pPr>
              <w:spacing w:line="400" w:lineRule="exact"/>
              <w:rPr>
                <w:rFonts w:ascii="仿宋" w:hAnsi="仿宋" w:eastAsia="仿宋"/>
                <w:color w:val="auto"/>
                <w:sz w:val="24"/>
                <w:szCs w:val="24"/>
                <w:highlight w:val="none"/>
                <w:lang w:val="zh-CN"/>
              </w:rPr>
            </w:pPr>
            <w:r>
              <w:rPr>
                <w:rFonts w:hint="eastAsia" w:ascii="仿宋" w:hAnsi="仿宋" w:eastAsia="仿宋" w:cs="仿宋"/>
                <w:color w:val="auto"/>
                <w:sz w:val="24"/>
                <w:szCs w:val="24"/>
                <w:highlight w:val="none"/>
                <w:lang w:val="zh-CN"/>
              </w:rPr>
              <w:t>踏勘现场</w:t>
            </w:r>
          </w:p>
        </w:tc>
        <w:tc>
          <w:tcPr>
            <w:tcW w:w="6145" w:type="dxa"/>
            <w:tcBorders>
              <w:top w:val="single" w:color="auto" w:sz="4" w:space="0"/>
              <w:left w:val="single" w:color="auto" w:sz="4" w:space="0"/>
              <w:bottom w:val="single" w:color="auto" w:sz="4" w:space="0"/>
              <w:right w:val="single" w:color="auto" w:sz="4" w:space="0"/>
            </w:tcBorders>
            <w:vAlign w:val="center"/>
          </w:tcPr>
          <w:p w14:paraId="2D110EF2">
            <w:pPr>
              <w:spacing w:line="400" w:lineRule="exact"/>
              <w:rPr>
                <w:rFonts w:ascii="仿宋" w:hAnsi="仿宋" w:eastAsia="仿宋"/>
                <w:color w:val="auto"/>
                <w:sz w:val="24"/>
                <w:szCs w:val="24"/>
                <w:highlight w:val="none"/>
                <w:lang w:val="zh-CN"/>
              </w:rPr>
            </w:pPr>
            <w:r>
              <w:rPr>
                <w:rFonts w:hint="eastAsia" w:ascii="仿宋" w:hAnsi="仿宋" w:eastAsia="仿宋" w:cs="仿宋"/>
                <w:color w:val="auto"/>
                <w:sz w:val="24"/>
                <w:szCs w:val="24"/>
                <w:highlight w:val="none"/>
                <w:lang w:val="zh-CN"/>
              </w:rPr>
              <w:t>☑ 不组织，自行踏勘</w:t>
            </w:r>
          </w:p>
          <w:p w14:paraId="3F5D1EF1">
            <w:pPr>
              <w:spacing w:line="400" w:lineRule="exact"/>
              <w:rPr>
                <w:rFonts w:ascii="仿宋" w:hAnsi="仿宋" w:eastAsia="仿宋"/>
                <w:color w:val="auto"/>
                <w:sz w:val="24"/>
                <w:szCs w:val="24"/>
                <w:highlight w:val="none"/>
                <w:lang w:val="zh-CN"/>
              </w:rPr>
            </w:pPr>
            <w:r>
              <w:rPr>
                <w:rFonts w:hint="eastAsia" w:ascii="仿宋" w:hAnsi="仿宋" w:eastAsia="仿宋" w:cs="仿宋"/>
                <w:color w:val="auto"/>
                <w:sz w:val="24"/>
                <w:szCs w:val="24"/>
                <w:highlight w:val="none"/>
                <w:lang w:val="zh-CN"/>
              </w:rPr>
              <w:t>□ 组织，踏勘时间：</w:t>
            </w:r>
            <w:r>
              <w:rPr>
                <w:rFonts w:hint="eastAsia" w:ascii="仿宋" w:hAnsi="仿宋" w:eastAsia="仿宋" w:cs="仿宋"/>
                <w:color w:val="auto"/>
                <w:sz w:val="24"/>
                <w:szCs w:val="24"/>
                <w:highlight w:val="none"/>
                <w:u w:val="single"/>
                <w:lang w:val="zh-CN"/>
              </w:rPr>
              <w:t xml:space="preserve">               </w:t>
            </w:r>
          </w:p>
          <w:p w14:paraId="7840B2C7">
            <w:pPr>
              <w:tabs>
                <w:tab w:val="left" w:pos="7665"/>
              </w:tabs>
              <w:spacing w:line="400" w:lineRule="exact"/>
              <w:ind w:firstLine="1080" w:firstLineChars="450"/>
              <w:rPr>
                <w:rFonts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踏勘地点：</w:t>
            </w:r>
            <w:r>
              <w:rPr>
                <w:rFonts w:hint="eastAsia" w:ascii="仿宋" w:hAnsi="仿宋" w:eastAsia="仿宋" w:cs="仿宋"/>
                <w:color w:val="auto"/>
                <w:sz w:val="24"/>
                <w:szCs w:val="24"/>
                <w:highlight w:val="none"/>
                <w:u w:val="single"/>
                <w:lang w:val="zh-CN"/>
              </w:rPr>
              <w:t xml:space="preserve">               </w:t>
            </w:r>
          </w:p>
        </w:tc>
      </w:tr>
      <w:tr w14:paraId="08BB588F">
        <w:tblPrEx>
          <w:tblCellMar>
            <w:top w:w="0" w:type="dxa"/>
            <w:left w:w="108" w:type="dxa"/>
            <w:bottom w:w="0" w:type="dxa"/>
            <w:right w:w="108" w:type="dxa"/>
          </w:tblCellMar>
        </w:tblPrEx>
        <w:trPr>
          <w:jc w:val="center"/>
        </w:trPr>
        <w:tc>
          <w:tcPr>
            <w:tcW w:w="706" w:type="dxa"/>
            <w:tcBorders>
              <w:top w:val="single" w:color="auto" w:sz="4" w:space="0"/>
              <w:left w:val="single" w:color="auto" w:sz="4" w:space="0"/>
              <w:bottom w:val="single" w:color="auto" w:sz="4" w:space="0"/>
              <w:right w:val="single" w:color="auto" w:sz="4" w:space="0"/>
            </w:tcBorders>
            <w:vAlign w:val="center"/>
          </w:tcPr>
          <w:p w14:paraId="0BBAB0F8">
            <w:pPr>
              <w:numPr>
                <w:ilvl w:val="0"/>
                <w:numId w:val="1"/>
              </w:numPr>
              <w:spacing w:line="400" w:lineRule="exact"/>
              <w:jc w:val="center"/>
              <w:rPr>
                <w:rFonts w:ascii="仿宋" w:hAnsi="仿宋" w:eastAsia="仿宋" w:cs="仿宋"/>
                <w:color w:val="auto"/>
                <w:sz w:val="24"/>
                <w:szCs w:val="24"/>
                <w:highlight w:val="none"/>
                <w:lang w:val="zh-CN"/>
              </w:rPr>
            </w:pPr>
          </w:p>
        </w:tc>
        <w:tc>
          <w:tcPr>
            <w:tcW w:w="2720" w:type="dxa"/>
            <w:tcBorders>
              <w:top w:val="single" w:color="auto" w:sz="4" w:space="0"/>
              <w:left w:val="single" w:color="auto" w:sz="4" w:space="0"/>
              <w:bottom w:val="single" w:color="auto" w:sz="4" w:space="0"/>
              <w:right w:val="single" w:color="auto" w:sz="4" w:space="0"/>
            </w:tcBorders>
            <w:vAlign w:val="center"/>
          </w:tcPr>
          <w:p w14:paraId="30F2BE57">
            <w:pPr>
              <w:spacing w:line="400" w:lineRule="exact"/>
              <w:rPr>
                <w:rFonts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履约保证金</w:t>
            </w:r>
          </w:p>
        </w:tc>
        <w:tc>
          <w:tcPr>
            <w:tcW w:w="6145" w:type="dxa"/>
            <w:tcBorders>
              <w:top w:val="single" w:color="auto" w:sz="4" w:space="0"/>
              <w:left w:val="single" w:color="auto" w:sz="4" w:space="0"/>
              <w:bottom w:val="single" w:color="auto" w:sz="4" w:space="0"/>
              <w:right w:val="single" w:color="auto" w:sz="4" w:space="0"/>
            </w:tcBorders>
            <w:vAlign w:val="center"/>
          </w:tcPr>
          <w:p w14:paraId="46D47733">
            <w:pPr>
              <w:spacing w:line="400" w:lineRule="exact"/>
              <w:rPr>
                <w:rFonts w:ascii="仿宋" w:hAnsi="仿宋" w:eastAsia="仿宋"/>
                <w:color w:val="auto"/>
                <w:sz w:val="24"/>
                <w:szCs w:val="24"/>
                <w:highlight w:val="none"/>
              </w:rPr>
            </w:pP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rPr>
              <w:t xml:space="preserve"> 不需要</w:t>
            </w:r>
          </w:p>
          <w:p w14:paraId="5FBAB28A">
            <w:pPr>
              <w:spacing w:line="400" w:lineRule="exact"/>
              <w:rPr>
                <w:rFonts w:ascii="仿宋" w:hAnsi="仿宋" w:eastAsia="仿宋"/>
                <w:color w:val="auto"/>
                <w:sz w:val="24"/>
                <w:szCs w:val="24"/>
                <w:highlight w:val="none"/>
              </w:rPr>
            </w:pP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rPr>
              <w:t xml:space="preserve"> 需要，履约保证金的金额：中标合同金额的</w:t>
            </w:r>
            <w:r>
              <w:rPr>
                <w:rFonts w:hint="eastAsia" w:ascii="仿宋" w:hAnsi="仿宋" w:eastAsia="仿宋"/>
                <w:color w:val="auto"/>
                <w:sz w:val="24"/>
                <w:szCs w:val="24"/>
                <w:highlight w:val="none"/>
                <w:u w:val="single"/>
                <w:lang w:val="en-US" w:eastAsia="zh-CN"/>
              </w:rPr>
              <w:t>6</w:t>
            </w:r>
            <w:r>
              <w:rPr>
                <w:rFonts w:hint="eastAsia" w:ascii="仿宋" w:hAnsi="仿宋" w:eastAsia="仿宋"/>
                <w:color w:val="auto"/>
                <w:sz w:val="24"/>
                <w:szCs w:val="24"/>
                <w:highlight w:val="none"/>
              </w:rPr>
              <w:t>%（履约保证金须以支票、汇票、本票或者金融机构、担保机构出具的保函等非现金形式提交）</w:t>
            </w:r>
          </w:p>
        </w:tc>
      </w:tr>
      <w:tr w14:paraId="459A8B41">
        <w:tblPrEx>
          <w:tblCellMar>
            <w:top w:w="0" w:type="dxa"/>
            <w:left w:w="108" w:type="dxa"/>
            <w:bottom w:w="0" w:type="dxa"/>
            <w:right w:w="108" w:type="dxa"/>
          </w:tblCellMar>
        </w:tblPrEx>
        <w:trPr>
          <w:jc w:val="center"/>
        </w:trPr>
        <w:tc>
          <w:tcPr>
            <w:tcW w:w="706" w:type="dxa"/>
            <w:tcBorders>
              <w:top w:val="single" w:color="auto" w:sz="4" w:space="0"/>
              <w:left w:val="single" w:color="auto" w:sz="4" w:space="0"/>
              <w:bottom w:val="single" w:color="auto" w:sz="4" w:space="0"/>
              <w:right w:val="single" w:color="auto" w:sz="4" w:space="0"/>
            </w:tcBorders>
            <w:vAlign w:val="center"/>
          </w:tcPr>
          <w:p w14:paraId="67D4116C">
            <w:pPr>
              <w:numPr>
                <w:ilvl w:val="0"/>
                <w:numId w:val="1"/>
              </w:numPr>
              <w:spacing w:line="400" w:lineRule="exact"/>
              <w:jc w:val="center"/>
              <w:rPr>
                <w:rFonts w:ascii="仿宋" w:hAnsi="仿宋" w:eastAsia="仿宋" w:cs="仿宋"/>
                <w:color w:val="auto"/>
                <w:sz w:val="24"/>
                <w:szCs w:val="24"/>
                <w:highlight w:val="none"/>
                <w:lang w:val="zh-CN"/>
              </w:rPr>
            </w:pPr>
          </w:p>
        </w:tc>
        <w:tc>
          <w:tcPr>
            <w:tcW w:w="2720" w:type="dxa"/>
            <w:tcBorders>
              <w:top w:val="single" w:color="auto" w:sz="4" w:space="0"/>
              <w:left w:val="single" w:color="auto" w:sz="4" w:space="0"/>
              <w:bottom w:val="single" w:color="auto" w:sz="4" w:space="0"/>
              <w:right w:val="single" w:color="auto" w:sz="4" w:space="0"/>
            </w:tcBorders>
            <w:vAlign w:val="center"/>
          </w:tcPr>
          <w:p w14:paraId="04A37D14">
            <w:pPr>
              <w:spacing w:line="400" w:lineRule="exact"/>
              <w:rPr>
                <w:rFonts w:ascii="仿宋" w:hAnsi="仿宋" w:eastAsia="仿宋"/>
                <w:color w:val="auto"/>
                <w:sz w:val="24"/>
                <w:szCs w:val="24"/>
                <w:highlight w:val="none"/>
                <w:lang w:val="zh-CN"/>
              </w:rPr>
            </w:pPr>
            <w:r>
              <w:rPr>
                <w:rFonts w:hint="eastAsia" w:ascii="仿宋" w:hAnsi="仿宋" w:eastAsia="仿宋"/>
                <w:color w:val="auto"/>
                <w:sz w:val="24"/>
                <w:szCs w:val="24"/>
                <w:highlight w:val="none"/>
                <w:lang w:val="zh-CN"/>
              </w:rPr>
              <w:t>采购代理服务费支付</w:t>
            </w:r>
          </w:p>
        </w:tc>
        <w:tc>
          <w:tcPr>
            <w:tcW w:w="6145" w:type="dxa"/>
            <w:tcBorders>
              <w:top w:val="single" w:color="auto" w:sz="4" w:space="0"/>
              <w:left w:val="single" w:color="auto" w:sz="4" w:space="0"/>
              <w:bottom w:val="single" w:color="auto" w:sz="4" w:space="0"/>
              <w:right w:val="single" w:color="auto" w:sz="4" w:space="0"/>
            </w:tcBorders>
            <w:vAlign w:val="center"/>
          </w:tcPr>
          <w:p w14:paraId="0649F123">
            <w:pPr>
              <w:spacing w:line="400" w:lineRule="exact"/>
              <w:rPr>
                <w:rFonts w:ascii="仿宋" w:hAnsi="仿宋" w:eastAsia="仿宋"/>
                <w:color w:val="auto"/>
                <w:sz w:val="24"/>
                <w:szCs w:val="24"/>
                <w:highlight w:val="none"/>
                <w:lang w:val="zh-CN"/>
              </w:rPr>
            </w:pPr>
            <w:r>
              <w:rPr>
                <w:rFonts w:hint="eastAsia" w:ascii="仿宋" w:hAnsi="仿宋" w:eastAsia="仿宋" w:cs="仿宋"/>
                <w:color w:val="auto"/>
                <w:sz w:val="24"/>
                <w:szCs w:val="24"/>
                <w:highlight w:val="none"/>
                <w:lang w:val="zh-CN"/>
              </w:rPr>
              <w:t xml:space="preserve">□ </w:t>
            </w:r>
            <w:r>
              <w:rPr>
                <w:rFonts w:hint="eastAsia" w:ascii="仿宋" w:hAnsi="仿宋" w:eastAsia="仿宋"/>
                <w:color w:val="auto"/>
                <w:sz w:val="24"/>
                <w:szCs w:val="24"/>
                <w:highlight w:val="none"/>
                <w:lang w:val="zh-CN"/>
              </w:rPr>
              <w:t>由采购人支付</w:t>
            </w:r>
          </w:p>
          <w:p w14:paraId="06D3CEDC">
            <w:pPr>
              <w:spacing w:line="400" w:lineRule="exact"/>
              <w:rPr>
                <w:rFonts w:hint="eastAsia" w:ascii="仿宋" w:hAnsi="仿宋" w:eastAsia="仿宋"/>
                <w:color w:val="auto"/>
                <w:sz w:val="24"/>
                <w:szCs w:val="24"/>
                <w:highlight w:val="none"/>
                <w:lang w:val="zh-CN"/>
              </w:rPr>
            </w:pPr>
            <w:r>
              <w:rPr>
                <w:rFonts w:hint="eastAsia" w:ascii="仿宋" w:hAnsi="仿宋" w:eastAsia="仿宋" w:cs="仿宋"/>
                <w:color w:val="auto"/>
                <w:sz w:val="24"/>
                <w:szCs w:val="24"/>
                <w:highlight w:val="none"/>
                <w:lang w:val="zh-CN"/>
              </w:rPr>
              <w:t xml:space="preserve">☑ </w:t>
            </w:r>
            <w:r>
              <w:rPr>
                <w:rFonts w:hint="eastAsia" w:ascii="仿宋" w:hAnsi="仿宋" w:eastAsia="仿宋"/>
                <w:color w:val="auto"/>
                <w:sz w:val="24"/>
                <w:szCs w:val="24"/>
                <w:highlight w:val="none"/>
                <w:lang w:val="zh-CN"/>
              </w:rPr>
              <w:t>由中标人支付</w:t>
            </w:r>
          </w:p>
          <w:p w14:paraId="60CFA7A1">
            <w:pPr>
              <w:spacing w:line="400" w:lineRule="exact"/>
              <w:rPr>
                <w:rFonts w:hint="eastAsia" w:ascii="仿宋" w:hAnsi="仿宋" w:eastAsia="仿宋" w:cs="Times New Roman"/>
                <w:color w:val="auto"/>
                <w:sz w:val="24"/>
                <w:szCs w:val="24"/>
                <w:highlight w:val="none"/>
                <w:lang w:val="zh-CN"/>
              </w:rPr>
            </w:pPr>
            <w:r>
              <w:rPr>
                <w:rFonts w:hint="eastAsia" w:ascii="仿宋" w:hAnsi="仿宋" w:eastAsia="仿宋" w:cs="Times New Roman"/>
                <w:color w:val="auto"/>
                <w:sz w:val="24"/>
                <w:szCs w:val="24"/>
                <w:highlight w:val="none"/>
                <w:lang w:val="zh-CN"/>
              </w:rPr>
              <w:t>成交供应商在收到</w:t>
            </w:r>
            <w:r>
              <w:rPr>
                <w:rFonts w:hint="eastAsia" w:ascii="仿宋" w:hAnsi="仿宋" w:eastAsia="仿宋" w:cs="Times New Roman"/>
                <w:color w:val="auto"/>
                <w:sz w:val="24"/>
                <w:szCs w:val="24"/>
                <w:highlight w:val="none"/>
                <w:lang w:val="en-US" w:eastAsia="zh-CN"/>
              </w:rPr>
              <w:t>成交</w:t>
            </w:r>
            <w:r>
              <w:rPr>
                <w:rFonts w:hint="eastAsia" w:ascii="仿宋" w:hAnsi="仿宋" w:eastAsia="仿宋" w:cs="Times New Roman"/>
                <w:color w:val="auto"/>
                <w:sz w:val="24"/>
                <w:szCs w:val="24"/>
                <w:highlight w:val="none"/>
                <w:lang w:val="zh-CN"/>
              </w:rPr>
              <w:t>通知书时，须向代理机构支付</w:t>
            </w:r>
            <w:r>
              <w:rPr>
                <w:rFonts w:hint="eastAsia" w:ascii="仿宋" w:hAnsi="仿宋" w:eastAsia="仿宋" w:cs="Times New Roman"/>
                <w:color w:val="auto"/>
                <w:sz w:val="24"/>
                <w:szCs w:val="24"/>
                <w:highlight w:val="none"/>
                <w:lang w:val="en-US" w:eastAsia="zh-CN"/>
              </w:rPr>
              <w:t>招标代理</w:t>
            </w:r>
            <w:r>
              <w:rPr>
                <w:rFonts w:hint="eastAsia" w:ascii="仿宋" w:hAnsi="仿宋" w:eastAsia="仿宋" w:cs="Times New Roman"/>
                <w:color w:val="auto"/>
                <w:sz w:val="24"/>
                <w:szCs w:val="24"/>
                <w:highlight w:val="none"/>
                <w:lang w:val="zh-CN"/>
              </w:rPr>
              <w:t>服务费，</w:t>
            </w:r>
            <w:r>
              <w:rPr>
                <w:rFonts w:hint="eastAsia" w:ascii="仿宋" w:hAnsi="仿宋" w:eastAsia="仿宋" w:cs="Times New Roman"/>
                <w:color w:val="auto"/>
                <w:sz w:val="24"/>
                <w:szCs w:val="24"/>
                <w:highlight w:val="none"/>
                <w:lang w:val="en-US" w:eastAsia="zh-CN"/>
              </w:rPr>
              <w:t>招标代理</w:t>
            </w:r>
            <w:r>
              <w:rPr>
                <w:rFonts w:hint="eastAsia" w:ascii="仿宋" w:hAnsi="仿宋" w:eastAsia="仿宋" w:cs="Times New Roman"/>
                <w:color w:val="auto"/>
                <w:sz w:val="24"/>
                <w:szCs w:val="24"/>
                <w:highlight w:val="none"/>
                <w:lang w:val="zh-CN"/>
              </w:rPr>
              <w:t>服务费以预算价为计算基数，参照国家发展计划委员会“计价格（2002）1980号”文件、“发改办价格[2003]857号”文及发改办价格〔2011〕534号文计算。</w:t>
            </w:r>
          </w:p>
          <w:p w14:paraId="3B45BD3E">
            <w:pPr>
              <w:pStyle w:val="4"/>
              <w:ind w:left="0" w:leftChars="0" w:firstLine="0" w:firstLineChars="0"/>
              <w:rPr>
                <w:color w:val="auto"/>
                <w:highlight w:val="none"/>
                <w:lang w:val="zh-CN"/>
              </w:rPr>
            </w:pPr>
            <w:r>
              <w:rPr>
                <w:rFonts w:hint="eastAsia" w:ascii="仿宋" w:hAnsi="仿宋" w:eastAsia="仿宋" w:cs="Times New Roman"/>
                <w:color w:val="auto"/>
                <w:sz w:val="24"/>
                <w:szCs w:val="24"/>
                <w:highlight w:val="none"/>
                <w:lang w:val="en-US" w:eastAsia="zh-CN"/>
              </w:rPr>
              <w:t>注：投标报价含招标代理服务费。</w:t>
            </w:r>
          </w:p>
        </w:tc>
      </w:tr>
      <w:tr w14:paraId="2DBDFADF">
        <w:tblPrEx>
          <w:tblCellMar>
            <w:top w:w="0" w:type="dxa"/>
            <w:left w:w="108" w:type="dxa"/>
            <w:bottom w:w="0" w:type="dxa"/>
            <w:right w:w="108" w:type="dxa"/>
          </w:tblCellMar>
        </w:tblPrEx>
        <w:trPr>
          <w:jc w:val="center"/>
        </w:trPr>
        <w:tc>
          <w:tcPr>
            <w:tcW w:w="706" w:type="dxa"/>
            <w:tcBorders>
              <w:top w:val="single" w:color="auto" w:sz="4" w:space="0"/>
              <w:left w:val="single" w:color="auto" w:sz="4" w:space="0"/>
              <w:bottom w:val="single" w:color="auto" w:sz="4" w:space="0"/>
              <w:right w:val="single" w:color="auto" w:sz="4" w:space="0"/>
            </w:tcBorders>
            <w:vAlign w:val="center"/>
          </w:tcPr>
          <w:p w14:paraId="1A7550A5">
            <w:pPr>
              <w:numPr>
                <w:ilvl w:val="0"/>
                <w:numId w:val="1"/>
              </w:numPr>
              <w:spacing w:line="400" w:lineRule="exact"/>
              <w:jc w:val="center"/>
              <w:rPr>
                <w:rFonts w:ascii="仿宋" w:hAnsi="仿宋" w:eastAsia="仿宋"/>
                <w:color w:val="auto"/>
                <w:sz w:val="24"/>
                <w:szCs w:val="24"/>
                <w:highlight w:val="none"/>
              </w:rPr>
            </w:pPr>
          </w:p>
        </w:tc>
        <w:tc>
          <w:tcPr>
            <w:tcW w:w="2720" w:type="dxa"/>
            <w:tcBorders>
              <w:top w:val="single" w:color="auto" w:sz="4" w:space="0"/>
              <w:left w:val="single" w:color="auto" w:sz="4" w:space="0"/>
              <w:bottom w:val="single" w:color="auto" w:sz="4" w:space="0"/>
              <w:right w:val="single" w:color="auto" w:sz="4" w:space="0"/>
            </w:tcBorders>
            <w:vAlign w:val="center"/>
          </w:tcPr>
          <w:p w14:paraId="0DFA5F23">
            <w:pPr>
              <w:spacing w:line="40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构成招标文件的其他材料</w:t>
            </w:r>
          </w:p>
        </w:tc>
        <w:tc>
          <w:tcPr>
            <w:tcW w:w="6145" w:type="dxa"/>
            <w:tcBorders>
              <w:top w:val="single" w:color="auto" w:sz="4" w:space="0"/>
              <w:left w:val="single" w:color="auto" w:sz="4" w:space="0"/>
              <w:bottom w:val="single" w:color="auto" w:sz="4" w:space="0"/>
              <w:right w:val="single" w:color="auto" w:sz="4" w:space="0"/>
            </w:tcBorders>
            <w:vAlign w:val="center"/>
          </w:tcPr>
          <w:p w14:paraId="71CE338A">
            <w:pPr>
              <w:spacing w:line="40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补充文件</w:t>
            </w:r>
          </w:p>
        </w:tc>
      </w:tr>
      <w:tr w14:paraId="29DA9223">
        <w:tblPrEx>
          <w:tblCellMar>
            <w:top w:w="0" w:type="dxa"/>
            <w:left w:w="108" w:type="dxa"/>
            <w:bottom w:w="0" w:type="dxa"/>
            <w:right w:w="108" w:type="dxa"/>
          </w:tblCellMar>
        </w:tblPrEx>
        <w:trPr>
          <w:jc w:val="center"/>
        </w:trPr>
        <w:tc>
          <w:tcPr>
            <w:tcW w:w="706" w:type="dxa"/>
            <w:tcBorders>
              <w:top w:val="single" w:color="auto" w:sz="4" w:space="0"/>
              <w:left w:val="single" w:color="auto" w:sz="4" w:space="0"/>
              <w:bottom w:val="single" w:color="auto" w:sz="4" w:space="0"/>
              <w:right w:val="single" w:color="auto" w:sz="4" w:space="0"/>
            </w:tcBorders>
            <w:vAlign w:val="center"/>
          </w:tcPr>
          <w:p w14:paraId="1B6F02C4">
            <w:pPr>
              <w:numPr>
                <w:ilvl w:val="0"/>
                <w:numId w:val="1"/>
              </w:numPr>
              <w:spacing w:line="400" w:lineRule="exact"/>
              <w:jc w:val="center"/>
              <w:rPr>
                <w:rFonts w:ascii="仿宋" w:hAnsi="仿宋" w:eastAsia="仿宋" w:cs="仿宋"/>
                <w:color w:val="auto"/>
                <w:sz w:val="24"/>
                <w:szCs w:val="24"/>
                <w:highlight w:val="none"/>
                <w:lang w:val="zh-CN"/>
              </w:rPr>
            </w:pPr>
          </w:p>
        </w:tc>
        <w:tc>
          <w:tcPr>
            <w:tcW w:w="2720" w:type="dxa"/>
            <w:tcBorders>
              <w:top w:val="single" w:color="auto" w:sz="4" w:space="0"/>
              <w:left w:val="single" w:color="auto" w:sz="4" w:space="0"/>
              <w:bottom w:val="single" w:color="auto" w:sz="4" w:space="0"/>
              <w:right w:val="single" w:color="auto" w:sz="4" w:space="0"/>
            </w:tcBorders>
            <w:vAlign w:val="center"/>
          </w:tcPr>
          <w:p w14:paraId="428B9527">
            <w:pPr>
              <w:spacing w:line="400" w:lineRule="exact"/>
              <w:rPr>
                <w:rFonts w:ascii="仿宋" w:hAnsi="仿宋" w:eastAsia="仿宋"/>
                <w:color w:val="auto"/>
                <w:sz w:val="24"/>
                <w:szCs w:val="24"/>
                <w:highlight w:val="none"/>
                <w:lang w:val="zh-CN"/>
              </w:rPr>
            </w:pPr>
            <w:r>
              <w:rPr>
                <w:rFonts w:ascii="仿宋" w:hAnsi="仿宋" w:eastAsia="仿宋"/>
                <w:color w:val="auto"/>
                <w:sz w:val="24"/>
                <w:szCs w:val="24"/>
                <w:highlight w:val="none"/>
              </w:rPr>
              <w:t>投标人确认收到招标文件澄清或修改的时间</w:t>
            </w:r>
          </w:p>
        </w:tc>
        <w:tc>
          <w:tcPr>
            <w:tcW w:w="6145" w:type="dxa"/>
            <w:tcBorders>
              <w:top w:val="single" w:color="auto" w:sz="4" w:space="0"/>
              <w:left w:val="single" w:color="auto" w:sz="4" w:space="0"/>
              <w:bottom w:val="single" w:color="auto" w:sz="4" w:space="0"/>
              <w:right w:val="single" w:color="auto" w:sz="4" w:space="0"/>
            </w:tcBorders>
            <w:vAlign w:val="center"/>
          </w:tcPr>
          <w:p w14:paraId="0CCC5A0D">
            <w:pPr>
              <w:spacing w:line="400" w:lineRule="exact"/>
              <w:rPr>
                <w:rFonts w:ascii="仿宋" w:hAnsi="仿宋" w:eastAsia="仿宋"/>
                <w:color w:val="auto"/>
                <w:sz w:val="24"/>
                <w:szCs w:val="24"/>
                <w:highlight w:val="none"/>
                <w:u w:val="single"/>
                <w:lang w:val="zh-CN"/>
              </w:rPr>
            </w:pPr>
            <w:r>
              <w:rPr>
                <w:rFonts w:hint="eastAsia" w:ascii="仿宋" w:hAnsi="仿宋" w:eastAsia="仿宋" w:cs="仿宋"/>
                <w:color w:val="auto"/>
                <w:sz w:val="24"/>
                <w:szCs w:val="24"/>
                <w:highlight w:val="none"/>
                <w:lang w:val="zh-CN"/>
              </w:rPr>
              <w:t>从补充文件发布时间开始</w:t>
            </w:r>
            <w:r>
              <w:rPr>
                <w:rFonts w:ascii="仿宋" w:hAnsi="仿宋" w:eastAsia="仿宋" w:cs="仿宋"/>
                <w:color w:val="auto"/>
                <w:sz w:val="24"/>
                <w:szCs w:val="24"/>
                <w:highlight w:val="none"/>
                <w:lang w:val="zh-CN"/>
              </w:rPr>
              <w:t>48</w:t>
            </w:r>
            <w:r>
              <w:rPr>
                <w:rFonts w:hint="eastAsia" w:ascii="仿宋" w:hAnsi="仿宋" w:eastAsia="仿宋" w:cs="仿宋"/>
                <w:color w:val="auto"/>
                <w:sz w:val="24"/>
                <w:szCs w:val="24"/>
                <w:highlight w:val="none"/>
                <w:lang w:val="zh-CN"/>
              </w:rPr>
              <w:t>小时内</w:t>
            </w:r>
          </w:p>
        </w:tc>
      </w:tr>
      <w:tr w14:paraId="09CC6748">
        <w:tblPrEx>
          <w:tblCellMar>
            <w:top w:w="0" w:type="dxa"/>
            <w:left w:w="108" w:type="dxa"/>
            <w:bottom w:w="0" w:type="dxa"/>
            <w:right w:w="108" w:type="dxa"/>
          </w:tblCellMar>
        </w:tblPrEx>
        <w:trPr>
          <w:jc w:val="center"/>
        </w:trPr>
        <w:tc>
          <w:tcPr>
            <w:tcW w:w="706" w:type="dxa"/>
            <w:tcBorders>
              <w:top w:val="single" w:color="auto" w:sz="4" w:space="0"/>
              <w:left w:val="single" w:color="auto" w:sz="4" w:space="0"/>
              <w:bottom w:val="single" w:color="auto" w:sz="4" w:space="0"/>
              <w:right w:val="single" w:color="auto" w:sz="4" w:space="0"/>
            </w:tcBorders>
            <w:vAlign w:val="center"/>
          </w:tcPr>
          <w:p w14:paraId="7CA72B05">
            <w:pPr>
              <w:numPr>
                <w:ilvl w:val="0"/>
                <w:numId w:val="1"/>
              </w:numPr>
              <w:spacing w:line="400" w:lineRule="exact"/>
              <w:jc w:val="center"/>
              <w:rPr>
                <w:rFonts w:ascii="仿宋" w:hAnsi="仿宋" w:eastAsia="仿宋" w:cs="仿宋"/>
                <w:color w:val="auto"/>
                <w:sz w:val="24"/>
                <w:szCs w:val="24"/>
                <w:highlight w:val="none"/>
                <w:lang w:val="zh-CN"/>
              </w:rPr>
            </w:pPr>
          </w:p>
        </w:tc>
        <w:tc>
          <w:tcPr>
            <w:tcW w:w="2720" w:type="dxa"/>
            <w:tcBorders>
              <w:top w:val="single" w:color="auto" w:sz="4" w:space="0"/>
              <w:left w:val="single" w:color="auto" w:sz="4" w:space="0"/>
              <w:bottom w:val="single" w:color="auto" w:sz="4" w:space="0"/>
              <w:right w:val="single" w:color="auto" w:sz="4" w:space="0"/>
            </w:tcBorders>
            <w:vAlign w:val="center"/>
          </w:tcPr>
          <w:p w14:paraId="10AE0E08">
            <w:pPr>
              <w:spacing w:line="400" w:lineRule="exact"/>
              <w:rPr>
                <w:rFonts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投标人资格条件</w:t>
            </w:r>
          </w:p>
        </w:tc>
        <w:tc>
          <w:tcPr>
            <w:tcW w:w="6145" w:type="dxa"/>
            <w:tcBorders>
              <w:top w:val="single" w:color="auto" w:sz="4" w:space="0"/>
              <w:left w:val="single" w:color="auto" w:sz="4" w:space="0"/>
              <w:bottom w:val="single" w:color="auto" w:sz="4" w:space="0"/>
              <w:right w:val="single" w:color="auto" w:sz="4" w:space="0"/>
            </w:tcBorders>
            <w:vAlign w:val="center"/>
          </w:tcPr>
          <w:p w14:paraId="6B6283B9">
            <w:pPr>
              <w:kinsoku w:val="0"/>
              <w:autoSpaceDE w:val="0"/>
              <w:autoSpaceDN w:val="0"/>
              <w:adjustRightInd w:val="0"/>
              <w:snapToGrid w:val="0"/>
              <w:spacing w:before="36" w:line="222" w:lineRule="auto"/>
              <w:jc w:val="left"/>
              <w:textAlignment w:val="baseline"/>
              <w:rPr>
                <w:rFonts w:hint="eastAsia" w:ascii="仿宋" w:hAnsi="仿宋" w:eastAsia="仿宋" w:cs="Times New Roman"/>
                <w:color w:val="auto"/>
                <w:kern w:val="2"/>
                <w:sz w:val="24"/>
                <w:szCs w:val="24"/>
                <w:highlight w:val="none"/>
                <w:lang w:val="en-US" w:eastAsia="en-US" w:bidi="ar-SA"/>
              </w:rPr>
            </w:pPr>
            <w:r>
              <w:rPr>
                <w:rFonts w:hint="eastAsia" w:ascii="仿宋" w:hAnsi="仿宋" w:eastAsia="仿宋" w:cs="Times New Roman"/>
                <w:color w:val="auto"/>
                <w:kern w:val="2"/>
                <w:sz w:val="24"/>
                <w:szCs w:val="24"/>
                <w:highlight w:val="none"/>
                <w:lang w:val="en-US" w:eastAsia="en-US" w:bidi="ar-SA"/>
              </w:rPr>
              <w:t>供应商资格条件、能力和信誉：</w:t>
            </w:r>
          </w:p>
          <w:p w14:paraId="252AB7B8">
            <w:pPr>
              <w:kinsoku w:val="0"/>
              <w:autoSpaceDE w:val="0"/>
              <w:autoSpaceDN w:val="0"/>
              <w:adjustRightInd w:val="0"/>
              <w:snapToGrid w:val="0"/>
              <w:spacing w:before="24" w:line="231" w:lineRule="auto"/>
              <w:ind w:right="107"/>
              <w:jc w:val="left"/>
              <w:textAlignment w:val="baseline"/>
              <w:rPr>
                <w:rFonts w:hint="eastAsia" w:ascii="仿宋" w:hAnsi="仿宋" w:eastAsia="仿宋" w:cs="Times New Roman"/>
                <w:color w:val="auto"/>
                <w:kern w:val="2"/>
                <w:sz w:val="24"/>
                <w:szCs w:val="24"/>
                <w:highlight w:val="none"/>
                <w:lang w:val="en-US" w:eastAsia="en-US" w:bidi="ar-SA"/>
              </w:rPr>
            </w:pPr>
            <w:r>
              <w:rPr>
                <w:rFonts w:hint="eastAsia" w:ascii="仿宋" w:hAnsi="仿宋" w:eastAsia="仿宋" w:cs="Times New Roman"/>
                <w:color w:val="auto"/>
                <w:kern w:val="2"/>
                <w:sz w:val="24"/>
                <w:szCs w:val="24"/>
                <w:highlight w:val="none"/>
                <w:lang w:val="en-US" w:eastAsia="en-US" w:bidi="ar-SA"/>
              </w:rPr>
              <w:t>1.满足《中华人民共和国政府采购法》第二十二条规定；</w:t>
            </w:r>
          </w:p>
          <w:p w14:paraId="32205AD0">
            <w:pPr>
              <w:kinsoku w:val="0"/>
              <w:autoSpaceDE w:val="0"/>
              <w:autoSpaceDN w:val="0"/>
              <w:adjustRightInd w:val="0"/>
              <w:snapToGrid w:val="0"/>
              <w:spacing w:before="22" w:line="222" w:lineRule="auto"/>
              <w:ind w:left="126"/>
              <w:jc w:val="left"/>
              <w:textAlignment w:val="baseline"/>
              <w:rPr>
                <w:rFonts w:hint="eastAsia" w:ascii="仿宋" w:hAnsi="仿宋" w:eastAsia="仿宋" w:cs="Times New Roman"/>
                <w:color w:val="auto"/>
                <w:kern w:val="2"/>
                <w:sz w:val="24"/>
                <w:szCs w:val="24"/>
                <w:highlight w:val="none"/>
                <w:lang w:val="en-US" w:eastAsia="en-US" w:bidi="ar-SA"/>
              </w:rPr>
            </w:pPr>
            <w:r>
              <w:rPr>
                <w:rFonts w:hint="eastAsia" w:ascii="仿宋" w:hAnsi="仿宋" w:eastAsia="仿宋" w:cs="Times New Roman"/>
                <w:color w:val="auto"/>
                <w:kern w:val="2"/>
                <w:sz w:val="24"/>
                <w:szCs w:val="24"/>
                <w:highlight w:val="none"/>
                <w:lang w:val="en-US" w:eastAsia="en-US" w:bidi="ar-SA"/>
              </w:rPr>
              <w:t>（1）具有独立承担民事责任的能力；</w:t>
            </w:r>
          </w:p>
          <w:p w14:paraId="1F587833">
            <w:pPr>
              <w:kinsoku w:val="0"/>
              <w:autoSpaceDE w:val="0"/>
              <w:autoSpaceDN w:val="0"/>
              <w:adjustRightInd w:val="0"/>
              <w:snapToGrid w:val="0"/>
              <w:spacing w:before="23" w:line="222" w:lineRule="auto"/>
              <w:ind w:left="126"/>
              <w:jc w:val="left"/>
              <w:textAlignment w:val="baseline"/>
              <w:rPr>
                <w:rFonts w:hint="eastAsia" w:ascii="仿宋" w:hAnsi="仿宋" w:eastAsia="仿宋" w:cs="Times New Roman"/>
                <w:color w:val="auto"/>
                <w:kern w:val="2"/>
                <w:sz w:val="24"/>
                <w:szCs w:val="24"/>
                <w:highlight w:val="none"/>
                <w:lang w:val="en-US" w:eastAsia="en-US" w:bidi="ar-SA"/>
              </w:rPr>
            </w:pPr>
            <w:r>
              <w:rPr>
                <w:rFonts w:hint="eastAsia" w:ascii="仿宋" w:hAnsi="仿宋" w:eastAsia="仿宋" w:cs="Times New Roman"/>
                <w:color w:val="auto"/>
                <w:kern w:val="2"/>
                <w:sz w:val="24"/>
                <w:szCs w:val="24"/>
                <w:highlight w:val="none"/>
                <w:lang w:val="en-US" w:eastAsia="en-US" w:bidi="ar-SA"/>
              </w:rPr>
              <w:t>（2）具有良好的商业信誉和健全的财务会计制度；</w:t>
            </w:r>
          </w:p>
          <w:p w14:paraId="00EE681D">
            <w:pPr>
              <w:kinsoku w:val="0"/>
              <w:autoSpaceDE w:val="0"/>
              <w:autoSpaceDN w:val="0"/>
              <w:adjustRightInd w:val="0"/>
              <w:snapToGrid w:val="0"/>
              <w:spacing w:before="23" w:line="221" w:lineRule="auto"/>
              <w:ind w:left="126"/>
              <w:jc w:val="left"/>
              <w:textAlignment w:val="baseline"/>
              <w:rPr>
                <w:rFonts w:hint="eastAsia" w:ascii="仿宋" w:hAnsi="仿宋" w:eastAsia="仿宋" w:cs="Times New Roman"/>
                <w:color w:val="auto"/>
                <w:kern w:val="2"/>
                <w:sz w:val="24"/>
                <w:szCs w:val="24"/>
                <w:highlight w:val="none"/>
                <w:lang w:val="en-US" w:eastAsia="en-US" w:bidi="ar-SA"/>
              </w:rPr>
            </w:pPr>
            <w:r>
              <w:rPr>
                <w:rFonts w:hint="eastAsia" w:ascii="仿宋" w:hAnsi="仿宋" w:eastAsia="仿宋" w:cs="Times New Roman"/>
                <w:color w:val="auto"/>
                <w:kern w:val="2"/>
                <w:sz w:val="24"/>
                <w:szCs w:val="24"/>
                <w:highlight w:val="none"/>
                <w:lang w:val="en-US" w:eastAsia="en-US" w:bidi="ar-SA"/>
              </w:rPr>
              <w:t>（3）具有履行合同所必需的设备和专业技术能力；</w:t>
            </w:r>
          </w:p>
          <w:p w14:paraId="02294560">
            <w:pPr>
              <w:kinsoku w:val="0"/>
              <w:autoSpaceDE w:val="0"/>
              <w:autoSpaceDN w:val="0"/>
              <w:adjustRightInd w:val="0"/>
              <w:snapToGrid w:val="0"/>
              <w:spacing w:before="25" w:line="221" w:lineRule="auto"/>
              <w:ind w:left="126"/>
              <w:jc w:val="left"/>
              <w:textAlignment w:val="baseline"/>
              <w:rPr>
                <w:rFonts w:hint="eastAsia" w:ascii="仿宋" w:hAnsi="仿宋" w:eastAsia="仿宋" w:cs="Times New Roman"/>
                <w:color w:val="auto"/>
                <w:kern w:val="2"/>
                <w:sz w:val="24"/>
                <w:szCs w:val="24"/>
                <w:highlight w:val="none"/>
                <w:lang w:val="en-US" w:eastAsia="en-US" w:bidi="ar-SA"/>
              </w:rPr>
            </w:pPr>
            <w:r>
              <w:rPr>
                <w:rFonts w:hint="eastAsia" w:ascii="仿宋" w:hAnsi="仿宋" w:eastAsia="仿宋" w:cs="Times New Roman"/>
                <w:color w:val="auto"/>
                <w:kern w:val="2"/>
                <w:sz w:val="24"/>
                <w:szCs w:val="24"/>
                <w:highlight w:val="none"/>
                <w:lang w:val="en-US" w:eastAsia="en-US" w:bidi="ar-SA"/>
              </w:rPr>
              <w:t>（4）有依法缴纳税收和社会保障资金的良好记录；</w:t>
            </w:r>
          </w:p>
          <w:p w14:paraId="3506DA15">
            <w:pPr>
              <w:kinsoku w:val="0"/>
              <w:autoSpaceDE w:val="0"/>
              <w:autoSpaceDN w:val="0"/>
              <w:adjustRightInd w:val="0"/>
              <w:snapToGrid w:val="0"/>
              <w:spacing w:before="25" w:line="231" w:lineRule="auto"/>
              <w:ind w:left="128" w:right="107" w:hanging="2"/>
              <w:jc w:val="left"/>
              <w:textAlignment w:val="baseline"/>
              <w:rPr>
                <w:rFonts w:hint="eastAsia" w:ascii="仿宋" w:hAnsi="仿宋" w:eastAsia="仿宋" w:cs="Times New Roman"/>
                <w:color w:val="auto"/>
                <w:kern w:val="2"/>
                <w:sz w:val="24"/>
                <w:szCs w:val="24"/>
                <w:highlight w:val="none"/>
                <w:lang w:val="en-US" w:eastAsia="en-US" w:bidi="ar-SA"/>
              </w:rPr>
            </w:pPr>
            <w:r>
              <w:rPr>
                <w:rFonts w:hint="eastAsia" w:ascii="仿宋" w:hAnsi="仿宋" w:eastAsia="仿宋" w:cs="Times New Roman"/>
                <w:color w:val="auto"/>
                <w:kern w:val="2"/>
                <w:sz w:val="24"/>
                <w:szCs w:val="24"/>
                <w:highlight w:val="none"/>
                <w:lang w:val="en-US" w:eastAsia="en-US" w:bidi="ar-SA"/>
              </w:rPr>
              <w:t>（5）参加政府采购活动前三年内，在经营活动中没有 重大违法记录；</w:t>
            </w:r>
          </w:p>
          <w:p w14:paraId="64C326C6">
            <w:pPr>
              <w:kinsoku w:val="0"/>
              <w:autoSpaceDE w:val="0"/>
              <w:autoSpaceDN w:val="0"/>
              <w:adjustRightInd w:val="0"/>
              <w:snapToGrid w:val="0"/>
              <w:spacing w:before="23" w:line="221" w:lineRule="auto"/>
              <w:ind w:left="126"/>
              <w:jc w:val="left"/>
              <w:textAlignment w:val="baseline"/>
              <w:rPr>
                <w:rFonts w:hint="eastAsia" w:ascii="仿宋" w:hAnsi="仿宋" w:eastAsia="仿宋" w:cs="Times New Roman"/>
                <w:color w:val="auto"/>
                <w:kern w:val="2"/>
                <w:sz w:val="24"/>
                <w:szCs w:val="24"/>
                <w:highlight w:val="none"/>
                <w:lang w:val="en-US" w:eastAsia="en-US" w:bidi="ar-SA"/>
              </w:rPr>
            </w:pPr>
            <w:r>
              <w:rPr>
                <w:rFonts w:hint="eastAsia" w:ascii="仿宋" w:hAnsi="仿宋" w:eastAsia="仿宋" w:cs="Times New Roman"/>
                <w:color w:val="auto"/>
                <w:kern w:val="2"/>
                <w:sz w:val="24"/>
                <w:szCs w:val="24"/>
                <w:highlight w:val="none"/>
                <w:lang w:val="en-US" w:eastAsia="en-US" w:bidi="ar-SA"/>
              </w:rPr>
              <w:t>（6）法律、行政法规规定的其他条件。</w:t>
            </w:r>
          </w:p>
          <w:p w14:paraId="08E3C294">
            <w:pPr>
              <w:kinsoku w:val="0"/>
              <w:autoSpaceDE w:val="0"/>
              <w:autoSpaceDN w:val="0"/>
              <w:adjustRightInd w:val="0"/>
              <w:snapToGrid w:val="0"/>
              <w:spacing w:before="24" w:line="232" w:lineRule="auto"/>
              <w:ind w:right="107"/>
              <w:jc w:val="left"/>
              <w:textAlignment w:val="baseline"/>
              <w:rPr>
                <w:rFonts w:hint="eastAsia" w:ascii="仿宋" w:hAnsi="仿宋" w:eastAsia="仿宋" w:cs="Times New Roman"/>
                <w:color w:val="auto"/>
                <w:kern w:val="2"/>
                <w:sz w:val="24"/>
                <w:szCs w:val="24"/>
                <w:highlight w:val="none"/>
                <w:lang w:val="en-US" w:eastAsia="en-US" w:bidi="ar-SA"/>
              </w:rPr>
            </w:pPr>
            <w:r>
              <w:rPr>
                <w:rFonts w:hint="eastAsia" w:ascii="仿宋" w:hAnsi="仿宋" w:eastAsia="仿宋" w:cs="Times New Roman"/>
                <w:color w:val="auto"/>
                <w:kern w:val="2"/>
                <w:sz w:val="24"/>
                <w:szCs w:val="24"/>
                <w:highlight w:val="none"/>
                <w:lang w:val="en-US" w:eastAsia="en-US" w:bidi="ar-SA"/>
              </w:rPr>
              <w:t>2.落实政府采购政策需满足的资格要求：本项目</w:t>
            </w:r>
            <w:r>
              <w:rPr>
                <w:rFonts w:hint="eastAsia" w:ascii="仿宋" w:hAnsi="仿宋" w:eastAsia="仿宋" w:cs="Times New Roman"/>
                <w:color w:val="auto"/>
                <w:kern w:val="2"/>
                <w:sz w:val="24"/>
                <w:szCs w:val="24"/>
                <w:highlight w:val="none"/>
                <w:lang w:val="en-US" w:eastAsia="zh-CN" w:bidi="ar-SA"/>
              </w:rPr>
              <w:t>非</w:t>
            </w:r>
            <w:r>
              <w:rPr>
                <w:rFonts w:hint="eastAsia" w:ascii="仿宋" w:hAnsi="仿宋" w:eastAsia="仿宋" w:cs="Times New Roman"/>
                <w:color w:val="auto"/>
                <w:kern w:val="2"/>
                <w:sz w:val="24"/>
                <w:szCs w:val="24"/>
                <w:highlight w:val="none"/>
                <w:lang w:val="en-US" w:eastAsia="en-US" w:bidi="ar-SA"/>
              </w:rPr>
              <w:t>专门面向</w:t>
            </w:r>
            <w:r>
              <w:rPr>
                <w:rFonts w:hint="eastAsia" w:ascii="仿宋" w:hAnsi="仿宋" w:eastAsia="仿宋" w:cs="Times New Roman"/>
                <w:color w:val="auto"/>
                <w:kern w:val="2"/>
                <w:sz w:val="24"/>
                <w:szCs w:val="24"/>
                <w:highlight w:val="none"/>
                <w:lang w:val="en-US" w:eastAsia="zh-CN" w:bidi="ar-SA"/>
              </w:rPr>
              <w:t>中</w:t>
            </w:r>
            <w:r>
              <w:rPr>
                <w:rFonts w:hint="eastAsia" w:ascii="仿宋" w:hAnsi="仿宋" w:eastAsia="仿宋" w:cs="Times New Roman"/>
                <w:color w:val="auto"/>
                <w:kern w:val="2"/>
                <w:sz w:val="24"/>
                <w:szCs w:val="24"/>
                <w:highlight w:val="none"/>
                <w:lang w:val="en-US" w:eastAsia="en-US" w:bidi="ar-SA"/>
              </w:rPr>
              <w:t>小企业。</w:t>
            </w:r>
          </w:p>
          <w:p w14:paraId="59CF4BFC">
            <w:pPr>
              <w:keepNext w:val="0"/>
              <w:keepLines w:val="0"/>
              <w:pageBreakBefore w:val="0"/>
              <w:widowControl/>
              <w:suppressLineNumbers w:val="0"/>
              <w:kinsoku w:val="0"/>
              <w:wordWrap/>
              <w:overflowPunct/>
              <w:topLinePunct w:val="0"/>
              <w:autoSpaceDE w:val="0"/>
              <w:autoSpaceDN w:val="0"/>
              <w:bidi w:val="0"/>
              <w:adjustRightInd w:val="0"/>
              <w:snapToGrid w:val="0"/>
              <w:spacing w:line="440" w:lineRule="exact"/>
              <w:jc w:val="left"/>
              <w:textAlignment w:val="baseline"/>
              <w:outlineLvl w:val="2"/>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s="Times New Roman"/>
                <w:color w:val="auto"/>
                <w:kern w:val="2"/>
                <w:sz w:val="24"/>
                <w:szCs w:val="24"/>
                <w:highlight w:val="none"/>
                <w:lang w:val="en-US" w:eastAsia="zh-CN" w:bidi="ar-SA"/>
              </w:rPr>
              <w:t>（1）《政府采购促进中小企业发展管理办法》（财库〔2020〕46号）及《关于进一步加大政府采购支持中小企业力度的通知》（财库〔2022〕19号）；《关于印发统计上大中小微型企业划分办法(2017)的通知》的规定</w:t>
            </w:r>
            <w:r>
              <w:rPr>
                <w:rFonts w:hint="eastAsia" w:ascii="仿宋" w:hAnsi="仿宋" w:eastAsia="仿宋" w:cs="Times New Roman"/>
                <w:color w:val="auto"/>
                <w:kern w:val="2"/>
                <w:sz w:val="24"/>
                <w:szCs w:val="24"/>
                <w:highlight w:val="none"/>
                <w:lang w:val="en-US" w:eastAsia="zh-CN" w:bidi="ar-SA"/>
              </w:rPr>
              <w:br w:type="textWrapping"/>
            </w:r>
            <w:r>
              <w:rPr>
                <w:rFonts w:hint="eastAsia" w:ascii="仿宋" w:hAnsi="仿宋" w:eastAsia="仿宋" w:cs="Times New Roman"/>
                <w:color w:val="auto"/>
                <w:kern w:val="2"/>
                <w:sz w:val="24"/>
                <w:szCs w:val="24"/>
                <w:highlight w:val="none"/>
                <w:lang w:val="en-US" w:eastAsia="zh-CN" w:bidi="ar-SA"/>
              </w:rPr>
              <w:t>（2）《财政部、司法部关于政府采购支持JY企业发展有关问题的通知》（财库〔2014〕68号）；</w:t>
            </w:r>
            <w:r>
              <w:rPr>
                <w:rFonts w:hint="eastAsia" w:ascii="仿宋" w:hAnsi="仿宋" w:eastAsia="仿宋" w:cs="Times New Roman"/>
                <w:color w:val="auto"/>
                <w:kern w:val="2"/>
                <w:sz w:val="24"/>
                <w:szCs w:val="24"/>
                <w:highlight w:val="none"/>
                <w:lang w:val="en-US" w:eastAsia="zh-CN" w:bidi="ar-SA"/>
              </w:rPr>
              <w:br w:type="textWrapping"/>
            </w:r>
            <w:r>
              <w:rPr>
                <w:rFonts w:hint="eastAsia" w:ascii="仿宋" w:hAnsi="仿宋" w:eastAsia="仿宋" w:cs="Times New Roman"/>
                <w:color w:val="auto"/>
                <w:kern w:val="2"/>
                <w:sz w:val="24"/>
                <w:szCs w:val="24"/>
                <w:highlight w:val="none"/>
                <w:lang w:val="en-US" w:eastAsia="zh-CN" w:bidi="ar-SA"/>
              </w:rPr>
              <w:t>（3）《财政部、民政部、中国残疾人联合会关于促进残疾人就业政府采购政策的通知》财库〔2017〕141号；</w:t>
            </w:r>
            <w:r>
              <w:rPr>
                <w:rFonts w:hint="eastAsia" w:ascii="仿宋" w:hAnsi="仿宋" w:eastAsia="仿宋" w:cs="Times New Roman"/>
                <w:color w:val="auto"/>
                <w:kern w:val="2"/>
                <w:sz w:val="24"/>
                <w:szCs w:val="24"/>
                <w:highlight w:val="none"/>
                <w:lang w:val="en-US" w:eastAsia="zh-CN" w:bidi="ar-SA"/>
              </w:rPr>
              <w:br w:type="textWrapping"/>
            </w:r>
            <w:r>
              <w:rPr>
                <w:rFonts w:hint="eastAsia" w:ascii="仿宋" w:hAnsi="仿宋" w:eastAsia="仿宋" w:cs="Times New Roman"/>
                <w:color w:val="auto"/>
                <w:kern w:val="2"/>
                <w:sz w:val="24"/>
                <w:szCs w:val="24"/>
                <w:highlight w:val="none"/>
                <w:lang w:val="en-US" w:eastAsia="zh-CN" w:bidi="ar-SA"/>
              </w:rPr>
              <w:t>（4）财政部、国家发展改革委、生态环境部、市场监管总局《关于调整优化节能产品、环境标志产品政府采购执行机制的通知》（财库[2019]9号文）；</w:t>
            </w:r>
            <w:r>
              <w:rPr>
                <w:rFonts w:hint="eastAsia" w:ascii="仿宋" w:hAnsi="仿宋" w:eastAsia="仿宋" w:cs="Times New Roman"/>
                <w:color w:val="auto"/>
                <w:kern w:val="2"/>
                <w:sz w:val="24"/>
                <w:szCs w:val="24"/>
                <w:highlight w:val="none"/>
                <w:lang w:val="en-US" w:eastAsia="zh-CN" w:bidi="ar-SA"/>
              </w:rPr>
              <w:br w:type="textWrapping"/>
            </w:r>
            <w:r>
              <w:rPr>
                <w:rFonts w:hint="eastAsia" w:ascii="仿宋" w:hAnsi="仿宋" w:eastAsia="仿宋" w:cs="Times New Roman"/>
                <w:color w:val="auto"/>
                <w:kern w:val="2"/>
                <w:sz w:val="24"/>
                <w:szCs w:val="24"/>
                <w:highlight w:val="none"/>
                <w:lang w:val="en-US" w:eastAsia="zh-CN" w:bidi="ar-SA"/>
              </w:rPr>
              <w:t>（5）财政部、生态环境部《关于印发环境标志产品政府采购品目清单的通知》（财库[2019]18号文）；</w:t>
            </w:r>
            <w:r>
              <w:rPr>
                <w:rFonts w:hint="eastAsia" w:ascii="仿宋" w:hAnsi="仿宋" w:eastAsia="仿宋" w:cs="Times New Roman"/>
                <w:color w:val="auto"/>
                <w:kern w:val="2"/>
                <w:sz w:val="24"/>
                <w:szCs w:val="24"/>
                <w:highlight w:val="none"/>
                <w:lang w:val="en-US" w:eastAsia="zh-CN" w:bidi="ar-SA"/>
              </w:rPr>
              <w:br w:type="textWrapping"/>
            </w:r>
            <w:r>
              <w:rPr>
                <w:rFonts w:hint="eastAsia" w:ascii="仿宋" w:hAnsi="仿宋" w:eastAsia="仿宋" w:cs="Times New Roman"/>
                <w:color w:val="auto"/>
                <w:kern w:val="2"/>
                <w:sz w:val="24"/>
                <w:szCs w:val="24"/>
                <w:highlight w:val="none"/>
                <w:lang w:val="en-US" w:eastAsia="zh-CN" w:bidi="ar-SA"/>
              </w:rPr>
              <w:t>（6）财政部、发展改革委《关于印发节能产品政府采购品目清单的通知》（财库[2019]19号文）；</w:t>
            </w:r>
            <w:r>
              <w:rPr>
                <w:rFonts w:hint="eastAsia" w:ascii="仿宋" w:hAnsi="仿宋" w:eastAsia="仿宋" w:cs="Times New Roman"/>
                <w:color w:val="auto"/>
                <w:kern w:val="2"/>
                <w:sz w:val="24"/>
                <w:szCs w:val="24"/>
                <w:highlight w:val="none"/>
                <w:lang w:val="en-US" w:eastAsia="zh-CN" w:bidi="ar-SA"/>
              </w:rPr>
              <w:br w:type="textWrapping"/>
            </w:r>
            <w:r>
              <w:rPr>
                <w:rFonts w:hint="eastAsia" w:ascii="仿宋" w:hAnsi="仿宋" w:eastAsia="仿宋" w:cs="Times New Roman"/>
                <w:color w:val="auto"/>
                <w:kern w:val="2"/>
                <w:sz w:val="24"/>
                <w:szCs w:val="24"/>
                <w:highlight w:val="none"/>
                <w:lang w:val="en-US" w:eastAsia="zh-CN" w:bidi="ar-SA"/>
              </w:rPr>
              <w:t>（7）市场监管总局《市场监管总局关于发布参与实施政府采购节能产品、环境标志产品认证机构名录的公告》（2019年第16号）；</w:t>
            </w:r>
          </w:p>
          <w:p w14:paraId="384061AD">
            <w:pPr>
              <w:kinsoku w:val="0"/>
              <w:autoSpaceDE w:val="0"/>
              <w:autoSpaceDN w:val="0"/>
              <w:adjustRightInd w:val="0"/>
              <w:snapToGrid w:val="0"/>
              <w:spacing w:before="78" w:line="220" w:lineRule="auto"/>
              <w:ind w:left="120" w:leftChars="0"/>
              <w:jc w:val="left"/>
              <w:textAlignment w:val="baseline"/>
              <w:rPr>
                <w:rFonts w:hint="eastAsia" w:ascii="仿宋" w:hAnsi="仿宋" w:eastAsia="仿宋" w:cs="Times New Roman"/>
                <w:color w:val="auto"/>
                <w:kern w:val="2"/>
                <w:sz w:val="24"/>
                <w:szCs w:val="24"/>
                <w:highlight w:val="none"/>
                <w:lang w:val="en-US" w:eastAsia="en-US" w:bidi="ar-SA"/>
              </w:rPr>
            </w:pPr>
            <w:r>
              <w:rPr>
                <w:rFonts w:hint="eastAsia" w:ascii="仿宋" w:hAnsi="仿宋" w:eastAsia="仿宋" w:cs="Times New Roman"/>
                <w:color w:val="auto"/>
                <w:kern w:val="2"/>
                <w:sz w:val="24"/>
                <w:szCs w:val="24"/>
                <w:highlight w:val="none"/>
                <w:lang w:val="en-US" w:eastAsia="en-US" w:bidi="ar-SA"/>
              </w:rPr>
              <w:t>3.本项目提交的资格证明材料：</w:t>
            </w:r>
          </w:p>
          <w:p w14:paraId="2385B899">
            <w:pPr>
              <w:kinsoku w:val="0"/>
              <w:autoSpaceDE w:val="0"/>
              <w:autoSpaceDN w:val="0"/>
              <w:adjustRightInd w:val="0"/>
              <w:snapToGrid w:val="0"/>
              <w:spacing w:before="42" w:line="231" w:lineRule="auto"/>
              <w:ind w:left="120" w:right="107" w:firstLine="5"/>
              <w:jc w:val="left"/>
              <w:textAlignment w:val="baseline"/>
              <w:rPr>
                <w:rFonts w:hint="eastAsia" w:ascii="仿宋" w:hAnsi="仿宋" w:eastAsia="仿宋" w:cs="Times New Roman"/>
                <w:color w:val="auto"/>
                <w:kern w:val="2"/>
                <w:sz w:val="24"/>
                <w:szCs w:val="24"/>
                <w:highlight w:val="none"/>
                <w:lang w:val="en-US" w:eastAsia="en-US" w:bidi="ar-SA"/>
              </w:rPr>
            </w:pPr>
            <w:r>
              <w:rPr>
                <w:rFonts w:hint="eastAsia" w:ascii="仿宋" w:hAnsi="仿宋" w:eastAsia="仿宋" w:cs="Times New Roman"/>
                <w:color w:val="auto"/>
                <w:kern w:val="2"/>
                <w:sz w:val="24"/>
                <w:szCs w:val="24"/>
                <w:highlight w:val="none"/>
                <w:lang w:val="en-US" w:eastAsia="en-US" w:bidi="ar-SA"/>
              </w:rPr>
              <w:t>（1）法定代表人身份证明、授权委托书及委托人身份 证明；</w:t>
            </w:r>
          </w:p>
          <w:p w14:paraId="33B31026">
            <w:pPr>
              <w:kinsoku w:val="0"/>
              <w:autoSpaceDE w:val="0"/>
              <w:autoSpaceDN w:val="0"/>
              <w:adjustRightInd w:val="0"/>
              <w:snapToGrid w:val="0"/>
              <w:spacing w:before="23" w:line="220" w:lineRule="auto"/>
              <w:ind w:left="126"/>
              <w:jc w:val="left"/>
              <w:textAlignment w:val="baseline"/>
              <w:rPr>
                <w:rFonts w:hint="eastAsia" w:ascii="仿宋" w:hAnsi="仿宋" w:eastAsia="仿宋" w:cs="Times New Roman"/>
                <w:color w:val="auto"/>
                <w:kern w:val="2"/>
                <w:sz w:val="24"/>
                <w:szCs w:val="24"/>
                <w:highlight w:val="none"/>
                <w:lang w:val="en-US" w:eastAsia="en-US" w:bidi="ar-SA"/>
              </w:rPr>
            </w:pPr>
            <w:r>
              <w:rPr>
                <w:rFonts w:hint="eastAsia" w:ascii="仿宋" w:hAnsi="仿宋" w:eastAsia="仿宋" w:cs="Times New Roman"/>
                <w:color w:val="auto"/>
                <w:kern w:val="2"/>
                <w:sz w:val="24"/>
                <w:szCs w:val="24"/>
                <w:highlight w:val="none"/>
                <w:lang w:val="en-US" w:eastAsia="en-US" w:bidi="ar-SA"/>
              </w:rPr>
              <w:t>（2）供应商为企业(包括合伙企业)的，应提供有效的“营业执照”；供应商为事业单位的，应提供有效的“事业单位法人证书”；供应商是非企业机构的，应提供有效的“执业许可证”、“登记证书”等证明文件；供应商是个体工商户的，应提供有效的“个体工商户营业执照”；</w:t>
            </w:r>
          </w:p>
          <w:p w14:paraId="4CBDE7BD">
            <w:pPr>
              <w:kinsoku w:val="0"/>
              <w:autoSpaceDE w:val="0"/>
              <w:autoSpaceDN w:val="0"/>
              <w:adjustRightInd w:val="0"/>
              <w:snapToGrid w:val="0"/>
              <w:spacing w:before="25" w:line="237" w:lineRule="auto"/>
              <w:ind w:left="120" w:right="107" w:firstLine="5"/>
              <w:jc w:val="left"/>
              <w:textAlignment w:val="baseline"/>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s="Times New Roman"/>
                <w:color w:val="auto"/>
                <w:kern w:val="2"/>
                <w:sz w:val="24"/>
                <w:szCs w:val="24"/>
                <w:highlight w:val="none"/>
                <w:lang w:val="en-US" w:eastAsia="en-US" w:bidi="ar-SA"/>
              </w:rPr>
              <w:t>（3）近</w:t>
            </w:r>
            <w:r>
              <w:rPr>
                <w:rFonts w:hint="eastAsia" w:ascii="仿宋" w:hAnsi="仿宋" w:eastAsia="仿宋" w:cs="Times New Roman"/>
                <w:color w:val="auto"/>
                <w:kern w:val="2"/>
                <w:sz w:val="24"/>
                <w:szCs w:val="24"/>
                <w:highlight w:val="none"/>
                <w:lang w:val="en-US" w:eastAsia="zh-CN" w:bidi="ar-SA"/>
              </w:rPr>
              <w:t>一</w:t>
            </w:r>
            <w:r>
              <w:rPr>
                <w:rFonts w:hint="eastAsia" w:ascii="仿宋" w:hAnsi="仿宋" w:eastAsia="仿宋" w:cs="Times New Roman"/>
                <w:color w:val="auto"/>
                <w:kern w:val="2"/>
                <w:sz w:val="24"/>
                <w:szCs w:val="24"/>
                <w:highlight w:val="none"/>
                <w:lang w:val="en-US" w:eastAsia="en-US" w:bidi="ar-SA"/>
              </w:rPr>
              <w:t>年经年审的财务审计报告</w:t>
            </w:r>
            <w:r>
              <w:rPr>
                <w:rFonts w:hint="eastAsia" w:ascii="仿宋" w:hAnsi="仿宋" w:eastAsia="仿宋" w:cs="Times New Roman"/>
                <w:color w:val="auto"/>
                <w:kern w:val="2"/>
                <w:sz w:val="24"/>
                <w:szCs w:val="24"/>
                <w:highlight w:val="none"/>
                <w:lang w:val="en-US" w:eastAsia="zh-CN" w:bidi="ar-SA"/>
              </w:rPr>
              <w:t>或财务报表</w:t>
            </w:r>
            <w:r>
              <w:rPr>
                <w:rFonts w:hint="eastAsia" w:ascii="仿宋" w:hAnsi="仿宋" w:eastAsia="仿宋" w:cs="Times New Roman"/>
                <w:color w:val="auto"/>
                <w:kern w:val="2"/>
                <w:sz w:val="24"/>
                <w:szCs w:val="24"/>
                <w:highlight w:val="none"/>
                <w:lang w:val="en-US" w:eastAsia="en-US" w:bidi="ar-SA"/>
              </w:rPr>
              <w:t>（202</w:t>
            </w:r>
            <w:r>
              <w:rPr>
                <w:rFonts w:hint="eastAsia" w:ascii="仿宋" w:hAnsi="仿宋" w:eastAsia="仿宋" w:cs="Times New Roman"/>
                <w:color w:val="auto"/>
                <w:kern w:val="2"/>
                <w:sz w:val="24"/>
                <w:szCs w:val="24"/>
                <w:highlight w:val="none"/>
                <w:lang w:val="en-US" w:eastAsia="zh-CN" w:bidi="ar-SA"/>
              </w:rPr>
              <w:t>5</w:t>
            </w:r>
            <w:r>
              <w:rPr>
                <w:rFonts w:hint="eastAsia" w:ascii="仿宋" w:hAnsi="仿宋" w:eastAsia="仿宋" w:cs="Times New Roman"/>
                <w:color w:val="auto"/>
                <w:kern w:val="2"/>
                <w:sz w:val="24"/>
                <w:szCs w:val="24"/>
                <w:highlight w:val="none"/>
                <w:lang w:val="en-US" w:eastAsia="en-US" w:bidi="ar-SA"/>
              </w:rPr>
              <w:t>年度），企业成立不足一年的提供企业成立至今的财务报表</w:t>
            </w:r>
            <w:r>
              <w:rPr>
                <w:rFonts w:hint="eastAsia" w:ascii="仿宋" w:hAnsi="仿宋" w:eastAsia="仿宋" w:cs="Times New Roman"/>
                <w:color w:val="auto"/>
                <w:kern w:val="2"/>
                <w:sz w:val="24"/>
                <w:szCs w:val="24"/>
                <w:highlight w:val="none"/>
                <w:lang w:val="en-US" w:eastAsia="zh-CN" w:bidi="ar-SA"/>
              </w:rPr>
              <w:t>；</w:t>
            </w:r>
          </w:p>
          <w:p w14:paraId="0F4604B6">
            <w:pPr>
              <w:kinsoku w:val="0"/>
              <w:autoSpaceDE w:val="0"/>
              <w:autoSpaceDN w:val="0"/>
              <w:adjustRightInd w:val="0"/>
              <w:snapToGrid w:val="0"/>
              <w:spacing w:before="25" w:line="237" w:lineRule="auto"/>
              <w:ind w:left="120" w:right="107" w:firstLine="5"/>
              <w:jc w:val="left"/>
              <w:textAlignment w:val="baseline"/>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s="Times New Roman"/>
                <w:color w:val="auto"/>
                <w:kern w:val="2"/>
                <w:sz w:val="24"/>
                <w:szCs w:val="24"/>
                <w:highlight w:val="none"/>
                <w:lang w:val="en-US" w:eastAsia="zh-CN" w:bidi="ar-SA"/>
              </w:rPr>
              <w:t>（4）提供 2026 年度至今任意时段的缴纳税收的电子回单或税务部门出具的纳税证明或完税证明或有效的证明材料；</w:t>
            </w:r>
          </w:p>
          <w:p w14:paraId="0D01E499">
            <w:pPr>
              <w:kinsoku w:val="0"/>
              <w:autoSpaceDE w:val="0"/>
              <w:autoSpaceDN w:val="0"/>
              <w:adjustRightInd w:val="0"/>
              <w:snapToGrid w:val="0"/>
              <w:spacing w:before="25" w:line="237" w:lineRule="auto"/>
              <w:ind w:left="120" w:right="107" w:firstLine="5"/>
              <w:jc w:val="left"/>
              <w:textAlignment w:val="baseline"/>
              <w:rPr>
                <w:rFonts w:hint="eastAsia" w:ascii="仿宋" w:hAnsi="仿宋" w:eastAsia="仿宋" w:cs="Times New Roman"/>
                <w:color w:val="auto"/>
                <w:kern w:val="2"/>
                <w:sz w:val="24"/>
                <w:szCs w:val="24"/>
                <w:highlight w:val="none"/>
                <w:lang w:val="en-US" w:eastAsia="en-US" w:bidi="ar-SA"/>
              </w:rPr>
            </w:pPr>
            <w:r>
              <w:rPr>
                <w:rFonts w:hint="eastAsia" w:ascii="仿宋" w:hAnsi="仿宋" w:eastAsia="仿宋" w:cs="Times New Roman"/>
                <w:color w:val="auto"/>
                <w:kern w:val="2"/>
                <w:sz w:val="24"/>
                <w:szCs w:val="24"/>
                <w:highlight w:val="none"/>
                <w:lang w:val="en-US" w:eastAsia="zh-CN" w:bidi="ar-SA"/>
              </w:rPr>
              <w:t>（5）提供 2026 年度至今任意时段的缴纳社保的银行电子回单或社保部门出具的社保缴纳证明材料或有效的证明材料；</w:t>
            </w:r>
          </w:p>
          <w:p w14:paraId="6AC7F911">
            <w:pPr>
              <w:kinsoku w:val="0"/>
              <w:autoSpaceDE w:val="0"/>
              <w:autoSpaceDN w:val="0"/>
              <w:adjustRightInd w:val="0"/>
              <w:snapToGrid w:val="0"/>
              <w:spacing w:before="21" w:line="235" w:lineRule="auto"/>
              <w:ind w:left="127" w:right="107" w:hanging="1"/>
              <w:jc w:val="left"/>
              <w:textAlignment w:val="baseline"/>
              <w:rPr>
                <w:rFonts w:hint="eastAsia" w:ascii="仿宋" w:hAnsi="仿宋" w:eastAsia="仿宋" w:cs="Times New Roman"/>
                <w:color w:val="auto"/>
                <w:kern w:val="2"/>
                <w:sz w:val="24"/>
                <w:szCs w:val="24"/>
                <w:highlight w:val="none"/>
                <w:lang w:val="en-US" w:eastAsia="en-US" w:bidi="ar-SA"/>
              </w:rPr>
            </w:pPr>
            <w:r>
              <w:rPr>
                <w:rFonts w:hint="eastAsia" w:ascii="仿宋" w:hAnsi="仿宋" w:eastAsia="仿宋" w:cs="Times New Roman"/>
                <w:color w:val="auto"/>
                <w:kern w:val="2"/>
                <w:sz w:val="24"/>
                <w:szCs w:val="24"/>
                <w:highlight w:val="none"/>
                <w:lang w:val="en-US" w:eastAsia="en-US" w:bidi="ar-SA"/>
              </w:rPr>
              <w:t>（</w:t>
            </w:r>
            <w:r>
              <w:rPr>
                <w:rFonts w:hint="eastAsia" w:ascii="仿宋" w:hAnsi="仿宋" w:eastAsia="仿宋" w:cs="Times New Roman"/>
                <w:color w:val="auto"/>
                <w:kern w:val="2"/>
                <w:sz w:val="24"/>
                <w:szCs w:val="24"/>
                <w:highlight w:val="none"/>
                <w:lang w:val="en-US" w:eastAsia="zh-CN" w:bidi="ar-SA"/>
              </w:rPr>
              <w:t>6</w:t>
            </w:r>
            <w:r>
              <w:rPr>
                <w:rFonts w:hint="eastAsia" w:ascii="仿宋" w:hAnsi="仿宋" w:eastAsia="仿宋" w:cs="Times New Roman"/>
                <w:color w:val="auto"/>
                <w:kern w:val="2"/>
                <w:sz w:val="24"/>
                <w:szCs w:val="24"/>
                <w:highlight w:val="none"/>
                <w:lang w:val="en-US" w:eastAsia="en-US" w:bidi="ar-SA"/>
              </w:rPr>
              <w:t>）单位负责人为同一人或者存在直接控股、管理关 系的不同供应商，不得参加同一合同项下的政府采购 活动</w:t>
            </w:r>
            <w:r>
              <w:rPr>
                <w:rFonts w:hint="eastAsia" w:ascii="仿宋" w:hAnsi="仿宋" w:eastAsia="仿宋" w:cs="Times New Roman"/>
                <w:color w:val="auto"/>
                <w:kern w:val="2"/>
                <w:sz w:val="24"/>
                <w:szCs w:val="24"/>
                <w:highlight w:val="none"/>
                <w:lang w:val="en-US" w:eastAsia="zh-CN" w:bidi="ar-SA"/>
              </w:rPr>
              <w:t>（提供承诺书）</w:t>
            </w:r>
            <w:r>
              <w:rPr>
                <w:rFonts w:hint="eastAsia" w:ascii="仿宋" w:hAnsi="仿宋" w:eastAsia="仿宋" w:cs="Times New Roman"/>
                <w:color w:val="auto"/>
                <w:kern w:val="2"/>
                <w:sz w:val="24"/>
                <w:szCs w:val="24"/>
                <w:highlight w:val="none"/>
                <w:lang w:val="en-US" w:eastAsia="en-US" w:bidi="ar-SA"/>
              </w:rPr>
              <w:t>。</w:t>
            </w:r>
          </w:p>
          <w:p w14:paraId="4FBB3FFF">
            <w:pPr>
              <w:kinsoku w:val="0"/>
              <w:autoSpaceDE w:val="0"/>
              <w:autoSpaceDN w:val="0"/>
              <w:adjustRightInd w:val="0"/>
              <w:snapToGrid w:val="0"/>
              <w:spacing w:before="23" w:line="222" w:lineRule="auto"/>
              <w:ind w:left="112"/>
              <w:jc w:val="left"/>
              <w:textAlignment w:val="baseline"/>
              <w:rPr>
                <w:rFonts w:hint="eastAsia" w:ascii="仿宋" w:hAnsi="仿宋" w:eastAsia="仿宋" w:cs="Times New Roman"/>
                <w:color w:val="auto"/>
                <w:kern w:val="2"/>
                <w:sz w:val="24"/>
                <w:szCs w:val="24"/>
                <w:highlight w:val="none"/>
                <w:lang w:val="en-US" w:eastAsia="en-US" w:bidi="ar-SA"/>
              </w:rPr>
            </w:pPr>
            <w:r>
              <w:rPr>
                <w:rFonts w:hint="eastAsia" w:ascii="仿宋" w:hAnsi="仿宋" w:eastAsia="仿宋" w:cs="Times New Roman"/>
                <w:color w:val="auto"/>
                <w:kern w:val="2"/>
                <w:sz w:val="24"/>
                <w:szCs w:val="24"/>
                <w:highlight w:val="none"/>
                <w:lang w:val="en-US" w:eastAsia="en-US" w:bidi="ar-SA"/>
              </w:rPr>
              <w:t>4.本项目不接受联合体参加。</w:t>
            </w:r>
          </w:p>
          <w:p w14:paraId="101DA130">
            <w:pPr>
              <w:kinsoku w:val="0"/>
              <w:autoSpaceDE w:val="0"/>
              <w:autoSpaceDN w:val="0"/>
              <w:adjustRightInd w:val="0"/>
              <w:snapToGrid w:val="0"/>
              <w:spacing w:before="34" w:line="233" w:lineRule="auto"/>
              <w:ind w:left="125" w:right="109"/>
              <w:jc w:val="left"/>
              <w:textAlignment w:val="baseline"/>
              <w:rPr>
                <w:rFonts w:hint="eastAsia" w:ascii="仿宋" w:hAnsi="仿宋" w:eastAsia="仿宋" w:cs="Times New Roman"/>
                <w:color w:val="auto"/>
                <w:kern w:val="2"/>
                <w:sz w:val="24"/>
                <w:szCs w:val="24"/>
                <w:highlight w:val="none"/>
                <w:lang w:val="en-US" w:eastAsia="en-US" w:bidi="ar-SA"/>
              </w:rPr>
            </w:pPr>
            <w:r>
              <w:rPr>
                <w:rFonts w:hint="eastAsia" w:ascii="仿宋" w:hAnsi="仿宋" w:eastAsia="仿宋" w:cs="Times New Roman"/>
                <w:color w:val="auto"/>
                <w:kern w:val="2"/>
                <w:sz w:val="24"/>
                <w:szCs w:val="24"/>
                <w:highlight w:val="none"/>
                <w:lang w:val="en-US" w:eastAsia="en-US" w:bidi="ar-SA"/>
              </w:rPr>
              <w:t>注：（本项目实行电子招投标，以上资格要求材料均需附于投标文件中，上传至政采云平台）</w:t>
            </w:r>
          </w:p>
          <w:p w14:paraId="7D3E92DD">
            <w:pPr>
              <w:spacing w:line="400" w:lineRule="exact"/>
              <w:rPr>
                <w:rFonts w:ascii="仿宋" w:hAnsi="仿宋" w:eastAsia="仿宋" w:cs="仿宋"/>
                <w:color w:val="auto"/>
                <w:sz w:val="24"/>
                <w:szCs w:val="24"/>
                <w:highlight w:val="none"/>
              </w:rPr>
            </w:pPr>
            <w:r>
              <w:rPr>
                <w:rFonts w:hint="eastAsia" w:ascii="仿宋" w:hAnsi="仿宋" w:eastAsia="仿宋" w:cs="Times New Roman"/>
                <w:color w:val="auto"/>
                <w:kern w:val="2"/>
                <w:sz w:val="24"/>
                <w:szCs w:val="24"/>
                <w:highlight w:val="none"/>
                <w:lang w:val="en-US" w:eastAsia="en-US" w:bidi="ar-SA"/>
              </w:rPr>
              <w:t>供应商提交的所有证明文件及材料必须清晰、准确、真实</w:t>
            </w:r>
            <w:r>
              <w:rPr>
                <w:rFonts w:hint="eastAsia" w:ascii="方正仿宋_GB2312" w:hAnsi="方正仿宋_GB2312" w:eastAsia="方正仿宋_GB2312" w:cs="方正仿宋_GB2312"/>
                <w:snapToGrid w:val="0"/>
                <w:color w:val="000000"/>
                <w:spacing w:val="-4"/>
                <w:kern w:val="0"/>
                <w:sz w:val="24"/>
                <w:szCs w:val="24"/>
                <w:lang w:val="en-US" w:eastAsia="en-US" w:bidi="ar-SA"/>
              </w:rPr>
              <w:t>。</w:t>
            </w:r>
          </w:p>
        </w:tc>
      </w:tr>
      <w:tr w14:paraId="16B7D441">
        <w:tblPrEx>
          <w:tblCellMar>
            <w:top w:w="0" w:type="dxa"/>
            <w:left w:w="108" w:type="dxa"/>
            <w:bottom w:w="0" w:type="dxa"/>
            <w:right w:w="108" w:type="dxa"/>
          </w:tblCellMar>
        </w:tblPrEx>
        <w:trPr>
          <w:jc w:val="center"/>
        </w:trPr>
        <w:tc>
          <w:tcPr>
            <w:tcW w:w="706" w:type="dxa"/>
            <w:tcBorders>
              <w:top w:val="single" w:color="auto" w:sz="4" w:space="0"/>
              <w:left w:val="single" w:color="auto" w:sz="4" w:space="0"/>
              <w:bottom w:val="single" w:color="auto" w:sz="4" w:space="0"/>
              <w:right w:val="single" w:color="auto" w:sz="4" w:space="0"/>
            </w:tcBorders>
            <w:vAlign w:val="center"/>
          </w:tcPr>
          <w:p w14:paraId="3F5B773C">
            <w:pPr>
              <w:numPr>
                <w:ilvl w:val="0"/>
                <w:numId w:val="1"/>
              </w:numPr>
              <w:spacing w:line="400" w:lineRule="exact"/>
              <w:jc w:val="center"/>
              <w:rPr>
                <w:rFonts w:ascii="仿宋" w:hAnsi="仿宋" w:eastAsia="仿宋" w:cs="仿宋"/>
                <w:color w:val="auto"/>
                <w:sz w:val="24"/>
                <w:szCs w:val="24"/>
                <w:highlight w:val="none"/>
                <w:lang w:val="zh-CN"/>
              </w:rPr>
            </w:pPr>
          </w:p>
        </w:tc>
        <w:tc>
          <w:tcPr>
            <w:tcW w:w="2720" w:type="dxa"/>
            <w:tcBorders>
              <w:top w:val="single" w:color="auto" w:sz="4" w:space="0"/>
              <w:left w:val="single" w:color="auto" w:sz="4" w:space="0"/>
              <w:bottom w:val="single" w:color="auto" w:sz="4" w:space="0"/>
              <w:right w:val="single" w:color="auto" w:sz="4" w:space="0"/>
            </w:tcBorders>
            <w:vAlign w:val="center"/>
          </w:tcPr>
          <w:p w14:paraId="3BB2C3F3">
            <w:pPr>
              <w:spacing w:line="400" w:lineRule="exact"/>
              <w:rPr>
                <w:rFonts w:ascii="仿宋" w:hAnsi="仿宋" w:eastAsia="仿宋"/>
                <w:color w:val="auto"/>
                <w:sz w:val="24"/>
                <w:szCs w:val="24"/>
                <w:highlight w:val="none"/>
                <w:lang w:val="zh-CN"/>
              </w:rPr>
            </w:pPr>
            <w:r>
              <w:rPr>
                <w:rFonts w:hint="eastAsia" w:ascii="仿宋" w:hAnsi="仿宋" w:eastAsia="仿宋" w:cs="仿宋"/>
                <w:color w:val="auto"/>
                <w:sz w:val="24"/>
                <w:szCs w:val="24"/>
                <w:highlight w:val="none"/>
                <w:lang w:val="zh-CN"/>
              </w:rPr>
              <w:t>是否允许递交备选投标方案</w:t>
            </w:r>
          </w:p>
        </w:tc>
        <w:tc>
          <w:tcPr>
            <w:tcW w:w="6145" w:type="dxa"/>
            <w:tcBorders>
              <w:top w:val="single" w:color="auto" w:sz="4" w:space="0"/>
              <w:left w:val="single" w:color="auto" w:sz="4" w:space="0"/>
              <w:bottom w:val="single" w:color="auto" w:sz="4" w:space="0"/>
              <w:right w:val="single" w:color="auto" w:sz="4" w:space="0"/>
            </w:tcBorders>
            <w:vAlign w:val="center"/>
          </w:tcPr>
          <w:p w14:paraId="5AE2F934">
            <w:pPr>
              <w:spacing w:line="400" w:lineRule="exact"/>
              <w:rPr>
                <w:rFonts w:ascii="仿宋" w:hAnsi="仿宋" w:eastAsia="仿宋"/>
                <w:color w:val="auto"/>
                <w:sz w:val="24"/>
                <w:szCs w:val="24"/>
                <w:highlight w:val="none"/>
                <w:lang w:val="zh-CN"/>
              </w:rPr>
            </w:pPr>
            <w:r>
              <w:rPr>
                <w:rFonts w:hint="eastAsia" w:ascii="仿宋" w:hAnsi="仿宋" w:eastAsia="仿宋" w:cs="仿宋"/>
                <w:color w:val="auto"/>
                <w:sz w:val="24"/>
                <w:szCs w:val="24"/>
                <w:highlight w:val="none"/>
                <w:lang w:val="zh-CN"/>
              </w:rPr>
              <w:t>☑ 不允许</w:t>
            </w:r>
          </w:p>
          <w:p w14:paraId="745677C1">
            <w:pPr>
              <w:spacing w:line="400" w:lineRule="exact"/>
              <w:ind w:left="360" w:hanging="360" w:hangingChars="150"/>
              <w:rPr>
                <w:rFonts w:ascii="仿宋" w:hAnsi="仿宋" w:eastAsia="仿宋"/>
                <w:color w:val="auto"/>
                <w:sz w:val="24"/>
                <w:szCs w:val="24"/>
                <w:highlight w:val="none"/>
                <w:u w:val="single"/>
                <w:lang w:val="zh-CN"/>
              </w:rPr>
            </w:pPr>
            <w:r>
              <w:rPr>
                <w:rFonts w:hint="eastAsia" w:ascii="仿宋" w:hAnsi="仿宋" w:eastAsia="仿宋" w:cs="仿宋"/>
                <w:color w:val="auto"/>
                <w:sz w:val="24"/>
                <w:szCs w:val="24"/>
                <w:highlight w:val="none"/>
                <w:lang w:val="zh-CN"/>
              </w:rPr>
              <w:t>□ 允许。要求：只有中标人所递交的备选投标方案方可予以考虑。评标委员会认为中标人的备选投标方案优于其按照招标文件要求的投标方案，采购人可以接受该备选投标方案。</w:t>
            </w:r>
          </w:p>
        </w:tc>
      </w:tr>
      <w:tr w14:paraId="67F729E6">
        <w:tblPrEx>
          <w:tblCellMar>
            <w:top w:w="0" w:type="dxa"/>
            <w:left w:w="108" w:type="dxa"/>
            <w:bottom w:w="0" w:type="dxa"/>
            <w:right w:w="108" w:type="dxa"/>
          </w:tblCellMar>
        </w:tblPrEx>
        <w:trPr>
          <w:jc w:val="center"/>
        </w:trPr>
        <w:tc>
          <w:tcPr>
            <w:tcW w:w="706" w:type="dxa"/>
            <w:tcBorders>
              <w:top w:val="single" w:color="auto" w:sz="4" w:space="0"/>
              <w:left w:val="single" w:color="auto" w:sz="4" w:space="0"/>
              <w:bottom w:val="single" w:color="auto" w:sz="4" w:space="0"/>
              <w:right w:val="single" w:color="auto" w:sz="4" w:space="0"/>
            </w:tcBorders>
            <w:vAlign w:val="center"/>
          </w:tcPr>
          <w:p w14:paraId="79E45A6F">
            <w:pPr>
              <w:numPr>
                <w:ilvl w:val="0"/>
                <w:numId w:val="1"/>
              </w:numPr>
              <w:spacing w:line="400" w:lineRule="exact"/>
              <w:jc w:val="center"/>
              <w:rPr>
                <w:rFonts w:ascii="仿宋" w:hAnsi="仿宋" w:eastAsia="仿宋" w:cs="仿宋"/>
                <w:color w:val="auto"/>
                <w:sz w:val="24"/>
                <w:szCs w:val="24"/>
                <w:highlight w:val="none"/>
                <w:lang w:val="zh-CN"/>
              </w:rPr>
            </w:pPr>
          </w:p>
        </w:tc>
        <w:tc>
          <w:tcPr>
            <w:tcW w:w="2720" w:type="dxa"/>
            <w:tcBorders>
              <w:top w:val="single" w:color="auto" w:sz="4" w:space="0"/>
              <w:left w:val="single" w:color="auto" w:sz="4" w:space="0"/>
              <w:bottom w:val="single" w:color="auto" w:sz="4" w:space="0"/>
              <w:right w:val="single" w:color="auto" w:sz="4" w:space="0"/>
            </w:tcBorders>
            <w:vAlign w:val="center"/>
          </w:tcPr>
          <w:p w14:paraId="1A2A5127">
            <w:pPr>
              <w:spacing w:line="400" w:lineRule="exact"/>
              <w:rPr>
                <w:rFonts w:ascii="仿宋" w:hAnsi="仿宋" w:eastAsia="仿宋"/>
                <w:color w:val="auto"/>
                <w:sz w:val="24"/>
                <w:szCs w:val="24"/>
                <w:highlight w:val="none"/>
                <w:lang w:val="zh-CN"/>
              </w:rPr>
            </w:pPr>
            <w:r>
              <w:rPr>
                <w:rFonts w:hint="eastAsia" w:ascii="仿宋" w:hAnsi="仿宋" w:eastAsia="仿宋" w:cs="仿宋"/>
                <w:color w:val="auto"/>
                <w:sz w:val="24"/>
                <w:szCs w:val="24"/>
                <w:highlight w:val="none"/>
                <w:lang w:val="zh-CN"/>
              </w:rPr>
              <w:t>投标报价的范围</w:t>
            </w:r>
          </w:p>
        </w:tc>
        <w:tc>
          <w:tcPr>
            <w:tcW w:w="6145" w:type="dxa"/>
            <w:tcBorders>
              <w:top w:val="single" w:color="auto" w:sz="4" w:space="0"/>
              <w:left w:val="single" w:color="auto" w:sz="4" w:space="0"/>
              <w:bottom w:val="single" w:color="auto" w:sz="4" w:space="0"/>
              <w:right w:val="single" w:color="auto" w:sz="4" w:space="0"/>
            </w:tcBorders>
            <w:vAlign w:val="center"/>
          </w:tcPr>
          <w:p w14:paraId="12C4E159">
            <w:pPr>
              <w:spacing w:line="400" w:lineRule="exact"/>
              <w:rPr>
                <w:rFonts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含税全包价，包括产品的设计、制作、包装、保险、运输、装卸、安装、调试、培训、验收、保修等一切费用（即交钥匙工程）。</w:t>
            </w:r>
          </w:p>
        </w:tc>
      </w:tr>
      <w:tr w14:paraId="1BDF5111">
        <w:tblPrEx>
          <w:tblCellMar>
            <w:top w:w="0" w:type="dxa"/>
            <w:left w:w="108" w:type="dxa"/>
            <w:bottom w:w="0" w:type="dxa"/>
            <w:right w:w="108" w:type="dxa"/>
          </w:tblCellMar>
        </w:tblPrEx>
        <w:trPr>
          <w:jc w:val="center"/>
        </w:trPr>
        <w:tc>
          <w:tcPr>
            <w:tcW w:w="706" w:type="dxa"/>
            <w:tcBorders>
              <w:top w:val="single" w:color="auto" w:sz="4" w:space="0"/>
              <w:left w:val="single" w:color="auto" w:sz="4" w:space="0"/>
              <w:bottom w:val="single" w:color="auto" w:sz="4" w:space="0"/>
              <w:right w:val="single" w:color="auto" w:sz="4" w:space="0"/>
            </w:tcBorders>
            <w:vAlign w:val="center"/>
          </w:tcPr>
          <w:p w14:paraId="40762B13">
            <w:pPr>
              <w:numPr>
                <w:ilvl w:val="0"/>
                <w:numId w:val="1"/>
              </w:numPr>
              <w:spacing w:line="400" w:lineRule="exact"/>
              <w:jc w:val="center"/>
              <w:rPr>
                <w:rFonts w:ascii="仿宋" w:hAnsi="仿宋" w:eastAsia="仿宋"/>
                <w:color w:val="auto"/>
                <w:sz w:val="24"/>
                <w:szCs w:val="24"/>
                <w:highlight w:val="none"/>
              </w:rPr>
            </w:pPr>
          </w:p>
        </w:tc>
        <w:tc>
          <w:tcPr>
            <w:tcW w:w="2720" w:type="dxa"/>
            <w:tcBorders>
              <w:top w:val="single" w:color="auto" w:sz="4" w:space="0"/>
              <w:left w:val="single" w:color="auto" w:sz="4" w:space="0"/>
              <w:bottom w:val="single" w:color="auto" w:sz="4" w:space="0"/>
              <w:right w:val="single" w:color="auto" w:sz="4" w:space="0"/>
            </w:tcBorders>
            <w:vAlign w:val="center"/>
          </w:tcPr>
          <w:p w14:paraId="56845DA5">
            <w:pPr>
              <w:spacing w:line="40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投标报价的次数</w:t>
            </w:r>
          </w:p>
        </w:tc>
        <w:tc>
          <w:tcPr>
            <w:tcW w:w="6145" w:type="dxa"/>
            <w:tcBorders>
              <w:top w:val="single" w:color="auto" w:sz="4" w:space="0"/>
              <w:left w:val="single" w:color="auto" w:sz="4" w:space="0"/>
              <w:bottom w:val="single" w:color="auto" w:sz="4" w:space="0"/>
              <w:right w:val="single" w:color="auto" w:sz="4" w:space="0"/>
            </w:tcBorders>
            <w:vAlign w:val="center"/>
          </w:tcPr>
          <w:p w14:paraId="7B72E260">
            <w:pPr>
              <w:spacing w:line="40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本次投标报价为一次不得更改报价，投标人只有一次报价的机会。投标报价（即开标报价）不得有选择性报价和附有条件的报价，且不得高于预算金额（备注：设定最高限价的，本项内容改为最高限价）。</w:t>
            </w:r>
          </w:p>
        </w:tc>
      </w:tr>
      <w:tr w14:paraId="2432F14C">
        <w:tblPrEx>
          <w:tblCellMar>
            <w:top w:w="0" w:type="dxa"/>
            <w:left w:w="108" w:type="dxa"/>
            <w:bottom w:w="0" w:type="dxa"/>
            <w:right w:w="108" w:type="dxa"/>
          </w:tblCellMar>
        </w:tblPrEx>
        <w:trPr>
          <w:jc w:val="center"/>
        </w:trPr>
        <w:tc>
          <w:tcPr>
            <w:tcW w:w="706" w:type="dxa"/>
            <w:tcBorders>
              <w:top w:val="single" w:color="auto" w:sz="4" w:space="0"/>
              <w:left w:val="single" w:color="auto" w:sz="4" w:space="0"/>
              <w:bottom w:val="single" w:color="auto" w:sz="4" w:space="0"/>
              <w:right w:val="single" w:color="auto" w:sz="4" w:space="0"/>
            </w:tcBorders>
            <w:vAlign w:val="center"/>
          </w:tcPr>
          <w:p w14:paraId="2C5EA450">
            <w:pPr>
              <w:numPr>
                <w:ilvl w:val="0"/>
                <w:numId w:val="1"/>
              </w:numPr>
              <w:spacing w:line="400" w:lineRule="exact"/>
              <w:jc w:val="center"/>
              <w:rPr>
                <w:rFonts w:ascii="仿宋" w:hAnsi="仿宋" w:eastAsia="仿宋" w:cs="仿宋"/>
                <w:color w:val="auto"/>
                <w:sz w:val="24"/>
                <w:szCs w:val="24"/>
                <w:highlight w:val="none"/>
                <w:lang w:val="zh-CN"/>
              </w:rPr>
            </w:pPr>
          </w:p>
        </w:tc>
        <w:tc>
          <w:tcPr>
            <w:tcW w:w="2720" w:type="dxa"/>
            <w:tcBorders>
              <w:top w:val="single" w:color="auto" w:sz="4" w:space="0"/>
              <w:left w:val="single" w:color="auto" w:sz="4" w:space="0"/>
              <w:bottom w:val="single" w:color="auto" w:sz="4" w:space="0"/>
              <w:right w:val="single" w:color="auto" w:sz="4" w:space="0"/>
            </w:tcBorders>
            <w:vAlign w:val="center"/>
          </w:tcPr>
          <w:p w14:paraId="07EAF581">
            <w:pPr>
              <w:spacing w:line="40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进口产品投标</w:t>
            </w:r>
          </w:p>
        </w:tc>
        <w:tc>
          <w:tcPr>
            <w:tcW w:w="6145" w:type="dxa"/>
            <w:tcBorders>
              <w:top w:val="single" w:color="auto" w:sz="4" w:space="0"/>
              <w:left w:val="single" w:color="auto" w:sz="4" w:space="0"/>
              <w:bottom w:val="single" w:color="auto" w:sz="4" w:space="0"/>
              <w:right w:val="single" w:color="auto" w:sz="4" w:space="0"/>
            </w:tcBorders>
            <w:vAlign w:val="center"/>
          </w:tcPr>
          <w:p w14:paraId="5A0FB11D">
            <w:pPr>
              <w:spacing w:line="400" w:lineRule="exact"/>
              <w:ind w:left="360" w:hanging="360" w:hangingChars="150"/>
              <w:rPr>
                <w:rFonts w:ascii="仿宋" w:hAnsi="仿宋" w:eastAsia="仿宋"/>
                <w:color w:val="auto"/>
                <w:sz w:val="24"/>
                <w:szCs w:val="24"/>
                <w:highlight w:val="none"/>
              </w:rPr>
            </w:pPr>
            <w:r>
              <w:rPr>
                <w:rFonts w:hint="eastAsia" w:ascii="仿宋" w:hAnsi="仿宋" w:eastAsia="仿宋"/>
                <w:color w:val="auto"/>
                <w:sz w:val="24"/>
                <w:szCs w:val="24"/>
                <w:highlight w:val="none"/>
              </w:rPr>
              <w:t>☑ 不允许</w:t>
            </w:r>
          </w:p>
          <w:p w14:paraId="2860E011">
            <w:pPr>
              <w:spacing w:line="400" w:lineRule="exact"/>
              <w:rPr>
                <w:rFonts w:ascii="仿宋" w:hAnsi="仿宋" w:eastAsia="仿宋"/>
                <w:color w:val="auto"/>
                <w:sz w:val="24"/>
                <w:szCs w:val="24"/>
                <w:highlight w:val="none"/>
                <w:u w:val="single"/>
              </w:rPr>
            </w:pPr>
            <w:r>
              <w:rPr>
                <w:rFonts w:hint="eastAsia" w:ascii="仿宋" w:hAnsi="仿宋" w:eastAsia="仿宋"/>
                <w:color w:val="auto"/>
                <w:sz w:val="24"/>
                <w:szCs w:val="24"/>
                <w:highlight w:val="none"/>
              </w:rPr>
              <w:t>□ 允许</w:t>
            </w:r>
          </w:p>
        </w:tc>
      </w:tr>
      <w:tr w14:paraId="42BD620C">
        <w:tblPrEx>
          <w:tblCellMar>
            <w:top w:w="0" w:type="dxa"/>
            <w:left w:w="108" w:type="dxa"/>
            <w:bottom w:w="0" w:type="dxa"/>
            <w:right w:w="108" w:type="dxa"/>
          </w:tblCellMar>
        </w:tblPrEx>
        <w:trPr>
          <w:jc w:val="center"/>
        </w:trPr>
        <w:tc>
          <w:tcPr>
            <w:tcW w:w="706" w:type="dxa"/>
            <w:tcBorders>
              <w:top w:val="single" w:color="auto" w:sz="4" w:space="0"/>
              <w:left w:val="single" w:color="auto" w:sz="4" w:space="0"/>
              <w:bottom w:val="single" w:color="auto" w:sz="4" w:space="0"/>
              <w:right w:val="single" w:color="auto" w:sz="4" w:space="0"/>
            </w:tcBorders>
            <w:vAlign w:val="center"/>
          </w:tcPr>
          <w:p w14:paraId="63A11716">
            <w:pPr>
              <w:numPr>
                <w:ilvl w:val="0"/>
                <w:numId w:val="1"/>
              </w:numPr>
              <w:spacing w:line="400" w:lineRule="exact"/>
              <w:jc w:val="center"/>
              <w:rPr>
                <w:rFonts w:ascii="仿宋" w:hAnsi="仿宋" w:eastAsia="仿宋" w:cs="仿宋"/>
                <w:color w:val="auto"/>
                <w:sz w:val="24"/>
                <w:szCs w:val="24"/>
                <w:highlight w:val="none"/>
                <w:lang w:val="zh-CN"/>
              </w:rPr>
            </w:pPr>
          </w:p>
        </w:tc>
        <w:tc>
          <w:tcPr>
            <w:tcW w:w="2720" w:type="dxa"/>
            <w:tcBorders>
              <w:top w:val="single" w:color="auto" w:sz="4" w:space="0"/>
              <w:left w:val="single" w:color="auto" w:sz="4" w:space="0"/>
              <w:bottom w:val="single" w:color="auto" w:sz="4" w:space="0"/>
              <w:right w:val="single" w:color="auto" w:sz="4" w:space="0"/>
            </w:tcBorders>
            <w:vAlign w:val="center"/>
          </w:tcPr>
          <w:p w14:paraId="77022A51">
            <w:pPr>
              <w:spacing w:line="400" w:lineRule="exact"/>
              <w:rPr>
                <w:rFonts w:ascii="仿宋" w:hAnsi="仿宋" w:eastAsia="仿宋"/>
                <w:color w:val="auto"/>
                <w:sz w:val="24"/>
                <w:szCs w:val="24"/>
                <w:highlight w:val="none"/>
                <w:lang w:val="zh-CN"/>
              </w:rPr>
            </w:pPr>
            <w:r>
              <w:rPr>
                <w:rFonts w:hint="eastAsia" w:ascii="仿宋" w:hAnsi="仿宋" w:eastAsia="仿宋" w:cs="仿宋"/>
                <w:color w:val="auto"/>
                <w:sz w:val="24"/>
                <w:szCs w:val="24"/>
                <w:highlight w:val="none"/>
                <w:lang w:val="zh-CN"/>
              </w:rPr>
              <w:t>样品</w:t>
            </w:r>
          </w:p>
        </w:tc>
        <w:tc>
          <w:tcPr>
            <w:tcW w:w="6145" w:type="dxa"/>
            <w:tcBorders>
              <w:top w:val="single" w:color="auto" w:sz="4" w:space="0"/>
              <w:left w:val="single" w:color="auto" w:sz="4" w:space="0"/>
              <w:bottom w:val="single" w:color="auto" w:sz="4" w:space="0"/>
              <w:right w:val="single" w:color="auto" w:sz="4" w:space="0"/>
            </w:tcBorders>
            <w:vAlign w:val="center"/>
          </w:tcPr>
          <w:p w14:paraId="2B5504AF">
            <w:pPr>
              <w:spacing w:line="400" w:lineRule="exact"/>
              <w:ind w:left="360" w:hanging="360"/>
              <w:rPr>
                <w:rFonts w:ascii="仿宋" w:hAnsi="仿宋" w:eastAsia="仿宋"/>
                <w:color w:val="auto"/>
                <w:sz w:val="24"/>
                <w:szCs w:val="24"/>
                <w:highlight w:val="none"/>
                <w:lang w:val="zh-CN"/>
              </w:rPr>
            </w:pPr>
            <w:r>
              <w:rPr>
                <w:rFonts w:hint="eastAsia" w:ascii="仿宋" w:hAnsi="仿宋" w:eastAsia="仿宋" w:cs="仿宋"/>
                <w:color w:val="auto"/>
                <w:sz w:val="24"/>
                <w:szCs w:val="24"/>
                <w:highlight w:val="none"/>
                <w:lang w:val="zh-CN"/>
              </w:rPr>
              <w:t>☑ 不需要</w:t>
            </w:r>
          </w:p>
          <w:p w14:paraId="570F7DA0">
            <w:pPr>
              <w:spacing w:line="400" w:lineRule="exact"/>
              <w:ind w:left="360" w:hanging="360"/>
              <w:rPr>
                <w:rFonts w:ascii="仿宋" w:hAnsi="仿宋" w:eastAsia="仿宋"/>
                <w:color w:val="auto"/>
                <w:sz w:val="24"/>
                <w:szCs w:val="24"/>
                <w:highlight w:val="none"/>
                <w:lang w:val="zh-CN"/>
              </w:rPr>
            </w:pPr>
            <w:r>
              <w:rPr>
                <w:rFonts w:hint="eastAsia" w:ascii="仿宋" w:hAnsi="仿宋" w:eastAsia="仿宋" w:cs="仿宋"/>
                <w:color w:val="auto"/>
                <w:sz w:val="24"/>
                <w:szCs w:val="24"/>
                <w:highlight w:val="none"/>
                <w:lang w:val="zh-CN"/>
              </w:rPr>
              <w:t>□ 需要，样品要求如下：</w:t>
            </w:r>
          </w:p>
          <w:p w14:paraId="0D4D274E">
            <w:pPr>
              <w:spacing w:line="400" w:lineRule="exact"/>
              <w:ind w:firstLine="360" w:firstLineChars="150"/>
              <w:rPr>
                <w:rFonts w:ascii="仿宋" w:hAnsi="仿宋" w:eastAsia="仿宋"/>
                <w:color w:val="auto"/>
                <w:sz w:val="24"/>
                <w:szCs w:val="24"/>
                <w:highlight w:val="none"/>
                <w:lang w:val="zh-CN"/>
              </w:rPr>
            </w:pPr>
            <w:r>
              <w:rPr>
                <w:rFonts w:ascii="仿宋" w:hAnsi="仿宋" w:eastAsia="仿宋" w:cs="仿宋"/>
                <w:color w:val="auto"/>
                <w:sz w:val="24"/>
                <w:szCs w:val="24"/>
                <w:highlight w:val="none"/>
                <w:lang w:val="zh-CN"/>
              </w:rPr>
              <w:t>1</w:t>
            </w:r>
            <w:r>
              <w:rPr>
                <w:rFonts w:hint="eastAsia" w:ascii="仿宋" w:hAnsi="仿宋" w:eastAsia="仿宋" w:cs="仿宋"/>
                <w:color w:val="auto"/>
                <w:sz w:val="24"/>
                <w:szCs w:val="24"/>
                <w:highlight w:val="none"/>
                <w:lang w:val="zh-CN"/>
              </w:rPr>
              <w:t>.样品：招标文件中带“※”标注的货物为投标人开标时应提供的样品。</w:t>
            </w:r>
          </w:p>
          <w:p w14:paraId="355619E6">
            <w:pPr>
              <w:spacing w:line="400" w:lineRule="exact"/>
              <w:ind w:firstLine="360" w:firstLineChars="150"/>
              <w:rPr>
                <w:rFonts w:ascii="仿宋" w:hAnsi="仿宋" w:eastAsia="仿宋"/>
                <w:color w:val="auto"/>
                <w:sz w:val="24"/>
                <w:szCs w:val="24"/>
                <w:highlight w:val="none"/>
                <w:lang w:val="zh-CN"/>
              </w:rPr>
            </w:pPr>
            <w:r>
              <w:rPr>
                <w:rFonts w:ascii="仿宋" w:hAnsi="仿宋" w:eastAsia="仿宋" w:cs="仿宋"/>
                <w:color w:val="auto"/>
                <w:sz w:val="24"/>
                <w:szCs w:val="24"/>
                <w:highlight w:val="none"/>
                <w:lang w:val="zh-CN"/>
              </w:rPr>
              <w:t>2</w:t>
            </w:r>
            <w:r>
              <w:rPr>
                <w:rFonts w:hint="eastAsia" w:ascii="仿宋" w:hAnsi="仿宋" w:eastAsia="仿宋" w:cs="仿宋"/>
                <w:color w:val="auto"/>
                <w:sz w:val="24"/>
                <w:szCs w:val="24"/>
                <w:highlight w:val="none"/>
                <w:lang w:val="zh-CN"/>
              </w:rPr>
              <w:t>.样品的生产、安装、运输费、保全费等一切费用由投标人自理。</w:t>
            </w:r>
          </w:p>
          <w:p w14:paraId="218A91DB">
            <w:pPr>
              <w:spacing w:line="400" w:lineRule="exact"/>
              <w:ind w:firstLine="360" w:firstLineChars="150"/>
              <w:rPr>
                <w:rFonts w:ascii="仿宋" w:hAnsi="仿宋" w:eastAsia="仿宋"/>
                <w:color w:val="auto"/>
                <w:sz w:val="24"/>
                <w:szCs w:val="24"/>
                <w:highlight w:val="none"/>
                <w:lang w:val="zh-CN"/>
              </w:rPr>
            </w:pPr>
            <w:r>
              <w:rPr>
                <w:rFonts w:ascii="仿宋" w:hAnsi="仿宋" w:eastAsia="仿宋" w:cs="仿宋"/>
                <w:color w:val="auto"/>
                <w:sz w:val="24"/>
                <w:szCs w:val="24"/>
                <w:highlight w:val="none"/>
                <w:lang w:val="zh-CN"/>
              </w:rPr>
              <w:t>3</w:t>
            </w:r>
            <w:r>
              <w:rPr>
                <w:rFonts w:hint="eastAsia" w:ascii="仿宋" w:hAnsi="仿宋" w:eastAsia="仿宋" w:cs="仿宋"/>
                <w:color w:val="auto"/>
                <w:sz w:val="24"/>
                <w:szCs w:val="24"/>
                <w:highlight w:val="none"/>
                <w:lang w:val="zh-CN"/>
              </w:rPr>
              <w:t>.送样截止时间：</w:t>
            </w:r>
            <w:r>
              <w:rPr>
                <w:rFonts w:ascii="仿宋" w:hAnsi="仿宋" w:eastAsia="仿宋" w:cs="仿宋"/>
                <w:color w:val="auto"/>
                <w:sz w:val="24"/>
                <w:szCs w:val="24"/>
                <w:highlight w:val="none"/>
                <w:lang w:val="zh-CN"/>
              </w:rPr>
              <w:t>20</w:t>
            </w:r>
            <w:r>
              <w:rPr>
                <w:rFonts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年</w:t>
            </w:r>
            <w:r>
              <w:rPr>
                <w:rFonts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月</w:t>
            </w:r>
            <w:r>
              <w:rPr>
                <w:rFonts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日</w:t>
            </w:r>
            <w:r>
              <w:rPr>
                <w:rFonts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时</w:t>
            </w:r>
            <w:r>
              <w:rPr>
                <w:rFonts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分</w:t>
            </w:r>
            <w:r>
              <w:rPr>
                <w:rFonts w:hint="eastAsia" w:ascii="仿宋" w:hAnsi="仿宋" w:eastAsia="仿宋"/>
                <w:color w:val="auto"/>
                <w:sz w:val="24"/>
                <w:szCs w:val="24"/>
                <w:highlight w:val="none"/>
              </w:rPr>
              <w:t>，</w:t>
            </w:r>
          </w:p>
          <w:p w14:paraId="475A6A30">
            <w:pPr>
              <w:spacing w:line="400" w:lineRule="exact"/>
              <w:ind w:firstLine="360" w:firstLineChars="150"/>
              <w:rPr>
                <w:rFonts w:ascii="仿宋" w:hAnsi="仿宋" w:eastAsia="仿宋" w:cs="仿宋"/>
                <w:color w:val="auto"/>
                <w:sz w:val="24"/>
                <w:szCs w:val="24"/>
                <w:highlight w:val="none"/>
                <w:lang w:val="zh-CN"/>
              </w:rPr>
            </w:pPr>
            <w:r>
              <w:rPr>
                <w:rFonts w:ascii="仿宋" w:hAnsi="仿宋" w:eastAsia="仿宋" w:cs="仿宋"/>
                <w:color w:val="auto"/>
                <w:sz w:val="24"/>
                <w:szCs w:val="24"/>
                <w:highlight w:val="none"/>
                <w:lang w:val="zh-CN"/>
              </w:rPr>
              <w:t>4</w:t>
            </w:r>
            <w:r>
              <w:rPr>
                <w:rFonts w:hint="eastAsia" w:ascii="仿宋" w:hAnsi="仿宋" w:eastAsia="仿宋" w:cs="仿宋"/>
                <w:color w:val="auto"/>
                <w:sz w:val="24"/>
                <w:szCs w:val="24"/>
                <w:highlight w:val="none"/>
                <w:lang w:val="zh-CN"/>
              </w:rPr>
              <w:t>.送样送达地点：</w:t>
            </w:r>
            <w:r>
              <w:rPr>
                <w:rFonts w:ascii="仿宋" w:hAnsi="仿宋" w:eastAsia="仿宋" w:cs="仿宋"/>
                <w:color w:val="auto"/>
                <w:sz w:val="24"/>
                <w:szCs w:val="24"/>
                <w:highlight w:val="none"/>
                <w:u w:val="single"/>
                <w:lang w:val="zh-CN"/>
              </w:rPr>
              <w:t xml:space="preserve">                       </w:t>
            </w:r>
            <w:r>
              <w:rPr>
                <w:rFonts w:ascii="仿宋" w:hAnsi="仿宋" w:eastAsia="仿宋" w:cs="仿宋"/>
                <w:color w:val="auto"/>
                <w:sz w:val="24"/>
                <w:szCs w:val="24"/>
                <w:highlight w:val="none"/>
                <w:lang w:val="zh-CN"/>
              </w:rPr>
              <w:t>。</w:t>
            </w:r>
            <w:r>
              <w:rPr>
                <w:rFonts w:hint="eastAsia" w:ascii="仿宋" w:hAnsi="仿宋" w:eastAsia="仿宋"/>
                <w:color w:val="auto"/>
                <w:sz w:val="24"/>
                <w:szCs w:val="24"/>
                <w:highlight w:val="none"/>
              </w:rPr>
              <w:t>逾期送达或未送达到指定地点的拒绝接收</w:t>
            </w:r>
            <w:r>
              <w:rPr>
                <w:rFonts w:hint="eastAsia" w:ascii="仿宋" w:hAnsi="仿宋" w:eastAsia="仿宋" w:cs="仿宋"/>
                <w:color w:val="auto"/>
                <w:sz w:val="24"/>
                <w:szCs w:val="24"/>
                <w:highlight w:val="none"/>
                <w:lang w:val="zh-CN"/>
              </w:rPr>
              <w:t>。</w:t>
            </w:r>
          </w:p>
          <w:p w14:paraId="201FC7B8">
            <w:pPr>
              <w:spacing w:line="400" w:lineRule="exact"/>
              <w:ind w:firstLine="360" w:firstLineChars="150"/>
              <w:rPr>
                <w:rFonts w:ascii="仿宋" w:hAnsi="仿宋" w:eastAsia="仿宋"/>
                <w:color w:val="auto"/>
                <w:sz w:val="24"/>
                <w:szCs w:val="24"/>
                <w:highlight w:val="none"/>
                <w:lang w:val="zh-CN"/>
              </w:rPr>
            </w:pPr>
            <w:r>
              <w:rPr>
                <w:rFonts w:ascii="仿宋" w:hAnsi="仿宋" w:eastAsia="仿宋" w:cs="仿宋"/>
                <w:color w:val="auto"/>
                <w:sz w:val="24"/>
                <w:szCs w:val="24"/>
                <w:highlight w:val="none"/>
                <w:lang w:val="zh-CN"/>
              </w:rPr>
              <w:t>5</w:t>
            </w:r>
            <w:r>
              <w:rPr>
                <w:rFonts w:hint="eastAsia" w:ascii="仿宋" w:hAnsi="仿宋" w:eastAsia="仿宋" w:cs="仿宋"/>
                <w:color w:val="auto"/>
                <w:sz w:val="24"/>
                <w:szCs w:val="24"/>
                <w:highlight w:val="none"/>
                <w:lang w:val="zh-CN"/>
              </w:rPr>
              <w:t>.投标人应按照采购代理机构的要求摆放样品并做好展示，样品不能有投标人的标识及品牌，样品将进行统一编号。</w:t>
            </w:r>
          </w:p>
          <w:p w14:paraId="4409FDB5">
            <w:pPr>
              <w:spacing w:line="400" w:lineRule="exact"/>
              <w:ind w:firstLine="360" w:firstLineChars="150"/>
              <w:rPr>
                <w:rFonts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6.若需要现场演示的，投标人应提前做好演示准备（包括电源线等一切辅助设备），届时因投标人自身原因未能演示的，后果自负。</w:t>
            </w:r>
          </w:p>
          <w:p w14:paraId="661A88EE">
            <w:pPr>
              <w:spacing w:line="400" w:lineRule="exact"/>
              <w:ind w:firstLine="360" w:firstLineChars="150"/>
              <w:rPr>
                <w:rFonts w:ascii="仿宋" w:hAnsi="仿宋" w:eastAsia="仿宋" w:cs="仿宋"/>
                <w:color w:val="auto"/>
                <w:sz w:val="24"/>
                <w:szCs w:val="24"/>
                <w:highlight w:val="none"/>
              </w:rPr>
            </w:pP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宣布评标结果前，投标人不得将样品整理、装箱或者撤离展示区；遇到特殊情况需要对样品进行整理、装箱或者移动样品的，投标人必须书面提出申请，采购代理机构同意后方可移动样品。评标委员会已经确定投标人投标无效或者废标的，投标人签字确认后可以进行样品整理、装箱或者撤离展示区，但不得影响或者损害其他投标人的样品，否则将承担相应的法律责任。</w:t>
            </w:r>
          </w:p>
          <w:p w14:paraId="08187C6E">
            <w:pPr>
              <w:spacing w:line="400" w:lineRule="exact"/>
              <w:ind w:firstLine="360" w:firstLineChars="150"/>
              <w:rPr>
                <w:rFonts w:ascii="仿宋" w:hAnsi="仿宋" w:eastAsia="仿宋" w:cs="仿宋"/>
                <w:color w:val="auto"/>
                <w:sz w:val="24"/>
                <w:szCs w:val="24"/>
                <w:highlight w:val="none"/>
              </w:rPr>
            </w:pPr>
            <w:r>
              <w:rPr>
                <w:rFonts w:ascii="仿宋" w:hAnsi="仿宋" w:eastAsia="仿宋" w:cs="仿宋"/>
                <w:color w:val="auto"/>
                <w:sz w:val="24"/>
                <w:szCs w:val="24"/>
                <w:highlight w:val="none"/>
              </w:rPr>
              <w:t>8.</w:t>
            </w:r>
            <w:r>
              <w:rPr>
                <w:rFonts w:hint="eastAsia" w:ascii="仿宋" w:hAnsi="仿宋" w:eastAsia="仿宋" w:cs="仿宋"/>
                <w:color w:val="auto"/>
                <w:sz w:val="24"/>
                <w:szCs w:val="24"/>
                <w:highlight w:val="none"/>
              </w:rPr>
              <w:t>宣布评标结果后，对于未中标人提供的样品，应当及时退还或者经未中标人同意后自行处理；对于中标人提供的样品，中标人与采购人、采购代理机构共同清点、检查和密封样品，由中标人送至采购人指定地点进行保管、封存，并作为履约验收的参考。</w:t>
            </w:r>
          </w:p>
          <w:p w14:paraId="0BEDCDBC">
            <w:pPr>
              <w:spacing w:line="400" w:lineRule="exact"/>
              <w:ind w:firstLine="360" w:firstLineChars="150"/>
              <w:rPr>
                <w:rFonts w:ascii="仿宋" w:hAnsi="仿宋" w:eastAsia="仿宋" w:cs="仿宋"/>
                <w:color w:val="auto"/>
                <w:sz w:val="24"/>
                <w:szCs w:val="24"/>
                <w:highlight w:val="none"/>
              </w:rPr>
            </w:pPr>
            <w:r>
              <w:rPr>
                <w:rFonts w:ascii="仿宋" w:hAnsi="仿宋" w:eastAsia="仿宋" w:cs="仿宋"/>
                <w:color w:val="auto"/>
                <w:sz w:val="24"/>
                <w:szCs w:val="24"/>
                <w:highlight w:val="none"/>
              </w:rPr>
              <w:t>说明：投标人不按上述要求提交样品、</w:t>
            </w:r>
            <w:r>
              <w:rPr>
                <w:rFonts w:hint="eastAsia" w:ascii="仿宋" w:hAnsi="仿宋" w:eastAsia="仿宋" w:cs="仿宋"/>
                <w:color w:val="auto"/>
                <w:sz w:val="24"/>
                <w:szCs w:val="24"/>
                <w:highlight w:val="none"/>
              </w:rPr>
              <w:t>不</w:t>
            </w:r>
            <w:r>
              <w:rPr>
                <w:rFonts w:ascii="仿宋" w:hAnsi="仿宋" w:eastAsia="仿宋" w:cs="仿宋"/>
                <w:color w:val="auto"/>
                <w:sz w:val="24"/>
                <w:szCs w:val="24"/>
                <w:highlight w:val="none"/>
              </w:rPr>
              <w:t>服从现场工作管理的，样品评分项将被扣分或按“0”分处理。</w:t>
            </w:r>
          </w:p>
        </w:tc>
      </w:tr>
      <w:tr w14:paraId="562501B1">
        <w:tblPrEx>
          <w:tblCellMar>
            <w:top w:w="0" w:type="dxa"/>
            <w:left w:w="108" w:type="dxa"/>
            <w:bottom w:w="0" w:type="dxa"/>
            <w:right w:w="108" w:type="dxa"/>
          </w:tblCellMar>
        </w:tblPrEx>
        <w:trPr>
          <w:jc w:val="center"/>
        </w:trPr>
        <w:tc>
          <w:tcPr>
            <w:tcW w:w="706" w:type="dxa"/>
            <w:tcBorders>
              <w:top w:val="single" w:color="auto" w:sz="4" w:space="0"/>
              <w:left w:val="single" w:color="auto" w:sz="4" w:space="0"/>
              <w:bottom w:val="single" w:color="auto" w:sz="4" w:space="0"/>
              <w:right w:val="single" w:color="auto" w:sz="4" w:space="0"/>
            </w:tcBorders>
            <w:vAlign w:val="center"/>
          </w:tcPr>
          <w:p w14:paraId="2389EFCA">
            <w:pPr>
              <w:numPr>
                <w:ilvl w:val="0"/>
                <w:numId w:val="1"/>
              </w:numPr>
              <w:spacing w:line="400" w:lineRule="exact"/>
              <w:jc w:val="center"/>
              <w:rPr>
                <w:rFonts w:ascii="仿宋" w:hAnsi="仿宋" w:eastAsia="仿宋" w:cs="仿宋"/>
                <w:color w:val="auto"/>
                <w:sz w:val="24"/>
                <w:szCs w:val="24"/>
                <w:highlight w:val="none"/>
                <w:lang w:val="zh-CN"/>
              </w:rPr>
            </w:pPr>
          </w:p>
        </w:tc>
        <w:tc>
          <w:tcPr>
            <w:tcW w:w="2720" w:type="dxa"/>
            <w:tcBorders>
              <w:top w:val="single" w:color="auto" w:sz="4" w:space="0"/>
              <w:left w:val="single" w:color="auto" w:sz="4" w:space="0"/>
              <w:bottom w:val="single" w:color="auto" w:sz="4" w:space="0"/>
              <w:right w:val="single" w:color="auto" w:sz="4" w:space="0"/>
            </w:tcBorders>
            <w:vAlign w:val="center"/>
          </w:tcPr>
          <w:p w14:paraId="41CEDA94">
            <w:pPr>
              <w:spacing w:line="400" w:lineRule="exact"/>
              <w:rPr>
                <w:rFonts w:hint="default" w:ascii="仿宋" w:hAnsi="仿宋" w:eastAsia="仿宋"/>
                <w:color w:val="auto"/>
                <w:sz w:val="24"/>
                <w:szCs w:val="24"/>
                <w:highlight w:val="none"/>
                <w:lang w:val="en-US" w:eastAsia="zh-CN"/>
              </w:rPr>
            </w:pPr>
            <w:r>
              <w:rPr>
                <w:rFonts w:hint="eastAsia" w:ascii="仿宋" w:hAnsi="仿宋" w:eastAsia="仿宋" w:cs="仿宋"/>
                <w:color w:val="auto"/>
                <w:sz w:val="24"/>
                <w:szCs w:val="24"/>
                <w:highlight w:val="none"/>
                <w:lang w:val="zh-CN"/>
              </w:rPr>
              <w:t>投标保证金的交纳</w:t>
            </w:r>
          </w:p>
        </w:tc>
        <w:tc>
          <w:tcPr>
            <w:tcW w:w="6145" w:type="dxa"/>
            <w:tcBorders>
              <w:top w:val="single" w:color="auto" w:sz="4" w:space="0"/>
              <w:left w:val="single" w:color="auto" w:sz="4" w:space="0"/>
              <w:bottom w:val="single" w:color="auto" w:sz="4" w:space="0"/>
              <w:right w:val="single" w:color="auto" w:sz="4" w:space="0"/>
            </w:tcBorders>
            <w:vAlign w:val="center"/>
          </w:tcPr>
          <w:p w14:paraId="2F269FB6">
            <w:pPr>
              <w:spacing w:line="40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zh-CN"/>
              </w:rPr>
              <w:t>金额：人民币</w:t>
            </w:r>
            <w:r>
              <w:rPr>
                <w:rFonts w:hint="eastAsia" w:ascii="仿宋" w:hAnsi="仿宋" w:eastAsia="仿宋" w:cs="仿宋"/>
                <w:color w:val="auto"/>
                <w:sz w:val="24"/>
                <w:szCs w:val="24"/>
                <w:highlight w:val="none"/>
                <w:u w:val="single"/>
                <w:lang w:val="en-US" w:eastAsia="zh-CN"/>
              </w:rPr>
              <w:t xml:space="preserve"> 0</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u w:val="single"/>
                <w:lang w:val="en-US" w:eastAsia="zh-CN"/>
              </w:rPr>
              <w:t>0</w:t>
            </w:r>
            <w:r>
              <w:rPr>
                <w:rFonts w:hint="eastAsia" w:ascii="仿宋" w:hAnsi="仿宋" w:eastAsia="仿宋" w:cs="仿宋"/>
                <w:color w:val="auto"/>
                <w:sz w:val="24"/>
                <w:szCs w:val="24"/>
                <w:highlight w:val="none"/>
                <w:u w:val="single"/>
                <w:lang w:val="zh-CN"/>
              </w:rPr>
              <w:t>元</w:t>
            </w:r>
            <w:r>
              <w:rPr>
                <w:rFonts w:hint="eastAsia" w:ascii="仿宋" w:hAnsi="仿宋" w:eastAsia="仿宋" w:cs="仿宋"/>
                <w:color w:val="auto"/>
                <w:sz w:val="24"/>
                <w:szCs w:val="24"/>
                <w:highlight w:val="none"/>
                <w:lang w:val="zh-CN"/>
              </w:rPr>
              <w:t>）（本项目不要求）</w:t>
            </w:r>
          </w:p>
          <w:p w14:paraId="2D0683E7">
            <w:pPr>
              <w:spacing w:line="400" w:lineRule="exact"/>
              <w:rPr>
                <w:rFonts w:ascii="仿宋" w:hAnsi="仿宋" w:eastAsia="仿宋"/>
                <w:color w:val="auto"/>
                <w:sz w:val="24"/>
                <w:szCs w:val="24"/>
                <w:highlight w:val="none"/>
                <w:lang w:val="zh-CN"/>
              </w:rPr>
            </w:pPr>
            <w:r>
              <w:rPr>
                <w:rFonts w:hint="eastAsia" w:ascii="仿宋" w:hAnsi="仿宋" w:eastAsia="仿宋" w:cs="仿宋"/>
                <w:color w:val="auto"/>
                <w:sz w:val="24"/>
                <w:szCs w:val="24"/>
                <w:highlight w:val="none"/>
                <w:lang w:val="en-US" w:eastAsia="zh-CN"/>
              </w:rPr>
              <w:t>1</w:t>
            </w:r>
            <w:r>
              <w:rPr>
                <w:rFonts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zh-CN"/>
              </w:rPr>
              <w:t>投标保证金的交纳单位必须与投标人名称一致；</w:t>
            </w:r>
          </w:p>
          <w:p w14:paraId="6BF4C6A6">
            <w:pPr>
              <w:spacing w:line="400" w:lineRule="exact"/>
              <w:rPr>
                <w:rFonts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2</w:t>
            </w:r>
            <w:r>
              <w:rPr>
                <w:rFonts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zh-CN"/>
              </w:rPr>
              <w:t>投标保证金缴纳形式：投标保证金应当以支票、汇票、本票或者金融机构、担保机构出具的保函等非现金形式提交，投标人未按照招标文件要求提交投标保证金的</w:t>
            </w:r>
            <w:r>
              <w:rPr>
                <w:rFonts w:hint="eastAsia" w:ascii="仿宋" w:hAnsi="仿宋" w:eastAsia="仿宋" w:cs="仿宋"/>
                <w:color w:val="auto"/>
                <w:sz w:val="24"/>
                <w:szCs w:val="24"/>
                <w:highlight w:val="none"/>
                <w:lang w:val="en-US" w:eastAsia="zh-CN"/>
              </w:rPr>
              <w:t>视为</w:t>
            </w:r>
            <w:r>
              <w:rPr>
                <w:rFonts w:hint="eastAsia" w:ascii="仿宋" w:hAnsi="仿宋" w:eastAsia="仿宋" w:cs="仿宋"/>
                <w:color w:val="auto"/>
                <w:sz w:val="24"/>
                <w:szCs w:val="24"/>
                <w:highlight w:val="none"/>
                <w:lang w:val="zh-CN"/>
              </w:rPr>
              <w:t>投标无效；</w:t>
            </w:r>
          </w:p>
          <w:p w14:paraId="249539C6">
            <w:pPr>
              <w:spacing w:line="400" w:lineRule="exact"/>
              <w:rPr>
                <w:rFonts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3</w:t>
            </w:r>
            <w:r>
              <w:rPr>
                <w:rFonts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zh-CN"/>
              </w:rPr>
              <w:t>联合体投标的，投标保证金由牵头人交纳。</w:t>
            </w:r>
          </w:p>
          <w:p w14:paraId="2375F21C">
            <w:pPr>
              <w:spacing w:line="400" w:lineRule="exact"/>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4.供应商在缴纳投标保证金时需备注投标项目名称。</w:t>
            </w:r>
          </w:p>
          <w:p w14:paraId="7968CEAD">
            <w:pPr>
              <w:spacing w:line="400" w:lineRule="exact"/>
              <w:rPr>
                <w:rFonts w:hint="default" w:ascii="仿宋" w:hAnsi="仿宋" w:eastAsia="仿宋" w:cs="仿宋"/>
                <w:color w:val="auto"/>
                <w:sz w:val="24"/>
                <w:szCs w:val="24"/>
                <w:highlight w:val="none"/>
                <w:lang w:val="en-US"/>
              </w:rPr>
            </w:pPr>
            <w:r>
              <w:rPr>
                <w:rFonts w:hint="eastAsia" w:ascii="仿宋" w:hAnsi="仿宋" w:eastAsia="仿宋" w:cs="仿宋"/>
                <w:b/>
                <w:bCs/>
                <w:color w:val="auto"/>
                <w:sz w:val="24"/>
                <w:szCs w:val="24"/>
                <w:highlight w:val="none"/>
                <w:lang w:val="en-US" w:eastAsia="zh-CN"/>
              </w:rPr>
              <w:t>5.建议各投标人以金融机构、担保机构出具的保函等非现金形式提交；</w:t>
            </w:r>
          </w:p>
        </w:tc>
      </w:tr>
      <w:tr w14:paraId="5C98CC43">
        <w:tblPrEx>
          <w:tblCellMar>
            <w:top w:w="0" w:type="dxa"/>
            <w:left w:w="108" w:type="dxa"/>
            <w:bottom w:w="0" w:type="dxa"/>
            <w:right w:w="108" w:type="dxa"/>
          </w:tblCellMar>
        </w:tblPrEx>
        <w:trPr>
          <w:jc w:val="center"/>
        </w:trPr>
        <w:tc>
          <w:tcPr>
            <w:tcW w:w="706" w:type="dxa"/>
            <w:tcBorders>
              <w:top w:val="single" w:color="auto" w:sz="4" w:space="0"/>
              <w:left w:val="single" w:color="auto" w:sz="4" w:space="0"/>
              <w:bottom w:val="single" w:color="auto" w:sz="4" w:space="0"/>
              <w:right w:val="single" w:color="auto" w:sz="4" w:space="0"/>
            </w:tcBorders>
            <w:vAlign w:val="center"/>
          </w:tcPr>
          <w:p w14:paraId="41A00676">
            <w:pPr>
              <w:numPr>
                <w:ilvl w:val="0"/>
                <w:numId w:val="1"/>
              </w:numPr>
              <w:spacing w:line="400" w:lineRule="exact"/>
              <w:jc w:val="center"/>
              <w:rPr>
                <w:rFonts w:ascii="仿宋" w:hAnsi="仿宋" w:eastAsia="仿宋" w:cs="仿宋"/>
                <w:color w:val="auto"/>
                <w:sz w:val="24"/>
                <w:szCs w:val="24"/>
                <w:highlight w:val="none"/>
                <w:lang w:val="zh-CN"/>
              </w:rPr>
            </w:pPr>
          </w:p>
        </w:tc>
        <w:tc>
          <w:tcPr>
            <w:tcW w:w="2720" w:type="dxa"/>
            <w:tcBorders>
              <w:top w:val="single" w:color="auto" w:sz="4" w:space="0"/>
              <w:left w:val="single" w:color="auto" w:sz="4" w:space="0"/>
              <w:bottom w:val="single" w:color="auto" w:sz="4" w:space="0"/>
              <w:right w:val="single" w:color="auto" w:sz="4" w:space="0"/>
            </w:tcBorders>
            <w:vAlign w:val="center"/>
          </w:tcPr>
          <w:p w14:paraId="457A838D">
            <w:pPr>
              <w:spacing w:line="400" w:lineRule="exact"/>
              <w:rPr>
                <w:rFonts w:ascii="仿宋" w:hAnsi="仿宋" w:eastAsia="仿宋"/>
                <w:color w:val="auto"/>
                <w:sz w:val="24"/>
                <w:szCs w:val="24"/>
                <w:highlight w:val="none"/>
                <w:lang w:val="zh-CN"/>
              </w:rPr>
            </w:pPr>
            <w:r>
              <w:rPr>
                <w:rFonts w:hint="eastAsia" w:ascii="仿宋" w:hAnsi="仿宋" w:eastAsia="仿宋" w:cs="仿宋"/>
                <w:color w:val="auto"/>
                <w:sz w:val="24"/>
                <w:szCs w:val="24"/>
                <w:highlight w:val="none"/>
                <w:lang w:val="zh-CN"/>
              </w:rPr>
              <w:t>投标文件编制</w:t>
            </w:r>
          </w:p>
        </w:tc>
        <w:tc>
          <w:tcPr>
            <w:tcW w:w="6145" w:type="dxa"/>
            <w:tcBorders>
              <w:top w:val="single" w:color="auto" w:sz="4" w:space="0"/>
              <w:left w:val="single" w:color="auto" w:sz="4" w:space="0"/>
              <w:bottom w:val="single" w:color="auto" w:sz="4" w:space="0"/>
              <w:right w:val="single" w:color="auto" w:sz="4" w:space="0"/>
            </w:tcBorders>
            <w:vAlign w:val="center"/>
          </w:tcPr>
          <w:p w14:paraId="79CA9307">
            <w:pPr>
              <w:spacing w:line="400" w:lineRule="exact"/>
              <w:ind w:firstLine="480" w:firstLineChars="200"/>
              <w:rPr>
                <w:rFonts w:hint="eastAsia" w:ascii="仿宋" w:hAnsi="仿宋" w:eastAsia="仿宋" w:cs="仿宋"/>
                <w:color w:val="auto"/>
                <w:sz w:val="24"/>
                <w:szCs w:val="24"/>
                <w:highlight w:val="none"/>
                <w:lang w:val="zh-CN"/>
              </w:rPr>
            </w:pPr>
            <w:r>
              <w:rPr>
                <w:rFonts w:ascii="仿宋" w:hAnsi="仿宋" w:eastAsia="仿宋" w:cs="仿宋"/>
                <w:color w:val="auto"/>
                <w:sz w:val="24"/>
                <w:szCs w:val="24"/>
                <w:highlight w:val="none"/>
                <w:lang w:val="zh-CN"/>
              </w:rPr>
              <w:t>1</w:t>
            </w:r>
            <w:r>
              <w:rPr>
                <w:rFonts w:hint="eastAsia" w:ascii="仿宋" w:hAnsi="仿宋" w:eastAsia="仿宋" w:cs="仿宋"/>
                <w:color w:val="auto"/>
                <w:sz w:val="24"/>
                <w:szCs w:val="24"/>
                <w:highlight w:val="none"/>
                <w:lang w:val="zh-CN"/>
              </w:rPr>
              <w:t>.本项目采用电子交易方式，供应商可前往新疆政府采购网（http://www.ccgp-xinjiang.gov.cn/）下载专区，下载政采云电子投标客户端，安装完成后，可通过账号密码或CA登录客户端进行投标文件制作。在使用政采云电子投标客户端时，建议使用WIN7及以上操作系统。如有问题可拨打政采云客户服务热线400-881-7190进行咨询。</w:t>
            </w:r>
          </w:p>
          <w:p w14:paraId="1971C217">
            <w:pPr>
              <w:spacing w:line="400" w:lineRule="exact"/>
              <w:ind w:firstLine="480" w:firstLineChars="200"/>
              <w:rPr>
                <w:rFonts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val="zh-CN"/>
              </w:rPr>
              <w:t>投标文件</w:t>
            </w:r>
            <w:r>
              <w:rPr>
                <w:rFonts w:hint="eastAsia" w:ascii="仿宋" w:hAnsi="仿宋" w:eastAsia="仿宋" w:cs="仿宋"/>
                <w:color w:val="auto"/>
                <w:sz w:val="24"/>
                <w:szCs w:val="24"/>
                <w:highlight w:val="none"/>
                <w:lang w:val="en-US" w:eastAsia="zh-CN"/>
              </w:rPr>
              <w:t>不分册</w:t>
            </w:r>
            <w:r>
              <w:rPr>
                <w:rFonts w:hint="eastAsia" w:ascii="仿宋" w:hAnsi="仿宋" w:eastAsia="仿宋" w:cs="仿宋"/>
                <w:color w:val="auto"/>
                <w:sz w:val="24"/>
                <w:szCs w:val="24"/>
                <w:highlight w:val="none"/>
                <w:lang w:val="zh-CN"/>
              </w:rPr>
              <w:t>。</w:t>
            </w:r>
          </w:p>
          <w:p w14:paraId="3E4991C7">
            <w:pPr>
              <w:spacing w:line="400" w:lineRule="exact"/>
              <w:ind w:firstLine="480" w:firstLineChars="200"/>
              <w:rPr>
                <w:rFonts w:ascii="仿宋" w:hAnsi="仿宋" w:eastAsia="仿宋" w:cs="仿宋"/>
                <w:color w:val="auto"/>
                <w:sz w:val="24"/>
                <w:szCs w:val="24"/>
                <w:highlight w:val="none"/>
                <w:lang w:val="zh-CN"/>
              </w:rPr>
            </w:pPr>
            <w:r>
              <w:rPr>
                <w:rFonts w:hint="eastAsia" w:ascii="仿宋" w:hAnsi="仿宋" w:eastAsia="仿宋"/>
                <w:color w:val="auto"/>
                <w:sz w:val="24"/>
                <w:szCs w:val="24"/>
                <w:highlight w:val="none"/>
                <w:lang w:val="en-US" w:eastAsia="zh-CN"/>
              </w:rPr>
              <w:t>3</w:t>
            </w:r>
            <w:r>
              <w:rPr>
                <w:rFonts w:hint="eastAsia" w:ascii="仿宋" w:hAnsi="仿宋" w:eastAsia="仿宋"/>
                <w:color w:val="auto"/>
                <w:sz w:val="24"/>
                <w:szCs w:val="24"/>
                <w:highlight w:val="none"/>
              </w:rPr>
              <w:t>.投标文件内容。投标人应按照招标文件的要求编写投标文件；对招标文件要求填写的表格或者资料不得缺少或者留空，投标文件不得加行。</w:t>
            </w:r>
          </w:p>
          <w:p w14:paraId="5220099E">
            <w:pPr>
              <w:spacing w:line="400" w:lineRule="exact"/>
              <w:ind w:firstLine="480" w:firstLineChars="200"/>
              <w:rPr>
                <w:rFonts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kern w:val="1"/>
                <w:sz w:val="24"/>
                <w:szCs w:val="24"/>
                <w:highlight w:val="none"/>
              </w:rPr>
              <w:t>投标文件</w:t>
            </w:r>
            <w:r>
              <w:rPr>
                <w:rFonts w:hint="eastAsia" w:ascii="仿宋" w:hAnsi="仿宋" w:eastAsia="仿宋" w:cs="仿宋"/>
                <w:color w:val="auto"/>
                <w:kern w:val="1"/>
                <w:sz w:val="24"/>
                <w:szCs w:val="24"/>
                <w:highlight w:val="none"/>
                <w:lang w:val="en-US" w:eastAsia="zh-CN"/>
              </w:rPr>
              <w:t>应</w:t>
            </w:r>
            <w:r>
              <w:rPr>
                <w:rFonts w:hint="eastAsia" w:ascii="仿宋" w:hAnsi="仿宋" w:eastAsia="仿宋" w:cs="仿宋"/>
                <w:color w:val="auto"/>
                <w:kern w:val="1"/>
                <w:sz w:val="24"/>
                <w:szCs w:val="24"/>
                <w:highlight w:val="none"/>
              </w:rPr>
              <w:t>编制目录</w:t>
            </w:r>
            <w:r>
              <w:rPr>
                <w:rFonts w:hint="eastAsia" w:ascii="仿宋" w:hAnsi="仿宋" w:eastAsia="仿宋" w:cs="仿宋"/>
                <w:color w:val="auto"/>
                <w:kern w:val="1"/>
                <w:sz w:val="24"/>
                <w:szCs w:val="24"/>
                <w:highlight w:val="none"/>
                <w:lang w:eastAsia="zh-CN"/>
              </w:rPr>
              <w:t>。</w:t>
            </w:r>
          </w:p>
        </w:tc>
      </w:tr>
      <w:tr w14:paraId="4D351BDC">
        <w:tblPrEx>
          <w:tblCellMar>
            <w:top w:w="0" w:type="dxa"/>
            <w:left w:w="108" w:type="dxa"/>
            <w:bottom w:w="0" w:type="dxa"/>
            <w:right w:w="108" w:type="dxa"/>
          </w:tblCellMar>
        </w:tblPrEx>
        <w:trPr>
          <w:jc w:val="center"/>
        </w:trPr>
        <w:tc>
          <w:tcPr>
            <w:tcW w:w="706" w:type="dxa"/>
            <w:tcBorders>
              <w:top w:val="single" w:color="auto" w:sz="4" w:space="0"/>
              <w:left w:val="single" w:color="auto" w:sz="4" w:space="0"/>
              <w:bottom w:val="single" w:color="auto" w:sz="4" w:space="0"/>
              <w:right w:val="single" w:color="auto" w:sz="4" w:space="0"/>
            </w:tcBorders>
            <w:vAlign w:val="center"/>
          </w:tcPr>
          <w:p w14:paraId="1D129078">
            <w:pPr>
              <w:numPr>
                <w:ilvl w:val="0"/>
                <w:numId w:val="1"/>
              </w:numPr>
              <w:spacing w:line="400" w:lineRule="exact"/>
              <w:jc w:val="center"/>
              <w:rPr>
                <w:rFonts w:ascii="仿宋" w:hAnsi="仿宋" w:eastAsia="仿宋" w:cs="仿宋"/>
                <w:color w:val="auto"/>
                <w:sz w:val="24"/>
                <w:szCs w:val="24"/>
                <w:highlight w:val="none"/>
                <w:lang w:val="zh-CN"/>
              </w:rPr>
            </w:pPr>
          </w:p>
        </w:tc>
        <w:tc>
          <w:tcPr>
            <w:tcW w:w="2720" w:type="dxa"/>
            <w:tcBorders>
              <w:top w:val="single" w:color="auto" w:sz="4" w:space="0"/>
              <w:left w:val="single" w:color="auto" w:sz="4" w:space="0"/>
              <w:bottom w:val="single" w:color="auto" w:sz="4" w:space="0"/>
              <w:right w:val="single" w:color="auto" w:sz="4" w:space="0"/>
            </w:tcBorders>
            <w:vAlign w:val="center"/>
          </w:tcPr>
          <w:p w14:paraId="535FC857">
            <w:pPr>
              <w:spacing w:line="400" w:lineRule="exact"/>
              <w:rPr>
                <w:rFonts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投标文件签署和盖章</w:t>
            </w:r>
          </w:p>
        </w:tc>
        <w:tc>
          <w:tcPr>
            <w:tcW w:w="6145" w:type="dxa"/>
            <w:tcBorders>
              <w:top w:val="single" w:color="auto" w:sz="4" w:space="0"/>
              <w:left w:val="single" w:color="auto" w:sz="4" w:space="0"/>
              <w:bottom w:val="single" w:color="auto" w:sz="4" w:space="0"/>
              <w:right w:val="single" w:color="auto" w:sz="4" w:space="0"/>
            </w:tcBorders>
            <w:vAlign w:val="center"/>
          </w:tcPr>
          <w:p w14:paraId="37730A40">
            <w:pPr>
              <w:spacing w:line="400" w:lineRule="exact"/>
              <w:ind w:firstLine="480" w:firstLineChars="200"/>
              <w:rPr>
                <w:rFonts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w:t>
            </w: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lang w:val="zh-CN"/>
              </w:rPr>
              <w:t>文件</w:t>
            </w:r>
            <w:r>
              <w:rPr>
                <w:rFonts w:hint="eastAsia" w:ascii="仿宋" w:hAnsi="仿宋" w:eastAsia="仿宋" w:cs="仿宋"/>
                <w:color w:val="auto"/>
                <w:sz w:val="24"/>
                <w:szCs w:val="24"/>
                <w:highlight w:val="none"/>
                <w:lang w:val="en-US" w:eastAsia="zh-CN"/>
              </w:rPr>
              <w:t>盖有投标单位的电子印章</w:t>
            </w:r>
            <w:r>
              <w:rPr>
                <w:rFonts w:hint="eastAsia" w:ascii="仿宋" w:hAnsi="仿宋" w:eastAsia="仿宋" w:cs="仿宋"/>
                <w:color w:val="auto"/>
                <w:sz w:val="24"/>
                <w:szCs w:val="24"/>
                <w:highlight w:val="none"/>
                <w:lang w:val="zh-CN"/>
              </w:rPr>
              <w:t>。</w:t>
            </w:r>
          </w:p>
          <w:p w14:paraId="19FC1E29">
            <w:pPr>
              <w:spacing w:line="400" w:lineRule="exact"/>
              <w:ind w:firstLine="480" w:firstLineChars="200"/>
              <w:rPr>
                <w:rFonts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2.被授权代表人</w:t>
            </w:r>
            <w:r>
              <w:rPr>
                <w:rFonts w:hint="eastAsia" w:ascii="仿宋" w:hAnsi="仿宋" w:eastAsia="仿宋" w:cs="仿宋"/>
                <w:color w:val="auto"/>
                <w:sz w:val="24"/>
                <w:szCs w:val="24"/>
                <w:highlight w:val="none"/>
                <w:lang w:val="en-US" w:eastAsia="zh-CN"/>
              </w:rPr>
              <w:t>签章的</w:t>
            </w:r>
            <w:r>
              <w:rPr>
                <w:rFonts w:hint="eastAsia" w:ascii="仿宋" w:hAnsi="仿宋" w:eastAsia="仿宋" w:cs="仿宋"/>
                <w:color w:val="auto"/>
                <w:sz w:val="24"/>
                <w:szCs w:val="24"/>
                <w:highlight w:val="none"/>
                <w:lang w:val="zh-CN"/>
              </w:rPr>
              <w:t>，投标文件应附法人授权委托书。</w:t>
            </w:r>
          </w:p>
          <w:p w14:paraId="62EB952B">
            <w:pPr>
              <w:spacing w:line="400" w:lineRule="exact"/>
              <w:ind w:firstLine="480" w:firstLineChars="200"/>
              <w:rPr>
                <w:rFonts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val="zh-CN"/>
              </w:rPr>
              <w:t>.投标人在投标文件以及相关书面文件中的单位盖章（包括印章、公章等）均指与投标人名称全称相一致的标准公章，不得使用其他形式（如带有“专用章”、“合同章”、“财务章”、“业务章”等）的印章。</w:t>
            </w:r>
          </w:p>
        </w:tc>
      </w:tr>
      <w:tr w14:paraId="1D7736F1">
        <w:tblPrEx>
          <w:tblCellMar>
            <w:top w:w="0" w:type="dxa"/>
            <w:left w:w="108" w:type="dxa"/>
            <w:bottom w:w="0" w:type="dxa"/>
            <w:right w:w="108" w:type="dxa"/>
          </w:tblCellMar>
        </w:tblPrEx>
        <w:trPr>
          <w:trHeight w:val="206" w:hRule="atLeast"/>
          <w:jc w:val="center"/>
        </w:trPr>
        <w:tc>
          <w:tcPr>
            <w:tcW w:w="706" w:type="dxa"/>
            <w:tcBorders>
              <w:top w:val="single" w:color="auto" w:sz="4" w:space="0"/>
              <w:left w:val="single" w:color="auto" w:sz="4" w:space="0"/>
              <w:bottom w:val="single" w:color="auto" w:sz="4" w:space="0"/>
              <w:right w:val="single" w:color="auto" w:sz="4" w:space="0"/>
            </w:tcBorders>
            <w:vAlign w:val="center"/>
          </w:tcPr>
          <w:p w14:paraId="58F2A529">
            <w:pPr>
              <w:numPr>
                <w:ilvl w:val="0"/>
                <w:numId w:val="1"/>
              </w:numPr>
              <w:spacing w:line="400" w:lineRule="exact"/>
              <w:jc w:val="center"/>
              <w:rPr>
                <w:rFonts w:ascii="仿宋" w:hAnsi="仿宋" w:eastAsia="仿宋" w:cs="仿宋"/>
                <w:color w:val="auto"/>
                <w:sz w:val="24"/>
                <w:szCs w:val="24"/>
                <w:highlight w:val="none"/>
                <w:lang w:val="zh-CN"/>
              </w:rPr>
            </w:pPr>
          </w:p>
        </w:tc>
        <w:tc>
          <w:tcPr>
            <w:tcW w:w="2720" w:type="dxa"/>
            <w:tcBorders>
              <w:top w:val="single" w:color="auto" w:sz="4" w:space="0"/>
              <w:left w:val="single" w:color="auto" w:sz="4" w:space="0"/>
              <w:bottom w:val="single" w:color="auto" w:sz="4" w:space="0"/>
              <w:right w:val="single" w:color="auto" w:sz="4" w:space="0"/>
            </w:tcBorders>
            <w:shd w:val="clear" w:color="auto" w:fill="auto"/>
            <w:vAlign w:val="center"/>
          </w:tcPr>
          <w:p w14:paraId="02CAF8D0">
            <w:pPr>
              <w:spacing w:line="400" w:lineRule="exact"/>
              <w:rPr>
                <w:rFonts w:ascii="仿宋" w:hAnsi="仿宋" w:eastAsia="仿宋"/>
                <w:color w:val="auto"/>
                <w:sz w:val="24"/>
                <w:szCs w:val="24"/>
                <w:highlight w:val="none"/>
                <w:lang w:val="zh-CN"/>
              </w:rPr>
            </w:pPr>
            <w:r>
              <w:rPr>
                <w:rFonts w:hint="eastAsia" w:ascii="仿宋" w:hAnsi="仿宋" w:eastAsia="仿宋" w:cs="仿宋"/>
                <w:color w:val="auto"/>
                <w:sz w:val="24"/>
                <w:szCs w:val="24"/>
                <w:highlight w:val="none"/>
                <w:lang w:val="zh-CN"/>
              </w:rPr>
              <w:t>投标文件加密、上传</w:t>
            </w:r>
          </w:p>
        </w:tc>
        <w:tc>
          <w:tcPr>
            <w:tcW w:w="6145" w:type="dxa"/>
            <w:tcBorders>
              <w:top w:val="single" w:color="auto" w:sz="4" w:space="0"/>
              <w:left w:val="single" w:color="auto" w:sz="4" w:space="0"/>
              <w:bottom w:val="single" w:color="auto" w:sz="4" w:space="0"/>
              <w:right w:val="single" w:color="auto" w:sz="4" w:space="0"/>
            </w:tcBorders>
            <w:shd w:val="clear" w:color="auto" w:fill="auto"/>
            <w:vAlign w:val="center"/>
          </w:tcPr>
          <w:p w14:paraId="0B8FBBDD">
            <w:pPr>
              <w:spacing w:line="400" w:lineRule="exact"/>
              <w:ind w:firstLine="480" w:firstLineChars="200"/>
              <w:rPr>
                <w:rFonts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本项目采用不见面开标，供应商须在投标截止时间前，将生成的“电子加密投标文件”上传递交至“政府采购云平台”，投标截止时间以后上传递交的投标文件将被“政府采购 云平台”拒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tc>
      </w:tr>
      <w:tr w14:paraId="06F66748">
        <w:tblPrEx>
          <w:tblCellMar>
            <w:top w:w="0" w:type="dxa"/>
            <w:left w:w="108" w:type="dxa"/>
            <w:bottom w:w="0" w:type="dxa"/>
            <w:right w:w="108" w:type="dxa"/>
          </w:tblCellMar>
        </w:tblPrEx>
        <w:trPr>
          <w:jc w:val="center"/>
        </w:trPr>
        <w:tc>
          <w:tcPr>
            <w:tcW w:w="706" w:type="dxa"/>
            <w:tcBorders>
              <w:top w:val="single" w:color="auto" w:sz="4" w:space="0"/>
              <w:left w:val="single" w:color="auto" w:sz="4" w:space="0"/>
              <w:bottom w:val="single" w:color="auto" w:sz="4" w:space="0"/>
              <w:right w:val="single" w:color="auto" w:sz="4" w:space="0"/>
            </w:tcBorders>
            <w:vAlign w:val="center"/>
          </w:tcPr>
          <w:p w14:paraId="3A4784E6">
            <w:pPr>
              <w:numPr>
                <w:ilvl w:val="0"/>
                <w:numId w:val="1"/>
              </w:numPr>
              <w:spacing w:line="400" w:lineRule="exact"/>
              <w:jc w:val="center"/>
              <w:rPr>
                <w:rFonts w:ascii="仿宋" w:hAnsi="仿宋" w:eastAsia="仿宋"/>
                <w:color w:val="auto"/>
                <w:sz w:val="24"/>
                <w:szCs w:val="24"/>
                <w:highlight w:val="none"/>
              </w:rPr>
            </w:pPr>
          </w:p>
        </w:tc>
        <w:tc>
          <w:tcPr>
            <w:tcW w:w="2720" w:type="dxa"/>
            <w:tcBorders>
              <w:top w:val="single" w:color="auto" w:sz="4" w:space="0"/>
              <w:left w:val="single" w:color="auto" w:sz="4" w:space="0"/>
              <w:bottom w:val="single" w:color="auto" w:sz="4" w:space="0"/>
              <w:right w:val="single" w:color="auto" w:sz="4" w:space="0"/>
            </w:tcBorders>
            <w:shd w:val="clear" w:color="auto" w:fill="auto"/>
            <w:vAlign w:val="center"/>
          </w:tcPr>
          <w:p w14:paraId="63FC5BEC">
            <w:pPr>
              <w:spacing w:line="400" w:lineRule="exact"/>
              <w:rPr>
                <w:rFonts w:ascii="仿宋" w:hAnsi="仿宋" w:eastAsia="仿宋"/>
                <w:color w:val="auto"/>
                <w:sz w:val="24"/>
                <w:szCs w:val="24"/>
                <w:highlight w:val="none"/>
                <w:lang w:val="zh-CN"/>
              </w:rPr>
            </w:pPr>
            <w:r>
              <w:rPr>
                <w:rFonts w:hint="eastAsia" w:ascii="仿宋" w:hAnsi="仿宋" w:eastAsia="仿宋" w:cs="仿宋"/>
                <w:color w:val="auto"/>
                <w:sz w:val="24"/>
                <w:szCs w:val="24"/>
                <w:highlight w:val="none"/>
                <w:lang w:val="zh-CN"/>
              </w:rPr>
              <w:t>投标人签到及电子投标文件解密</w:t>
            </w:r>
          </w:p>
        </w:tc>
        <w:tc>
          <w:tcPr>
            <w:tcW w:w="6145" w:type="dxa"/>
            <w:tcBorders>
              <w:top w:val="single" w:color="auto" w:sz="4" w:space="0"/>
              <w:left w:val="single" w:color="auto" w:sz="4" w:space="0"/>
              <w:bottom w:val="single" w:color="auto" w:sz="4" w:space="0"/>
              <w:right w:val="single" w:color="auto" w:sz="4" w:space="0"/>
            </w:tcBorders>
            <w:shd w:val="clear" w:color="auto" w:fill="auto"/>
            <w:vAlign w:val="center"/>
          </w:tcPr>
          <w:p w14:paraId="79CD39A5">
            <w:pPr>
              <w:spacing w:line="380" w:lineRule="exact"/>
              <w:ind w:firstLine="480" w:firstLineChars="200"/>
              <w:rPr>
                <w:rFonts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投标人登录政采云平台，在投标截止时间前必须完成签到，（本项目解密时长为：30分钟，签名时长为：10 分钟）开标时间后 30 分钟内（用“项目采购- 开标评标”功能进行解密投标文件。若投标人在规定时间内未按时签到或解密的，视为无效投标。解密与加密投标文件须为同一个CA。</w:t>
            </w:r>
          </w:p>
        </w:tc>
      </w:tr>
      <w:tr w14:paraId="39A57918">
        <w:tblPrEx>
          <w:tblCellMar>
            <w:top w:w="0" w:type="dxa"/>
            <w:left w:w="108" w:type="dxa"/>
            <w:bottom w:w="0" w:type="dxa"/>
            <w:right w:w="108" w:type="dxa"/>
          </w:tblCellMar>
        </w:tblPrEx>
        <w:trPr>
          <w:jc w:val="center"/>
        </w:trPr>
        <w:tc>
          <w:tcPr>
            <w:tcW w:w="706" w:type="dxa"/>
            <w:tcBorders>
              <w:top w:val="single" w:color="auto" w:sz="4" w:space="0"/>
              <w:left w:val="single" w:color="auto" w:sz="4" w:space="0"/>
              <w:bottom w:val="single" w:color="auto" w:sz="4" w:space="0"/>
              <w:right w:val="single" w:color="auto" w:sz="4" w:space="0"/>
            </w:tcBorders>
            <w:vAlign w:val="center"/>
          </w:tcPr>
          <w:p w14:paraId="114649F1">
            <w:pPr>
              <w:numPr>
                <w:ilvl w:val="0"/>
                <w:numId w:val="1"/>
              </w:numPr>
              <w:spacing w:line="400" w:lineRule="exact"/>
              <w:jc w:val="center"/>
              <w:rPr>
                <w:rFonts w:ascii="仿宋" w:hAnsi="仿宋" w:eastAsia="仿宋" w:cs="仿宋"/>
                <w:color w:val="auto"/>
                <w:sz w:val="24"/>
                <w:szCs w:val="24"/>
                <w:highlight w:val="none"/>
                <w:lang w:val="zh-CN"/>
              </w:rPr>
            </w:pPr>
          </w:p>
        </w:tc>
        <w:tc>
          <w:tcPr>
            <w:tcW w:w="2720" w:type="dxa"/>
            <w:tcBorders>
              <w:top w:val="single" w:color="auto" w:sz="4" w:space="0"/>
              <w:left w:val="single" w:color="auto" w:sz="4" w:space="0"/>
              <w:bottom w:val="single" w:color="auto" w:sz="4" w:space="0"/>
              <w:right w:val="single" w:color="auto" w:sz="4" w:space="0"/>
            </w:tcBorders>
            <w:vAlign w:val="center"/>
          </w:tcPr>
          <w:p w14:paraId="78836F44">
            <w:pPr>
              <w:spacing w:line="40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lang w:val="zh-CN"/>
              </w:rPr>
              <w:t>递交投标文件截止时间</w:t>
            </w:r>
          </w:p>
        </w:tc>
        <w:tc>
          <w:tcPr>
            <w:tcW w:w="6145" w:type="dxa"/>
            <w:tcBorders>
              <w:top w:val="single" w:color="auto" w:sz="4" w:space="0"/>
              <w:left w:val="single" w:color="auto" w:sz="4" w:space="0"/>
              <w:bottom w:val="single" w:color="auto" w:sz="4" w:space="0"/>
              <w:right w:val="single" w:color="auto" w:sz="4" w:space="0"/>
            </w:tcBorders>
            <w:vAlign w:val="center"/>
          </w:tcPr>
          <w:p w14:paraId="33C5433D">
            <w:pPr>
              <w:spacing w:line="400" w:lineRule="exact"/>
              <w:ind w:left="360" w:hanging="360"/>
              <w:rPr>
                <w:rFonts w:ascii="仿宋" w:hAnsi="仿宋" w:eastAsia="仿宋"/>
                <w:b/>
                <w:color w:val="auto"/>
                <w:sz w:val="24"/>
                <w:highlight w:val="none"/>
                <w:lang w:val="zh-CN"/>
              </w:rPr>
            </w:pPr>
            <w:r>
              <w:rPr>
                <w:rFonts w:hint="eastAsia" w:ascii="仿宋" w:hAnsi="仿宋" w:eastAsia="仿宋" w:cs="仿宋"/>
                <w:color w:val="auto"/>
                <w:sz w:val="24"/>
                <w:szCs w:val="24"/>
                <w:highlight w:val="none"/>
                <w:u w:val="single"/>
                <w:lang w:val="zh-CN"/>
              </w:rPr>
              <w:t>2026年05月</w:t>
            </w:r>
            <w:r>
              <w:rPr>
                <w:rFonts w:hint="eastAsia" w:ascii="仿宋" w:hAnsi="仿宋" w:eastAsia="仿宋" w:cs="仿宋"/>
                <w:color w:val="auto"/>
                <w:sz w:val="24"/>
                <w:szCs w:val="24"/>
                <w:highlight w:val="none"/>
                <w:u w:val="single"/>
                <w:lang w:val="en-US" w:eastAsia="zh-CN"/>
              </w:rPr>
              <w:t>20</w:t>
            </w:r>
            <w:r>
              <w:rPr>
                <w:rFonts w:hint="eastAsia" w:ascii="仿宋" w:hAnsi="仿宋" w:eastAsia="仿宋" w:cs="仿宋"/>
                <w:color w:val="auto"/>
                <w:sz w:val="24"/>
                <w:szCs w:val="24"/>
                <w:highlight w:val="none"/>
                <w:u w:val="single"/>
                <w:lang w:val="zh-CN"/>
              </w:rPr>
              <w:t>日1</w:t>
            </w:r>
            <w:r>
              <w:rPr>
                <w:rFonts w:hint="eastAsia" w:ascii="仿宋" w:hAnsi="仿宋" w:eastAsia="仿宋" w:cs="仿宋"/>
                <w:color w:val="auto"/>
                <w:sz w:val="24"/>
                <w:szCs w:val="24"/>
                <w:highlight w:val="none"/>
                <w:u w:val="single"/>
                <w:lang w:val="en-US" w:eastAsia="zh-CN"/>
              </w:rPr>
              <w:t>0</w:t>
            </w:r>
            <w:r>
              <w:rPr>
                <w:rFonts w:hint="eastAsia" w:ascii="仿宋" w:hAnsi="仿宋" w:eastAsia="仿宋" w:cs="仿宋"/>
                <w:color w:val="auto"/>
                <w:sz w:val="24"/>
                <w:szCs w:val="24"/>
                <w:highlight w:val="none"/>
                <w:u w:val="single"/>
                <w:lang w:val="zh-CN"/>
              </w:rPr>
              <w:t>时30分</w:t>
            </w:r>
          </w:p>
        </w:tc>
      </w:tr>
      <w:tr w14:paraId="3D302D63">
        <w:tblPrEx>
          <w:tblCellMar>
            <w:top w:w="0" w:type="dxa"/>
            <w:left w:w="108" w:type="dxa"/>
            <w:bottom w:w="0" w:type="dxa"/>
            <w:right w:w="108" w:type="dxa"/>
          </w:tblCellMar>
        </w:tblPrEx>
        <w:trPr>
          <w:jc w:val="center"/>
        </w:trPr>
        <w:tc>
          <w:tcPr>
            <w:tcW w:w="706" w:type="dxa"/>
            <w:tcBorders>
              <w:top w:val="single" w:color="auto" w:sz="4" w:space="0"/>
              <w:left w:val="single" w:color="auto" w:sz="4" w:space="0"/>
              <w:bottom w:val="single" w:color="auto" w:sz="4" w:space="0"/>
              <w:right w:val="single" w:color="auto" w:sz="4" w:space="0"/>
            </w:tcBorders>
            <w:vAlign w:val="center"/>
          </w:tcPr>
          <w:p w14:paraId="2874DB2B">
            <w:pPr>
              <w:numPr>
                <w:ilvl w:val="0"/>
                <w:numId w:val="1"/>
              </w:numPr>
              <w:spacing w:line="400" w:lineRule="exact"/>
              <w:jc w:val="center"/>
              <w:rPr>
                <w:rFonts w:ascii="仿宋" w:hAnsi="仿宋" w:eastAsia="仿宋" w:cs="仿宋"/>
                <w:color w:val="auto"/>
                <w:sz w:val="24"/>
                <w:szCs w:val="24"/>
                <w:highlight w:val="none"/>
                <w:lang w:val="zh-CN"/>
              </w:rPr>
            </w:pPr>
          </w:p>
        </w:tc>
        <w:tc>
          <w:tcPr>
            <w:tcW w:w="2720" w:type="dxa"/>
            <w:tcBorders>
              <w:top w:val="single" w:color="auto" w:sz="4" w:space="0"/>
              <w:left w:val="single" w:color="auto" w:sz="4" w:space="0"/>
              <w:bottom w:val="single" w:color="auto" w:sz="4" w:space="0"/>
              <w:right w:val="single" w:color="auto" w:sz="4" w:space="0"/>
            </w:tcBorders>
            <w:vAlign w:val="center"/>
          </w:tcPr>
          <w:p w14:paraId="095A1E6B">
            <w:pPr>
              <w:spacing w:line="400" w:lineRule="exact"/>
              <w:rPr>
                <w:rFonts w:ascii="仿宋" w:hAnsi="仿宋" w:eastAsia="仿宋"/>
                <w:color w:val="auto"/>
                <w:sz w:val="24"/>
                <w:szCs w:val="24"/>
                <w:highlight w:val="none"/>
                <w:lang w:val="zh-CN"/>
              </w:rPr>
            </w:pPr>
            <w:r>
              <w:rPr>
                <w:rFonts w:hint="eastAsia" w:ascii="仿宋" w:hAnsi="仿宋" w:eastAsia="仿宋" w:cs="仿宋"/>
                <w:color w:val="auto"/>
                <w:sz w:val="24"/>
                <w:szCs w:val="24"/>
                <w:highlight w:val="none"/>
                <w:lang w:val="zh-CN"/>
              </w:rPr>
              <w:t>开标时间及地点</w:t>
            </w:r>
          </w:p>
        </w:tc>
        <w:tc>
          <w:tcPr>
            <w:tcW w:w="6145" w:type="dxa"/>
            <w:tcBorders>
              <w:top w:val="single" w:color="auto" w:sz="4" w:space="0"/>
              <w:left w:val="single" w:color="auto" w:sz="4" w:space="0"/>
              <w:bottom w:val="single" w:color="auto" w:sz="4" w:space="0"/>
              <w:right w:val="single" w:color="auto" w:sz="4" w:space="0"/>
            </w:tcBorders>
            <w:vAlign w:val="center"/>
          </w:tcPr>
          <w:p w14:paraId="2DDBBECD">
            <w:pPr>
              <w:spacing w:line="380" w:lineRule="exact"/>
              <w:rPr>
                <w:rFonts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时间：</w:t>
            </w:r>
            <w:r>
              <w:rPr>
                <w:rFonts w:hint="eastAsia" w:ascii="仿宋" w:hAnsi="仿宋" w:eastAsia="仿宋" w:cs="仿宋"/>
                <w:color w:val="auto"/>
                <w:sz w:val="24"/>
                <w:szCs w:val="24"/>
                <w:highlight w:val="none"/>
                <w:u w:val="single"/>
                <w:lang w:val="zh-CN"/>
              </w:rPr>
              <w:t>2026年05月</w:t>
            </w:r>
            <w:r>
              <w:rPr>
                <w:rFonts w:hint="eastAsia" w:ascii="仿宋" w:hAnsi="仿宋" w:eastAsia="仿宋" w:cs="仿宋"/>
                <w:color w:val="auto"/>
                <w:sz w:val="24"/>
                <w:szCs w:val="24"/>
                <w:highlight w:val="none"/>
                <w:u w:val="single"/>
                <w:lang w:val="en-US" w:eastAsia="zh-CN"/>
              </w:rPr>
              <w:t>20</w:t>
            </w:r>
            <w:r>
              <w:rPr>
                <w:rFonts w:hint="eastAsia" w:ascii="仿宋" w:hAnsi="仿宋" w:eastAsia="仿宋" w:cs="仿宋"/>
                <w:color w:val="auto"/>
                <w:sz w:val="24"/>
                <w:szCs w:val="24"/>
                <w:highlight w:val="none"/>
                <w:u w:val="single"/>
                <w:lang w:val="zh-CN"/>
              </w:rPr>
              <w:t>日1</w:t>
            </w:r>
            <w:r>
              <w:rPr>
                <w:rFonts w:hint="eastAsia" w:ascii="仿宋" w:hAnsi="仿宋" w:eastAsia="仿宋" w:cs="仿宋"/>
                <w:color w:val="auto"/>
                <w:sz w:val="24"/>
                <w:szCs w:val="24"/>
                <w:highlight w:val="none"/>
                <w:u w:val="single"/>
                <w:lang w:val="en-US" w:eastAsia="zh-CN"/>
              </w:rPr>
              <w:t>0</w:t>
            </w:r>
            <w:r>
              <w:rPr>
                <w:rFonts w:hint="eastAsia" w:ascii="仿宋" w:hAnsi="仿宋" w:eastAsia="仿宋" w:cs="仿宋"/>
                <w:color w:val="auto"/>
                <w:sz w:val="24"/>
                <w:szCs w:val="24"/>
                <w:highlight w:val="none"/>
                <w:u w:val="single"/>
                <w:lang w:val="zh-CN"/>
              </w:rPr>
              <w:t>时30分</w:t>
            </w:r>
            <w:r>
              <w:rPr>
                <w:rFonts w:hint="eastAsia" w:ascii="仿宋" w:hAnsi="仿宋" w:eastAsia="仿宋" w:cs="仿宋"/>
                <w:color w:val="auto"/>
                <w:sz w:val="24"/>
                <w:szCs w:val="24"/>
                <w:highlight w:val="none"/>
                <w:lang w:val="zh-CN"/>
              </w:rPr>
              <w:t>。</w:t>
            </w:r>
          </w:p>
          <w:p w14:paraId="1B718BE3">
            <w:pPr>
              <w:spacing w:line="380" w:lineRule="exact"/>
              <w:rPr>
                <w:rFonts w:ascii="仿宋" w:hAnsi="仿宋" w:eastAsia="仿宋"/>
                <w:color w:val="auto"/>
                <w:sz w:val="24"/>
                <w:szCs w:val="24"/>
                <w:highlight w:val="none"/>
                <w:lang w:val="zh-CN"/>
              </w:rPr>
            </w:pPr>
            <w:r>
              <w:rPr>
                <w:rFonts w:hint="eastAsia" w:ascii="仿宋" w:hAnsi="仿宋" w:eastAsia="仿宋" w:cs="仿宋"/>
                <w:color w:val="auto"/>
                <w:sz w:val="24"/>
                <w:szCs w:val="24"/>
                <w:highlight w:val="none"/>
                <w:lang w:val="zh-CN"/>
              </w:rPr>
              <w:t>地点：</w:t>
            </w:r>
            <w:r>
              <w:rPr>
                <w:rFonts w:hint="eastAsia" w:ascii="仿宋" w:hAnsi="仿宋" w:eastAsia="仿宋" w:cs="仿宋"/>
                <w:color w:val="auto"/>
                <w:sz w:val="24"/>
                <w:szCs w:val="24"/>
                <w:highlight w:val="none"/>
                <w:lang w:val="en-US" w:eastAsia="zh-CN"/>
              </w:rPr>
              <w:t xml:space="preserve">阿克苏地区政务服务和公共资源交易中心3楼开标区。 </w:t>
            </w:r>
          </w:p>
        </w:tc>
      </w:tr>
      <w:tr w14:paraId="0B1A2467">
        <w:tblPrEx>
          <w:tblCellMar>
            <w:top w:w="0" w:type="dxa"/>
            <w:left w:w="108" w:type="dxa"/>
            <w:bottom w:w="0" w:type="dxa"/>
            <w:right w:w="108" w:type="dxa"/>
          </w:tblCellMar>
        </w:tblPrEx>
        <w:trPr>
          <w:trHeight w:val="90" w:hRule="atLeast"/>
          <w:jc w:val="center"/>
        </w:trPr>
        <w:tc>
          <w:tcPr>
            <w:tcW w:w="706" w:type="dxa"/>
            <w:tcBorders>
              <w:top w:val="single" w:color="auto" w:sz="4" w:space="0"/>
              <w:left w:val="single" w:color="auto" w:sz="4" w:space="0"/>
              <w:bottom w:val="single" w:color="auto" w:sz="4" w:space="0"/>
              <w:right w:val="single" w:color="auto" w:sz="4" w:space="0"/>
            </w:tcBorders>
            <w:vAlign w:val="center"/>
          </w:tcPr>
          <w:p w14:paraId="41966BF6">
            <w:pPr>
              <w:numPr>
                <w:ilvl w:val="0"/>
                <w:numId w:val="1"/>
              </w:numPr>
              <w:spacing w:line="400" w:lineRule="exact"/>
              <w:jc w:val="center"/>
              <w:rPr>
                <w:rFonts w:ascii="仿宋" w:hAnsi="仿宋" w:eastAsia="仿宋" w:cs="仿宋"/>
                <w:color w:val="auto"/>
                <w:sz w:val="24"/>
                <w:szCs w:val="24"/>
                <w:highlight w:val="none"/>
                <w:lang w:val="zh-CN"/>
              </w:rPr>
            </w:pPr>
          </w:p>
        </w:tc>
        <w:tc>
          <w:tcPr>
            <w:tcW w:w="2720" w:type="dxa"/>
            <w:tcBorders>
              <w:top w:val="single" w:color="auto" w:sz="4" w:space="0"/>
              <w:left w:val="single" w:color="auto" w:sz="4" w:space="0"/>
              <w:bottom w:val="single" w:color="auto" w:sz="4" w:space="0"/>
              <w:right w:val="single" w:color="auto" w:sz="4" w:space="0"/>
            </w:tcBorders>
            <w:vAlign w:val="center"/>
          </w:tcPr>
          <w:p w14:paraId="4EC7FA8C">
            <w:pPr>
              <w:autoSpaceDE w:val="0"/>
              <w:autoSpaceDN w:val="0"/>
              <w:adjustRightInd w:val="0"/>
              <w:spacing w:line="400" w:lineRule="exact"/>
              <w:rPr>
                <w:rFonts w:ascii="仿宋" w:hAnsi="仿宋" w:eastAsia="仿宋"/>
                <w:color w:val="auto"/>
                <w:sz w:val="24"/>
                <w:szCs w:val="24"/>
                <w:highlight w:val="none"/>
                <w:lang w:val="zh-CN"/>
              </w:rPr>
            </w:pPr>
            <w:r>
              <w:rPr>
                <w:rFonts w:hint="eastAsia" w:ascii="仿宋" w:hAnsi="仿宋" w:eastAsia="仿宋" w:cs="仿宋"/>
                <w:color w:val="auto"/>
                <w:sz w:val="24"/>
                <w:szCs w:val="24"/>
                <w:highlight w:val="none"/>
                <w:lang w:val="zh-CN"/>
              </w:rPr>
              <w:t>评标委员会</w:t>
            </w:r>
          </w:p>
        </w:tc>
        <w:tc>
          <w:tcPr>
            <w:tcW w:w="6145" w:type="dxa"/>
            <w:tcBorders>
              <w:top w:val="single" w:color="auto" w:sz="4" w:space="0"/>
              <w:left w:val="single" w:color="auto" w:sz="4" w:space="0"/>
              <w:bottom w:val="single" w:color="auto" w:sz="4" w:space="0"/>
              <w:right w:val="single" w:color="auto" w:sz="4" w:space="0"/>
            </w:tcBorders>
            <w:vAlign w:val="center"/>
          </w:tcPr>
          <w:p w14:paraId="67257878">
            <w:pPr>
              <w:autoSpaceDE w:val="0"/>
              <w:autoSpaceDN w:val="0"/>
              <w:adjustRightInd w:val="0"/>
              <w:spacing w:line="380" w:lineRule="exact"/>
              <w:rPr>
                <w:rFonts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评标委员会共</w:t>
            </w:r>
            <w:r>
              <w:rPr>
                <w:rFonts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u w:val="single"/>
              </w:rPr>
              <w:t>5</w:t>
            </w:r>
            <w:r>
              <w:rPr>
                <w:rFonts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人，其中：</w:t>
            </w:r>
          </w:p>
          <w:p w14:paraId="258402D6">
            <w:pPr>
              <w:autoSpaceDE w:val="0"/>
              <w:autoSpaceDN w:val="0"/>
              <w:adjustRightInd w:val="0"/>
              <w:spacing w:line="380" w:lineRule="exact"/>
              <w:rPr>
                <w:rFonts w:ascii="仿宋" w:hAnsi="仿宋" w:eastAsia="仿宋"/>
                <w:color w:val="auto"/>
                <w:sz w:val="24"/>
                <w:szCs w:val="24"/>
                <w:highlight w:val="none"/>
                <w:lang w:val="zh-CN"/>
              </w:rPr>
            </w:pPr>
            <w:r>
              <w:rPr>
                <w:rFonts w:hint="eastAsia" w:ascii="仿宋" w:hAnsi="仿宋" w:eastAsia="仿宋" w:cs="仿宋"/>
                <w:color w:val="auto"/>
                <w:sz w:val="24"/>
                <w:szCs w:val="24"/>
                <w:highlight w:val="none"/>
                <w:lang w:val="zh-CN"/>
              </w:rPr>
              <w:t>采购人代表</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1</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lang w:val="zh-CN"/>
              </w:rPr>
              <w:t>人，评审专家</w:t>
            </w:r>
            <w:r>
              <w:rPr>
                <w:rFonts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u w:val="single"/>
                <w:lang w:val="en-US" w:eastAsia="zh-CN"/>
              </w:rPr>
              <w:t>4</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lang w:val="zh-CN"/>
              </w:rPr>
              <w:t>人</w:t>
            </w:r>
          </w:p>
        </w:tc>
      </w:tr>
      <w:tr w14:paraId="729AD853">
        <w:tblPrEx>
          <w:tblCellMar>
            <w:top w:w="0" w:type="dxa"/>
            <w:left w:w="108" w:type="dxa"/>
            <w:bottom w:w="0" w:type="dxa"/>
            <w:right w:w="108" w:type="dxa"/>
          </w:tblCellMar>
        </w:tblPrEx>
        <w:trPr>
          <w:jc w:val="center"/>
        </w:trPr>
        <w:tc>
          <w:tcPr>
            <w:tcW w:w="706" w:type="dxa"/>
            <w:tcBorders>
              <w:top w:val="single" w:color="auto" w:sz="4" w:space="0"/>
              <w:left w:val="single" w:color="auto" w:sz="4" w:space="0"/>
              <w:right w:val="single" w:color="auto" w:sz="4" w:space="0"/>
            </w:tcBorders>
            <w:vAlign w:val="center"/>
          </w:tcPr>
          <w:p w14:paraId="0B8829DE">
            <w:pPr>
              <w:numPr>
                <w:ilvl w:val="0"/>
                <w:numId w:val="1"/>
              </w:numPr>
              <w:spacing w:line="400" w:lineRule="exact"/>
              <w:jc w:val="center"/>
              <w:rPr>
                <w:rFonts w:ascii="仿宋" w:hAnsi="仿宋" w:eastAsia="仿宋" w:cs="仿宋"/>
                <w:color w:val="auto"/>
                <w:sz w:val="24"/>
                <w:szCs w:val="24"/>
                <w:highlight w:val="none"/>
                <w:lang w:val="zh-CN"/>
              </w:rPr>
            </w:pPr>
          </w:p>
        </w:tc>
        <w:tc>
          <w:tcPr>
            <w:tcW w:w="2720" w:type="dxa"/>
            <w:tcBorders>
              <w:top w:val="single" w:color="auto" w:sz="4" w:space="0"/>
              <w:left w:val="single" w:color="auto" w:sz="4" w:space="0"/>
              <w:right w:val="single" w:color="auto" w:sz="4" w:space="0"/>
            </w:tcBorders>
            <w:vAlign w:val="center"/>
          </w:tcPr>
          <w:p w14:paraId="37E292AE">
            <w:pPr>
              <w:spacing w:line="400" w:lineRule="exact"/>
              <w:rPr>
                <w:rFonts w:ascii="仿宋" w:hAnsi="仿宋" w:eastAsia="仿宋"/>
                <w:color w:val="auto"/>
                <w:sz w:val="24"/>
                <w:szCs w:val="24"/>
                <w:highlight w:val="none"/>
                <w:lang w:val="zh-CN"/>
              </w:rPr>
            </w:pPr>
            <w:r>
              <w:rPr>
                <w:rFonts w:hint="eastAsia" w:ascii="仿宋" w:hAnsi="仿宋" w:eastAsia="仿宋" w:cs="仿宋"/>
                <w:color w:val="auto"/>
                <w:sz w:val="24"/>
                <w:szCs w:val="24"/>
                <w:highlight w:val="none"/>
                <w:lang w:val="zh-CN"/>
              </w:rPr>
              <w:t>评标办法</w:t>
            </w:r>
          </w:p>
        </w:tc>
        <w:tc>
          <w:tcPr>
            <w:tcW w:w="6145" w:type="dxa"/>
            <w:tcBorders>
              <w:top w:val="single" w:color="auto" w:sz="4" w:space="0"/>
              <w:left w:val="single" w:color="auto" w:sz="4" w:space="0"/>
              <w:right w:val="single" w:color="auto" w:sz="4" w:space="0"/>
            </w:tcBorders>
            <w:vAlign w:val="center"/>
          </w:tcPr>
          <w:p w14:paraId="643CCDDB">
            <w:pPr>
              <w:spacing w:line="3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综合评分法</w:t>
            </w:r>
          </w:p>
          <w:p w14:paraId="7BF5CE81">
            <w:pPr>
              <w:spacing w:line="380" w:lineRule="exact"/>
              <w:rPr>
                <w:rFonts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最低评标价法</w:t>
            </w:r>
          </w:p>
        </w:tc>
      </w:tr>
      <w:tr w14:paraId="08583237">
        <w:tblPrEx>
          <w:tblCellMar>
            <w:top w:w="0" w:type="dxa"/>
            <w:left w:w="108" w:type="dxa"/>
            <w:bottom w:w="0" w:type="dxa"/>
            <w:right w:w="108" w:type="dxa"/>
          </w:tblCellMar>
        </w:tblPrEx>
        <w:trPr>
          <w:jc w:val="center"/>
        </w:trPr>
        <w:tc>
          <w:tcPr>
            <w:tcW w:w="706" w:type="dxa"/>
            <w:tcBorders>
              <w:top w:val="single" w:color="auto" w:sz="4" w:space="0"/>
              <w:left w:val="single" w:color="auto" w:sz="4" w:space="0"/>
              <w:bottom w:val="single" w:color="auto" w:sz="4" w:space="0"/>
              <w:right w:val="single" w:color="auto" w:sz="4" w:space="0"/>
            </w:tcBorders>
            <w:vAlign w:val="center"/>
          </w:tcPr>
          <w:p w14:paraId="40F4C5DB">
            <w:pPr>
              <w:numPr>
                <w:ilvl w:val="0"/>
                <w:numId w:val="1"/>
              </w:numPr>
              <w:spacing w:line="400" w:lineRule="exact"/>
              <w:jc w:val="center"/>
              <w:rPr>
                <w:rFonts w:ascii="仿宋" w:hAnsi="仿宋" w:eastAsia="仿宋" w:cs="仿宋"/>
                <w:color w:val="auto"/>
                <w:sz w:val="24"/>
                <w:szCs w:val="24"/>
                <w:highlight w:val="none"/>
                <w:lang w:val="zh-CN"/>
              </w:rPr>
            </w:pPr>
          </w:p>
        </w:tc>
        <w:tc>
          <w:tcPr>
            <w:tcW w:w="2720" w:type="dxa"/>
            <w:tcBorders>
              <w:top w:val="single" w:color="auto" w:sz="4" w:space="0"/>
              <w:left w:val="single" w:color="auto" w:sz="4" w:space="0"/>
              <w:bottom w:val="single" w:color="auto" w:sz="4" w:space="0"/>
              <w:right w:val="single" w:color="auto" w:sz="4" w:space="0"/>
            </w:tcBorders>
            <w:vAlign w:val="center"/>
          </w:tcPr>
          <w:p w14:paraId="253094BB">
            <w:pPr>
              <w:spacing w:line="400" w:lineRule="exact"/>
              <w:rPr>
                <w:rFonts w:ascii="仿宋" w:hAnsi="仿宋" w:eastAsia="仿宋"/>
                <w:color w:val="auto"/>
                <w:sz w:val="24"/>
                <w:szCs w:val="24"/>
                <w:highlight w:val="none"/>
                <w:lang w:val="zh-CN"/>
              </w:rPr>
            </w:pPr>
            <w:r>
              <w:rPr>
                <w:rFonts w:hint="eastAsia" w:ascii="仿宋" w:hAnsi="仿宋" w:eastAsia="仿宋"/>
                <w:color w:val="auto"/>
                <w:sz w:val="24"/>
                <w:szCs w:val="24"/>
                <w:highlight w:val="none"/>
              </w:rPr>
              <w:t>是否授权评标委员会确定中标人</w:t>
            </w:r>
          </w:p>
        </w:tc>
        <w:tc>
          <w:tcPr>
            <w:tcW w:w="6145" w:type="dxa"/>
            <w:tcBorders>
              <w:top w:val="single" w:color="auto" w:sz="4" w:space="0"/>
              <w:left w:val="single" w:color="auto" w:sz="4" w:space="0"/>
              <w:bottom w:val="single" w:color="auto" w:sz="4" w:space="0"/>
              <w:right w:val="single" w:color="auto" w:sz="4" w:space="0"/>
            </w:tcBorders>
            <w:vAlign w:val="center"/>
          </w:tcPr>
          <w:p w14:paraId="5183CBA5">
            <w:pPr>
              <w:spacing w:line="380" w:lineRule="exact"/>
              <w:ind w:left="360" w:hanging="360" w:hangingChars="150"/>
              <w:rPr>
                <w:rFonts w:ascii="仿宋" w:hAnsi="仿宋" w:eastAsia="仿宋"/>
                <w:color w:val="auto"/>
                <w:sz w:val="24"/>
                <w:szCs w:val="24"/>
                <w:highlight w:val="none"/>
              </w:rPr>
            </w:pPr>
            <w:r>
              <w:rPr>
                <w:rFonts w:hint="eastAsia" w:ascii="仿宋" w:hAnsi="仿宋" w:eastAsia="仿宋"/>
                <w:color w:val="auto"/>
                <w:sz w:val="24"/>
                <w:szCs w:val="24"/>
                <w:highlight w:val="none"/>
              </w:rPr>
              <w:t>□ 是，</w:t>
            </w:r>
            <w:r>
              <w:rPr>
                <w:rFonts w:hint="eastAsia" w:ascii="仿宋" w:hAnsi="仿宋" w:eastAsia="仿宋" w:cs="仿宋"/>
                <w:color w:val="auto"/>
                <w:sz w:val="24"/>
                <w:szCs w:val="24"/>
                <w:highlight w:val="none"/>
                <w:lang w:val="zh-CN"/>
              </w:rPr>
              <w:t>每包确定一个中标人。</w:t>
            </w:r>
          </w:p>
          <w:p w14:paraId="158DC853">
            <w:pPr>
              <w:spacing w:line="380" w:lineRule="exact"/>
              <w:rPr>
                <w:rFonts w:hint="eastAsia" w:ascii="仿宋" w:hAnsi="仿宋" w:eastAsia="仿宋"/>
                <w:color w:val="auto"/>
                <w:sz w:val="24"/>
                <w:szCs w:val="24"/>
                <w:highlight w:val="none"/>
                <w:u w:val="single"/>
                <w:lang w:eastAsia="zh-CN"/>
              </w:rPr>
            </w:pPr>
            <w:r>
              <w:rPr>
                <w:rFonts w:hint="eastAsia" w:ascii="仿宋" w:hAnsi="仿宋" w:eastAsia="仿宋"/>
                <w:color w:val="auto"/>
                <w:sz w:val="24"/>
                <w:szCs w:val="24"/>
                <w:highlight w:val="none"/>
              </w:rPr>
              <w:t>☑ 否，确定的中标候选人数：</w:t>
            </w:r>
            <w:r>
              <w:rPr>
                <w:rFonts w:hint="eastAsia" w:ascii="仿宋" w:hAnsi="仿宋" w:eastAsia="仿宋"/>
                <w:color w:val="auto"/>
                <w:sz w:val="24"/>
                <w:szCs w:val="24"/>
                <w:highlight w:val="none"/>
                <w:u w:val="single"/>
              </w:rPr>
              <w:t xml:space="preserve"> 3 </w:t>
            </w:r>
          </w:p>
        </w:tc>
      </w:tr>
      <w:tr w14:paraId="7348583C">
        <w:tblPrEx>
          <w:tblCellMar>
            <w:top w:w="0" w:type="dxa"/>
            <w:left w:w="108" w:type="dxa"/>
            <w:bottom w:w="0" w:type="dxa"/>
            <w:right w:w="108" w:type="dxa"/>
          </w:tblCellMar>
        </w:tblPrEx>
        <w:trPr>
          <w:jc w:val="center"/>
        </w:trPr>
        <w:tc>
          <w:tcPr>
            <w:tcW w:w="706" w:type="dxa"/>
            <w:tcBorders>
              <w:top w:val="single" w:color="auto" w:sz="4" w:space="0"/>
              <w:left w:val="single" w:color="auto" w:sz="4" w:space="0"/>
              <w:bottom w:val="single" w:color="auto" w:sz="4" w:space="0"/>
              <w:right w:val="single" w:color="auto" w:sz="4" w:space="0"/>
            </w:tcBorders>
            <w:vAlign w:val="center"/>
          </w:tcPr>
          <w:p w14:paraId="59F5F048">
            <w:pPr>
              <w:numPr>
                <w:ilvl w:val="0"/>
                <w:numId w:val="1"/>
              </w:numPr>
              <w:spacing w:line="400" w:lineRule="exact"/>
              <w:jc w:val="center"/>
              <w:rPr>
                <w:rFonts w:ascii="仿宋" w:hAnsi="仿宋" w:eastAsia="仿宋" w:cs="仿宋"/>
                <w:color w:val="auto"/>
                <w:sz w:val="24"/>
                <w:szCs w:val="24"/>
                <w:highlight w:val="none"/>
                <w:lang w:val="zh-CN"/>
              </w:rPr>
            </w:pPr>
          </w:p>
        </w:tc>
        <w:tc>
          <w:tcPr>
            <w:tcW w:w="2720" w:type="dxa"/>
            <w:tcBorders>
              <w:top w:val="single" w:color="auto" w:sz="4" w:space="0"/>
              <w:left w:val="single" w:color="auto" w:sz="4" w:space="0"/>
              <w:bottom w:val="single" w:color="auto" w:sz="4" w:space="0"/>
              <w:right w:val="single" w:color="auto" w:sz="4" w:space="0"/>
            </w:tcBorders>
            <w:vAlign w:val="center"/>
          </w:tcPr>
          <w:p w14:paraId="119459A3">
            <w:pPr>
              <w:spacing w:line="40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是否退还投标文件</w:t>
            </w:r>
          </w:p>
        </w:tc>
        <w:tc>
          <w:tcPr>
            <w:tcW w:w="6145" w:type="dxa"/>
            <w:tcBorders>
              <w:top w:val="single" w:color="auto" w:sz="4" w:space="0"/>
              <w:left w:val="single" w:color="auto" w:sz="4" w:space="0"/>
              <w:bottom w:val="single" w:color="auto" w:sz="4" w:space="0"/>
              <w:right w:val="single" w:color="auto" w:sz="4" w:space="0"/>
            </w:tcBorders>
            <w:vAlign w:val="center"/>
          </w:tcPr>
          <w:p w14:paraId="33F11C02">
            <w:pPr>
              <w:spacing w:line="38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除投标人需收回的资格、资信等证明文件中的证明材料原件（如营业执照、合同、相关资质证书等）外，其他文件概不退还。</w:t>
            </w:r>
          </w:p>
        </w:tc>
      </w:tr>
      <w:tr w14:paraId="1E9250BB">
        <w:tblPrEx>
          <w:tblCellMar>
            <w:top w:w="0" w:type="dxa"/>
            <w:left w:w="108" w:type="dxa"/>
            <w:bottom w:w="0" w:type="dxa"/>
            <w:right w:w="108" w:type="dxa"/>
          </w:tblCellMar>
        </w:tblPrEx>
        <w:trPr>
          <w:jc w:val="center"/>
        </w:trPr>
        <w:tc>
          <w:tcPr>
            <w:tcW w:w="706" w:type="dxa"/>
            <w:tcBorders>
              <w:top w:val="single" w:color="auto" w:sz="4" w:space="0"/>
              <w:left w:val="single" w:color="auto" w:sz="4" w:space="0"/>
              <w:bottom w:val="single" w:color="auto" w:sz="4" w:space="0"/>
              <w:right w:val="single" w:color="auto" w:sz="4" w:space="0"/>
            </w:tcBorders>
            <w:vAlign w:val="center"/>
          </w:tcPr>
          <w:p w14:paraId="45559060">
            <w:pPr>
              <w:numPr>
                <w:ilvl w:val="0"/>
                <w:numId w:val="1"/>
              </w:numPr>
              <w:spacing w:line="400" w:lineRule="exact"/>
              <w:jc w:val="center"/>
              <w:rPr>
                <w:rFonts w:ascii="仿宋" w:hAnsi="仿宋" w:eastAsia="仿宋" w:cs="仿宋"/>
                <w:color w:val="auto"/>
                <w:sz w:val="24"/>
                <w:szCs w:val="24"/>
                <w:highlight w:val="none"/>
                <w:lang w:val="zh-CN"/>
              </w:rPr>
            </w:pPr>
          </w:p>
        </w:tc>
        <w:tc>
          <w:tcPr>
            <w:tcW w:w="8865" w:type="dxa"/>
            <w:gridSpan w:val="2"/>
            <w:tcBorders>
              <w:top w:val="single" w:color="auto" w:sz="4" w:space="0"/>
              <w:left w:val="single" w:color="auto" w:sz="4" w:space="0"/>
              <w:bottom w:val="single" w:color="auto" w:sz="4" w:space="0"/>
              <w:right w:val="single" w:color="auto" w:sz="4" w:space="0"/>
            </w:tcBorders>
            <w:vAlign w:val="center"/>
          </w:tcPr>
          <w:p w14:paraId="1AAAFD04">
            <w:pPr>
              <w:spacing w:line="380" w:lineRule="exact"/>
              <w:rPr>
                <w:rFonts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其他需补充的内容</w:t>
            </w:r>
          </w:p>
        </w:tc>
      </w:tr>
      <w:tr w14:paraId="59A0606A">
        <w:tblPrEx>
          <w:tblCellMar>
            <w:top w:w="0" w:type="dxa"/>
            <w:left w:w="108" w:type="dxa"/>
            <w:bottom w:w="0" w:type="dxa"/>
            <w:right w:w="108" w:type="dxa"/>
          </w:tblCellMar>
        </w:tblPrEx>
        <w:trPr>
          <w:jc w:val="center"/>
        </w:trPr>
        <w:tc>
          <w:tcPr>
            <w:tcW w:w="706" w:type="dxa"/>
            <w:tcBorders>
              <w:top w:val="single" w:color="auto" w:sz="4" w:space="0"/>
              <w:left w:val="single" w:color="auto" w:sz="4" w:space="0"/>
              <w:bottom w:val="single" w:color="auto" w:sz="4" w:space="0"/>
              <w:right w:val="single" w:color="auto" w:sz="4" w:space="0"/>
            </w:tcBorders>
            <w:vAlign w:val="center"/>
          </w:tcPr>
          <w:p w14:paraId="4EB50BD4">
            <w:pPr>
              <w:spacing w:line="400" w:lineRule="exact"/>
              <w:jc w:val="center"/>
              <w:outlineLvl w:val="9"/>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w:t>
            </w:r>
          </w:p>
        </w:tc>
        <w:tc>
          <w:tcPr>
            <w:tcW w:w="2720" w:type="dxa"/>
            <w:tcBorders>
              <w:top w:val="single" w:color="auto" w:sz="4" w:space="0"/>
              <w:left w:val="single" w:color="auto" w:sz="4" w:space="0"/>
              <w:bottom w:val="single" w:color="auto" w:sz="4" w:space="0"/>
              <w:right w:val="single" w:color="auto" w:sz="4" w:space="0"/>
            </w:tcBorders>
            <w:vAlign w:val="center"/>
          </w:tcPr>
          <w:p w14:paraId="2B41A2D2">
            <w:pPr>
              <w:spacing w:line="400" w:lineRule="exact"/>
              <w:outlineLvl w:val="9"/>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zh-CN"/>
              </w:rPr>
              <w:t>投标人</w:t>
            </w:r>
            <w:r>
              <w:rPr>
                <w:rFonts w:hint="eastAsia" w:ascii="仿宋" w:hAnsi="仿宋" w:eastAsia="仿宋" w:cs="仿宋"/>
                <w:color w:val="auto"/>
                <w:sz w:val="24"/>
                <w:szCs w:val="24"/>
                <w:highlight w:val="none"/>
                <w:lang w:val="en-US" w:eastAsia="zh-CN"/>
              </w:rPr>
              <w:t>电子不见面开标注意事项</w:t>
            </w:r>
          </w:p>
        </w:tc>
        <w:tc>
          <w:tcPr>
            <w:tcW w:w="6145" w:type="dxa"/>
            <w:tcBorders>
              <w:top w:val="single" w:color="auto" w:sz="4" w:space="0"/>
              <w:left w:val="single" w:color="auto" w:sz="4" w:space="0"/>
              <w:bottom w:val="single" w:color="auto" w:sz="4" w:space="0"/>
              <w:right w:val="single" w:color="auto" w:sz="4" w:space="0"/>
            </w:tcBorders>
            <w:vAlign w:val="center"/>
          </w:tcPr>
          <w:p w14:paraId="6B3EB291">
            <w:pPr>
              <w:spacing w:line="380" w:lineRule="exact"/>
              <w:outlineLvl w:val="9"/>
              <w:rPr>
                <w:rFonts w:ascii="仿宋" w:hAnsi="仿宋" w:eastAsia="仿宋"/>
                <w:color w:val="auto"/>
                <w:kern w:val="1"/>
                <w:sz w:val="24"/>
                <w:szCs w:val="24"/>
                <w:highlight w:val="none"/>
              </w:rPr>
            </w:pPr>
            <w:r>
              <w:rPr>
                <w:rFonts w:hint="eastAsia" w:ascii="仿宋" w:hAnsi="仿宋" w:eastAsia="仿宋"/>
                <w:color w:val="auto"/>
                <w:kern w:val="1"/>
                <w:sz w:val="24"/>
                <w:szCs w:val="24"/>
                <w:highlight w:val="none"/>
              </w:rPr>
              <w:t>本次</w:t>
            </w:r>
            <w:r>
              <w:rPr>
                <w:rFonts w:hint="eastAsia" w:ascii="仿宋" w:hAnsi="仿宋" w:eastAsia="仿宋"/>
                <w:color w:val="auto"/>
                <w:kern w:val="1"/>
                <w:sz w:val="24"/>
                <w:szCs w:val="24"/>
                <w:highlight w:val="none"/>
                <w:lang w:val="en-US" w:eastAsia="zh-CN"/>
              </w:rPr>
              <w:t>采购</w:t>
            </w:r>
            <w:r>
              <w:rPr>
                <w:rFonts w:hint="eastAsia" w:ascii="仿宋" w:hAnsi="仿宋" w:eastAsia="仿宋"/>
                <w:color w:val="auto"/>
                <w:kern w:val="1"/>
                <w:sz w:val="24"/>
                <w:szCs w:val="24"/>
                <w:highlight w:val="none"/>
              </w:rPr>
              <w:t>活动</w:t>
            </w:r>
            <w:r>
              <w:rPr>
                <w:rFonts w:hint="eastAsia" w:ascii="仿宋" w:hAnsi="仿宋" w:eastAsia="仿宋"/>
                <w:color w:val="auto"/>
                <w:kern w:val="1"/>
                <w:sz w:val="24"/>
                <w:szCs w:val="24"/>
                <w:highlight w:val="none"/>
                <w:lang w:val="en-US" w:eastAsia="zh-CN"/>
              </w:rPr>
              <w:t>不要求供应商到场递交投标文件，仅需在政采云平台递交已加密的电子投标文件，并注意以下事项</w:t>
            </w:r>
            <w:r>
              <w:rPr>
                <w:rFonts w:hint="eastAsia" w:ascii="仿宋" w:hAnsi="仿宋" w:eastAsia="仿宋"/>
                <w:color w:val="auto"/>
                <w:kern w:val="1"/>
                <w:sz w:val="24"/>
                <w:szCs w:val="24"/>
                <w:highlight w:val="none"/>
              </w:rPr>
              <w:t>：</w:t>
            </w:r>
          </w:p>
          <w:p w14:paraId="3C54F932">
            <w:pPr>
              <w:spacing w:line="380" w:lineRule="exact"/>
              <w:outlineLvl w:val="9"/>
              <w:rPr>
                <w:rStyle w:val="20"/>
                <w:color w:val="auto"/>
                <w:sz w:val="24"/>
                <w:szCs w:val="24"/>
                <w:highlight w:val="none"/>
              </w:rPr>
            </w:pPr>
            <w:r>
              <w:rPr>
                <w:rFonts w:hint="eastAsia" w:ascii="仿宋" w:hAnsi="仿宋" w:eastAsia="仿宋"/>
                <w:color w:val="auto"/>
                <w:kern w:val="1"/>
                <w:sz w:val="24"/>
                <w:szCs w:val="24"/>
                <w:highlight w:val="none"/>
                <w:lang w:val="en-US" w:eastAsia="zh-CN"/>
              </w:rPr>
              <w:t>1</w:t>
            </w:r>
            <w:r>
              <w:rPr>
                <w:rFonts w:hint="eastAsia" w:ascii="仿宋" w:hAnsi="仿宋" w:eastAsia="仿宋"/>
                <w:color w:val="auto"/>
                <w:kern w:val="1"/>
                <w:sz w:val="24"/>
                <w:szCs w:val="24"/>
                <w:highlight w:val="none"/>
              </w:rPr>
              <w:t>.</w:t>
            </w:r>
            <w:r>
              <w:rPr>
                <w:rStyle w:val="20"/>
                <w:rFonts w:hint="eastAsia"/>
                <w:color w:val="auto"/>
                <w:sz w:val="24"/>
                <w:szCs w:val="24"/>
                <w:highlight w:val="none"/>
              </w:rPr>
              <w:t>本项目为电子招投标项目，投标人需要使用 CA 加密设备，凡参加本项目投标人可通过新疆数字证书 认证中心官网（https://www.xjca.com.cn/）或下载 “新疆政务通”APP 自行进行线上申领，如有操作性 问题可与政采云在线客服进行咨询，咨询电话： 400-881-7190。</w:t>
            </w:r>
          </w:p>
          <w:p w14:paraId="67CC84BB">
            <w:pPr>
              <w:spacing w:line="380" w:lineRule="exact"/>
              <w:outlineLvl w:val="9"/>
              <w:rPr>
                <w:rStyle w:val="20"/>
                <w:rFonts w:hint="eastAsia" w:eastAsia="仿宋"/>
                <w:color w:val="auto"/>
                <w:sz w:val="24"/>
                <w:szCs w:val="24"/>
                <w:highlight w:val="none"/>
                <w:lang w:val="en-US" w:eastAsia="zh-CN"/>
              </w:rPr>
            </w:pPr>
            <w:r>
              <w:rPr>
                <w:rStyle w:val="20"/>
                <w:rFonts w:hint="eastAsia" w:eastAsia="仿宋"/>
                <w:color w:val="auto"/>
                <w:sz w:val="24"/>
                <w:szCs w:val="24"/>
                <w:highlight w:val="none"/>
                <w:lang w:val="en-US" w:eastAsia="zh-CN"/>
              </w:rPr>
              <w:t>2.投标人应在开标前应确保成为新疆政府采购网正式注册入库供应商，并完成CA数字证书申领。因未注册入库、未办理CA数字证书等原因造成无法投标或投标失败等后果由投标人自行承担。</w:t>
            </w:r>
          </w:p>
          <w:p w14:paraId="57CD5DEF">
            <w:pPr>
              <w:spacing w:line="380" w:lineRule="exact"/>
              <w:outlineLvl w:val="9"/>
              <w:rPr>
                <w:rFonts w:ascii="仿宋" w:hAnsi="仿宋" w:eastAsia="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使用政采云投标客户端时，建议使用谷歌浏览器，电脑配置满足win7+64位以上操作系统（不能用mac或者linux系统）。客户端请至新疆政府采购网（www.ccgp-xinjiang.gov.cn）下载专区查看，如有问题可拨打政采云客户服务热线400-881-7190进行咨询</w:t>
            </w:r>
            <w:r>
              <w:rPr>
                <w:rFonts w:hint="eastAsia" w:ascii="仿宋" w:hAnsi="仿宋" w:eastAsia="仿宋" w:cs="仿宋"/>
                <w:color w:val="auto"/>
                <w:sz w:val="24"/>
                <w:szCs w:val="24"/>
                <w:highlight w:val="none"/>
                <w:lang w:eastAsia="zh-CN"/>
              </w:rPr>
              <w:t>。</w:t>
            </w:r>
          </w:p>
        </w:tc>
      </w:tr>
      <w:tr w14:paraId="51642E25">
        <w:tblPrEx>
          <w:tblCellMar>
            <w:top w:w="0" w:type="dxa"/>
            <w:left w:w="108" w:type="dxa"/>
            <w:bottom w:w="0" w:type="dxa"/>
            <w:right w:w="108" w:type="dxa"/>
          </w:tblCellMar>
        </w:tblPrEx>
        <w:trPr>
          <w:jc w:val="center"/>
        </w:trPr>
        <w:tc>
          <w:tcPr>
            <w:tcW w:w="706" w:type="dxa"/>
            <w:vMerge w:val="restart"/>
            <w:tcBorders>
              <w:top w:val="single" w:color="auto" w:sz="4" w:space="0"/>
              <w:left w:val="single" w:color="auto" w:sz="4" w:space="0"/>
              <w:bottom w:val="single" w:color="auto" w:sz="4" w:space="0"/>
              <w:right w:val="single" w:color="auto" w:sz="4" w:space="0"/>
            </w:tcBorders>
            <w:vAlign w:val="center"/>
          </w:tcPr>
          <w:p w14:paraId="1BDF8832">
            <w:pPr>
              <w:spacing w:line="400" w:lineRule="exact"/>
              <w:jc w:val="center"/>
              <w:rPr>
                <w:rFonts w:ascii="仿宋" w:hAnsi="仿宋" w:eastAsia="仿宋" w:cs="仿宋"/>
                <w:color w:val="auto"/>
                <w:sz w:val="24"/>
                <w:szCs w:val="24"/>
                <w:highlight w:val="none"/>
                <w:lang w:val="zh-CN"/>
              </w:rPr>
            </w:pPr>
            <w:r>
              <w:rPr>
                <w:rFonts w:ascii="仿宋" w:hAnsi="仿宋" w:eastAsia="仿宋" w:cs="仿宋"/>
                <w:color w:val="auto"/>
                <w:sz w:val="24"/>
                <w:szCs w:val="24"/>
                <w:highlight w:val="none"/>
                <w:lang w:val="zh-CN"/>
              </w:rPr>
              <w:t>3</w:t>
            </w:r>
            <w:r>
              <w:rPr>
                <w:rFonts w:hint="eastAsia" w:ascii="仿宋" w:hAnsi="仿宋" w:eastAsia="仿宋" w:cs="仿宋"/>
                <w:color w:val="auto"/>
                <w:sz w:val="24"/>
                <w:szCs w:val="24"/>
                <w:highlight w:val="none"/>
                <w:lang w:val="en-US" w:eastAsia="zh-CN"/>
              </w:rPr>
              <w:t>5</w:t>
            </w:r>
            <w:r>
              <w:rPr>
                <w:rFonts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2</w:t>
            </w:r>
          </w:p>
        </w:tc>
        <w:tc>
          <w:tcPr>
            <w:tcW w:w="2720" w:type="dxa"/>
            <w:vMerge w:val="restart"/>
            <w:tcBorders>
              <w:top w:val="single" w:color="auto" w:sz="4" w:space="0"/>
              <w:left w:val="single" w:color="auto" w:sz="4" w:space="0"/>
              <w:bottom w:val="single" w:color="auto" w:sz="4" w:space="0"/>
              <w:right w:val="single" w:color="auto" w:sz="4" w:space="0"/>
            </w:tcBorders>
            <w:vAlign w:val="center"/>
          </w:tcPr>
          <w:p w14:paraId="3F148812">
            <w:pPr>
              <w:spacing w:line="400" w:lineRule="exact"/>
              <w:rPr>
                <w:rFonts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定义</w:t>
            </w:r>
          </w:p>
        </w:tc>
        <w:tc>
          <w:tcPr>
            <w:tcW w:w="6145" w:type="dxa"/>
            <w:tcBorders>
              <w:top w:val="single" w:color="auto" w:sz="4" w:space="0"/>
              <w:left w:val="single" w:color="auto" w:sz="4" w:space="0"/>
              <w:bottom w:val="single" w:color="auto" w:sz="4" w:space="0"/>
              <w:right w:val="single" w:color="auto" w:sz="4" w:space="0"/>
            </w:tcBorders>
            <w:vAlign w:val="center"/>
          </w:tcPr>
          <w:p w14:paraId="648E995D">
            <w:pPr>
              <w:spacing w:line="380" w:lineRule="exact"/>
              <w:rPr>
                <w:rFonts w:ascii="仿宋" w:hAnsi="仿宋" w:eastAsia="仿宋"/>
                <w:color w:val="auto"/>
                <w:sz w:val="24"/>
                <w:szCs w:val="24"/>
                <w:highlight w:val="none"/>
              </w:rPr>
            </w:pPr>
            <w:r>
              <w:rPr>
                <w:rFonts w:hint="eastAsia" w:ascii="仿宋" w:hAnsi="仿宋" w:eastAsia="仿宋" w:cs="仿宋"/>
                <w:color w:val="auto"/>
                <w:sz w:val="24"/>
                <w:szCs w:val="24"/>
                <w:highlight w:val="none"/>
                <w:lang w:val="zh-CN"/>
              </w:rPr>
              <w:t>原件：</w:t>
            </w:r>
            <w:r>
              <w:rPr>
                <w:rFonts w:hint="eastAsia" w:ascii="仿宋" w:hAnsi="仿宋" w:eastAsia="仿宋"/>
                <w:color w:val="auto"/>
                <w:sz w:val="24"/>
                <w:szCs w:val="24"/>
                <w:highlight w:val="none"/>
              </w:rPr>
              <w:t>最初产生的区别于复制件的原始文件或文件的原本或公证处出具的文件复制件公证书。</w:t>
            </w:r>
          </w:p>
        </w:tc>
      </w:tr>
      <w:tr w14:paraId="7761447F">
        <w:tblPrEx>
          <w:tblCellMar>
            <w:top w:w="0" w:type="dxa"/>
            <w:left w:w="108" w:type="dxa"/>
            <w:bottom w:w="0" w:type="dxa"/>
            <w:right w:w="108" w:type="dxa"/>
          </w:tblCellMar>
        </w:tblPrEx>
        <w:trPr>
          <w:jc w:val="center"/>
        </w:trPr>
        <w:tc>
          <w:tcPr>
            <w:tcW w:w="706" w:type="dxa"/>
            <w:vMerge w:val="continue"/>
            <w:tcBorders>
              <w:top w:val="single" w:color="auto" w:sz="4" w:space="0"/>
              <w:left w:val="single" w:color="auto" w:sz="4" w:space="0"/>
              <w:bottom w:val="single" w:color="auto" w:sz="4" w:space="0"/>
              <w:right w:val="single" w:color="auto" w:sz="4" w:space="0"/>
            </w:tcBorders>
            <w:vAlign w:val="center"/>
          </w:tcPr>
          <w:p w14:paraId="56C3FB63">
            <w:pPr>
              <w:spacing w:line="400" w:lineRule="exact"/>
              <w:jc w:val="center"/>
              <w:rPr>
                <w:rFonts w:ascii="仿宋" w:hAnsi="仿宋" w:eastAsia="仿宋" w:cs="仿宋"/>
                <w:color w:val="auto"/>
                <w:sz w:val="24"/>
                <w:szCs w:val="24"/>
                <w:highlight w:val="none"/>
                <w:lang w:val="zh-CN"/>
              </w:rPr>
            </w:pPr>
          </w:p>
        </w:tc>
        <w:tc>
          <w:tcPr>
            <w:tcW w:w="2720" w:type="dxa"/>
            <w:vMerge w:val="continue"/>
            <w:tcBorders>
              <w:top w:val="single" w:color="auto" w:sz="4" w:space="0"/>
              <w:left w:val="single" w:color="auto" w:sz="4" w:space="0"/>
              <w:bottom w:val="single" w:color="auto" w:sz="4" w:space="0"/>
              <w:right w:val="single" w:color="auto" w:sz="4" w:space="0"/>
            </w:tcBorders>
            <w:vAlign w:val="center"/>
          </w:tcPr>
          <w:p w14:paraId="19B376F8">
            <w:pPr>
              <w:spacing w:line="400" w:lineRule="exact"/>
              <w:rPr>
                <w:rFonts w:ascii="仿宋" w:hAnsi="仿宋" w:eastAsia="仿宋" w:cs="仿宋"/>
                <w:color w:val="auto"/>
                <w:sz w:val="24"/>
                <w:szCs w:val="24"/>
                <w:highlight w:val="none"/>
                <w:lang w:val="zh-CN"/>
              </w:rPr>
            </w:pPr>
          </w:p>
        </w:tc>
        <w:tc>
          <w:tcPr>
            <w:tcW w:w="6145" w:type="dxa"/>
            <w:tcBorders>
              <w:top w:val="single" w:color="auto" w:sz="4" w:space="0"/>
              <w:left w:val="single" w:color="auto" w:sz="4" w:space="0"/>
              <w:bottom w:val="single" w:color="auto" w:sz="4" w:space="0"/>
              <w:right w:val="single" w:color="auto" w:sz="4" w:space="0"/>
            </w:tcBorders>
            <w:vAlign w:val="center"/>
          </w:tcPr>
          <w:p w14:paraId="39EBE0DA">
            <w:pPr>
              <w:spacing w:line="380" w:lineRule="exact"/>
              <w:rPr>
                <w:rFonts w:ascii="仿宋" w:hAnsi="仿宋" w:eastAsia="仿宋" w:cs="仿宋"/>
                <w:color w:val="auto"/>
                <w:sz w:val="24"/>
                <w:szCs w:val="24"/>
                <w:highlight w:val="none"/>
                <w:lang w:val="zh-CN"/>
              </w:rPr>
            </w:pPr>
            <w:r>
              <w:rPr>
                <w:rFonts w:ascii="仿宋" w:hAnsi="仿宋" w:eastAsia="仿宋"/>
                <w:color w:val="auto"/>
                <w:sz w:val="24"/>
                <w:szCs w:val="24"/>
                <w:highlight w:val="none"/>
              </w:rPr>
              <w:t>书面形式：</w:t>
            </w:r>
            <w:r>
              <w:rPr>
                <w:rFonts w:hint="eastAsia" w:ascii="仿宋" w:hAnsi="仿宋" w:eastAsia="仿宋"/>
                <w:color w:val="auto"/>
                <w:sz w:val="24"/>
                <w:szCs w:val="24"/>
                <w:highlight w:val="none"/>
              </w:rPr>
              <w:t>包括文字的打印或复印件、传真、信函、电传、电报、</w:t>
            </w:r>
            <w:r>
              <w:rPr>
                <w:rFonts w:ascii="仿宋" w:hAnsi="仿宋" w:eastAsia="仿宋" w:cs="Arial"/>
                <w:color w:val="auto"/>
                <w:sz w:val="24"/>
                <w:szCs w:val="24"/>
                <w:highlight w:val="none"/>
                <w:shd w:val="clear" w:color="auto" w:fill="FFFFFF"/>
              </w:rPr>
              <w:t>电子邮件</w:t>
            </w:r>
            <w:r>
              <w:rPr>
                <w:rFonts w:hint="eastAsia" w:ascii="仿宋" w:hAnsi="仿宋" w:eastAsia="仿宋" w:cs="Arial"/>
                <w:color w:val="auto"/>
                <w:sz w:val="24"/>
                <w:szCs w:val="24"/>
                <w:highlight w:val="none"/>
                <w:shd w:val="clear" w:color="auto" w:fill="FFFFFF"/>
              </w:rPr>
              <w:t>、</w:t>
            </w:r>
            <w:r>
              <w:rPr>
                <w:rFonts w:hint="eastAsia" w:ascii="仿宋" w:hAnsi="仿宋" w:eastAsia="仿宋"/>
                <w:color w:val="auto"/>
                <w:sz w:val="24"/>
                <w:szCs w:val="24"/>
                <w:highlight w:val="none"/>
              </w:rPr>
              <w:t>相关媒介发布的公告</w:t>
            </w:r>
            <w:r>
              <w:rPr>
                <w:rFonts w:ascii="仿宋" w:hAnsi="仿宋" w:eastAsia="仿宋" w:cs="Arial"/>
                <w:color w:val="auto"/>
                <w:sz w:val="24"/>
                <w:szCs w:val="24"/>
                <w:highlight w:val="none"/>
                <w:shd w:val="clear" w:color="auto" w:fill="FFFFFF"/>
              </w:rPr>
              <w:t>等可以有形地表现所载内容的形式。</w:t>
            </w:r>
          </w:p>
        </w:tc>
      </w:tr>
      <w:tr w14:paraId="1BF57554">
        <w:tblPrEx>
          <w:tblCellMar>
            <w:top w:w="0" w:type="dxa"/>
            <w:left w:w="108" w:type="dxa"/>
            <w:bottom w:w="0" w:type="dxa"/>
            <w:right w:w="108" w:type="dxa"/>
          </w:tblCellMar>
        </w:tblPrEx>
        <w:trPr>
          <w:jc w:val="center"/>
        </w:trPr>
        <w:tc>
          <w:tcPr>
            <w:tcW w:w="706" w:type="dxa"/>
            <w:tcBorders>
              <w:top w:val="single" w:color="auto" w:sz="4" w:space="0"/>
              <w:left w:val="single" w:color="auto" w:sz="4" w:space="0"/>
              <w:bottom w:val="single" w:color="auto" w:sz="4" w:space="0"/>
              <w:right w:val="single" w:color="auto" w:sz="4" w:space="0"/>
            </w:tcBorders>
            <w:vAlign w:val="center"/>
          </w:tcPr>
          <w:p w14:paraId="0B6CA67D">
            <w:pPr>
              <w:spacing w:line="400" w:lineRule="exact"/>
              <w:jc w:val="center"/>
              <w:rPr>
                <w:rFonts w:ascii="仿宋" w:hAnsi="仿宋" w:eastAsia="仿宋" w:cs="仿宋"/>
                <w:color w:val="auto"/>
                <w:sz w:val="24"/>
                <w:szCs w:val="24"/>
                <w:highlight w:val="none"/>
                <w:lang w:val="zh-CN"/>
              </w:rPr>
            </w:pPr>
            <w:r>
              <w:rPr>
                <w:rFonts w:ascii="仿宋" w:hAnsi="仿宋" w:eastAsia="仿宋" w:cs="仿宋"/>
                <w:color w:val="auto"/>
                <w:sz w:val="24"/>
                <w:szCs w:val="24"/>
                <w:highlight w:val="none"/>
                <w:lang w:val="zh-CN"/>
              </w:rPr>
              <w:t>3</w:t>
            </w:r>
            <w:r>
              <w:rPr>
                <w:rFonts w:hint="eastAsia" w:ascii="仿宋" w:hAnsi="仿宋" w:eastAsia="仿宋" w:cs="仿宋"/>
                <w:color w:val="auto"/>
                <w:sz w:val="24"/>
                <w:szCs w:val="24"/>
                <w:highlight w:val="none"/>
                <w:lang w:val="en-US" w:eastAsia="zh-CN"/>
              </w:rPr>
              <w:t>5</w:t>
            </w:r>
            <w:r>
              <w:rPr>
                <w:rFonts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3</w:t>
            </w:r>
          </w:p>
        </w:tc>
        <w:tc>
          <w:tcPr>
            <w:tcW w:w="2720" w:type="dxa"/>
            <w:tcBorders>
              <w:top w:val="single" w:color="auto" w:sz="4" w:space="0"/>
              <w:left w:val="single" w:color="auto" w:sz="4" w:space="0"/>
              <w:bottom w:val="single" w:color="auto" w:sz="4" w:space="0"/>
              <w:right w:val="single" w:color="auto" w:sz="4" w:space="0"/>
            </w:tcBorders>
            <w:vAlign w:val="center"/>
          </w:tcPr>
          <w:p w14:paraId="4E8BC951">
            <w:pPr>
              <w:spacing w:line="400" w:lineRule="exact"/>
              <w:rPr>
                <w:rFonts w:ascii="仿宋" w:hAnsi="仿宋" w:eastAsia="仿宋" w:cs="仿宋"/>
                <w:color w:val="auto"/>
                <w:sz w:val="24"/>
                <w:szCs w:val="24"/>
                <w:highlight w:val="none"/>
                <w:lang w:val="zh-CN"/>
              </w:rPr>
            </w:pPr>
            <w:r>
              <w:rPr>
                <w:rFonts w:hint="eastAsia" w:ascii="仿宋" w:hAnsi="仿宋" w:eastAsia="仿宋"/>
                <w:color w:val="auto"/>
                <w:sz w:val="24"/>
                <w:szCs w:val="24"/>
                <w:highlight w:val="none"/>
              </w:rPr>
              <w:t>分包和非主体、非关键性工作</w:t>
            </w:r>
          </w:p>
        </w:tc>
        <w:tc>
          <w:tcPr>
            <w:tcW w:w="6145" w:type="dxa"/>
            <w:tcBorders>
              <w:top w:val="single" w:color="auto" w:sz="4" w:space="0"/>
              <w:left w:val="single" w:color="auto" w:sz="4" w:space="0"/>
              <w:bottom w:val="single" w:color="auto" w:sz="4" w:space="0"/>
              <w:right w:val="single" w:color="auto" w:sz="4" w:space="0"/>
            </w:tcBorders>
            <w:vAlign w:val="center"/>
          </w:tcPr>
          <w:p w14:paraId="032017A9">
            <w:pPr>
              <w:spacing w:line="380" w:lineRule="exact"/>
              <w:ind w:left="360" w:hanging="360" w:hangingChars="150"/>
              <w:rPr>
                <w:rFonts w:ascii="仿宋" w:hAnsi="仿宋" w:eastAsia="仿宋"/>
                <w:color w:val="auto"/>
                <w:sz w:val="24"/>
                <w:szCs w:val="24"/>
                <w:highlight w:val="none"/>
              </w:rPr>
            </w:pPr>
            <w:r>
              <w:rPr>
                <w:rFonts w:hint="eastAsia" w:ascii="仿宋" w:hAnsi="仿宋" w:eastAsia="仿宋"/>
                <w:color w:val="auto"/>
                <w:sz w:val="24"/>
                <w:szCs w:val="24"/>
                <w:highlight w:val="none"/>
              </w:rPr>
              <w:t>☑ 不允许</w:t>
            </w:r>
          </w:p>
          <w:p w14:paraId="496D97C8">
            <w:pPr>
              <w:spacing w:line="380" w:lineRule="exact"/>
              <w:rPr>
                <w:rFonts w:ascii="仿宋" w:hAnsi="仿宋" w:eastAsia="仿宋" w:cs="仿宋"/>
                <w:color w:val="auto"/>
                <w:sz w:val="24"/>
                <w:szCs w:val="24"/>
                <w:highlight w:val="none"/>
              </w:rPr>
            </w:pPr>
            <w:r>
              <w:rPr>
                <w:rFonts w:hint="eastAsia" w:ascii="仿宋" w:hAnsi="仿宋" w:eastAsia="仿宋"/>
                <w:color w:val="auto"/>
                <w:sz w:val="24"/>
                <w:szCs w:val="24"/>
                <w:highlight w:val="none"/>
              </w:rPr>
              <w:t>□ 允许</w:t>
            </w:r>
            <w:r>
              <w:rPr>
                <w:rFonts w:hint="eastAsia" w:ascii="仿宋" w:hAnsi="仿宋" w:eastAsia="仿宋" w:cs="仿宋"/>
                <w:color w:val="auto"/>
                <w:sz w:val="24"/>
                <w:szCs w:val="24"/>
                <w:highlight w:val="none"/>
                <w:lang w:val="zh-CN"/>
              </w:rPr>
              <w:t>，</w:t>
            </w:r>
            <w:r>
              <w:rPr>
                <w:rFonts w:ascii="仿宋" w:hAnsi="仿宋" w:eastAsia="仿宋" w:cs="仿宋"/>
                <w:color w:val="auto"/>
                <w:sz w:val="24"/>
                <w:szCs w:val="24"/>
                <w:highlight w:val="none"/>
                <w:lang w:val="zh-CN"/>
              </w:rPr>
              <w:t>投标人根据招标文件的规定和采购项目的实际情况，拟在中标后将中标项目的非主体、非关键性工作分包的，应当在投标文件中载明分包承担主体，分包承担主体应当具备相应资质条件且不得再次分包</w:t>
            </w:r>
            <w:r>
              <w:rPr>
                <w:rFonts w:hint="eastAsia" w:ascii="仿宋" w:hAnsi="仿宋" w:eastAsia="仿宋" w:cs="仿宋"/>
                <w:color w:val="auto"/>
                <w:sz w:val="24"/>
                <w:szCs w:val="24"/>
                <w:highlight w:val="none"/>
                <w:lang w:val="zh-CN"/>
              </w:rPr>
              <w:t>。</w:t>
            </w:r>
          </w:p>
        </w:tc>
      </w:tr>
      <w:tr w14:paraId="5FB2F366">
        <w:tblPrEx>
          <w:tblCellMar>
            <w:top w:w="0" w:type="dxa"/>
            <w:left w:w="108" w:type="dxa"/>
            <w:bottom w:w="0" w:type="dxa"/>
            <w:right w:w="108" w:type="dxa"/>
          </w:tblCellMar>
        </w:tblPrEx>
        <w:trPr>
          <w:jc w:val="center"/>
        </w:trPr>
        <w:tc>
          <w:tcPr>
            <w:tcW w:w="706" w:type="dxa"/>
            <w:tcBorders>
              <w:top w:val="single" w:color="auto" w:sz="4" w:space="0"/>
              <w:left w:val="single" w:color="auto" w:sz="4" w:space="0"/>
              <w:bottom w:val="single" w:color="auto" w:sz="4" w:space="0"/>
              <w:right w:val="single" w:color="auto" w:sz="4" w:space="0"/>
            </w:tcBorders>
            <w:vAlign w:val="center"/>
          </w:tcPr>
          <w:p w14:paraId="37554FAF">
            <w:pPr>
              <w:spacing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3</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zh-CN"/>
              </w:rPr>
              <w:t>.4</w:t>
            </w:r>
          </w:p>
        </w:tc>
        <w:tc>
          <w:tcPr>
            <w:tcW w:w="2720" w:type="dxa"/>
            <w:tcBorders>
              <w:top w:val="single" w:color="auto" w:sz="4" w:space="0"/>
              <w:left w:val="single" w:color="auto" w:sz="4" w:space="0"/>
              <w:bottom w:val="single" w:color="auto" w:sz="4" w:space="0"/>
              <w:right w:val="single" w:color="auto" w:sz="4" w:space="0"/>
            </w:tcBorders>
            <w:vAlign w:val="center"/>
          </w:tcPr>
          <w:p w14:paraId="58143AFA">
            <w:pPr>
              <w:spacing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监督</w:t>
            </w:r>
          </w:p>
        </w:tc>
        <w:tc>
          <w:tcPr>
            <w:tcW w:w="6145" w:type="dxa"/>
            <w:tcBorders>
              <w:top w:val="single" w:color="auto" w:sz="4" w:space="0"/>
              <w:left w:val="single" w:color="auto" w:sz="4" w:space="0"/>
              <w:bottom w:val="single" w:color="auto" w:sz="4" w:space="0"/>
              <w:right w:val="single" w:color="auto" w:sz="4" w:space="0"/>
            </w:tcBorders>
            <w:vAlign w:val="center"/>
          </w:tcPr>
          <w:p w14:paraId="332E8A20">
            <w:pPr>
              <w:spacing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本次招标投标活动以及相关当事人应当接受相关部门依法实施的监督。</w:t>
            </w:r>
          </w:p>
        </w:tc>
      </w:tr>
      <w:tr w14:paraId="18427A09">
        <w:tblPrEx>
          <w:tblCellMar>
            <w:top w:w="0" w:type="dxa"/>
            <w:left w:w="108" w:type="dxa"/>
            <w:bottom w:w="0" w:type="dxa"/>
            <w:right w:w="108" w:type="dxa"/>
          </w:tblCellMar>
        </w:tblPrEx>
        <w:trPr>
          <w:jc w:val="center"/>
        </w:trPr>
        <w:tc>
          <w:tcPr>
            <w:tcW w:w="706" w:type="dxa"/>
            <w:tcBorders>
              <w:top w:val="single" w:color="auto" w:sz="4" w:space="0"/>
              <w:left w:val="single" w:color="auto" w:sz="4" w:space="0"/>
              <w:bottom w:val="single" w:color="auto" w:sz="4" w:space="0"/>
              <w:right w:val="single" w:color="auto" w:sz="4" w:space="0"/>
            </w:tcBorders>
            <w:vAlign w:val="center"/>
          </w:tcPr>
          <w:p w14:paraId="24A8DB86">
            <w:pPr>
              <w:spacing w:line="400" w:lineRule="exac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35.5</w:t>
            </w:r>
          </w:p>
        </w:tc>
        <w:tc>
          <w:tcPr>
            <w:tcW w:w="2720" w:type="dxa"/>
            <w:tcBorders>
              <w:top w:val="single" w:color="auto" w:sz="4" w:space="0"/>
              <w:left w:val="single" w:color="auto" w:sz="4" w:space="0"/>
              <w:bottom w:val="single" w:color="auto" w:sz="4" w:space="0"/>
              <w:right w:val="single" w:color="auto" w:sz="4" w:space="0"/>
            </w:tcBorders>
            <w:shd w:val="clear" w:color="auto" w:fill="auto"/>
            <w:vAlign w:val="center"/>
          </w:tcPr>
          <w:p w14:paraId="0A49CAEF">
            <w:pPr>
              <w:spacing w:line="380" w:lineRule="exact"/>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rPr>
              <w:t>国家规定的优先、强制采购范围（节能、环保）</w:t>
            </w:r>
          </w:p>
        </w:tc>
        <w:tc>
          <w:tcPr>
            <w:tcW w:w="6145" w:type="dxa"/>
            <w:tcBorders>
              <w:top w:val="single" w:color="auto" w:sz="4" w:space="0"/>
              <w:left w:val="single" w:color="auto" w:sz="4" w:space="0"/>
              <w:bottom w:val="single" w:color="auto" w:sz="4" w:space="0"/>
              <w:right w:val="single" w:color="auto" w:sz="4" w:space="0"/>
            </w:tcBorders>
            <w:shd w:val="clear" w:color="auto" w:fill="auto"/>
            <w:vAlign w:val="center"/>
          </w:tcPr>
          <w:p w14:paraId="3CB3BF2B">
            <w:pPr>
              <w:spacing w:line="38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1.根据《国家市场监督管理总局关于发布强制性产品认证目录描述与界定表的公告》（2023 年第 36 号）要求，本项目的产品如属于《强制性产品认证目录》、《强制性产品认证目录描述与界定表（2023 年修订）》范围内产品的，应取得有效期内的强制性认证证书（CCC认证证书），供应商须在投标文件中提供认证证书复印件（加盖公章），否则将被视为无效投标。</w:t>
            </w:r>
          </w:p>
          <w:p w14:paraId="0F4EDF96">
            <w:pPr>
              <w:spacing w:line="380" w:lineRule="exact"/>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en-US" w:eastAsia="zh-CN"/>
              </w:rPr>
              <w:t>2.根据财政部、发展改革委、生态环境部、市场监管总局联合发布的《关于调整优化节能产品、环境标志产品政府采购执行机制的通知》 (财库[2019]9 号)要求,本项目采购产品如属于《关于印发节能产品政府采购品目清单的通知》（财库[2019]19 号） 范围内的政府强制采购产品的，应取得有效期内的节能产品认证证书，供应商须在投标文件中提供认证证书复印件（加盖公章），否则将被视为无效投标</w:t>
            </w:r>
            <w:r>
              <w:rPr>
                <w:rFonts w:hint="eastAsia" w:ascii="仿宋" w:hAnsi="仿宋" w:eastAsia="仿宋" w:cs="仿宋"/>
                <w:color w:val="auto"/>
                <w:sz w:val="24"/>
                <w:szCs w:val="24"/>
                <w:highlight w:val="none"/>
                <w:lang w:val="zh-CN"/>
              </w:rPr>
              <w:t>。</w:t>
            </w:r>
          </w:p>
          <w:p w14:paraId="6FBB6FDF">
            <w:pPr>
              <w:spacing w:line="380" w:lineRule="exact"/>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rPr>
              <w:t>3.根据财政部、发展改革委、生态环境部、市场监管总局联合发布的《关于调整优化节能产品、环境标志产品政府采购执行机制的通知》(财库[2019]9号)要求,本项目采购产品如属于《关于印发节能产品政府采购品目清单的通知》（财库[2019]19号）、《关于印发环境标志产品政府采购品目清单的通知》（财库[2019]18号）范围内的政府优先采购产品的，应取得有效期内的节能产品、环境标志产品认证证书，供应商须在投标文件中提供</w:t>
            </w:r>
            <w:r>
              <w:rPr>
                <w:rFonts w:hint="eastAsia" w:ascii="仿宋" w:hAnsi="仿宋" w:eastAsia="仿宋" w:cs="仿宋"/>
                <w:color w:val="auto"/>
                <w:sz w:val="24"/>
                <w:szCs w:val="24"/>
                <w:highlight w:val="none"/>
                <w:lang w:val="zh-CN" w:eastAsia="zh-CN"/>
              </w:rPr>
              <w:t>产品</w:t>
            </w:r>
            <w:r>
              <w:rPr>
                <w:rFonts w:hint="eastAsia" w:ascii="仿宋" w:hAnsi="仿宋" w:eastAsia="仿宋" w:cs="仿宋"/>
                <w:color w:val="auto"/>
                <w:sz w:val="24"/>
                <w:szCs w:val="24"/>
                <w:highlight w:val="none"/>
                <w:lang w:val="zh-CN"/>
              </w:rPr>
              <w:t>认证证书复印件（加盖公章），否则不予认定。</w:t>
            </w:r>
          </w:p>
        </w:tc>
      </w:tr>
      <w:tr w14:paraId="56E8086A">
        <w:tblPrEx>
          <w:tblCellMar>
            <w:top w:w="0" w:type="dxa"/>
            <w:left w:w="108" w:type="dxa"/>
            <w:bottom w:w="0" w:type="dxa"/>
            <w:right w:w="108" w:type="dxa"/>
          </w:tblCellMar>
        </w:tblPrEx>
        <w:trPr>
          <w:jc w:val="center"/>
        </w:trPr>
        <w:tc>
          <w:tcPr>
            <w:tcW w:w="706" w:type="dxa"/>
            <w:tcBorders>
              <w:top w:val="single" w:color="auto" w:sz="4" w:space="0"/>
              <w:left w:val="single" w:color="auto" w:sz="4" w:space="0"/>
              <w:bottom w:val="single" w:color="auto" w:sz="4" w:space="0"/>
              <w:right w:val="single" w:color="auto" w:sz="4" w:space="0"/>
            </w:tcBorders>
            <w:vAlign w:val="center"/>
          </w:tcPr>
          <w:p w14:paraId="3AA7BED6">
            <w:pPr>
              <w:spacing w:line="400" w:lineRule="exac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35.6</w:t>
            </w:r>
          </w:p>
        </w:tc>
        <w:tc>
          <w:tcPr>
            <w:tcW w:w="2720" w:type="dxa"/>
            <w:tcBorders>
              <w:top w:val="single" w:color="auto" w:sz="4" w:space="0"/>
              <w:left w:val="single" w:color="auto" w:sz="4" w:space="0"/>
              <w:bottom w:val="single" w:color="auto" w:sz="4" w:space="0"/>
              <w:right w:val="single" w:color="auto" w:sz="4" w:space="0"/>
            </w:tcBorders>
            <w:shd w:val="clear" w:color="auto" w:fill="auto"/>
            <w:vAlign w:val="center"/>
          </w:tcPr>
          <w:p w14:paraId="2365DA7A">
            <w:pPr>
              <w:spacing w:line="38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zh-CN"/>
              </w:rPr>
              <w:t>低于成本价不正当竞争预防措施</w:t>
            </w:r>
          </w:p>
        </w:tc>
        <w:tc>
          <w:tcPr>
            <w:tcW w:w="6145" w:type="dxa"/>
            <w:tcBorders>
              <w:top w:val="single" w:color="auto" w:sz="4" w:space="0"/>
              <w:left w:val="single" w:color="auto" w:sz="4" w:space="0"/>
              <w:bottom w:val="single" w:color="auto" w:sz="4" w:space="0"/>
              <w:right w:val="single" w:color="auto" w:sz="4" w:space="0"/>
            </w:tcBorders>
            <w:shd w:val="clear" w:color="auto" w:fill="auto"/>
            <w:vAlign w:val="center"/>
          </w:tcPr>
          <w:p w14:paraId="67763C07">
            <w:pPr>
              <w:spacing w:line="380" w:lineRule="exact"/>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val="zh-CN"/>
              </w:rPr>
              <w:t>在评标过程中</w:t>
            </w:r>
            <w:r>
              <w:rPr>
                <w:rFonts w:hint="eastAsia" w:ascii="仿宋" w:hAnsi="仿宋" w:eastAsia="仿宋" w:cs="仿宋"/>
                <w:color w:val="auto"/>
                <w:sz w:val="24"/>
                <w:szCs w:val="24"/>
                <w:highlight w:val="none"/>
                <w:lang w:val="en-US" w:eastAsia="zh-CN"/>
              </w:rPr>
              <w:t>投标（响应）报价低于全部通过符合性审查供应商投标（响应）报价平均值50%的，即投标（响应）报价&lt;全部通过符合性审查供应商投标（响应）报价平均值×50%；投标（响应）报价低于通过符合性审查且报价次低供应商投标（响应）报价50%的，即投标（响应）报价&lt;通过符合性审查且报价次低供应商投标（响应）报价×50%；投标（响应）报价低于采购项目最高限价45%的，即投标（响应）报价&lt;采购项目最高限价×45%；</w:t>
            </w:r>
            <w:r>
              <w:rPr>
                <w:rFonts w:hint="eastAsia" w:ascii="仿宋" w:hAnsi="仿宋" w:eastAsia="仿宋" w:cs="仿宋"/>
                <w:color w:val="auto"/>
                <w:sz w:val="24"/>
                <w:szCs w:val="24"/>
                <w:highlight w:val="none"/>
                <w:lang w:val="zh-CN"/>
              </w:rPr>
              <w:t>有可能影响产品质量或者不能诚信履约的，评标委员会应当要求其在评标现场合理的时间内提供成本构成书面说明，并提交相关证明材料。投标人书面说明应当按照国家财务会计制度的规定要求，逐项就投标人提供的货物、工程和服务的主营业务成本（应根据投标人类型予以区别）、税金及附加、销售费用、管理费用、财务费用等成本构成事项详细陈述。</w:t>
            </w:r>
            <w:r>
              <w:rPr>
                <w:rFonts w:hint="eastAsia" w:ascii="仿宋" w:hAnsi="仿宋" w:eastAsia="仿宋" w:cs="仿宋"/>
                <w:color w:val="auto"/>
                <w:sz w:val="24"/>
                <w:szCs w:val="24"/>
                <w:highlight w:val="none"/>
                <w:lang w:val="zh-CN" w:eastAsia="zh-CN"/>
              </w:rPr>
              <w:t>投标人不能证明其报价合理性的，评标委员会应当将其作为无效投标处理。</w:t>
            </w:r>
          </w:p>
          <w:p w14:paraId="0F62ECC3">
            <w:pPr>
              <w:spacing w:line="380" w:lineRule="exact"/>
              <w:rPr>
                <w:rFonts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val="zh-CN"/>
              </w:rPr>
              <w:t>投标人书面说明应当签字确认并且加盖公章，否则无效。书面说明的签字确认，投标人为法人的，由其法定代表人或者代理人签字确认；投标人为其他组织的，由其主要负责人或者代理人签字确认；投标人为自然人的，由其本人或者代理人签字确认。</w:t>
            </w:r>
          </w:p>
          <w:p w14:paraId="381AEA28">
            <w:pPr>
              <w:spacing w:line="3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val="zh-CN"/>
              </w:rPr>
              <w:t>投标人提供书面说明后，评标委员会应当结合采购项目采购需求、专业实际情况、投标人财务状况报告、与其他投标人比较情况等就投标人书面说明进行审查评价。投标人拒绝或者变相拒绝提供有效书面说明或者书面说明不能证明其报价合理性的，评标委员会应当将其投标文件作为无效处理。</w:t>
            </w:r>
          </w:p>
          <w:p w14:paraId="03D028C2">
            <w:pPr>
              <w:spacing w:line="38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注：低于成本价可参照财办库[2024]265号《关于在相关自由贸易试验区和自由贸易港开展推动解决政府采购异常低价问题试点工作的通知》主要包括</w:t>
            </w:r>
          </w:p>
          <w:p w14:paraId="2736A9BF">
            <w:pPr>
              <w:spacing w:line="38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政府采购评审中出现下列情形之一的，评审委员会应当启动异常低价投标（响应）审查程序：</w:t>
            </w:r>
          </w:p>
          <w:p w14:paraId="01FAB5B1">
            <w:pPr>
              <w:spacing w:line="38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投标（响应）报价低于全部通过符合性审查供应商投标（响应）报价平均值50%的，即投标（响应）报价&lt;全部通过符合性审查供应商投标（响应）报价平均值×50%；</w:t>
            </w:r>
          </w:p>
          <w:p w14:paraId="4C3A4E29">
            <w:pPr>
              <w:spacing w:line="38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投标（响应）报价低于通过符合性审查且报价次低供应商投标（响应）报价50%的，即投标（响应）报价&lt;通过符合性审查且报价次低供应商投标（响应）报价×50%；</w:t>
            </w:r>
          </w:p>
          <w:p w14:paraId="281E4BCD">
            <w:pPr>
              <w:spacing w:line="38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投标（响应）报价低于采购项目最高限价45%的，即投标（响应）报价&lt;采购项目最高限价×45%；</w:t>
            </w:r>
          </w:p>
          <w:p w14:paraId="620BAB3B">
            <w:pPr>
              <w:spacing w:line="38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（四）其他评审委员会认为供应商报价过低，有可能影响产品质量或者不能诚信履约的情形。</w:t>
            </w:r>
          </w:p>
          <w:p w14:paraId="0098BC2E">
            <w:pPr>
              <w:spacing w:line="38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评审委员会启动异常低价投标（响应）审查后，应当要求相关供应商在评审现场合理的时间内提供书面说明及必要的证明材料，对投标（响应）价格作出解释。书面说明、证明材料主要是项目具体成本测算等与报价合理性相关的说明、材料。</w:t>
            </w:r>
          </w:p>
          <w:p w14:paraId="40795472">
            <w:pPr>
              <w:spacing w:line="38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评审委员会应当结合同类产品在主要电商平台的价格、该行业当地薪资水平等情况，依据专业经验对报价合理性进行判断。如果投标（响应）供应商不提供书面说明、证明材料，或者提供的书面说明、证明材料不能证明其报价合理性的，应当将其作为无效投标（响应）处理。审查相关情况应当在评审报告中记录。</w:t>
            </w:r>
          </w:p>
        </w:tc>
      </w:tr>
      <w:tr w14:paraId="1E88FF8A">
        <w:tblPrEx>
          <w:tblCellMar>
            <w:top w:w="0" w:type="dxa"/>
            <w:left w:w="108" w:type="dxa"/>
            <w:bottom w:w="0" w:type="dxa"/>
            <w:right w:w="108" w:type="dxa"/>
          </w:tblCellMar>
        </w:tblPrEx>
        <w:trPr>
          <w:jc w:val="center"/>
        </w:trPr>
        <w:tc>
          <w:tcPr>
            <w:tcW w:w="706" w:type="dxa"/>
            <w:tcBorders>
              <w:top w:val="single" w:color="auto" w:sz="4" w:space="0"/>
              <w:left w:val="single" w:color="auto" w:sz="4" w:space="0"/>
              <w:bottom w:val="single" w:color="auto" w:sz="4" w:space="0"/>
              <w:right w:val="single" w:color="auto" w:sz="4" w:space="0"/>
            </w:tcBorders>
            <w:vAlign w:val="center"/>
          </w:tcPr>
          <w:p w14:paraId="7A6AE096">
            <w:pPr>
              <w:spacing w:line="400" w:lineRule="exac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35.7</w:t>
            </w:r>
          </w:p>
        </w:tc>
        <w:tc>
          <w:tcPr>
            <w:tcW w:w="2720" w:type="dxa"/>
            <w:tcBorders>
              <w:top w:val="single" w:color="auto" w:sz="4" w:space="0"/>
              <w:left w:val="single" w:color="auto" w:sz="4" w:space="0"/>
              <w:bottom w:val="single" w:color="auto" w:sz="4" w:space="0"/>
              <w:right w:val="single" w:color="auto" w:sz="4" w:space="0"/>
            </w:tcBorders>
            <w:shd w:val="clear" w:color="auto" w:fill="auto"/>
            <w:vAlign w:val="center"/>
          </w:tcPr>
          <w:p w14:paraId="4A10E4C9">
            <w:pPr>
              <w:spacing w:line="3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是否邀请公证</w:t>
            </w:r>
          </w:p>
        </w:tc>
        <w:tc>
          <w:tcPr>
            <w:tcW w:w="6145" w:type="dxa"/>
            <w:tcBorders>
              <w:top w:val="single" w:color="auto" w:sz="4" w:space="0"/>
              <w:left w:val="single" w:color="auto" w:sz="4" w:space="0"/>
              <w:bottom w:val="single" w:color="auto" w:sz="4" w:space="0"/>
              <w:right w:val="single" w:color="auto" w:sz="4" w:space="0"/>
            </w:tcBorders>
            <w:shd w:val="clear" w:color="auto" w:fill="auto"/>
            <w:vAlign w:val="center"/>
          </w:tcPr>
          <w:p w14:paraId="78E865DA">
            <w:pPr>
              <w:spacing w:line="38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是 邀请公证</w:t>
            </w:r>
          </w:p>
          <w:p w14:paraId="5BEF7087">
            <w:pPr>
              <w:spacing w:line="38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否 不邀请公证</w:t>
            </w:r>
          </w:p>
          <w:p w14:paraId="1E437213">
            <w:pPr>
              <w:spacing w:line="380" w:lineRule="exac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注：如邀请公证，公证费用由采购人支付。</w:t>
            </w:r>
          </w:p>
        </w:tc>
      </w:tr>
    </w:tbl>
    <w:p w14:paraId="22194E99">
      <w:pPr>
        <w:spacing w:line="400" w:lineRule="exact"/>
        <w:jc w:val="both"/>
        <w:rPr>
          <w:rFonts w:ascii="黑体" w:hAnsi="黑体" w:eastAsia="黑体"/>
          <w:color w:val="auto"/>
          <w:sz w:val="28"/>
          <w:szCs w:val="28"/>
          <w:highlight w:val="none"/>
        </w:rPr>
      </w:pPr>
      <w:r>
        <w:rPr>
          <w:rFonts w:hint="eastAsia" w:ascii="仿宋" w:hAnsi="仿宋" w:eastAsia="仿宋" w:cs="仿宋"/>
          <w:color w:val="auto"/>
          <w:sz w:val="24"/>
          <w:szCs w:val="24"/>
          <w:highlight w:val="none"/>
          <w:lang w:val="en-US" w:eastAsia="zh-CN"/>
        </w:rPr>
        <w:t>注：当</w:t>
      </w:r>
      <w:r>
        <w:rPr>
          <w:rFonts w:hint="eastAsia" w:ascii="仿宋" w:hAnsi="仿宋" w:eastAsia="仿宋" w:cs="仿宋"/>
          <w:color w:val="auto"/>
          <w:sz w:val="24"/>
          <w:szCs w:val="24"/>
          <w:highlight w:val="none"/>
          <w:lang w:val="zh-CN"/>
        </w:rPr>
        <w:t>投标人须知</w:t>
      </w:r>
      <w:r>
        <w:rPr>
          <w:rFonts w:hint="eastAsia" w:ascii="仿宋" w:hAnsi="仿宋" w:eastAsia="仿宋" w:cs="仿宋"/>
          <w:color w:val="auto"/>
          <w:sz w:val="24"/>
          <w:szCs w:val="24"/>
          <w:highlight w:val="none"/>
          <w:lang w:val="en-US" w:eastAsia="zh-CN"/>
        </w:rPr>
        <w:t>正文与</w:t>
      </w:r>
      <w:r>
        <w:rPr>
          <w:rFonts w:hint="eastAsia" w:ascii="仿宋" w:hAnsi="仿宋" w:eastAsia="仿宋" w:cs="仿宋"/>
          <w:color w:val="auto"/>
          <w:sz w:val="24"/>
          <w:szCs w:val="24"/>
          <w:highlight w:val="none"/>
          <w:lang w:val="zh-CN"/>
        </w:rPr>
        <w:t>投标人须知前附表</w:t>
      </w:r>
      <w:r>
        <w:rPr>
          <w:rFonts w:hint="eastAsia" w:ascii="仿宋" w:hAnsi="仿宋" w:eastAsia="仿宋" w:cs="仿宋"/>
          <w:color w:val="auto"/>
          <w:sz w:val="24"/>
          <w:szCs w:val="24"/>
          <w:highlight w:val="none"/>
          <w:lang w:val="en-US" w:eastAsia="zh-CN"/>
        </w:rPr>
        <w:t>不一致时，以</w:t>
      </w:r>
      <w:r>
        <w:rPr>
          <w:rFonts w:hint="eastAsia" w:ascii="仿宋" w:hAnsi="仿宋" w:eastAsia="仿宋" w:cs="仿宋"/>
          <w:color w:val="auto"/>
          <w:sz w:val="24"/>
          <w:szCs w:val="24"/>
          <w:highlight w:val="none"/>
          <w:lang w:val="zh-CN"/>
        </w:rPr>
        <w:t>投标人须知前附表</w:t>
      </w:r>
      <w:r>
        <w:rPr>
          <w:rFonts w:hint="eastAsia" w:ascii="仿宋" w:hAnsi="仿宋" w:eastAsia="仿宋" w:cs="仿宋"/>
          <w:color w:val="auto"/>
          <w:sz w:val="24"/>
          <w:szCs w:val="24"/>
          <w:highlight w:val="none"/>
          <w:lang w:val="en-US" w:eastAsia="zh-CN"/>
        </w:rPr>
        <w:t>为准。</w:t>
      </w:r>
      <w:r>
        <w:rPr>
          <w:rFonts w:hint="eastAsia" w:ascii="黑体" w:hAnsi="黑体" w:eastAsia="黑体"/>
          <w:color w:val="auto"/>
          <w:sz w:val="28"/>
          <w:szCs w:val="28"/>
          <w:highlight w:val="none"/>
        </w:rPr>
        <w:br w:type="page"/>
      </w:r>
    </w:p>
    <w:p w14:paraId="54EFD236">
      <w:pPr>
        <w:spacing w:afterLines="50" w:line="440" w:lineRule="exact"/>
        <w:jc w:val="center"/>
        <w:outlineLvl w:val="1"/>
        <w:rPr>
          <w:rFonts w:hint="eastAsia" w:ascii="黑体" w:hAnsi="黑体" w:eastAsia="黑体"/>
          <w:color w:val="auto"/>
          <w:sz w:val="28"/>
          <w:szCs w:val="28"/>
          <w:highlight w:val="none"/>
          <w:lang w:val="en-US" w:eastAsia="zh-CN"/>
        </w:rPr>
      </w:pPr>
      <w:bookmarkStart w:id="49" w:name="_Toc1992"/>
      <w:r>
        <w:rPr>
          <w:rFonts w:hint="eastAsia" w:ascii="黑体" w:hAnsi="黑体" w:eastAsia="黑体"/>
          <w:color w:val="auto"/>
          <w:sz w:val="28"/>
          <w:szCs w:val="28"/>
          <w:highlight w:val="none"/>
        </w:rPr>
        <w:t>投标人须知</w:t>
      </w:r>
      <w:r>
        <w:rPr>
          <w:rFonts w:hint="eastAsia" w:ascii="黑体" w:hAnsi="黑体" w:eastAsia="黑体"/>
          <w:color w:val="auto"/>
          <w:sz w:val="28"/>
          <w:szCs w:val="28"/>
          <w:highlight w:val="none"/>
          <w:lang w:val="en-US" w:eastAsia="zh-CN"/>
        </w:rPr>
        <w:t>正文</w:t>
      </w:r>
      <w:bookmarkEnd w:id="49"/>
    </w:p>
    <w:p w14:paraId="4B37276B">
      <w:pPr>
        <w:spacing w:line="440" w:lineRule="exact"/>
        <w:ind w:firstLine="560" w:firstLineChars="200"/>
        <w:outlineLvl w:val="2"/>
        <w:rPr>
          <w:rFonts w:ascii="楷体" w:hAnsi="楷体" w:eastAsia="楷体"/>
          <w:color w:val="auto"/>
          <w:sz w:val="28"/>
          <w:szCs w:val="28"/>
          <w:highlight w:val="none"/>
        </w:rPr>
      </w:pPr>
      <w:bookmarkStart w:id="50" w:name="_Toc494455650"/>
      <w:bookmarkStart w:id="51" w:name="_Toc14005"/>
      <w:r>
        <w:rPr>
          <w:rFonts w:ascii="楷体" w:hAnsi="楷体" w:eastAsia="楷体"/>
          <w:color w:val="auto"/>
          <w:sz w:val="28"/>
          <w:szCs w:val="28"/>
          <w:highlight w:val="none"/>
        </w:rPr>
        <w:t>1</w:t>
      </w:r>
      <w:r>
        <w:rPr>
          <w:rFonts w:hint="eastAsia" w:ascii="楷体" w:hAnsi="楷体" w:eastAsia="楷体"/>
          <w:color w:val="auto"/>
          <w:sz w:val="28"/>
          <w:szCs w:val="28"/>
          <w:highlight w:val="none"/>
        </w:rPr>
        <w:t>.招标依据以及原则</w:t>
      </w:r>
      <w:bookmarkEnd w:id="50"/>
      <w:bookmarkEnd w:id="51"/>
    </w:p>
    <w:p w14:paraId="77C7F126">
      <w:pPr>
        <w:spacing w:line="44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1.1</w:t>
      </w:r>
      <w:r>
        <w:rPr>
          <w:rFonts w:hint="eastAsia" w:ascii="仿宋" w:hAnsi="仿宋" w:eastAsia="仿宋"/>
          <w:color w:val="auto"/>
          <w:sz w:val="24"/>
          <w:szCs w:val="24"/>
          <w:highlight w:val="none"/>
        </w:rPr>
        <w:t>《中华人民共和国政府采购法》；</w:t>
      </w:r>
    </w:p>
    <w:p w14:paraId="7AE5AE68">
      <w:pPr>
        <w:spacing w:line="44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1.2</w:t>
      </w:r>
      <w:r>
        <w:rPr>
          <w:rFonts w:hint="eastAsia" w:ascii="仿宋" w:hAnsi="仿宋" w:eastAsia="仿宋"/>
          <w:color w:val="auto"/>
          <w:sz w:val="24"/>
          <w:szCs w:val="24"/>
          <w:highlight w:val="none"/>
        </w:rPr>
        <w:t>《中华人民共和国</w:t>
      </w:r>
      <w:r>
        <w:rPr>
          <w:rFonts w:hint="eastAsia" w:ascii="仿宋" w:hAnsi="仿宋" w:eastAsia="仿宋"/>
          <w:color w:val="auto"/>
          <w:sz w:val="24"/>
          <w:szCs w:val="24"/>
          <w:highlight w:val="none"/>
          <w:lang w:val="en-US" w:eastAsia="zh-CN"/>
        </w:rPr>
        <w:t>民法典</w:t>
      </w:r>
      <w:r>
        <w:rPr>
          <w:rFonts w:hint="eastAsia" w:ascii="仿宋" w:hAnsi="仿宋" w:eastAsia="仿宋"/>
          <w:color w:val="auto"/>
          <w:sz w:val="24"/>
          <w:szCs w:val="24"/>
          <w:highlight w:val="none"/>
        </w:rPr>
        <w:t>》；</w:t>
      </w:r>
    </w:p>
    <w:p w14:paraId="3FD87F08">
      <w:pPr>
        <w:spacing w:line="44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1</w:t>
      </w:r>
      <w:r>
        <w:rPr>
          <w:rFonts w:hint="eastAsia" w:ascii="仿宋" w:hAnsi="仿宋" w:eastAsia="仿宋"/>
          <w:color w:val="auto"/>
          <w:sz w:val="24"/>
          <w:szCs w:val="24"/>
          <w:highlight w:val="none"/>
        </w:rPr>
        <w:t>.</w:t>
      </w:r>
      <w:r>
        <w:rPr>
          <w:rFonts w:ascii="仿宋" w:hAnsi="仿宋" w:eastAsia="仿宋"/>
          <w:color w:val="auto"/>
          <w:sz w:val="24"/>
          <w:szCs w:val="24"/>
          <w:highlight w:val="none"/>
        </w:rPr>
        <w:t>3</w:t>
      </w:r>
      <w:r>
        <w:rPr>
          <w:rFonts w:hint="eastAsia" w:ascii="仿宋" w:hAnsi="仿宋" w:eastAsia="仿宋"/>
          <w:color w:val="auto"/>
          <w:sz w:val="24"/>
          <w:szCs w:val="24"/>
          <w:highlight w:val="none"/>
        </w:rPr>
        <w:t>《中华人民共和国政府采购法实施条例》；</w:t>
      </w:r>
    </w:p>
    <w:p w14:paraId="765AF890">
      <w:pPr>
        <w:spacing w:line="44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1.4</w:t>
      </w:r>
      <w:r>
        <w:rPr>
          <w:rFonts w:hint="eastAsia" w:ascii="仿宋" w:hAnsi="仿宋" w:eastAsia="仿宋"/>
          <w:color w:val="auto"/>
          <w:sz w:val="24"/>
          <w:szCs w:val="24"/>
          <w:highlight w:val="none"/>
        </w:rPr>
        <w:t>《政府采购货物和服务招标投标管理办法》；</w:t>
      </w:r>
    </w:p>
    <w:p w14:paraId="70E7C028">
      <w:pPr>
        <w:spacing w:line="44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1.5</w:t>
      </w:r>
      <w:r>
        <w:rPr>
          <w:rFonts w:hint="eastAsia" w:ascii="仿宋" w:hAnsi="仿宋" w:eastAsia="仿宋"/>
          <w:color w:val="auto"/>
          <w:sz w:val="24"/>
          <w:szCs w:val="24"/>
          <w:highlight w:val="none"/>
        </w:rPr>
        <w:t>《政府采购供应商投诉处理办法》；</w:t>
      </w:r>
    </w:p>
    <w:p w14:paraId="5C721082">
      <w:pPr>
        <w:spacing w:line="44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1.</w:t>
      </w:r>
      <w:r>
        <w:rPr>
          <w:rFonts w:hint="eastAsia" w:ascii="仿宋" w:hAnsi="仿宋" w:eastAsia="仿宋"/>
          <w:color w:val="auto"/>
          <w:sz w:val="24"/>
          <w:szCs w:val="24"/>
          <w:highlight w:val="none"/>
        </w:rPr>
        <w:t>6其他有关法律、行政法规以及省市规范性文件规定。</w:t>
      </w:r>
    </w:p>
    <w:p w14:paraId="614C38B2">
      <w:pPr>
        <w:spacing w:line="440" w:lineRule="exact"/>
        <w:ind w:firstLine="560" w:firstLineChars="200"/>
        <w:outlineLvl w:val="2"/>
        <w:rPr>
          <w:rFonts w:ascii="楷体" w:hAnsi="楷体" w:eastAsia="楷体"/>
          <w:color w:val="auto"/>
          <w:sz w:val="28"/>
          <w:szCs w:val="28"/>
          <w:highlight w:val="none"/>
        </w:rPr>
      </w:pPr>
      <w:bookmarkStart w:id="52" w:name="_Toc494455651"/>
      <w:bookmarkStart w:id="53" w:name="_Toc11837"/>
      <w:r>
        <w:rPr>
          <w:rFonts w:ascii="楷体" w:hAnsi="楷体" w:eastAsia="楷体"/>
          <w:color w:val="auto"/>
          <w:sz w:val="28"/>
          <w:szCs w:val="28"/>
          <w:highlight w:val="none"/>
        </w:rPr>
        <w:t>2</w:t>
      </w:r>
      <w:r>
        <w:rPr>
          <w:rFonts w:hint="eastAsia" w:ascii="楷体" w:hAnsi="楷体" w:eastAsia="楷体"/>
          <w:color w:val="auto"/>
          <w:sz w:val="28"/>
          <w:szCs w:val="28"/>
          <w:highlight w:val="none"/>
        </w:rPr>
        <w:t>.合格的投标人</w:t>
      </w:r>
      <w:bookmarkEnd w:id="52"/>
      <w:bookmarkEnd w:id="53"/>
    </w:p>
    <w:p w14:paraId="3E3E4E9B">
      <w:pPr>
        <w:spacing w:line="44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2</w:t>
      </w:r>
      <w:r>
        <w:rPr>
          <w:rFonts w:hint="eastAsia" w:ascii="仿宋" w:hAnsi="仿宋" w:eastAsia="仿宋"/>
          <w:color w:val="auto"/>
          <w:sz w:val="24"/>
          <w:szCs w:val="24"/>
          <w:highlight w:val="none"/>
        </w:rPr>
        <w:t>.</w:t>
      </w:r>
      <w:r>
        <w:rPr>
          <w:rFonts w:ascii="仿宋" w:hAnsi="仿宋" w:eastAsia="仿宋"/>
          <w:color w:val="auto"/>
          <w:sz w:val="24"/>
          <w:szCs w:val="24"/>
          <w:highlight w:val="none"/>
        </w:rPr>
        <w:t>1</w:t>
      </w:r>
      <w:r>
        <w:rPr>
          <w:rFonts w:hint="eastAsia" w:ascii="仿宋" w:hAnsi="仿宋" w:eastAsia="仿宋"/>
          <w:color w:val="auto"/>
          <w:sz w:val="24"/>
          <w:szCs w:val="24"/>
          <w:highlight w:val="none"/>
        </w:rPr>
        <w:t>符合《中华人民共和国政府采购法》第二十二条规定的条件；</w:t>
      </w:r>
    </w:p>
    <w:p w14:paraId="09A48B27">
      <w:pPr>
        <w:spacing w:line="44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2</w:t>
      </w:r>
      <w:r>
        <w:rPr>
          <w:rFonts w:hint="eastAsia" w:ascii="仿宋" w:hAnsi="仿宋" w:eastAsia="仿宋"/>
          <w:color w:val="auto"/>
          <w:sz w:val="24"/>
          <w:szCs w:val="24"/>
          <w:highlight w:val="none"/>
        </w:rPr>
        <w:t>.</w:t>
      </w:r>
      <w:r>
        <w:rPr>
          <w:rFonts w:ascii="仿宋" w:hAnsi="仿宋" w:eastAsia="仿宋"/>
          <w:color w:val="auto"/>
          <w:sz w:val="24"/>
          <w:szCs w:val="24"/>
          <w:highlight w:val="none"/>
        </w:rPr>
        <w:t>2</w:t>
      </w:r>
      <w:r>
        <w:rPr>
          <w:rFonts w:hint="eastAsia" w:ascii="仿宋" w:hAnsi="仿宋" w:eastAsia="仿宋"/>
          <w:color w:val="auto"/>
          <w:sz w:val="24"/>
          <w:szCs w:val="24"/>
          <w:highlight w:val="none"/>
        </w:rPr>
        <w:t>符合本招标文件规定的资格要求，且按照要求提供相关证明材料；</w:t>
      </w:r>
    </w:p>
    <w:p w14:paraId="7F073F9E">
      <w:pPr>
        <w:spacing w:line="44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2</w:t>
      </w:r>
      <w:r>
        <w:rPr>
          <w:rFonts w:hint="eastAsia" w:ascii="仿宋" w:hAnsi="仿宋" w:eastAsia="仿宋"/>
          <w:color w:val="auto"/>
          <w:sz w:val="24"/>
          <w:szCs w:val="24"/>
          <w:highlight w:val="none"/>
        </w:rPr>
        <w:t>.3单位负责人为同一个人的两个以及两个以上法人，母公司、全资子公司以及其控股公司或者存在管理关系的不同单位，都不得在同一包或者未划分包的同一招标项目同时投标；</w:t>
      </w:r>
    </w:p>
    <w:p w14:paraId="15BA81A8">
      <w:pPr>
        <w:spacing w:line="44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2.</w:t>
      </w:r>
      <w:r>
        <w:rPr>
          <w:rFonts w:hint="eastAsia" w:ascii="仿宋" w:hAnsi="仿宋" w:eastAsia="仿宋"/>
          <w:color w:val="auto"/>
          <w:sz w:val="24"/>
          <w:szCs w:val="24"/>
          <w:highlight w:val="none"/>
        </w:rPr>
        <w:t>4投标人须知前附表规定接受联合体投标的，应符合以下规定：</w:t>
      </w:r>
    </w:p>
    <w:p w14:paraId="1C408FA9">
      <w:pPr>
        <w:spacing w:line="44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2.</w:t>
      </w:r>
      <w:r>
        <w:rPr>
          <w:rFonts w:hint="eastAsia" w:ascii="仿宋" w:hAnsi="仿宋" w:eastAsia="仿宋"/>
          <w:color w:val="auto"/>
          <w:sz w:val="24"/>
          <w:szCs w:val="24"/>
          <w:highlight w:val="none"/>
        </w:rPr>
        <w:t>4</w:t>
      </w:r>
      <w:r>
        <w:rPr>
          <w:rFonts w:ascii="仿宋" w:hAnsi="仿宋" w:eastAsia="仿宋"/>
          <w:color w:val="auto"/>
          <w:sz w:val="24"/>
          <w:szCs w:val="24"/>
          <w:highlight w:val="none"/>
        </w:rPr>
        <w:t>.1</w:t>
      </w:r>
      <w:r>
        <w:rPr>
          <w:rFonts w:hint="eastAsia" w:ascii="仿宋" w:hAnsi="仿宋" w:eastAsia="仿宋"/>
          <w:color w:val="auto"/>
          <w:sz w:val="24"/>
          <w:szCs w:val="24"/>
          <w:highlight w:val="none"/>
        </w:rPr>
        <w:t>联合体各方应按照招标文件提供的格式签订联合体协议书，明确联合体牵头人和各方权利义务；</w:t>
      </w:r>
    </w:p>
    <w:p w14:paraId="7E5CFE7C">
      <w:pPr>
        <w:spacing w:line="44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2.</w:t>
      </w:r>
      <w:r>
        <w:rPr>
          <w:rFonts w:hint="eastAsia" w:ascii="仿宋" w:hAnsi="仿宋" w:eastAsia="仿宋"/>
          <w:color w:val="auto"/>
          <w:sz w:val="24"/>
          <w:szCs w:val="24"/>
          <w:highlight w:val="none"/>
        </w:rPr>
        <w:t>4</w:t>
      </w:r>
      <w:r>
        <w:rPr>
          <w:rFonts w:ascii="仿宋" w:hAnsi="仿宋" w:eastAsia="仿宋"/>
          <w:color w:val="auto"/>
          <w:sz w:val="24"/>
          <w:szCs w:val="24"/>
          <w:highlight w:val="none"/>
        </w:rPr>
        <w:t>.2</w:t>
      </w:r>
      <w:r>
        <w:rPr>
          <w:rFonts w:hint="eastAsia" w:ascii="仿宋" w:hAnsi="仿宋" w:eastAsia="仿宋"/>
          <w:color w:val="auto"/>
          <w:sz w:val="24"/>
          <w:szCs w:val="24"/>
          <w:highlight w:val="none"/>
        </w:rPr>
        <w:t>联合体各方均应当符合《政府采购法》第二十二条第一款规定的条件；</w:t>
      </w:r>
    </w:p>
    <w:p w14:paraId="4D84FC5D">
      <w:pPr>
        <w:spacing w:line="44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2.</w:t>
      </w:r>
      <w:r>
        <w:rPr>
          <w:rFonts w:hint="eastAsia" w:ascii="仿宋" w:hAnsi="仿宋" w:eastAsia="仿宋"/>
          <w:color w:val="auto"/>
          <w:sz w:val="24"/>
          <w:szCs w:val="24"/>
          <w:highlight w:val="none"/>
        </w:rPr>
        <w:t>4</w:t>
      </w:r>
      <w:r>
        <w:rPr>
          <w:rFonts w:ascii="仿宋" w:hAnsi="仿宋" w:eastAsia="仿宋"/>
          <w:color w:val="auto"/>
          <w:sz w:val="24"/>
          <w:szCs w:val="24"/>
          <w:highlight w:val="none"/>
        </w:rPr>
        <w:t>.3</w:t>
      </w:r>
      <w:r>
        <w:rPr>
          <w:rFonts w:hint="eastAsia" w:ascii="仿宋" w:hAnsi="仿宋" w:eastAsia="仿宋"/>
          <w:color w:val="auto"/>
          <w:sz w:val="24"/>
          <w:szCs w:val="24"/>
          <w:highlight w:val="none"/>
        </w:rPr>
        <w:t>联合体中有同类资质的投标人按照联合体分工承担相同工作的，应当按照资质等级较低的投标人确定资质等级。</w:t>
      </w:r>
    </w:p>
    <w:p w14:paraId="3D562F89">
      <w:pPr>
        <w:spacing w:line="44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2.</w:t>
      </w:r>
      <w:r>
        <w:rPr>
          <w:rFonts w:hint="eastAsia" w:ascii="仿宋" w:hAnsi="仿宋" w:eastAsia="仿宋"/>
          <w:color w:val="auto"/>
          <w:sz w:val="24"/>
          <w:szCs w:val="24"/>
          <w:highlight w:val="none"/>
        </w:rPr>
        <w:t>4</w:t>
      </w:r>
      <w:r>
        <w:rPr>
          <w:rFonts w:ascii="仿宋" w:hAnsi="仿宋" w:eastAsia="仿宋"/>
          <w:color w:val="auto"/>
          <w:sz w:val="24"/>
          <w:szCs w:val="24"/>
          <w:highlight w:val="none"/>
        </w:rPr>
        <w:t>.4</w:t>
      </w:r>
      <w:r>
        <w:rPr>
          <w:rFonts w:hint="eastAsia" w:ascii="仿宋" w:hAnsi="仿宋" w:eastAsia="仿宋"/>
          <w:color w:val="auto"/>
          <w:sz w:val="24"/>
          <w:szCs w:val="24"/>
          <w:highlight w:val="none"/>
        </w:rPr>
        <w:t>以联合体形式参加政府采购活动的，联合体各方不得再单独参加或者与其他投标人另外组成联合体参加同一合同项下的政府采购活动。</w:t>
      </w:r>
    </w:p>
    <w:p w14:paraId="46F7A04B">
      <w:pPr>
        <w:spacing w:line="44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2.</w:t>
      </w:r>
      <w:r>
        <w:rPr>
          <w:rFonts w:hint="eastAsia" w:ascii="仿宋" w:hAnsi="仿宋" w:eastAsia="仿宋"/>
          <w:color w:val="auto"/>
          <w:sz w:val="24"/>
          <w:szCs w:val="24"/>
          <w:highlight w:val="none"/>
        </w:rPr>
        <w:t>4</w:t>
      </w:r>
      <w:r>
        <w:rPr>
          <w:rFonts w:ascii="仿宋" w:hAnsi="仿宋" w:eastAsia="仿宋"/>
          <w:color w:val="auto"/>
          <w:sz w:val="24"/>
          <w:szCs w:val="24"/>
          <w:highlight w:val="none"/>
        </w:rPr>
        <w:t>.5</w:t>
      </w:r>
      <w:r>
        <w:rPr>
          <w:rFonts w:hint="eastAsia" w:ascii="仿宋" w:hAnsi="仿宋" w:eastAsia="仿宋"/>
          <w:color w:val="auto"/>
          <w:sz w:val="24"/>
          <w:szCs w:val="24"/>
          <w:highlight w:val="none"/>
        </w:rPr>
        <w:t>联合体各方应当共同与采购人签订采购合同，就合同约定的事项对采购人承担连带责任；</w:t>
      </w:r>
    </w:p>
    <w:p w14:paraId="76374CBA">
      <w:pPr>
        <w:spacing w:line="44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2.</w:t>
      </w:r>
      <w:r>
        <w:rPr>
          <w:rFonts w:hint="eastAsia" w:ascii="仿宋" w:hAnsi="仿宋" w:eastAsia="仿宋"/>
          <w:color w:val="auto"/>
          <w:sz w:val="24"/>
          <w:szCs w:val="24"/>
          <w:highlight w:val="none"/>
        </w:rPr>
        <w:t>4</w:t>
      </w:r>
      <w:r>
        <w:rPr>
          <w:rFonts w:ascii="仿宋" w:hAnsi="仿宋" w:eastAsia="仿宋"/>
          <w:color w:val="auto"/>
          <w:sz w:val="24"/>
          <w:szCs w:val="24"/>
          <w:highlight w:val="none"/>
        </w:rPr>
        <w:t>.6</w:t>
      </w:r>
      <w:r>
        <w:rPr>
          <w:rFonts w:hint="eastAsia" w:ascii="仿宋" w:hAnsi="仿宋" w:eastAsia="仿宋"/>
          <w:color w:val="auto"/>
          <w:sz w:val="24"/>
          <w:szCs w:val="24"/>
          <w:highlight w:val="none"/>
        </w:rPr>
        <w:t>鼓励大中型企业和其他自然人、法人或者其他组织与小型、微型企业组成联合体投标，但联合体各方均应符合上述规定。</w:t>
      </w:r>
    </w:p>
    <w:p w14:paraId="0B433182">
      <w:pPr>
        <w:spacing w:line="44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2.</w:t>
      </w:r>
      <w:r>
        <w:rPr>
          <w:rFonts w:hint="eastAsia" w:ascii="仿宋" w:hAnsi="仿宋" w:eastAsia="仿宋"/>
          <w:color w:val="auto"/>
          <w:sz w:val="24"/>
          <w:szCs w:val="24"/>
          <w:highlight w:val="none"/>
        </w:rPr>
        <w:t>5除采购人拟采购进口产品通过财政部门审核外，投标人不得提供直接进口或者委托进口产品（包括已进入中国境内的进口产品）。</w:t>
      </w:r>
    </w:p>
    <w:p w14:paraId="6ADBE481">
      <w:pPr>
        <w:spacing w:line="44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2.</w:t>
      </w:r>
      <w:r>
        <w:rPr>
          <w:rFonts w:hint="eastAsia" w:ascii="仿宋" w:hAnsi="仿宋" w:eastAsia="仿宋"/>
          <w:color w:val="auto"/>
          <w:sz w:val="24"/>
          <w:szCs w:val="24"/>
          <w:highlight w:val="none"/>
        </w:rPr>
        <w:t>6为本项目提供整体设计、规范编制或者项目管理、监理、检测等服务的投标人，不得再参加本项目的招标活动。</w:t>
      </w:r>
    </w:p>
    <w:p w14:paraId="0895493C">
      <w:pPr>
        <w:spacing w:line="44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2.</w:t>
      </w:r>
      <w:r>
        <w:rPr>
          <w:rFonts w:hint="eastAsia" w:ascii="仿宋" w:hAnsi="仿宋" w:eastAsia="仿宋"/>
          <w:color w:val="auto"/>
          <w:sz w:val="24"/>
          <w:szCs w:val="24"/>
          <w:highlight w:val="none"/>
        </w:rPr>
        <w:t>7</w:t>
      </w:r>
      <w:r>
        <w:rPr>
          <w:rFonts w:ascii="仿宋" w:hAnsi="仿宋" w:eastAsia="仿宋"/>
          <w:color w:val="auto"/>
          <w:sz w:val="24"/>
          <w:szCs w:val="24"/>
          <w:highlight w:val="none"/>
        </w:rPr>
        <w:t>采购代理机构及其分支机构不得在所代理的采购项目中投标或者代理投标，不得为所代理的采购项目的投标人参加本项目提供投标咨询。</w:t>
      </w:r>
    </w:p>
    <w:p w14:paraId="5DCA9643">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2.8投标人提供的证明材料内容必须真实可靠。</w:t>
      </w:r>
    </w:p>
    <w:p w14:paraId="0BC254DB">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符合上述条件的投标人即为合格投标人，具有参与公开招标的资格。</w:t>
      </w:r>
    </w:p>
    <w:p w14:paraId="16170A79">
      <w:pPr>
        <w:spacing w:line="440" w:lineRule="exact"/>
        <w:ind w:firstLine="560" w:firstLineChars="200"/>
        <w:outlineLvl w:val="2"/>
        <w:rPr>
          <w:rFonts w:ascii="楷体" w:hAnsi="楷体" w:eastAsia="楷体"/>
          <w:color w:val="auto"/>
          <w:sz w:val="28"/>
          <w:szCs w:val="28"/>
          <w:highlight w:val="none"/>
        </w:rPr>
      </w:pPr>
      <w:bookmarkStart w:id="54" w:name="_Toc12009"/>
      <w:bookmarkStart w:id="55" w:name="_Toc494455652"/>
      <w:r>
        <w:rPr>
          <w:rFonts w:ascii="楷体" w:hAnsi="楷体" w:eastAsia="楷体"/>
          <w:color w:val="auto"/>
          <w:sz w:val="28"/>
          <w:szCs w:val="28"/>
          <w:highlight w:val="none"/>
        </w:rPr>
        <w:t>3</w:t>
      </w:r>
      <w:r>
        <w:rPr>
          <w:rFonts w:hint="eastAsia" w:ascii="楷体" w:hAnsi="楷体" w:eastAsia="楷体"/>
          <w:color w:val="auto"/>
          <w:sz w:val="28"/>
          <w:szCs w:val="28"/>
          <w:highlight w:val="none"/>
        </w:rPr>
        <w:t>.保密</w:t>
      </w:r>
      <w:bookmarkEnd w:id="54"/>
      <w:bookmarkEnd w:id="55"/>
    </w:p>
    <w:p w14:paraId="1B95E4AC">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参与招标投标活动的当事人应对招标文件和投标文件中的商业和技术等秘密保密，违者应对由此造成的后果承担法律责任。</w:t>
      </w:r>
    </w:p>
    <w:p w14:paraId="338AC3C4">
      <w:pPr>
        <w:spacing w:line="440" w:lineRule="exact"/>
        <w:ind w:firstLine="560" w:firstLineChars="200"/>
        <w:outlineLvl w:val="2"/>
        <w:rPr>
          <w:rFonts w:ascii="楷体" w:hAnsi="楷体" w:eastAsia="楷体"/>
          <w:color w:val="auto"/>
          <w:sz w:val="28"/>
          <w:szCs w:val="28"/>
          <w:highlight w:val="none"/>
        </w:rPr>
      </w:pPr>
      <w:bookmarkStart w:id="56" w:name="_Toc494455653"/>
      <w:bookmarkStart w:id="57" w:name="_Toc23182"/>
      <w:r>
        <w:rPr>
          <w:rFonts w:ascii="楷体" w:hAnsi="楷体" w:eastAsia="楷体"/>
          <w:color w:val="auto"/>
          <w:sz w:val="28"/>
          <w:szCs w:val="28"/>
          <w:highlight w:val="none"/>
        </w:rPr>
        <w:t>4.</w:t>
      </w:r>
      <w:r>
        <w:rPr>
          <w:rFonts w:hint="eastAsia" w:ascii="楷体" w:hAnsi="楷体" w:eastAsia="楷体"/>
          <w:color w:val="auto"/>
          <w:sz w:val="28"/>
          <w:szCs w:val="28"/>
          <w:highlight w:val="none"/>
        </w:rPr>
        <w:t>语言文字、计量单位、时间单位、投标有效期以及投标费用</w:t>
      </w:r>
      <w:bookmarkEnd w:id="56"/>
      <w:bookmarkEnd w:id="57"/>
    </w:p>
    <w:p w14:paraId="6EEC9AD0">
      <w:pPr>
        <w:spacing w:line="44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4</w:t>
      </w:r>
      <w:r>
        <w:rPr>
          <w:rFonts w:hint="eastAsia" w:ascii="仿宋" w:hAnsi="仿宋" w:eastAsia="仿宋"/>
          <w:color w:val="auto"/>
          <w:sz w:val="24"/>
          <w:szCs w:val="24"/>
          <w:highlight w:val="none"/>
        </w:rPr>
        <w:t>.</w:t>
      </w:r>
      <w:r>
        <w:rPr>
          <w:rFonts w:ascii="仿宋" w:hAnsi="仿宋" w:eastAsia="仿宋"/>
          <w:color w:val="auto"/>
          <w:sz w:val="24"/>
          <w:szCs w:val="24"/>
          <w:highlight w:val="none"/>
        </w:rPr>
        <w:t>1语言文字</w:t>
      </w:r>
    </w:p>
    <w:p w14:paraId="134E729D">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除专用术语外，与招标投标活动有关的语言均使用简体中文。必要时专用术语应附有中文注释。如投标人提交的支持文件和印刷的文献使用另一种语言，应附有相应内容的中文翻译本，在解释投标文件时以中文翻译本为准。</w:t>
      </w:r>
    </w:p>
    <w:p w14:paraId="2119A35E">
      <w:pPr>
        <w:spacing w:line="44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4.2</w:t>
      </w:r>
      <w:r>
        <w:rPr>
          <w:rFonts w:hint="eastAsia" w:ascii="仿宋" w:hAnsi="仿宋" w:eastAsia="仿宋"/>
          <w:color w:val="auto"/>
          <w:sz w:val="24"/>
          <w:szCs w:val="24"/>
          <w:highlight w:val="none"/>
        </w:rPr>
        <w:t>计量单位</w:t>
      </w:r>
    </w:p>
    <w:p w14:paraId="7FBC7FEB">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除招标文件另有规定外，计量均应采用中华人民共和国法定计量单位；所有报价一律使用人民币，货币单位为“元”。</w:t>
      </w:r>
    </w:p>
    <w:p w14:paraId="7048BA5A">
      <w:pPr>
        <w:spacing w:line="44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4.3</w:t>
      </w:r>
      <w:r>
        <w:rPr>
          <w:rFonts w:hint="eastAsia" w:ascii="仿宋" w:hAnsi="仿宋" w:eastAsia="仿宋"/>
          <w:color w:val="auto"/>
          <w:sz w:val="24"/>
          <w:szCs w:val="24"/>
          <w:highlight w:val="none"/>
        </w:rPr>
        <w:t>时间单位</w:t>
      </w:r>
    </w:p>
    <w:p w14:paraId="0BAE4FF6">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除招标文件中另有规定外，招标文件所使用的时间单位“天”、“日”均指日历天，时、分均为北京时间。</w:t>
      </w:r>
    </w:p>
    <w:p w14:paraId="2A46DECD">
      <w:pPr>
        <w:spacing w:line="44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4</w:t>
      </w:r>
      <w:r>
        <w:rPr>
          <w:rFonts w:hint="eastAsia" w:ascii="仿宋" w:hAnsi="仿宋" w:eastAsia="仿宋"/>
          <w:color w:val="auto"/>
          <w:sz w:val="24"/>
          <w:szCs w:val="24"/>
          <w:highlight w:val="none"/>
        </w:rPr>
        <w:t>.</w:t>
      </w:r>
      <w:r>
        <w:rPr>
          <w:rFonts w:ascii="仿宋" w:hAnsi="仿宋" w:eastAsia="仿宋"/>
          <w:color w:val="auto"/>
          <w:sz w:val="24"/>
          <w:szCs w:val="24"/>
          <w:highlight w:val="none"/>
        </w:rPr>
        <w:t>4投标有效期</w:t>
      </w:r>
    </w:p>
    <w:p w14:paraId="5DFB48FC">
      <w:pPr>
        <w:spacing w:line="44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4.4.1</w:t>
      </w:r>
      <w:r>
        <w:rPr>
          <w:rFonts w:hint="eastAsia" w:ascii="仿宋" w:hAnsi="仿宋" w:eastAsia="仿宋"/>
          <w:color w:val="auto"/>
          <w:sz w:val="24"/>
          <w:szCs w:val="24"/>
          <w:highlight w:val="none"/>
        </w:rPr>
        <w:t>在投标人须知前附表规定的投标有效期内，投标文件以及其补充、承诺等部分均保持有效。</w:t>
      </w:r>
    </w:p>
    <w:p w14:paraId="69261472">
      <w:pPr>
        <w:spacing w:line="44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4.4.2</w:t>
      </w:r>
      <w:r>
        <w:rPr>
          <w:rFonts w:hint="eastAsia" w:ascii="仿宋" w:hAnsi="仿宋" w:eastAsia="仿宋"/>
          <w:color w:val="auto"/>
          <w:sz w:val="24"/>
          <w:szCs w:val="24"/>
          <w:highlight w:val="none"/>
        </w:rPr>
        <w:t>在招标文件规定的投标文件有效期满之前，如果出现特殊情况，采购人或者采购代理机构可在投标有效期内要求投标人延长有效期，要求与答复均以书面通知为准并作为招标文件和投标文件的组成部分；投标人可以拒绝上述要求而其投标保证金不被没收，拒绝延长投标文件有效期的，其投标失效；同意上述要求的，既不能要求也不允许其修改投标文件，有关退还和没收投标保证金的规定在投标有效期的延长期内继续有效。</w:t>
      </w:r>
    </w:p>
    <w:p w14:paraId="151AA295">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4.4.3</w:t>
      </w:r>
      <w:r>
        <w:rPr>
          <w:rFonts w:ascii="仿宋" w:hAnsi="仿宋" w:eastAsia="仿宋"/>
          <w:color w:val="auto"/>
          <w:sz w:val="24"/>
          <w:szCs w:val="24"/>
          <w:highlight w:val="none"/>
        </w:rPr>
        <w:t>投标有效期内投标人撤销投标文件的，</w:t>
      </w:r>
      <w:r>
        <w:rPr>
          <w:rFonts w:hint="eastAsia" w:ascii="仿宋" w:hAnsi="仿宋" w:eastAsia="仿宋"/>
          <w:color w:val="auto"/>
          <w:sz w:val="24"/>
          <w:szCs w:val="24"/>
          <w:highlight w:val="none"/>
        </w:rPr>
        <w:t>采购人</w:t>
      </w:r>
      <w:r>
        <w:rPr>
          <w:rFonts w:ascii="仿宋" w:hAnsi="仿宋" w:eastAsia="仿宋"/>
          <w:color w:val="auto"/>
          <w:sz w:val="24"/>
          <w:szCs w:val="24"/>
          <w:highlight w:val="none"/>
        </w:rPr>
        <w:t>或者采购代理机构可以不退还投标保证金。</w:t>
      </w:r>
    </w:p>
    <w:p w14:paraId="69404717">
      <w:pPr>
        <w:spacing w:line="44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4.5投标费用</w:t>
      </w:r>
    </w:p>
    <w:p w14:paraId="28417DEF">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投标人应自行承担其准备和参加投标活动发生的所有费用。</w:t>
      </w:r>
    </w:p>
    <w:p w14:paraId="65897E38">
      <w:pPr>
        <w:spacing w:line="440" w:lineRule="exact"/>
        <w:ind w:firstLine="560" w:firstLineChars="200"/>
        <w:outlineLvl w:val="2"/>
        <w:rPr>
          <w:rFonts w:ascii="楷体" w:hAnsi="楷体" w:eastAsia="楷体"/>
          <w:color w:val="auto"/>
          <w:sz w:val="28"/>
          <w:szCs w:val="28"/>
          <w:highlight w:val="none"/>
        </w:rPr>
      </w:pPr>
      <w:bookmarkStart w:id="58" w:name="_Toc25682"/>
      <w:bookmarkStart w:id="59" w:name="_Toc494455654"/>
      <w:r>
        <w:rPr>
          <w:rFonts w:ascii="楷体" w:hAnsi="楷体" w:eastAsia="楷体"/>
          <w:color w:val="auto"/>
          <w:sz w:val="28"/>
          <w:szCs w:val="28"/>
          <w:highlight w:val="none"/>
        </w:rPr>
        <w:t>5.</w:t>
      </w:r>
      <w:r>
        <w:rPr>
          <w:rFonts w:hint="eastAsia" w:ascii="楷体" w:hAnsi="楷体" w:eastAsia="楷体"/>
          <w:color w:val="auto"/>
          <w:sz w:val="28"/>
          <w:szCs w:val="28"/>
          <w:highlight w:val="none"/>
        </w:rPr>
        <w:t>踏勘现场</w:t>
      </w:r>
      <w:bookmarkEnd w:id="58"/>
      <w:bookmarkEnd w:id="59"/>
    </w:p>
    <w:p w14:paraId="15EF9BE0">
      <w:pPr>
        <w:spacing w:line="44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5.1</w:t>
      </w:r>
      <w:r>
        <w:rPr>
          <w:rFonts w:hint="eastAsia" w:ascii="仿宋" w:hAnsi="仿宋" w:eastAsia="仿宋"/>
          <w:color w:val="auto"/>
          <w:sz w:val="24"/>
          <w:szCs w:val="24"/>
          <w:highlight w:val="none"/>
        </w:rPr>
        <w:t>投标人须知前附表规定组织踏勘现场的，采购人必须按照规定时间、地点组织投标人踏勘项目现场，以便投标人获取有关编制投标文件和签署合同所涉及现场的资料。投标人承担踏勘现场所发生的自身费用。</w:t>
      </w:r>
    </w:p>
    <w:p w14:paraId="4CDB8D21">
      <w:pPr>
        <w:spacing w:line="44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5.2</w:t>
      </w:r>
      <w:r>
        <w:rPr>
          <w:rFonts w:hint="eastAsia" w:ascii="仿宋" w:hAnsi="仿宋" w:eastAsia="仿宋"/>
          <w:color w:val="auto"/>
          <w:sz w:val="24"/>
          <w:szCs w:val="24"/>
          <w:highlight w:val="none"/>
        </w:rPr>
        <w:t>采购人向投标人提供的有关现场的资料和数据，是采购人现有的能使投标人利用的资料，采购人对投标人由此而做出的推论、理解和结论不负责任。</w:t>
      </w:r>
    </w:p>
    <w:p w14:paraId="5FD2111F">
      <w:pPr>
        <w:spacing w:line="44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5.3</w:t>
      </w:r>
      <w:r>
        <w:rPr>
          <w:rFonts w:hint="eastAsia" w:ascii="仿宋" w:hAnsi="仿宋" w:eastAsia="仿宋"/>
          <w:color w:val="auto"/>
          <w:sz w:val="24"/>
          <w:szCs w:val="24"/>
          <w:highlight w:val="none"/>
        </w:rPr>
        <w:t>投标人经过采购人允许，可以进入项目现场踏勘，但不得因此使采购人承担有关责任和蒙受损失。除采购人原因外，投标人应对踏勘现场而造成的死亡、人身伤害、财产损失、损害以及其它任何损失、损害和引起的费用和开支承担责任。</w:t>
      </w:r>
    </w:p>
    <w:p w14:paraId="45FC4763">
      <w:pPr>
        <w:spacing w:line="440" w:lineRule="exact"/>
        <w:ind w:firstLine="560" w:firstLineChars="200"/>
        <w:outlineLvl w:val="2"/>
        <w:rPr>
          <w:rFonts w:ascii="楷体" w:hAnsi="楷体" w:eastAsia="楷体"/>
          <w:color w:val="auto"/>
          <w:sz w:val="28"/>
          <w:szCs w:val="28"/>
          <w:highlight w:val="none"/>
        </w:rPr>
      </w:pPr>
      <w:bookmarkStart w:id="60" w:name="_Toc494455655"/>
      <w:bookmarkStart w:id="61" w:name="_Toc8159"/>
      <w:r>
        <w:rPr>
          <w:rFonts w:ascii="楷体" w:hAnsi="楷体" w:eastAsia="楷体"/>
          <w:color w:val="auto"/>
          <w:sz w:val="28"/>
          <w:szCs w:val="28"/>
          <w:highlight w:val="none"/>
        </w:rPr>
        <w:t>6</w:t>
      </w:r>
      <w:r>
        <w:rPr>
          <w:rFonts w:hint="eastAsia" w:ascii="楷体" w:hAnsi="楷体" w:eastAsia="楷体"/>
          <w:color w:val="auto"/>
          <w:sz w:val="28"/>
          <w:szCs w:val="28"/>
          <w:highlight w:val="none"/>
        </w:rPr>
        <w:t>.询问</w:t>
      </w:r>
      <w:bookmarkEnd w:id="60"/>
      <w:bookmarkEnd w:id="61"/>
    </w:p>
    <w:p w14:paraId="5CFA081D">
      <w:pPr>
        <w:spacing w:line="44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6.1</w:t>
      </w:r>
      <w:r>
        <w:rPr>
          <w:rFonts w:hint="eastAsia" w:ascii="仿宋" w:hAnsi="仿宋" w:eastAsia="仿宋"/>
          <w:color w:val="auto"/>
          <w:sz w:val="24"/>
          <w:szCs w:val="24"/>
          <w:highlight w:val="none"/>
        </w:rPr>
        <w:t>投标人对招标投标活动事项有疑问的，可以向采购代理机构提出询问；采购代理机构应当及时作出答复，但答复的内容不得涉及商业秘密。</w:t>
      </w:r>
    </w:p>
    <w:p w14:paraId="1E1FCC7D">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6.</w:t>
      </w:r>
      <w:r>
        <w:rPr>
          <w:rFonts w:ascii="仿宋" w:hAnsi="仿宋" w:eastAsia="仿宋"/>
          <w:color w:val="auto"/>
          <w:sz w:val="24"/>
          <w:szCs w:val="24"/>
          <w:highlight w:val="none"/>
        </w:rPr>
        <w:t>2询问及答复既可以采取书面形式，也可以采取电话、面谈等口头方式。</w:t>
      </w:r>
    </w:p>
    <w:p w14:paraId="4D7BB36C">
      <w:pPr>
        <w:spacing w:line="440" w:lineRule="exact"/>
        <w:ind w:firstLine="560" w:firstLineChars="200"/>
        <w:outlineLvl w:val="2"/>
        <w:rPr>
          <w:rFonts w:ascii="楷体" w:hAnsi="楷体" w:eastAsia="楷体"/>
          <w:color w:val="auto"/>
          <w:sz w:val="28"/>
          <w:szCs w:val="28"/>
          <w:highlight w:val="none"/>
        </w:rPr>
      </w:pPr>
      <w:bookmarkStart w:id="62" w:name="_Toc9698"/>
      <w:bookmarkStart w:id="63" w:name="_Toc494455656"/>
      <w:r>
        <w:rPr>
          <w:rFonts w:ascii="楷体" w:hAnsi="楷体" w:eastAsia="楷体"/>
          <w:color w:val="auto"/>
          <w:sz w:val="28"/>
          <w:szCs w:val="28"/>
          <w:highlight w:val="none"/>
        </w:rPr>
        <w:t>7.</w:t>
      </w:r>
      <w:r>
        <w:rPr>
          <w:rFonts w:hint="eastAsia" w:ascii="楷体" w:hAnsi="楷体" w:eastAsia="楷体"/>
          <w:color w:val="auto"/>
          <w:sz w:val="28"/>
          <w:szCs w:val="28"/>
          <w:highlight w:val="none"/>
        </w:rPr>
        <w:t>偏离</w:t>
      </w:r>
      <w:bookmarkEnd w:id="62"/>
      <w:bookmarkEnd w:id="63"/>
    </w:p>
    <w:p w14:paraId="27670478">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采购人允许投标文件偏离招标文件某些非实质性要求的，偏离应当符合招标文件规定的偏离范围和幅度。</w:t>
      </w:r>
    </w:p>
    <w:p w14:paraId="75E54542">
      <w:pPr>
        <w:spacing w:line="440" w:lineRule="exact"/>
        <w:ind w:firstLine="560" w:firstLineChars="200"/>
        <w:outlineLvl w:val="2"/>
        <w:rPr>
          <w:rFonts w:ascii="楷体" w:hAnsi="楷体" w:eastAsia="楷体"/>
          <w:color w:val="auto"/>
          <w:sz w:val="28"/>
          <w:szCs w:val="28"/>
          <w:highlight w:val="none"/>
        </w:rPr>
      </w:pPr>
      <w:bookmarkStart w:id="64" w:name="_Toc494455657"/>
      <w:bookmarkStart w:id="65" w:name="_Toc24647"/>
      <w:r>
        <w:rPr>
          <w:rFonts w:ascii="楷体" w:hAnsi="楷体" w:eastAsia="楷体"/>
          <w:color w:val="auto"/>
          <w:sz w:val="28"/>
          <w:szCs w:val="28"/>
          <w:highlight w:val="none"/>
        </w:rPr>
        <w:t>8</w:t>
      </w:r>
      <w:r>
        <w:rPr>
          <w:rFonts w:hint="eastAsia" w:ascii="楷体" w:hAnsi="楷体" w:eastAsia="楷体"/>
          <w:color w:val="auto"/>
          <w:sz w:val="28"/>
          <w:szCs w:val="28"/>
          <w:highlight w:val="none"/>
        </w:rPr>
        <w:t>.履约担保</w:t>
      </w:r>
      <w:bookmarkEnd w:id="64"/>
      <w:bookmarkEnd w:id="65"/>
    </w:p>
    <w:p w14:paraId="0ECEAC5E">
      <w:pPr>
        <w:spacing w:line="44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8.1</w:t>
      </w:r>
      <w:r>
        <w:rPr>
          <w:rFonts w:hint="eastAsia" w:ascii="仿宋" w:hAnsi="仿宋" w:eastAsia="仿宋"/>
          <w:color w:val="auto"/>
          <w:sz w:val="24"/>
          <w:szCs w:val="24"/>
          <w:highlight w:val="none"/>
        </w:rPr>
        <w:t>在签订合同前，中标人应按照有关规定或者事先经过采购人书面认可的履约担保要求向采购人提交履约担保。除另有规定外，履约担保金额不超过中标合同金额的</w:t>
      </w:r>
      <w:r>
        <w:rPr>
          <w:rFonts w:ascii="仿宋" w:hAnsi="仿宋" w:eastAsia="仿宋"/>
          <w:color w:val="auto"/>
          <w:sz w:val="24"/>
          <w:szCs w:val="24"/>
          <w:highlight w:val="none"/>
        </w:rPr>
        <w:t>10%</w:t>
      </w:r>
      <w:r>
        <w:rPr>
          <w:rFonts w:hint="eastAsia" w:ascii="仿宋" w:hAnsi="仿宋" w:eastAsia="仿宋"/>
          <w:color w:val="auto"/>
          <w:sz w:val="24"/>
          <w:szCs w:val="24"/>
          <w:highlight w:val="none"/>
        </w:rPr>
        <w:t>。</w:t>
      </w:r>
    </w:p>
    <w:p w14:paraId="1467B682">
      <w:pPr>
        <w:spacing w:line="44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8.2</w:t>
      </w:r>
      <w:r>
        <w:rPr>
          <w:rFonts w:hint="eastAsia" w:ascii="仿宋" w:hAnsi="仿宋" w:eastAsia="仿宋"/>
          <w:color w:val="auto"/>
          <w:sz w:val="24"/>
          <w:szCs w:val="24"/>
          <w:highlight w:val="none"/>
        </w:rPr>
        <w:t>中标人未按照要求提交履约担保的，视为放弃中标，其投标保证金不予退还，给采购人造成的损失超过投标保证金的，中标人应当对超过部分予以赔偿。</w:t>
      </w:r>
    </w:p>
    <w:p w14:paraId="0FA96813">
      <w:pPr>
        <w:spacing w:line="440" w:lineRule="exact"/>
        <w:ind w:firstLine="560" w:firstLineChars="200"/>
        <w:outlineLvl w:val="2"/>
        <w:rPr>
          <w:rFonts w:ascii="楷体" w:hAnsi="楷体" w:eastAsia="楷体"/>
          <w:color w:val="auto"/>
          <w:sz w:val="28"/>
          <w:szCs w:val="28"/>
          <w:highlight w:val="none"/>
        </w:rPr>
      </w:pPr>
      <w:bookmarkStart w:id="66" w:name="_Toc494455658"/>
      <w:bookmarkStart w:id="67" w:name="_Toc10363"/>
      <w:r>
        <w:rPr>
          <w:rFonts w:ascii="楷体" w:hAnsi="楷体" w:eastAsia="楷体"/>
          <w:color w:val="auto"/>
          <w:sz w:val="28"/>
          <w:szCs w:val="28"/>
          <w:highlight w:val="none"/>
        </w:rPr>
        <w:t>9</w:t>
      </w:r>
      <w:r>
        <w:rPr>
          <w:rFonts w:hint="eastAsia" w:ascii="楷体" w:hAnsi="楷体" w:eastAsia="楷体"/>
          <w:color w:val="auto"/>
          <w:sz w:val="28"/>
          <w:szCs w:val="28"/>
          <w:highlight w:val="none"/>
        </w:rPr>
        <w:t>.采购代理服务费</w:t>
      </w:r>
      <w:bookmarkEnd w:id="66"/>
      <w:bookmarkEnd w:id="67"/>
    </w:p>
    <w:p w14:paraId="24754F6F">
      <w:pPr>
        <w:spacing w:line="440" w:lineRule="exact"/>
        <w:ind w:firstLine="480" w:firstLineChars="200"/>
        <w:rPr>
          <w:rFonts w:hint="eastAsia" w:ascii="仿宋" w:hAnsi="仿宋" w:eastAsia="仿宋"/>
          <w:color w:val="auto"/>
          <w:sz w:val="24"/>
          <w:szCs w:val="24"/>
          <w:highlight w:val="none"/>
          <w:lang w:val="en-US" w:eastAsia="zh-CN"/>
        </w:rPr>
      </w:pPr>
      <w:r>
        <w:rPr>
          <w:rFonts w:hint="eastAsia" w:ascii="仿宋" w:hAnsi="仿宋" w:eastAsia="仿宋"/>
          <w:color w:val="auto"/>
          <w:sz w:val="24"/>
          <w:szCs w:val="24"/>
          <w:highlight w:val="none"/>
          <w:lang w:val="en-US" w:eastAsia="zh-CN"/>
        </w:rPr>
        <w:t>参考</w:t>
      </w:r>
      <w:r>
        <w:rPr>
          <w:rFonts w:hint="eastAsia" w:ascii="仿宋" w:hAnsi="仿宋" w:eastAsia="仿宋"/>
          <w:color w:val="auto"/>
          <w:sz w:val="24"/>
          <w:szCs w:val="24"/>
          <w:highlight w:val="none"/>
        </w:rPr>
        <w:t>《招标代理服务收费管理暂行办法》计价格[2002]1980号文和发改价格[2011]534号</w:t>
      </w:r>
      <w:r>
        <w:rPr>
          <w:rFonts w:hint="eastAsia" w:ascii="仿宋" w:hAnsi="仿宋" w:eastAsia="仿宋"/>
          <w:color w:val="auto"/>
          <w:sz w:val="24"/>
          <w:szCs w:val="24"/>
          <w:highlight w:val="none"/>
          <w:lang w:val="en-US" w:eastAsia="zh-CN"/>
        </w:rPr>
        <w:t>计取。</w:t>
      </w:r>
    </w:p>
    <w:p w14:paraId="6B4269F4">
      <w:pPr>
        <w:spacing w:line="440" w:lineRule="exact"/>
        <w:ind w:firstLine="560" w:firstLineChars="200"/>
        <w:outlineLvl w:val="2"/>
        <w:rPr>
          <w:rFonts w:ascii="楷体" w:hAnsi="楷体" w:eastAsia="楷体"/>
          <w:color w:val="auto"/>
          <w:sz w:val="28"/>
          <w:szCs w:val="28"/>
          <w:highlight w:val="none"/>
        </w:rPr>
      </w:pPr>
      <w:bookmarkStart w:id="68" w:name="_Toc5034"/>
      <w:bookmarkStart w:id="69" w:name="_Toc494455659"/>
      <w:r>
        <w:rPr>
          <w:rFonts w:hint="eastAsia" w:ascii="楷体" w:hAnsi="楷体" w:eastAsia="楷体"/>
          <w:color w:val="auto"/>
          <w:sz w:val="28"/>
          <w:szCs w:val="28"/>
          <w:highlight w:val="none"/>
        </w:rPr>
        <w:t>1</w:t>
      </w:r>
      <w:r>
        <w:rPr>
          <w:rFonts w:ascii="楷体" w:hAnsi="楷体" w:eastAsia="楷体"/>
          <w:color w:val="auto"/>
          <w:sz w:val="28"/>
          <w:szCs w:val="28"/>
          <w:highlight w:val="none"/>
        </w:rPr>
        <w:t>0.</w:t>
      </w:r>
      <w:r>
        <w:rPr>
          <w:rFonts w:hint="eastAsia" w:ascii="楷体" w:hAnsi="楷体" w:eastAsia="楷体"/>
          <w:color w:val="auto"/>
          <w:sz w:val="28"/>
          <w:szCs w:val="28"/>
          <w:highlight w:val="none"/>
        </w:rPr>
        <w:t>招标文件</w:t>
      </w:r>
      <w:bookmarkEnd w:id="68"/>
      <w:bookmarkEnd w:id="69"/>
    </w:p>
    <w:p w14:paraId="12632213">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w:t>
      </w:r>
      <w:r>
        <w:rPr>
          <w:rFonts w:ascii="仿宋" w:hAnsi="仿宋" w:eastAsia="仿宋"/>
          <w:color w:val="auto"/>
          <w:sz w:val="24"/>
          <w:szCs w:val="24"/>
          <w:highlight w:val="none"/>
        </w:rPr>
        <w:t>0</w:t>
      </w:r>
      <w:r>
        <w:rPr>
          <w:rFonts w:hint="eastAsia" w:ascii="仿宋" w:hAnsi="仿宋" w:eastAsia="仿宋"/>
          <w:color w:val="auto"/>
          <w:sz w:val="24"/>
          <w:szCs w:val="24"/>
          <w:highlight w:val="none"/>
        </w:rPr>
        <w:t>.1</w:t>
      </w:r>
      <w:r>
        <w:rPr>
          <w:rFonts w:ascii="仿宋" w:hAnsi="仿宋" w:eastAsia="仿宋"/>
          <w:color w:val="auto"/>
          <w:sz w:val="24"/>
          <w:szCs w:val="24"/>
          <w:highlight w:val="none"/>
        </w:rPr>
        <w:t>招标文件的组成</w:t>
      </w:r>
    </w:p>
    <w:p w14:paraId="2ED4439F">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w:t>
      </w:r>
      <w:r>
        <w:rPr>
          <w:rFonts w:ascii="仿宋" w:hAnsi="仿宋" w:eastAsia="仿宋"/>
          <w:color w:val="auto"/>
          <w:sz w:val="24"/>
          <w:szCs w:val="24"/>
          <w:highlight w:val="none"/>
        </w:rPr>
        <w:t>0</w:t>
      </w:r>
      <w:r>
        <w:rPr>
          <w:rFonts w:hint="eastAsia" w:ascii="仿宋" w:hAnsi="仿宋" w:eastAsia="仿宋"/>
          <w:color w:val="auto"/>
          <w:sz w:val="24"/>
          <w:szCs w:val="24"/>
          <w:highlight w:val="none"/>
        </w:rPr>
        <w:t>.</w:t>
      </w:r>
      <w:r>
        <w:rPr>
          <w:rFonts w:ascii="仿宋" w:hAnsi="仿宋" w:eastAsia="仿宋"/>
          <w:color w:val="auto"/>
          <w:sz w:val="24"/>
          <w:szCs w:val="24"/>
          <w:highlight w:val="none"/>
        </w:rPr>
        <w:t>1.1</w:t>
      </w:r>
      <w:r>
        <w:rPr>
          <w:rFonts w:hint="eastAsia" w:ascii="仿宋" w:hAnsi="仿宋" w:eastAsia="仿宋"/>
          <w:color w:val="auto"/>
          <w:sz w:val="24"/>
          <w:szCs w:val="24"/>
          <w:highlight w:val="none"/>
        </w:rPr>
        <w:t>招标文件是用以阐明所需货物以及服务、招标程序和合同格式的规范性文件。招标文件主要由以下部分组成：</w:t>
      </w:r>
    </w:p>
    <w:p w14:paraId="10830047">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第一章  招标公告；</w:t>
      </w:r>
    </w:p>
    <w:p w14:paraId="75370A73">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第二章  投标人须知前附表；</w:t>
      </w:r>
    </w:p>
    <w:p w14:paraId="0FFAA14C">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第三章  采购需求；</w:t>
      </w:r>
    </w:p>
    <w:p w14:paraId="29461A14">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第四章  评标办法；</w:t>
      </w:r>
    </w:p>
    <w:p w14:paraId="64C7EACC">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第五章  签订合同、合同主要条款；</w:t>
      </w:r>
    </w:p>
    <w:p w14:paraId="255D5150">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第六章  投标文件格式；</w:t>
      </w:r>
    </w:p>
    <w:p w14:paraId="34DB5870">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w:t>
      </w:r>
      <w:r>
        <w:rPr>
          <w:rFonts w:ascii="仿宋" w:hAnsi="仿宋" w:eastAsia="仿宋"/>
          <w:color w:val="auto"/>
          <w:sz w:val="24"/>
          <w:szCs w:val="24"/>
          <w:highlight w:val="none"/>
        </w:rPr>
        <w:t>0</w:t>
      </w:r>
      <w:r>
        <w:rPr>
          <w:rFonts w:hint="eastAsia" w:ascii="仿宋" w:hAnsi="仿宋" w:eastAsia="仿宋"/>
          <w:color w:val="auto"/>
          <w:sz w:val="24"/>
          <w:szCs w:val="24"/>
          <w:highlight w:val="none"/>
        </w:rPr>
        <w:t>.</w:t>
      </w:r>
      <w:r>
        <w:rPr>
          <w:rFonts w:ascii="仿宋" w:hAnsi="仿宋" w:eastAsia="仿宋"/>
          <w:color w:val="auto"/>
          <w:sz w:val="24"/>
          <w:szCs w:val="24"/>
          <w:highlight w:val="none"/>
        </w:rPr>
        <w:t>1.2</w:t>
      </w:r>
      <w:r>
        <w:rPr>
          <w:rFonts w:hint="eastAsia" w:ascii="仿宋" w:hAnsi="仿宋" w:eastAsia="仿宋"/>
          <w:color w:val="auto"/>
          <w:sz w:val="24"/>
          <w:szCs w:val="24"/>
          <w:highlight w:val="none"/>
        </w:rPr>
        <w:t>根据本章第1</w:t>
      </w:r>
      <w:r>
        <w:rPr>
          <w:rFonts w:ascii="仿宋" w:hAnsi="仿宋" w:eastAsia="仿宋"/>
          <w:color w:val="auto"/>
          <w:sz w:val="24"/>
          <w:szCs w:val="24"/>
          <w:highlight w:val="none"/>
        </w:rPr>
        <w:t>0</w:t>
      </w:r>
      <w:r>
        <w:rPr>
          <w:rFonts w:hint="eastAsia" w:ascii="仿宋" w:hAnsi="仿宋" w:eastAsia="仿宋"/>
          <w:color w:val="auto"/>
          <w:sz w:val="24"/>
          <w:szCs w:val="24"/>
          <w:highlight w:val="none"/>
        </w:rPr>
        <w:t>.2款对采购文件所作的澄清和修改，构成采购文件的组成部分。</w:t>
      </w:r>
    </w:p>
    <w:p w14:paraId="5078882F">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w:t>
      </w:r>
      <w:r>
        <w:rPr>
          <w:rFonts w:ascii="仿宋" w:hAnsi="仿宋" w:eastAsia="仿宋"/>
          <w:color w:val="auto"/>
          <w:sz w:val="24"/>
          <w:szCs w:val="24"/>
          <w:highlight w:val="none"/>
        </w:rPr>
        <w:t>0</w:t>
      </w:r>
      <w:r>
        <w:rPr>
          <w:rFonts w:hint="eastAsia" w:ascii="仿宋" w:hAnsi="仿宋" w:eastAsia="仿宋"/>
          <w:color w:val="auto"/>
          <w:sz w:val="24"/>
          <w:szCs w:val="24"/>
          <w:highlight w:val="none"/>
        </w:rPr>
        <w:t>.</w:t>
      </w:r>
      <w:r>
        <w:rPr>
          <w:rFonts w:ascii="仿宋" w:hAnsi="仿宋" w:eastAsia="仿宋"/>
          <w:color w:val="auto"/>
          <w:sz w:val="24"/>
          <w:szCs w:val="24"/>
          <w:highlight w:val="none"/>
        </w:rPr>
        <w:t>1.3</w:t>
      </w:r>
      <w:r>
        <w:rPr>
          <w:rFonts w:hint="eastAsia" w:ascii="仿宋" w:hAnsi="仿宋" w:eastAsia="仿宋"/>
          <w:color w:val="auto"/>
          <w:sz w:val="24"/>
          <w:szCs w:val="24"/>
          <w:highlight w:val="none"/>
        </w:rPr>
        <w:t>除非有特殊要求，招标文件不单独提供项目所在地的自然环境、气候条件、公用设施等情况，投标人被视为熟悉上述与履行合同有关的一切情况。</w:t>
      </w:r>
    </w:p>
    <w:p w14:paraId="37072188">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w:t>
      </w:r>
      <w:r>
        <w:rPr>
          <w:rFonts w:ascii="仿宋" w:hAnsi="仿宋" w:eastAsia="仿宋"/>
          <w:color w:val="auto"/>
          <w:sz w:val="24"/>
          <w:szCs w:val="24"/>
          <w:highlight w:val="none"/>
        </w:rPr>
        <w:t>0</w:t>
      </w:r>
      <w:r>
        <w:rPr>
          <w:rFonts w:hint="eastAsia" w:ascii="仿宋" w:hAnsi="仿宋" w:eastAsia="仿宋"/>
          <w:color w:val="auto"/>
          <w:sz w:val="24"/>
          <w:szCs w:val="24"/>
          <w:highlight w:val="none"/>
        </w:rPr>
        <w:t>.</w:t>
      </w:r>
      <w:r>
        <w:rPr>
          <w:rFonts w:ascii="仿宋" w:hAnsi="仿宋" w:eastAsia="仿宋"/>
          <w:color w:val="auto"/>
          <w:sz w:val="24"/>
          <w:szCs w:val="24"/>
          <w:highlight w:val="none"/>
        </w:rPr>
        <w:t>2</w:t>
      </w:r>
      <w:r>
        <w:rPr>
          <w:rFonts w:hint="eastAsia" w:ascii="仿宋" w:hAnsi="仿宋" w:eastAsia="仿宋"/>
          <w:color w:val="auto"/>
          <w:sz w:val="24"/>
          <w:szCs w:val="24"/>
          <w:highlight w:val="none"/>
        </w:rPr>
        <w:t>招标文件的澄清和修改</w:t>
      </w:r>
    </w:p>
    <w:p w14:paraId="7579628D">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w:t>
      </w:r>
      <w:r>
        <w:rPr>
          <w:rFonts w:ascii="仿宋" w:hAnsi="仿宋" w:eastAsia="仿宋"/>
          <w:color w:val="auto"/>
          <w:sz w:val="24"/>
          <w:szCs w:val="24"/>
          <w:highlight w:val="none"/>
        </w:rPr>
        <w:t>0.2</w:t>
      </w:r>
      <w:r>
        <w:rPr>
          <w:rFonts w:hint="eastAsia" w:ascii="仿宋" w:hAnsi="仿宋" w:eastAsia="仿宋"/>
          <w:color w:val="auto"/>
          <w:sz w:val="24"/>
          <w:szCs w:val="24"/>
          <w:highlight w:val="none"/>
        </w:rPr>
        <w:t>.1采购人对已发出的招标文件进行必要澄清或者修改的，应当在规定的投标截止时间1</w:t>
      </w:r>
      <w:r>
        <w:rPr>
          <w:rFonts w:ascii="仿宋" w:hAnsi="仿宋" w:eastAsia="仿宋"/>
          <w:color w:val="auto"/>
          <w:sz w:val="24"/>
          <w:szCs w:val="24"/>
          <w:highlight w:val="none"/>
        </w:rPr>
        <w:t>5</w:t>
      </w:r>
      <w:r>
        <w:rPr>
          <w:rFonts w:hint="eastAsia" w:ascii="仿宋" w:hAnsi="仿宋" w:eastAsia="仿宋"/>
          <w:color w:val="auto"/>
          <w:sz w:val="24"/>
          <w:szCs w:val="24"/>
          <w:highlight w:val="none"/>
        </w:rPr>
        <w:t>日前，向各投标人发出补充文件，以书面形式通知所有招标文件收受人，但不指明澄清问题的来源。如果澄清或者修改招标文件的时间距投标截止时间不足1</w:t>
      </w:r>
      <w:r>
        <w:rPr>
          <w:rFonts w:ascii="仿宋" w:hAnsi="仿宋" w:eastAsia="仿宋"/>
          <w:color w:val="auto"/>
          <w:sz w:val="24"/>
          <w:szCs w:val="24"/>
          <w:highlight w:val="none"/>
        </w:rPr>
        <w:t>5</w:t>
      </w:r>
      <w:r>
        <w:rPr>
          <w:rFonts w:hint="eastAsia" w:ascii="仿宋" w:hAnsi="仿宋" w:eastAsia="仿宋"/>
          <w:color w:val="auto"/>
          <w:sz w:val="24"/>
          <w:szCs w:val="24"/>
          <w:highlight w:val="none"/>
        </w:rPr>
        <w:t>日，采购人应延长投标截止时间，具体时间将在补充文件中予以明确。</w:t>
      </w:r>
    </w:p>
    <w:p w14:paraId="1A6E5468">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10.2.2投标人应仔细检查招标文件是否齐全。如有残缺、遗漏或者不清楚的，应在投标人须知前附表规定的时间前，以加盖投标人单位公章的书面文件提出，采用信函、传真或者直接送达的形式通知采购代理机构，同时将电子版文件以电子邮件的形式发送至采购代理机构</w:t>
      </w:r>
      <w:r>
        <w:rPr>
          <w:rFonts w:ascii="仿宋" w:hAnsi="仿宋" w:eastAsia="仿宋"/>
          <w:color w:val="auto"/>
          <w:sz w:val="24"/>
          <w:szCs w:val="24"/>
          <w:highlight w:val="none"/>
        </w:rPr>
        <w:t>的电子信箱</w:t>
      </w:r>
      <w:r>
        <w:rPr>
          <w:rFonts w:hint="eastAsia" w:ascii="仿宋" w:hAnsi="仿宋" w:eastAsia="仿宋"/>
          <w:color w:val="auto"/>
          <w:sz w:val="24"/>
          <w:szCs w:val="24"/>
          <w:highlight w:val="none"/>
        </w:rPr>
        <w:t>，否则，由此引起的损失由投标人自负。同时，投标人有义务对招标文件的准确性进行复核，如发现有任何错误（打印的错误、逻辑的错误）或者前后矛盾的，应在规定提交答疑的时间内提交给采购人或采购代理机构，否则，投标人应无条件接受招标文件所有条款。</w:t>
      </w:r>
    </w:p>
    <w:p w14:paraId="3BAC358B">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w:t>
      </w:r>
      <w:r>
        <w:rPr>
          <w:rFonts w:ascii="仿宋" w:hAnsi="仿宋" w:eastAsia="仿宋"/>
          <w:color w:val="auto"/>
          <w:sz w:val="24"/>
          <w:szCs w:val="24"/>
          <w:highlight w:val="none"/>
        </w:rPr>
        <w:t>0.2</w:t>
      </w:r>
      <w:r>
        <w:rPr>
          <w:rFonts w:hint="eastAsia" w:ascii="仿宋" w:hAnsi="仿宋" w:eastAsia="仿宋"/>
          <w:color w:val="auto"/>
          <w:sz w:val="24"/>
          <w:szCs w:val="24"/>
          <w:highlight w:val="none"/>
        </w:rPr>
        <w:t>.</w:t>
      </w:r>
      <w:r>
        <w:rPr>
          <w:rFonts w:ascii="仿宋" w:hAnsi="仿宋" w:eastAsia="仿宋"/>
          <w:color w:val="auto"/>
          <w:sz w:val="24"/>
          <w:szCs w:val="24"/>
          <w:highlight w:val="none"/>
        </w:rPr>
        <w:t>3</w:t>
      </w:r>
      <w:r>
        <w:rPr>
          <w:rFonts w:hint="eastAsia" w:ascii="仿宋" w:hAnsi="仿宋" w:eastAsia="仿宋"/>
          <w:color w:val="auto"/>
          <w:sz w:val="24"/>
          <w:szCs w:val="24"/>
          <w:highlight w:val="none"/>
        </w:rPr>
        <w:t>招标文件的澄清或者修改文件，应作为招标文件组成部分并具有法律效力，任何口头答复、通知无效。招标文件的澄清或者修改在同一内容的表述上不一致时，以最后发出的公告为准。</w:t>
      </w:r>
    </w:p>
    <w:p w14:paraId="61101452">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w:t>
      </w:r>
      <w:r>
        <w:rPr>
          <w:rFonts w:ascii="仿宋" w:hAnsi="仿宋" w:eastAsia="仿宋"/>
          <w:color w:val="auto"/>
          <w:sz w:val="24"/>
          <w:szCs w:val="24"/>
          <w:highlight w:val="none"/>
        </w:rPr>
        <w:t>0</w:t>
      </w:r>
      <w:r>
        <w:rPr>
          <w:rFonts w:hint="eastAsia" w:ascii="仿宋" w:hAnsi="仿宋" w:eastAsia="仿宋"/>
          <w:color w:val="auto"/>
          <w:sz w:val="24"/>
          <w:szCs w:val="24"/>
          <w:highlight w:val="none"/>
        </w:rPr>
        <w:t>.</w:t>
      </w:r>
      <w:r>
        <w:rPr>
          <w:rFonts w:ascii="仿宋" w:hAnsi="仿宋" w:eastAsia="仿宋"/>
          <w:color w:val="auto"/>
          <w:sz w:val="24"/>
          <w:szCs w:val="24"/>
          <w:highlight w:val="none"/>
        </w:rPr>
        <w:t>2</w:t>
      </w:r>
      <w:r>
        <w:rPr>
          <w:rFonts w:hint="eastAsia" w:ascii="仿宋" w:hAnsi="仿宋" w:eastAsia="仿宋"/>
          <w:color w:val="auto"/>
          <w:sz w:val="24"/>
          <w:szCs w:val="24"/>
          <w:highlight w:val="none"/>
        </w:rPr>
        <w:t>.4投标人认为招标文件存在歧视性条款或者不合理要求等需要澄清的，应在规定时间内一次性全部提出。在规定时间未一次性提出或者对已澄清的条款再提异议者，即视为同意和接受相关条款。</w:t>
      </w:r>
    </w:p>
    <w:p w14:paraId="2B7624DF">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w:t>
      </w:r>
      <w:r>
        <w:rPr>
          <w:rFonts w:ascii="仿宋" w:hAnsi="仿宋" w:eastAsia="仿宋"/>
          <w:color w:val="auto"/>
          <w:sz w:val="24"/>
          <w:szCs w:val="24"/>
          <w:highlight w:val="none"/>
        </w:rPr>
        <w:t>0</w:t>
      </w:r>
      <w:r>
        <w:rPr>
          <w:rFonts w:hint="eastAsia" w:ascii="仿宋" w:hAnsi="仿宋" w:eastAsia="仿宋"/>
          <w:color w:val="auto"/>
          <w:sz w:val="24"/>
          <w:szCs w:val="24"/>
          <w:highlight w:val="none"/>
        </w:rPr>
        <w:t>.</w:t>
      </w:r>
      <w:r>
        <w:rPr>
          <w:rFonts w:ascii="仿宋" w:hAnsi="仿宋" w:eastAsia="仿宋"/>
          <w:color w:val="auto"/>
          <w:sz w:val="24"/>
          <w:szCs w:val="24"/>
          <w:highlight w:val="none"/>
        </w:rPr>
        <w:t>2</w:t>
      </w:r>
      <w:r>
        <w:rPr>
          <w:rFonts w:hint="eastAsia" w:ascii="仿宋" w:hAnsi="仿宋" w:eastAsia="仿宋"/>
          <w:color w:val="auto"/>
          <w:sz w:val="24"/>
          <w:szCs w:val="24"/>
          <w:highlight w:val="none"/>
        </w:rPr>
        <w:t>.5从补充文件发出时间开始，投标人应在</w:t>
      </w:r>
      <w:r>
        <w:rPr>
          <w:rFonts w:ascii="仿宋" w:hAnsi="仿宋" w:eastAsia="仿宋"/>
          <w:color w:val="auto"/>
          <w:sz w:val="24"/>
          <w:szCs w:val="24"/>
          <w:highlight w:val="none"/>
        </w:rPr>
        <w:t>投标人须知前附表规定的时间</w:t>
      </w:r>
      <w:r>
        <w:rPr>
          <w:rFonts w:hint="eastAsia" w:ascii="仿宋" w:hAnsi="仿宋" w:eastAsia="仿宋"/>
          <w:color w:val="auto"/>
          <w:sz w:val="24"/>
          <w:szCs w:val="24"/>
          <w:highlight w:val="none"/>
        </w:rPr>
        <w:t>内回复确认函，加盖投标人单位公章以及确认日期，采用信函、传真或者直接送达的形式通知采购代理机构。否则，即视为同意和接受该公告内容。</w:t>
      </w:r>
    </w:p>
    <w:p w14:paraId="6D0AAD83">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w:t>
      </w:r>
      <w:r>
        <w:rPr>
          <w:rFonts w:ascii="仿宋" w:hAnsi="仿宋" w:eastAsia="仿宋"/>
          <w:color w:val="auto"/>
          <w:sz w:val="24"/>
          <w:szCs w:val="24"/>
          <w:highlight w:val="none"/>
        </w:rPr>
        <w:t>0</w:t>
      </w:r>
      <w:r>
        <w:rPr>
          <w:rFonts w:hint="eastAsia" w:ascii="仿宋" w:hAnsi="仿宋" w:eastAsia="仿宋"/>
          <w:color w:val="auto"/>
          <w:sz w:val="24"/>
          <w:szCs w:val="24"/>
          <w:highlight w:val="none"/>
        </w:rPr>
        <w:t>.</w:t>
      </w:r>
      <w:r>
        <w:rPr>
          <w:rFonts w:ascii="仿宋" w:hAnsi="仿宋" w:eastAsia="仿宋"/>
          <w:color w:val="auto"/>
          <w:sz w:val="24"/>
          <w:szCs w:val="24"/>
          <w:highlight w:val="none"/>
        </w:rPr>
        <w:t>3</w:t>
      </w:r>
      <w:r>
        <w:rPr>
          <w:rFonts w:hint="eastAsia" w:ascii="仿宋" w:hAnsi="仿宋" w:eastAsia="仿宋"/>
          <w:color w:val="auto"/>
          <w:sz w:val="24"/>
          <w:szCs w:val="24"/>
          <w:highlight w:val="none"/>
        </w:rPr>
        <w:t>延长投标截止时间和开标时间</w:t>
      </w:r>
    </w:p>
    <w:p w14:paraId="51EC6FC4">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采购人可以视采购具体情况，延长投标截止时间和开标时间，但至少应当在招标文件要求提交投标文件的截止时间3日前，以书面形式通知所有招标文件收受人。</w:t>
      </w:r>
    </w:p>
    <w:p w14:paraId="697BF9C8">
      <w:pPr>
        <w:spacing w:line="440" w:lineRule="exact"/>
        <w:ind w:firstLine="560" w:firstLineChars="200"/>
        <w:outlineLvl w:val="2"/>
        <w:rPr>
          <w:rFonts w:ascii="楷体" w:hAnsi="楷体" w:eastAsia="楷体"/>
          <w:color w:val="auto"/>
          <w:sz w:val="28"/>
          <w:szCs w:val="28"/>
          <w:highlight w:val="none"/>
        </w:rPr>
      </w:pPr>
      <w:bookmarkStart w:id="70" w:name="_Toc494455660"/>
      <w:bookmarkStart w:id="71" w:name="_Toc18669"/>
      <w:r>
        <w:rPr>
          <w:rFonts w:hint="eastAsia" w:ascii="楷体" w:hAnsi="楷体" w:eastAsia="楷体"/>
          <w:color w:val="auto"/>
          <w:sz w:val="28"/>
          <w:szCs w:val="28"/>
          <w:highlight w:val="none"/>
        </w:rPr>
        <w:t>1</w:t>
      </w:r>
      <w:r>
        <w:rPr>
          <w:rFonts w:ascii="楷体" w:hAnsi="楷体" w:eastAsia="楷体"/>
          <w:color w:val="auto"/>
          <w:sz w:val="28"/>
          <w:szCs w:val="28"/>
          <w:highlight w:val="none"/>
        </w:rPr>
        <w:t>1</w:t>
      </w:r>
      <w:r>
        <w:rPr>
          <w:rFonts w:hint="eastAsia" w:ascii="楷体" w:hAnsi="楷体" w:eastAsia="楷体"/>
          <w:color w:val="auto"/>
          <w:sz w:val="28"/>
          <w:szCs w:val="28"/>
          <w:highlight w:val="none"/>
        </w:rPr>
        <w:t>.投标文件的组成</w:t>
      </w:r>
      <w:bookmarkEnd w:id="70"/>
      <w:bookmarkEnd w:id="71"/>
    </w:p>
    <w:p w14:paraId="1FF7A5D6">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w:t>
      </w:r>
      <w:r>
        <w:rPr>
          <w:rFonts w:ascii="仿宋" w:hAnsi="仿宋" w:eastAsia="仿宋"/>
          <w:color w:val="auto"/>
          <w:sz w:val="24"/>
          <w:szCs w:val="24"/>
          <w:highlight w:val="none"/>
        </w:rPr>
        <w:t>1</w:t>
      </w:r>
      <w:r>
        <w:rPr>
          <w:rFonts w:hint="eastAsia" w:ascii="仿宋" w:hAnsi="仿宋" w:eastAsia="仿宋"/>
          <w:color w:val="auto"/>
          <w:sz w:val="24"/>
          <w:szCs w:val="24"/>
          <w:highlight w:val="none"/>
        </w:rPr>
        <w:t>.</w:t>
      </w:r>
      <w:r>
        <w:rPr>
          <w:rFonts w:ascii="仿宋" w:hAnsi="仿宋" w:eastAsia="仿宋"/>
          <w:color w:val="auto"/>
          <w:sz w:val="24"/>
          <w:szCs w:val="24"/>
          <w:highlight w:val="none"/>
        </w:rPr>
        <w:t>1</w:t>
      </w:r>
      <w:r>
        <w:rPr>
          <w:rFonts w:hint="eastAsia" w:ascii="仿宋" w:hAnsi="仿宋" w:eastAsia="仿宋"/>
          <w:color w:val="auto"/>
          <w:sz w:val="24"/>
          <w:szCs w:val="24"/>
          <w:highlight w:val="none"/>
        </w:rPr>
        <w:t>投标人应按照招标文件的要求以及格式编制投标文件，并保证其真实性、准确性以及完整性，并按照招标文件要求提交全部资料并做出实质性响应。</w:t>
      </w:r>
    </w:p>
    <w:p w14:paraId="4F049BD1">
      <w:pPr>
        <w:spacing w:line="44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11.2</w:t>
      </w:r>
      <w:r>
        <w:rPr>
          <w:rFonts w:hint="eastAsia" w:ascii="仿宋" w:hAnsi="仿宋" w:eastAsia="仿宋"/>
          <w:color w:val="auto"/>
          <w:sz w:val="24"/>
          <w:szCs w:val="24"/>
          <w:highlight w:val="none"/>
        </w:rPr>
        <w:t>投标文件由商务文件、技术文件以及电子版投标文件组成：</w:t>
      </w:r>
    </w:p>
    <w:p w14:paraId="1C30DDA9">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11.3商务文件：详见“第六章 投标文件格式 商务文件”</w:t>
      </w:r>
    </w:p>
    <w:p w14:paraId="7E96B515">
      <w:pPr>
        <w:spacing w:line="44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11.4</w:t>
      </w:r>
      <w:r>
        <w:rPr>
          <w:rFonts w:hint="eastAsia" w:ascii="仿宋" w:hAnsi="仿宋" w:eastAsia="仿宋"/>
          <w:color w:val="auto"/>
          <w:sz w:val="24"/>
          <w:szCs w:val="24"/>
          <w:highlight w:val="none"/>
        </w:rPr>
        <w:t>技术文件：详见“第六章 投标文件格式 技术文件”</w:t>
      </w:r>
    </w:p>
    <w:p w14:paraId="37D6D050">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w:t>
      </w:r>
      <w:r>
        <w:rPr>
          <w:rFonts w:ascii="仿宋" w:hAnsi="仿宋" w:eastAsia="仿宋"/>
          <w:color w:val="auto"/>
          <w:sz w:val="24"/>
          <w:szCs w:val="24"/>
          <w:highlight w:val="none"/>
        </w:rPr>
        <w:t>1.5</w:t>
      </w:r>
      <w:r>
        <w:rPr>
          <w:rFonts w:hint="eastAsia" w:ascii="仿宋" w:hAnsi="仿宋" w:eastAsia="仿宋"/>
          <w:color w:val="auto"/>
          <w:sz w:val="24"/>
          <w:szCs w:val="24"/>
          <w:highlight w:val="none"/>
        </w:rPr>
        <w:t>电子版投标文件内容为技术文件、商务文件要求的内容。</w:t>
      </w:r>
    </w:p>
    <w:p w14:paraId="1E82E07D">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w:t>
      </w:r>
      <w:r>
        <w:rPr>
          <w:rFonts w:ascii="仿宋" w:hAnsi="仿宋" w:eastAsia="仿宋"/>
          <w:color w:val="auto"/>
          <w:sz w:val="24"/>
          <w:szCs w:val="24"/>
          <w:highlight w:val="none"/>
        </w:rPr>
        <w:t>1.</w:t>
      </w:r>
      <w:r>
        <w:rPr>
          <w:rFonts w:hint="eastAsia" w:ascii="仿宋" w:hAnsi="仿宋" w:eastAsia="仿宋"/>
          <w:color w:val="auto"/>
          <w:sz w:val="24"/>
          <w:szCs w:val="24"/>
          <w:highlight w:val="none"/>
        </w:rPr>
        <w:t>6电子版投标文件作为投标文件的一部分，均不退回。</w:t>
      </w:r>
    </w:p>
    <w:p w14:paraId="3D7C4338">
      <w:pPr>
        <w:spacing w:line="440" w:lineRule="exact"/>
        <w:ind w:firstLine="560" w:firstLineChars="200"/>
        <w:outlineLvl w:val="2"/>
        <w:rPr>
          <w:rFonts w:ascii="楷体" w:hAnsi="楷体" w:eastAsia="楷体"/>
          <w:color w:val="auto"/>
          <w:sz w:val="28"/>
          <w:szCs w:val="28"/>
          <w:highlight w:val="none"/>
        </w:rPr>
      </w:pPr>
      <w:bookmarkStart w:id="72" w:name="_Toc494455661"/>
      <w:bookmarkStart w:id="73" w:name="_Toc15909"/>
      <w:r>
        <w:rPr>
          <w:rFonts w:hint="eastAsia" w:ascii="楷体" w:hAnsi="楷体" w:eastAsia="楷体"/>
          <w:color w:val="auto"/>
          <w:sz w:val="28"/>
          <w:szCs w:val="28"/>
          <w:highlight w:val="none"/>
        </w:rPr>
        <w:t>1</w:t>
      </w:r>
      <w:r>
        <w:rPr>
          <w:rFonts w:ascii="楷体" w:hAnsi="楷体" w:eastAsia="楷体"/>
          <w:color w:val="auto"/>
          <w:sz w:val="28"/>
          <w:szCs w:val="28"/>
          <w:highlight w:val="none"/>
        </w:rPr>
        <w:t>2</w:t>
      </w:r>
      <w:r>
        <w:rPr>
          <w:rFonts w:hint="eastAsia" w:ascii="楷体" w:hAnsi="楷体" w:eastAsia="楷体"/>
          <w:color w:val="auto"/>
          <w:sz w:val="28"/>
          <w:szCs w:val="28"/>
          <w:highlight w:val="none"/>
        </w:rPr>
        <w:t>.投标报价</w:t>
      </w:r>
      <w:bookmarkEnd w:id="72"/>
      <w:bookmarkEnd w:id="73"/>
    </w:p>
    <w:p w14:paraId="47B56835">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w:t>
      </w:r>
      <w:r>
        <w:rPr>
          <w:rFonts w:ascii="仿宋" w:hAnsi="仿宋" w:eastAsia="仿宋"/>
          <w:color w:val="auto"/>
          <w:sz w:val="24"/>
          <w:szCs w:val="24"/>
          <w:highlight w:val="none"/>
        </w:rPr>
        <w:t>2.1</w:t>
      </w:r>
      <w:r>
        <w:rPr>
          <w:rFonts w:hint="eastAsia" w:ascii="仿宋" w:hAnsi="仿宋" w:eastAsia="仿宋"/>
          <w:color w:val="auto"/>
          <w:sz w:val="24"/>
          <w:szCs w:val="24"/>
          <w:highlight w:val="none"/>
        </w:rPr>
        <w:t>投标报价的范围：见投标人须知前附表。</w:t>
      </w:r>
    </w:p>
    <w:p w14:paraId="74999D93">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w:t>
      </w:r>
      <w:r>
        <w:rPr>
          <w:rFonts w:ascii="仿宋" w:hAnsi="仿宋" w:eastAsia="仿宋"/>
          <w:color w:val="auto"/>
          <w:sz w:val="24"/>
          <w:szCs w:val="24"/>
          <w:highlight w:val="none"/>
        </w:rPr>
        <w:t>2.2</w:t>
      </w:r>
      <w:r>
        <w:rPr>
          <w:rFonts w:hint="eastAsia" w:ascii="仿宋" w:hAnsi="仿宋" w:eastAsia="仿宋"/>
          <w:color w:val="auto"/>
          <w:sz w:val="24"/>
          <w:szCs w:val="24"/>
          <w:highlight w:val="none"/>
        </w:rPr>
        <w:t>投标人应对所投包中的货物进行报价，对每一包货物的报价必须全部报齐。</w:t>
      </w:r>
    </w:p>
    <w:p w14:paraId="61C6E4FE">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w:t>
      </w:r>
      <w:r>
        <w:rPr>
          <w:rFonts w:ascii="仿宋" w:hAnsi="仿宋" w:eastAsia="仿宋"/>
          <w:color w:val="auto"/>
          <w:sz w:val="24"/>
          <w:szCs w:val="24"/>
          <w:highlight w:val="none"/>
        </w:rPr>
        <w:t>2.3投标报价的次数：见投标人须知前附表。</w:t>
      </w:r>
    </w:p>
    <w:p w14:paraId="1BF5071E">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w:t>
      </w:r>
      <w:r>
        <w:rPr>
          <w:rFonts w:ascii="仿宋" w:hAnsi="仿宋" w:eastAsia="仿宋"/>
          <w:color w:val="auto"/>
          <w:sz w:val="24"/>
          <w:szCs w:val="24"/>
          <w:highlight w:val="none"/>
        </w:rPr>
        <w:t>2.4</w:t>
      </w:r>
      <w:r>
        <w:rPr>
          <w:rFonts w:hint="eastAsia" w:ascii="仿宋" w:hAnsi="仿宋" w:eastAsia="仿宋"/>
          <w:color w:val="auto"/>
          <w:sz w:val="24"/>
          <w:szCs w:val="24"/>
          <w:highlight w:val="none"/>
        </w:rPr>
        <w:t>投标人不得以任何方式或者方法提供投标以外的任何附赠条款。</w:t>
      </w:r>
    </w:p>
    <w:p w14:paraId="3B3E5388">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w:t>
      </w:r>
      <w:r>
        <w:rPr>
          <w:rFonts w:ascii="仿宋" w:hAnsi="仿宋" w:eastAsia="仿宋"/>
          <w:color w:val="auto"/>
          <w:sz w:val="24"/>
          <w:szCs w:val="24"/>
          <w:highlight w:val="none"/>
        </w:rPr>
        <w:t>2.5</w:t>
      </w:r>
      <w:r>
        <w:rPr>
          <w:rFonts w:hint="eastAsia" w:ascii="仿宋" w:hAnsi="仿宋" w:eastAsia="仿宋"/>
          <w:color w:val="auto"/>
          <w:sz w:val="24"/>
          <w:szCs w:val="24"/>
          <w:highlight w:val="none"/>
        </w:rPr>
        <w:t>投标人应按照招标文件中要求的内容填写报价，并由法定代表人或者被授权代表签署。</w:t>
      </w:r>
    </w:p>
    <w:p w14:paraId="483B88A1">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w:t>
      </w:r>
      <w:r>
        <w:rPr>
          <w:rFonts w:ascii="仿宋" w:hAnsi="仿宋" w:eastAsia="仿宋"/>
          <w:color w:val="auto"/>
          <w:sz w:val="24"/>
          <w:szCs w:val="24"/>
          <w:highlight w:val="none"/>
        </w:rPr>
        <w:t>2.6</w:t>
      </w:r>
      <w:r>
        <w:rPr>
          <w:rFonts w:hint="eastAsia" w:ascii="仿宋" w:hAnsi="仿宋" w:eastAsia="仿宋"/>
          <w:color w:val="auto"/>
          <w:sz w:val="24"/>
          <w:szCs w:val="24"/>
          <w:highlight w:val="none"/>
        </w:rPr>
        <w:t>投标人须按照附件格式表中的各单项明细逐项填写，以方便评标委员会对各投标文件进行比较。</w:t>
      </w:r>
    </w:p>
    <w:p w14:paraId="151A01A1">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w:t>
      </w:r>
      <w:r>
        <w:rPr>
          <w:rFonts w:ascii="仿宋" w:hAnsi="仿宋" w:eastAsia="仿宋"/>
          <w:color w:val="auto"/>
          <w:sz w:val="24"/>
          <w:szCs w:val="24"/>
          <w:highlight w:val="none"/>
        </w:rPr>
        <w:t>2.7</w:t>
      </w:r>
      <w:r>
        <w:rPr>
          <w:rFonts w:hint="eastAsia" w:ascii="仿宋" w:hAnsi="仿宋" w:eastAsia="仿宋"/>
          <w:color w:val="auto"/>
          <w:sz w:val="24"/>
          <w:szCs w:val="24"/>
          <w:highlight w:val="none"/>
        </w:rPr>
        <w:t>投标文件报价出现前后不一致的，除招标文件另有规定外，按照下列规定修正：</w:t>
      </w:r>
    </w:p>
    <w:p w14:paraId="7986AAB5">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（一）投标文件中开标一览表（报价表）内容与投标文件中相应内容不一致的，以开标一览表（报价表）为准；</w:t>
      </w:r>
    </w:p>
    <w:p w14:paraId="002B887A">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（二）大写金额和小写金额不一致的，以大写金额为准；</w:t>
      </w:r>
    </w:p>
    <w:p w14:paraId="487DCE37">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（三）单价金额小数点或者百分比有明显错位的，以开标一览表的总价为准，并修改单价；</w:t>
      </w:r>
    </w:p>
    <w:p w14:paraId="29F484E5">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（四）总价金额与按单价汇总金额不一致的，以单价金额计算结果为准。</w:t>
      </w:r>
    </w:p>
    <w:p w14:paraId="45EEC457">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同时出现两种以上不一致的，按照前款规定的顺序修正。修正后的报价经投标人确认后产生约束力，投标人不确认的，其投标无效。</w:t>
      </w:r>
    </w:p>
    <w:p w14:paraId="7E574DA3">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w:t>
      </w:r>
      <w:r>
        <w:rPr>
          <w:rFonts w:ascii="仿宋" w:hAnsi="仿宋" w:eastAsia="仿宋"/>
          <w:color w:val="auto"/>
          <w:sz w:val="24"/>
          <w:szCs w:val="24"/>
          <w:highlight w:val="none"/>
        </w:rPr>
        <w:t>2.8</w:t>
      </w:r>
      <w:r>
        <w:rPr>
          <w:rFonts w:hint="eastAsia" w:ascii="仿宋" w:hAnsi="仿宋" w:eastAsia="仿宋"/>
          <w:color w:val="auto"/>
          <w:sz w:val="24"/>
          <w:szCs w:val="24"/>
          <w:highlight w:val="none"/>
        </w:rPr>
        <w:t>唱标时，采购代理机构只对按照招标文件要求编制的投标报价进行唱标。</w:t>
      </w:r>
    </w:p>
    <w:p w14:paraId="4C8A75DF">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w:t>
      </w:r>
      <w:r>
        <w:rPr>
          <w:rFonts w:ascii="仿宋" w:hAnsi="仿宋" w:eastAsia="仿宋"/>
          <w:color w:val="auto"/>
          <w:sz w:val="24"/>
          <w:szCs w:val="24"/>
          <w:highlight w:val="none"/>
        </w:rPr>
        <w:t>2.9</w:t>
      </w:r>
      <w:r>
        <w:rPr>
          <w:rFonts w:hint="eastAsia" w:ascii="仿宋" w:hAnsi="仿宋" w:eastAsia="仿宋"/>
          <w:color w:val="auto"/>
          <w:sz w:val="24"/>
          <w:szCs w:val="24"/>
          <w:highlight w:val="none"/>
        </w:rPr>
        <w:t>投标人的中标价格在合同执行中是固定不变的，不得以任何理由予以变更，不得出现任何包含价格调整的要求。</w:t>
      </w:r>
    </w:p>
    <w:p w14:paraId="1227944F">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w:t>
      </w:r>
      <w:r>
        <w:rPr>
          <w:rFonts w:ascii="仿宋" w:hAnsi="仿宋" w:eastAsia="仿宋"/>
          <w:color w:val="auto"/>
          <w:sz w:val="24"/>
          <w:szCs w:val="24"/>
          <w:highlight w:val="none"/>
        </w:rPr>
        <w:t>2.10</w:t>
      </w:r>
      <w:r>
        <w:rPr>
          <w:rFonts w:hint="eastAsia" w:ascii="仿宋" w:hAnsi="仿宋" w:eastAsia="仿宋"/>
          <w:color w:val="auto"/>
          <w:sz w:val="24"/>
          <w:szCs w:val="24"/>
          <w:highlight w:val="none"/>
        </w:rPr>
        <w:t>采购人不接受未经中国海关报验放进入中国境内且产自关境外的货物报价。</w:t>
      </w:r>
    </w:p>
    <w:p w14:paraId="2446D410">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w:t>
      </w:r>
      <w:r>
        <w:rPr>
          <w:rFonts w:ascii="仿宋" w:hAnsi="仿宋" w:eastAsia="仿宋"/>
          <w:color w:val="auto"/>
          <w:sz w:val="24"/>
          <w:szCs w:val="24"/>
          <w:highlight w:val="none"/>
        </w:rPr>
        <w:t>2</w:t>
      </w:r>
      <w:r>
        <w:rPr>
          <w:rFonts w:hint="eastAsia" w:ascii="仿宋" w:hAnsi="仿宋" w:eastAsia="仿宋"/>
          <w:color w:val="auto"/>
          <w:sz w:val="24"/>
          <w:szCs w:val="24"/>
          <w:highlight w:val="none"/>
        </w:rPr>
        <w:t>.11</w:t>
      </w:r>
      <w:r>
        <w:rPr>
          <w:rFonts w:hint="eastAsia" w:ascii="仿宋" w:hAnsi="仿宋" w:eastAsia="仿宋"/>
          <w:color w:val="auto"/>
          <w:sz w:val="24"/>
          <w:szCs w:val="24"/>
          <w:highlight w:val="none"/>
          <w:lang w:val="en-GB"/>
        </w:rPr>
        <w:t>投标人须知前附表未规定可以采购进口产品的，不允许进口产品参加投标。</w:t>
      </w:r>
    </w:p>
    <w:p w14:paraId="5D6F48CE">
      <w:pPr>
        <w:spacing w:line="440" w:lineRule="exact"/>
        <w:ind w:firstLine="560" w:firstLineChars="200"/>
        <w:outlineLvl w:val="2"/>
        <w:rPr>
          <w:rFonts w:ascii="楷体" w:hAnsi="楷体" w:eastAsia="楷体"/>
          <w:color w:val="auto"/>
          <w:sz w:val="28"/>
          <w:szCs w:val="28"/>
          <w:highlight w:val="none"/>
        </w:rPr>
      </w:pPr>
      <w:bookmarkStart w:id="74" w:name="_Toc29481"/>
      <w:bookmarkStart w:id="75" w:name="_Toc494455662"/>
      <w:r>
        <w:rPr>
          <w:rFonts w:hint="eastAsia" w:ascii="楷体" w:hAnsi="楷体" w:eastAsia="楷体"/>
          <w:color w:val="auto"/>
          <w:sz w:val="28"/>
          <w:szCs w:val="28"/>
          <w:highlight w:val="none"/>
        </w:rPr>
        <w:t>1</w:t>
      </w:r>
      <w:r>
        <w:rPr>
          <w:rFonts w:ascii="楷体" w:hAnsi="楷体" w:eastAsia="楷体"/>
          <w:color w:val="auto"/>
          <w:sz w:val="28"/>
          <w:szCs w:val="28"/>
          <w:highlight w:val="none"/>
        </w:rPr>
        <w:t>3.</w:t>
      </w:r>
      <w:r>
        <w:rPr>
          <w:rFonts w:hint="eastAsia" w:ascii="楷体" w:hAnsi="楷体" w:eastAsia="楷体"/>
          <w:color w:val="auto"/>
          <w:sz w:val="28"/>
          <w:szCs w:val="28"/>
          <w:highlight w:val="none"/>
        </w:rPr>
        <w:t>投标文件格式以及编制要求</w:t>
      </w:r>
      <w:bookmarkEnd w:id="74"/>
      <w:bookmarkEnd w:id="75"/>
    </w:p>
    <w:p w14:paraId="055E45FE">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w:t>
      </w:r>
      <w:r>
        <w:rPr>
          <w:rFonts w:ascii="仿宋" w:hAnsi="仿宋" w:eastAsia="仿宋"/>
          <w:color w:val="auto"/>
          <w:sz w:val="24"/>
          <w:szCs w:val="24"/>
          <w:highlight w:val="none"/>
        </w:rPr>
        <w:t>3</w:t>
      </w:r>
      <w:r>
        <w:rPr>
          <w:rFonts w:hint="eastAsia" w:ascii="仿宋" w:hAnsi="仿宋" w:eastAsia="仿宋"/>
          <w:color w:val="auto"/>
          <w:sz w:val="24"/>
          <w:szCs w:val="24"/>
          <w:highlight w:val="none"/>
        </w:rPr>
        <w:t>.</w:t>
      </w:r>
      <w:r>
        <w:rPr>
          <w:rFonts w:ascii="仿宋" w:hAnsi="仿宋" w:eastAsia="仿宋"/>
          <w:color w:val="auto"/>
          <w:sz w:val="24"/>
          <w:szCs w:val="24"/>
          <w:highlight w:val="none"/>
        </w:rPr>
        <w:t>1</w:t>
      </w:r>
      <w:r>
        <w:rPr>
          <w:rFonts w:hint="eastAsia" w:ascii="仿宋" w:hAnsi="仿宋" w:eastAsia="仿宋"/>
          <w:color w:val="auto"/>
          <w:sz w:val="24"/>
          <w:szCs w:val="24"/>
          <w:highlight w:val="none"/>
        </w:rPr>
        <w:t>投标文件应按所投包分别进行编制。</w:t>
      </w:r>
    </w:p>
    <w:p w14:paraId="4EB37DE1">
      <w:pPr>
        <w:spacing w:line="44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13.2</w:t>
      </w:r>
      <w:r>
        <w:rPr>
          <w:rFonts w:hint="eastAsia" w:ascii="仿宋" w:hAnsi="仿宋" w:eastAsia="仿宋"/>
          <w:color w:val="auto"/>
          <w:sz w:val="24"/>
          <w:szCs w:val="24"/>
          <w:highlight w:val="none"/>
        </w:rPr>
        <w:t>投标文件编制装订：见投标人须知前附表。</w:t>
      </w:r>
    </w:p>
    <w:p w14:paraId="0085648D">
      <w:pPr>
        <w:spacing w:line="44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13.3投标文件签署和盖章：</w:t>
      </w:r>
      <w:r>
        <w:rPr>
          <w:rFonts w:hint="eastAsia" w:ascii="仿宋" w:hAnsi="仿宋" w:eastAsia="仿宋"/>
          <w:color w:val="auto"/>
          <w:sz w:val="24"/>
          <w:szCs w:val="24"/>
          <w:highlight w:val="none"/>
        </w:rPr>
        <w:t>见投标人须知前附表。</w:t>
      </w:r>
    </w:p>
    <w:p w14:paraId="097F39F9">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w:t>
      </w:r>
      <w:r>
        <w:rPr>
          <w:rFonts w:ascii="仿宋" w:hAnsi="仿宋" w:eastAsia="仿宋"/>
          <w:color w:val="auto"/>
          <w:sz w:val="24"/>
          <w:szCs w:val="24"/>
          <w:highlight w:val="none"/>
        </w:rPr>
        <w:t>3.4</w:t>
      </w:r>
      <w:r>
        <w:rPr>
          <w:rFonts w:hint="eastAsia" w:ascii="仿宋" w:hAnsi="仿宋" w:eastAsia="仿宋"/>
          <w:color w:val="auto"/>
          <w:sz w:val="24"/>
          <w:szCs w:val="24"/>
          <w:highlight w:val="none"/>
        </w:rPr>
        <w:t>投标人可对供货现场以及其范围环境进行考察，以获取有关编制投标文件和签署实施合同所需的各项资料，投标人应承担现场考察的费用、责任和风险。</w:t>
      </w:r>
    </w:p>
    <w:p w14:paraId="38DD1D34">
      <w:pPr>
        <w:spacing w:line="44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13.5</w:t>
      </w:r>
      <w:r>
        <w:rPr>
          <w:rFonts w:hint="eastAsia" w:ascii="仿宋" w:hAnsi="仿宋" w:eastAsia="仿宋"/>
          <w:color w:val="auto"/>
          <w:sz w:val="24"/>
          <w:szCs w:val="24"/>
          <w:highlight w:val="none"/>
        </w:rPr>
        <w:t>投标人编制投标文件时，应当如实在技术响应表和资信以及商务响应表中填写响应情况。</w:t>
      </w:r>
    </w:p>
    <w:p w14:paraId="0F018232">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w:t>
      </w:r>
      <w:r>
        <w:rPr>
          <w:rFonts w:ascii="仿宋" w:hAnsi="仿宋" w:eastAsia="仿宋"/>
          <w:color w:val="auto"/>
          <w:sz w:val="24"/>
          <w:szCs w:val="24"/>
          <w:highlight w:val="none"/>
        </w:rPr>
        <w:t>3.6</w:t>
      </w:r>
      <w:r>
        <w:rPr>
          <w:rFonts w:hint="eastAsia" w:ascii="仿宋" w:hAnsi="仿宋" w:eastAsia="仿宋"/>
          <w:color w:val="auto"/>
          <w:sz w:val="24"/>
          <w:szCs w:val="24"/>
          <w:highlight w:val="none"/>
        </w:rPr>
        <w:t>投标文件份数及要求：见投标人须知前附表。</w:t>
      </w:r>
    </w:p>
    <w:p w14:paraId="2E8170E5">
      <w:pPr>
        <w:spacing w:line="440" w:lineRule="exact"/>
        <w:ind w:firstLine="560" w:firstLineChars="200"/>
        <w:outlineLvl w:val="2"/>
        <w:rPr>
          <w:rFonts w:ascii="楷体" w:hAnsi="楷体" w:eastAsia="楷体"/>
          <w:color w:val="auto"/>
          <w:sz w:val="28"/>
          <w:szCs w:val="28"/>
          <w:highlight w:val="none"/>
        </w:rPr>
      </w:pPr>
      <w:bookmarkStart w:id="76" w:name="_Toc494455663"/>
      <w:bookmarkStart w:id="77" w:name="_Toc23302"/>
      <w:r>
        <w:rPr>
          <w:rFonts w:hint="eastAsia" w:ascii="楷体" w:hAnsi="楷体" w:eastAsia="楷体"/>
          <w:color w:val="auto"/>
          <w:sz w:val="28"/>
          <w:szCs w:val="28"/>
          <w:highlight w:val="none"/>
        </w:rPr>
        <w:t>1</w:t>
      </w:r>
      <w:r>
        <w:rPr>
          <w:rFonts w:ascii="楷体" w:hAnsi="楷体" w:eastAsia="楷体"/>
          <w:color w:val="auto"/>
          <w:sz w:val="28"/>
          <w:szCs w:val="28"/>
          <w:highlight w:val="none"/>
        </w:rPr>
        <w:t>4.</w:t>
      </w:r>
      <w:r>
        <w:rPr>
          <w:rFonts w:hint="eastAsia" w:ascii="楷体" w:hAnsi="楷体" w:eastAsia="楷体"/>
          <w:color w:val="auto"/>
          <w:sz w:val="28"/>
          <w:szCs w:val="28"/>
          <w:highlight w:val="none"/>
        </w:rPr>
        <w:t>投标文件的密封和标记</w:t>
      </w:r>
      <w:bookmarkEnd w:id="76"/>
      <w:bookmarkEnd w:id="77"/>
    </w:p>
    <w:p w14:paraId="18EE66C0">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见投标人须知前附表。</w:t>
      </w:r>
    </w:p>
    <w:p w14:paraId="09258ABC">
      <w:pPr>
        <w:spacing w:line="440" w:lineRule="exact"/>
        <w:ind w:firstLine="560" w:firstLineChars="200"/>
        <w:outlineLvl w:val="2"/>
        <w:rPr>
          <w:rFonts w:ascii="楷体" w:hAnsi="楷体" w:eastAsia="楷体"/>
          <w:color w:val="auto"/>
          <w:sz w:val="28"/>
          <w:szCs w:val="28"/>
          <w:highlight w:val="none"/>
        </w:rPr>
      </w:pPr>
      <w:bookmarkStart w:id="78" w:name="_Toc494455664"/>
      <w:bookmarkStart w:id="79" w:name="_Toc32737"/>
      <w:r>
        <w:rPr>
          <w:rFonts w:hint="eastAsia" w:ascii="楷体" w:hAnsi="楷体" w:eastAsia="楷体"/>
          <w:color w:val="auto"/>
          <w:sz w:val="28"/>
          <w:szCs w:val="28"/>
          <w:highlight w:val="none"/>
        </w:rPr>
        <w:t>1</w:t>
      </w:r>
      <w:r>
        <w:rPr>
          <w:rFonts w:ascii="楷体" w:hAnsi="楷体" w:eastAsia="楷体"/>
          <w:color w:val="auto"/>
          <w:sz w:val="28"/>
          <w:szCs w:val="28"/>
          <w:highlight w:val="none"/>
        </w:rPr>
        <w:t>5.</w:t>
      </w:r>
      <w:r>
        <w:rPr>
          <w:rFonts w:hint="eastAsia" w:ascii="楷体" w:hAnsi="楷体" w:eastAsia="楷体"/>
          <w:color w:val="auto"/>
          <w:sz w:val="28"/>
          <w:szCs w:val="28"/>
          <w:highlight w:val="none"/>
        </w:rPr>
        <w:t>投标文件的递交</w:t>
      </w:r>
      <w:bookmarkEnd w:id="78"/>
      <w:bookmarkEnd w:id="79"/>
    </w:p>
    <w:p w14:paraId="3C3B53E2">
      <w:pPr>
        <w:spacing w:line="44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15</w:t>
      </w:r>
      <w:r>
        <w:rPr>
          <w:rFonts w:hint="eastAsia" w:ascii="仿宋" w:hAnsi="仿宋" w:eastAsia="仿宋"/>
          <w:color w:val="auto"/>
          <w:sz w:val="24"/>
          <w:szCs w:val="24"/>
          <w:highlight w:val="none"/>
        </w:rPr>
        <w:t>.1投标人应在投标截止时间前递交投标文件。</w:t>
      </w:r>
    </w:p>
    <w:p w14:paraId="525631C0">
      <w:pPr>
        <w:spacing w:line="44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15.</w:t>
      </w:r>
      <w:r>
        <w:rPr>
          <w:rFonts w:hint="eastAsia" w:ascii="仿宋" w:hAnsi="仿宋" w:eastAsia="仿宋"/>
          <w:color w:val="auto"/>
          <w:sz w:val="24"/>
          <w:szCs w:val="24"/>
          <w:highlight w:val="none"/>
        </w:rPr>
        <w:t>2投标人递交投标文件的时间、地点和要求：见投标人须知前附表。</w:t>
      </w:r>
    </w:p>
    <w:p w14:paraId="59F0A27B">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w:t>
      </w:r>
      <w:r>
        <w:rPr>
          <w:rFonts w:ascii="仿宋" w:hAnsi="仿宋" w:eastAsia="仿宋"/>
          <w:color w:val="auto"/>
          <w:sz w:val="24"/>
          <w:szCs w:val="24"/>
          <w:highlight w:val="none"/>
        </w:rPr>
        <w:t>5</w:t>
      </w:r>
      <w:r>
        <w:rPr>
          <w:rFonts w:hint="eastAsia" w:ascii="仿宋" w:hAnsi="仿宋" w:eastAsia="仿宋"/>
          <w:color w:val="auto"/>
          <w:sz w:val="24"/>
          <w:szCs w:val="24"/>
          <w:highlight w:val="none"/>
        </w:rPr>
        <w:t>.</w:t>
      </w:r>
      <w:r>
        <w:rPr>
          <w:rFonts w:ascii="仿宋" w:hAnsi="仿宋" w:eastAsia="仿宋"/>
          <w:color w:val="auto"/>
          <w:sz w:val="24"/>
          <w:szCs w:val="24"/>
          <w:highlight w:val="none"/>
        </w:rPr>
        <w:t>3</w:t>
      </w:r>
      <w:r>
        <w:rPr>
          <w:rFonts w:hint="eastAsia" w:ascii="仿宋" w:hAnsi="仿宋" w:eastAsia="仿宋"/>
          <w:color w:val="auto"/>
          <w:sz w:val="24"/>
          <w:szCs w:val="24"/>
          <w:highlight w:val="none"/>
        </w:rPr>
        <w:t>投标人有下列情况之一，采购人或者采购代理机构应当拒绝接收投标人的投标文件：</w:t>
      </w:r>
    </w:p>
    <w:p w14:paraId="6319D402">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w:t>
      </w:r>
      <w:r>
        <w:rPr>
          <w:rFonts w:ascii="仿宋" w:hAnsi="仿宋" w:eastAsia="仿宋"/>
          <w:color w:val="auto"/>
          <w:sz w:val="24"/>
          <w:szCs w:val="24"/>
          <w:highlight w:val="none"/>
        </w:rPr>
        <w:t>5</w:t>
      </w:r>
      <w:r>
        <w:rPr>
          <w:rFonts w:hint="eastAsia" w:ascii="仿宋" w:hAnsi="仿宋" w:eastAsia="仿宋"/>
          <w:color w:val="auto"/>
          <w:sz w:val="24"/>
          <w:szCs w:val="24"/>
          <w:highlight w:val="none"/>
        </w:rPr>
        <w:t>.</w:t>
      </w:r>
      <w:r>
        <w:rPr>
          <w:rFonts w:ascii="仿宋" w:hAnsi="仿宋" w:eastAsia="仿宋"/>
          <w:color w:val="auto"/>
          <w:sz w:val="24"/>
          <w:szCs w:val="24"/>
          <w:highlight w:val="none"/>
        </w:rPr>
        <w:t>3.1</w:t>
      </w:r>
      <w:r>
        <w:rPr>
          <w:rFonts w:hint="eastAsia" w:ascii="仿宋" w:hAnsi="仿宋" w:eastAsia="仿宋"/>
          <w:color w:val="auto"/>
          <w:sz w:val="24"/>
          <w:szCs w:val="24"/>
          <w:highlight w:val="none"/>
        </w:rPr>
        <w:t>逾期送达的或者未送达指定地点的；</w:t>
      </w:r>
    </w:p>
    <w:p w14:paraId="3D1D049B">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w:t>
      </w:r>
      <w:r>
        <w:rPr>
          <w:rFonts w:ascii="仿宋" w:hAnsi="仿宋" w:eastAsia="仿宋"/>
          <w:color w:val="auto"/>
          <w:sz w:val="24"/>
          <w:szCs w:val="24"/>
          <w:highlight w:val="none"/>
        </w:rPr>
        <w:t>5</w:t>
      </w:r>
      <w:r>
        <w:rPr>
          <w:rFonts w:hint="eastAsia" w:ascii="仿宋" w:hAnsi="仿宋" w:eastAsia="仿宋"/>
          <w:color w:val="auto"/>
          <w:sz w:val="24"/>
          <w:szCs w:val="24"/>
          <w:highlight w:val="none"/>
        </w:rPr>
        <w:t>.</w:t>
      </w:r>
      <w:r>
        <w:rPr>
          <w:rFonts w:ascii="仿宋" w:hAnsi="仿宋" w:eastAsia="仿宋"/>
          <w:color w:val="auto"/>
          <w:sz w:val="24"/>
          <w:szCs w:val="24"/>
          <w:highlight w:val="none"/>
        </w:rPr>
        <w:t>3.2</w:t>
      </w:r>
      <w:r>
        <w:rPr>
          <w:rFonts w:hint="eastAsia" w:ascii="仿宋" w:hAnsi="仿宋" w:eastAsia="仿宋"/>
          <w:color w:val="auto"/>
          <w:sz w:val="24"/>
          <w:szCs w:val="24"/>
          <w:highlight w:val="none"/>
        </w:rPr>
        <w:t>投标文件未按招标文件要求密封的。</w:t>
      </w:r>
    </w:p>
    <w:p w14:paraId="3D4E2FAF">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w:t>
      </w:r>
      <w:r>
        <w:rPr>
          <w:rFonts w:ascii="仿宋" w:hAnsi="仿宋" w:eastAsia="仿宋"/>
          <w:color w:val="auto"/>
          <w:sz w:val="24"/>
          <w:szCs w:val="24"/>
          <w:highlight w:val="none"/>
        </w:rPr>
        <w:t>5.4</w:t>
      </w:r>
      <w:r>
        <w:rPr>
          <w:rFonts w:hint="eastAsia" w:ascii="仿宋" w:hAnsi="仿宋" w:eastAsia="仿宋"/>
          <w:color w:val="auto"/>
          <w:sz w:val="24"/>
          <w:szCs w:val="24"/>
          <w:highlight w:val="none"/>
        </w:rPr>
        <w:t>除投标人须知前附表另有规定外，不论招标过程和结果如何，投标人的投标文件均不退还。</w:t>
      </w:r>
    </w:p>
    <w:p w14:paraId="54161E72">
      <w:pPr>
        <w:spacing w:line="440" w:lineRule="exact"/>
        <w:ind w:firstLine="560" w:firstLineChars="200"/>
        <w:outlineLvl w:val="2"/>
        <w:rPr>
          <w:rFonts w:ascii="楷体" w:hAnsi="楷体" w:eastAsia="楷体"/>
          <w:color w:val="auto"/>
          <w:sz w:val="28"/>
          <w:szCs w:val="28"/>
          <w:highlight w:val="none"/>
        </w:rPr>
      </w:pPr>
      <w:bookmarkStart w:id="80" w:name="_Toc26734"/>
      <w:bookmarkStart w:id="81" w:name="_Toc494455665"/>
      <w:r>
        <w:rPr>
          <w:rFonts w:hint="eastAsia" w:ascii="楷体" w:hAnsi="楷体" w:eastAsia="楷体"/>
          <w:color w:val="auto"/>
          <w:sz w:val="28"/>
          <w:szCs w:val="28"/>
          <w:highlight w:val="none"/>
        </w:rPr>
        <w:t>1</w:t>
      </w:r>
      <w:r>
        <w:rPr>
          <w:rFonts w:ascii="楷体" w:hAnsi="楷体" w:eastAsia="楷体"/>
          <w:color w:val="auto"/>
          <w:sz w:val="28"/>
          <w:szCs w:val="28"/>
          <w:highlight w:val="none"/>
        </w:rPr>
        <w:t>6</w:t>
      </w:r>
      <w:r>
        <w:rPr>
          <w:rFonts w:hint="eastAsia" w:ascii="楷体" w:hAnsi="楷体" w:eastAsia="楷体"/>
          <w:color w:val="auto"/>
          <w:sz w:val="28"/>
          <w:szCs w:val="28"/>
          <w:highlight w:val="none"/>
        </w:rPr>
        <w:t>.投标文件的修改与撤回</w:t>
      </w:r>
      <w:bookmarkEnd w:id="80"/>
      <w:bookmarkEnd w:id="81"/>
    </w:p>
    <w:p w14:paraId="7A7E1ECB">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w:t>
      </w:r>
      <w:r>
        <w:rPr>
          <w:rFonts w:ascii="仿宋" w:hAnsi="仿宋" w:eastAsia="仿宋"/>
          <w:color w:val="auto"/>
          <w:sz w:val="24"/>
          <w:szCs w:val="24"/>
          <w:highlight w:val="none"/>
        </w:rPr>
        <w:t>6.1</w:t>
      </w:r>
      <w:r>
        <w:rPr>
          <w:rFonts w:hint="eastAsia" w:ascii="仿宋" w:hAnsi="仿宋" w:eastAsia="仿宋"/>
          <w:color w:val="auto"/>
          <w:sz w:val="24"/>
          <w:szCs w:val="24"/>
          <w:highlight w:val="none"/>
        </w:rPr>
        <w:t>投标人在招标文件要求提交投标文件截止时间前，可以补充、修改或者撤回已提交的投标文件，并书面形式通知采购人或者采购代理机构。补充、修改的内容为投标文件的组成部分。</w:t>
      </w:r>
    </w:p>
    <w:p w14:paraId="71DAB0BF">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w:t>
      </w:r>
      <w:r>
        <w:rPr>
          <w:rFonts w:ascii="仿宋" w:hAnsi="仿宋" w:eastAsia="仿宋"/>
          <w:color w:val="auto"/>
          <w:sz w:val="24"/>
          <w:szCs w:val="24"/>
          <w:highlight w:val="none"/>
        </w:rPr>
        <w:t>6</w:t>
      </w:r>
      <w:r>
        <w:rPr>
          <w:rFonts w:hint="eastAsia" w:ascii="仿宋" w:hAnsi="仿宋" w:eastAsia="仿宋"/>
          <w:color w:val="auto"/>
          <w:sz w:val="24"/>
          <w:szCs w:val="24"/>
          <w:highlight w:val="none"/>
        </w:rPr>
        <w:t>.</w:t>
      </w:r>
      <w:r>
        <w:rPr>
          <w:rFonts w:ascii="仿宋" w:hAnsi="仿宋" w:eastAsia="仿宋"/>
          <w:color w:val="auto"/>
          <w:sz w:val="24"/>
          <w:szCs w:val="24"/>
          <w:highlight w:val="none"/>
        </w:rPr>
        <w:t>2</w:t>
      </w:r>
      <w:r>
        <w:rPr>
          <w:rFonts w:hint="eastAsia" w:ascii="仿宋" w:hAnsi="仿宋" w:eastAsia="仿宋"/>
          <w:color w:val="auto"/>
          <w:sz w:val="24"/>
          <w:szCs w:val="24"/>
          <w:highlight w:val="none"/>
        </w:rPr>
        <w:t>投标人对投标文件的补充、修改，应按照本招标文件有关规定进行编制、密封、标记、盖章和递交，并在投标文件密封袋上，清楚标明“修改投标文件”或者“撤回投标”字样。</w:t>
      </w:r>
    </w:p>
    <w:p w14:paraId="1FA79262">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w:t>
      </w:r>
      <w:r>
        <w:rPr>
          <w:rFonts w:ascii="仿宋" w:hAnsi="仿宋" w:eastAsia="仿宋"/>
          <w:color w:val="auto"/>
          <w:sz w:val="24"/>
          <w:szCs w:val="24"/>
          <w:highlight w:val="none"/>
        </w:rPr>
        <w:t>6.3</w:t>
      </w:r>
      <w:r>
        <w:rPr>
          <w:rFonts w:hint="eastAsia" w:ascii="仿宋" w:hAnsi="仿宋" w:eastAsia="仿宋"/>
          <w:color w:val="auto"/>
          <w:sz w:val="24"/>
          <w:szCs w:val="24"/>
          <w:highlight w:val="none"/>
        </w:rPr>
        <w:t>在提交投标文件截止时间后到招标文件规定的投标有效期终止之前，投标人不得补充、修改或者撤回其投标文件。投标人撤回全部或者部分投标文件的，其投标保证金将被没收。</w:t>
      </w:r>
    </w:p>
    <w:p w14:paraId="29536AAB">
      <w:pPr>
        <w:spacing w:line="440" w:lineRule="exact"/>
        <w:ind w:firstLine="560" w:firstLineChars="200"/>
        <w:outlineLvl w:val="2"/>
        <w:rPr>
          <w:rFonts w:ascii="楷体" w:hAnsi="楷体" w:eastAsia="楷体"/>
          <w:color w:val="auto"/>
          <w:sz w:val="28"/>
          <w:szCs w:val="28"/>
          <w:highlight w:val="none"/>
        </w:rPr>
      </w:pPr>
      <w:bookmarkStart w:id="82" w:name="_Toc9244"/>
      <w:bookmarkStart w:id="83" w:name="_Toc494455666"/>
      <w:r>
        <w:rPr>
          <w:rFonts w:hint="eastAsia" w:ascii="楷体" w:hAnsi="楷体" w:eastAsia="楷体"/>
          <w:color w:val="auto"/>
          <w:sz w:val="28"/>
          <w:szCs w:val="28"/>
          <w:highlight w:val="none"/>
        </w:rPr>
        <w:t>1</w:t>
      </w:r>
      <w:r>
        <w:rPr>
          <w:rFonts w:ascii="楷体" w:hAnsi="楷体" w:eastAsia="楷体"/>
          <w:color w:val="auto"/>
          <w:sz w:val="28"/>
          <w:szCs w:val="28"/>
          <w:highlight w:val="none"/>
        </w:rPr>
        <w:t>7.</w:t>
      </w:r>
      <w:r>
        <w:rPr>
          <w:rFonts w:hint="eastAsia" w:ascii="楷体" w:hAnsi="楷体" w:eastAsia="楷体"/>
          <w:color w:val="auto"/>
          <w:sz w:val="28"/>
          <w:szCs w:val="28"/>
          <w:highlight w:val="none"/>
        </w:rPr>
        <w:t>投标保证金</w:t>
      </w:r>
      <w:bookmarkEnd w:id="82"/>
      <w:bookmarkEnd w:id="83"/>
    </w:p>
    <w:p w14:paraId="724DB452">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w:t>
      </w:r>
      <w:r>
        <w:rPr>
          <w:rFonts w:ascii="仿宋" w:hAnsi="仿宋" w:eastAsia="仿宋"/>
          <w:color w:val="auto"/>
          <w:sz w:val="24"/>
          <w:szCs w:val="24"/>
          <w:highlight w:val="none"/>
        </w:rPr>
        <w:t>7.1投标保证金</w:t>
      </w:r>
      <w:r>
        <w:rPr>
          <w:rFonts w:hint="eastAsia" w:ascii="仿宋" w:hAnsi="仿宋" w:eastAsia="仿宋"/>
          <w:color w:val="auto"/>
          <w:sz w:val="24"/>
          <w:szCs w:val="24"/>
          <w:highlight w:val="none"/>
        </w:rPr>
        <w:t>的交纳</w:t>
      </w:r>
    </w:p>
    <w:p w14:paraId="45E13D54">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w:t>
      </w:r>
      <w:r>
        <w:rPr>
          <w:rFonts w:ascii="仿宋" w:hAnsi="仿宋" w:eastAsia="仿宋"/>
          <w:color w:val="auto"/>
          <w:sz w:val="24"/>
          <w:szCs w:val="24"/>
          <w:highlight w:val="none"/>
        </w:rPr>
        <w:t>7.1.1投标保证金</w:t>
      </w:r>
      <w:r>
        <w:rPr>
          <w:rFonts w:hint="eastAsia" w:ascii="仿宋" w:hAnsi="仿宋" w:eastAsia="仿宋"/>
          <w:color w:val="auto"/>
          <w:sz w:val="24"/>
          <w:szCs w:val="24"/>
          <w:highlight w:val="none"/>
        </w:rPr>
        <w:t>的交纳金额和形式：见投标人须知前附表。</w:t>
      </w:r>
    </w:p>
    <w:p w14:paraId="66B7DEBB">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w:t>
      </w:r>
      <w:r>
        <w:rPr>
          <w:rFonts w:ascii="仿宋" w:hAnsi="仿宋" w:eastAsia="仿宋"/>
          <w:color w:val="auto"/>
          <w:sz w:val="24"/>
          <w:szCs w:val="24"/>
          <w:highlight w:val="none"/>
        </w:rPr>
        <w:t>7.1.2</w:t>
      </w:r>
      <w:r>
        <w:rPr>
          <w:rFonts w:hint="eastAsia" w:ascii="仿宋" w:hAnsi="仿宋" w:eastAsia="仿宋"/>
          <w:color w:val="auto"/>
          <w:sz w:val="24"/>
          <w:szCs w:val="24"/>
          <w:highlight w:val="none"/>
        </w:rPr>
        <w:t>投标保证金以到账时间为准。</w:t>
      </w:r>
    </w:p>
    <w:p w14:paraId="7BF4FC73">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w:t>
      </w:r>
      <w:r>
        <w:rPr>
          <w:rFonts w:ascii="仿宋" w:hAnsi="仿宋" w:eastAsia="仿宋"/>
          <w:color w:val="auto"/>
          <w:sz w:val="24"/>
          <w:szCs w:val="24"/>
          <w:highlight w:val="none"/>
        </w:rPr>
        <w:t>7.1.3</w:t>
      </w:r>
      <w:r>
        <w:rPr>
          <w:rFonts w:hint="eastAsia" w:ascii="仿宋" w:hAnsi="仿宋" w:eastAsia="仿宋"/>
          <w:color w:val="auto"/>
          <w:sz w:val="24"/>
          <w:szCs w:val="24"/>
          <w:highlight w:val="none"/>
        </w:rPr>
        <w:t>投标人为联合体的，联合体牵头人交纳的保证金对联合体各方均具有约束力。</w:t>
      </w:r>
    </w:p>
    <w:p w14:paraId="4AEDC9B9">
      <w:pPr>
        <w:spacing w:line="44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17.</w:t>
      </w:r>
      <w:r>
        <w:rPr>
          <w:rFonts w:hint="eastAsia" w:ascii="仿宋" w:hAnsi="仿宋" w:eastAsia="仿宋"/>
          <w:color w:val="auto"/>
          <w:sz w:val="24"/>
          <w:szCs w:val="24"/>
          <w:highlight w:val="none"/>
        </w:rPr>
        <w:t>2投标保证金的退还</w:t>
      </w:r>
    </w:p>
    <w:p w14:paraId="0FF8C381">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w:t>
      </w:r>
      <w:r>
        <w:rPr>
          <w:rFonts w:ascii="仿宋" w:hAnsi="仿宋" w:eastAsia="仿宋"/>
          <w:color w:val="auto"/>
          <w:sz w:val="24"/>
          <w:szCs w:val="24"/>
          <w:highlight w:val="none"/>
        </w:rPr>
        <w:t>7.</w:t>
      </w:r>
      <w:r>
        <w:rPr>
          <w:rFonts w:hint="eastAsia" w:ascii="仿宋" w:hAnsi="仿宋" w:eastAsia="仿宋"/>
          <w:color w:val="auto"/>
          <w:sz w:val="24"/>
          <w:szCs w:val="24"/>
          <w:highlight w:val="none"/>
        </w:rPr>
        <w:t>2</w:t>
      </w:r>
      <w:r>
        <w:rPr>
          <w:rFonts w:ascii="仿宋" w:hAnsi="仿宋" w:eastAsia="仿宋"/>
          <w:color w:val="auto"/>
          <w:sz w:val="24"/>
          <w:szCs w:val="24"/>
          <w:highlight w:val="none"/>
        </w:rPr>
        <w:t>.1</w:t>
      </w:r>
      <w:r>
        <w:rPr>
          <w:rFonts w:hint="eastAsia" w:ascii="仿宋" w:hAnsi="仿宋" w:eastAsia="仿宋"/>
          <w:color w:val="auto"/>
          <w:sz w:val="24"/>
          <w:szCs w:val="24"/>
          <w:highlight w:val="none"/>
        </w:rPr>
        <w:t>投标人在招标文件要求提交投标文件截止时间前撤回已提交的投标文件的，采购人或者采购代理机构自收到投标人书面撤回通知之日起</w:t>
      </w:r>
      <w:r>
        <w:rPr>
          <w:rFonts w:ascii="仿宋" w:hAnsi="仿宋" w:eastAsia="仿宋"/>
          <w:color w:val="auto"/>
          <w:sz w:val="24"/>
          <w:szCs w:val="24"/>
          <w:highlight w:val="none"/>
        </w:rPr>
        <w:t>5</w:t>
      </w:r>
      <w:r>
        <w:rPr>
          <w:rFonts w:hint="eastAsia" w:ascii="仿宋" w:hAnsi="仿宋" w:eastAsia="仿宋"/>
          <w:color w:val="auto"/>
          <w:sz w:val="24"/>
          <w:szCs w:val="24"/>
          <w:highlight w:val="none"/>
        </w:rPr>
        <w:t>个工作日内，退还已收取的投标保证金，</w:t>
      </w:r>
      <w:r>
        <w:rPr>
          <w:rFonts w:ascii="仿宋" w:hAnsi="仿宋" w:eastAsia="仿宋"/>
          <w:color w:val="auto"/>
          <w:sz w:val="24"/>
          <w:szCs w:val="24"/>
          <w:highlight w:val="none"/>
        </w:rPr>
        <w:t>但因投标人自身原因导致无法及时退还的除外</w:t>
      </w:r>
      <w:r>
        <w:rPr>
          <w:rFonts w:hint="eastAsia" w:ascii="仿宋" w:hAnsi="仿宋" w:eastAsia="仿宋"/>
          <w:color w:val="auto"/>
          <w:sz w:val="24"/>
          <w:szCs w:val="24"/>
          <w:highlight w:val="none"/>
        </w:rPr>
        <w:t>。</w:t>
      </w:r>
    </w:p>
    <w:p w14:paraId="0682C953">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w:t>
      </w:r>
      <w:r>
        <w:rPr>
          <w:rFonts w:ascii="仿宋" w:hAnsi="仿宋" w:eastAsia="仿宋"/>
          <w:color w:val="auto"/>
          <w:sz w:val="24"/>
          <w:szCs w:val="24"/>
          <w:highlight w:val="none"/>
        </w:rPr>
        <w:t>7.</w:t>
      </w:r>
      <w:r>
        <w:rPr>
          <w:rFonts w:hint="eastAsia" w:ascii="仿宋" w:hAnsi="仿宋" w:eastAsia="仿宋"/>
          <w:color w:val="auto"/>
          <w:sz w:val="24"/>
          <w:szCs w:val="24"/>
          <w:highlight w:val="none"/>
        </w:rPr>
        <w:t>2</w:t>
      </w:r>
      <w:r>
        <w:rPr>
          <w:rFonts w:ascii="仿宋" w:hAnsi="仿宋" w:eastAsia="仿宋"/>
          <w:color w:val="auto"/>
          <w:sz w:val="24"/>
          <w:szCs w:val="24"/>
          <w:highlight w:val="none"/>
        </w:rPr>
        <w:t>.2</w:t>
      </w:r>
      <w:r>
        <w:rPr>
          <w:rFonts w:hint="eastAsia" w:ascii="仿宋" w:hAnsi="仿宋" w:eastAsia="仿宋"/>
          <w:color w:val="auto"/>
          <w:sz w:val="24"/>
          <w:szCs w:val="24"/>
          <w:highlight w:val="none"/>
        </w:rPr>
        <w:t>采购代理机构</w:t>
      </w:r>
      <w:r>
        <w:rPr>
          <w:rFonts w:ascii="仿宋" w:hAnsi="仿宋" w:eastAsia="仿宋"/>
          <w:color w:val="auto"/>
          <w:sz w:val="24"/>
          <w:szCs w:val="24"/>
          <w:highlight w:val="none"/>
        </w:rPr>
        <w:t>应当自中标通知书发出之日起</w:t>
      </w:r>
      <w:r>
        <w:rPr>
          <w:rFonts w:hint="eastAsia" w:ascii="仿宋" w:hAnsi="仿宋" w:eastAsia="仿宋"/>
          <w:color w:val="auto"/>
          <w:sz w:val="24"/>
          <w:szCs w:val="24"/>
          <w:highlight w:val="none"/>
        </w:rPr>
        <w:t>2</w:t>
      </w:r>
      <w:r>
        <w:rPr>
          <w:rFonts w:ascii="仿宋" w:hAnsi="仿宋" w:eastAsia="仿宋"/>
          <w:color w:val="auto"/>
          <w:sz w:val="24"/>
          <w:szCs w:val="24"/>
          <w:highlight w:val="none"/>
        </w:rPr>
        <w:t>个工作日内退还未中标人的投标保证金，自采购合同签订之日起5个工作日内退还中标人的投标保证金或者转为中标人的履约保证金</w:t>
      </w:r>
      <w:r>
        <w:rPr>
          <w:rFonts w:hint="eastAsia" w:ascii="仿宋" w:hAnsi="仿宋" w:eastAsia="仿宋"/>
          <w:color w:val="auto"/>
          <w:sz w:val="24"/>
          <w:szCs w:val="24"/>
          <w:highlight w:val="none"/>
        </w:rPr>
        <w:t>。</w:t>
      </w:r>
    </w:p>
    <w:p w14:paraId="75BDB0AC">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w:t>
      </w:r>
      <w:r>
        <w:rPr>
          <w:rFonts w:ascii="仿宋" w:hAnsi="仿宋" w:eastAsia="仿宋"/>
          <w:color w:val="auto"/>
          <w:sz w:val="24"/>
          <w:szCs w:val="24"/>
          <w:highlight w:val="none"/>
        </w:rPr>
        <w:t>7.</w:t>
      </w:r>
      <w:r>
        <w:rPr>
          <w:rFonts w:hint="eastAsia" w:ascii="仿宋" w:hAnsi="仿宋" w:eastAsia="仿宋"/>
          <w:color w:val="auto"/>
          <w:sz w:val="24"/>
          <w:szCs w:val="24"/>
          <w:highlight w:val="none"/>
        </w:rPr>
        <w:t>3投标保证金的不予退还</w:t>
      </w:r>
    </w:p>
    <w:p w14:paraId="7C9AC795">
      <w:pPr>
        <w:spacing w:line="44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17.3.1投标人</w:t>
      </w:r>
      <w:r>
        <w:rPr>
          <w:rFonts w:hint="eastAsia" w:ascii="仿宋" w:hAnsi="仿宋" w:eastAsia="仿宋"/>
          <w:color w:val="auto"/>
          <w:sz w:val="24"/>
          <w:szCs w:val="24"/>
          <w:highlight w:val="none"/>
        </w:rPr>
        <w:t>有下列情形之一的，投标保证金将不予退还：</w:t>
      </w:r>
    </w:p>
    <w:p w14:paraId="21426E4C">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（1）提供的有关资料不真实或者提供虚假材料的；</w:t>
      </w:r>
    </w:p>
    <w:p w14:paraId="59CE1605">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w:t>
      </w:r>
      <w:r>
        <w:rPr>
          <w:rFonts w:ascii="仿宋" w:hAnsi="仿宋" w:eastAsia="仿宋"/>
          <w:color w:val="auto"/>
          <w:sz w:val="24"/>
          <w:szCs w:val="24"/>
          <w:highlight w:val="none"/>
        </w:rPr>
        <w:t>2</w:t>
      </w:r>
      <w:r>
        <w:rPr>
          <w:rFonts w:hint="eastAsia" w:ascii="仿宋" w:hAnsi="仿宋" w:eastAsia="仿宋"/>
          <w:color w:val="auto"/>
          <w:sz w:val="24"/>
          <w:szCs w:val="24"/>
          <w:highlight w:val="none"/>
        </w:rPr>
        <w:t>）投标有效期内投标人撤销投标文件的；</w:t>
      </w:r>
    </w:p>
    <w:p w14:paraId="7952AE77">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w:t>
      </w:r>
      <w:r>
        <w:rPr>
          <w:rFonts w:ascii="仿宋" w:hAnsi="仿宋" w:eastAsia="仿宋"/>
          <w:color w:val="auto"/>
          <w:sz w:val="24"/>
          <w:szCs w:val="24"/>
          <w:highlight w:val="none"/>
        </w:rPr>
        <w:t>3</w:t>
      </w:r>
      <w:r>
        <w:rPr>
          <w:rFonts w:hint="eastAsia" w:ascii="仿宋" w:hAnsi="仿宋" w:eastAsia="仿宋"/>
          <w:color w:val="auto"/>
          <w:sz w:val="24"/>
          <w:szCs w:val="24"/>
          <w:highlight w:val="none"/>
        </w:rPr>
        <w:t>）损害采购人或者采购代理机构合法权益的；</w:t>
      </w:r>
    </w:p>
    <w:p w14:paraId="4336C4D7">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w:t>
      </w:r>
      <w:r>
        <w:rPr>
          <w:rFonts w:ascii="仿宋" w:hAnsi="仿宋" w:eastAsia="仿宋"/>
          <w:color w:val="auto"/>
          <w:sz w:val="24"/>
          <w:szCs w:val="24"/>
          <w:highlight w:val="none"/>
        </w:rPr>
        <w:t>4</w:t>
      </w:r>
      <w:r>
        <w:rPr>
          <w:rFonts w:hint="eastAsia" w:ascii="仿宋" w:hAnsi="仿宋" w:eastAsia="仿宋"/>
          <w:color w:val="auto"/>
          <w:sz w:val="24"/>
          <w:szCs w:val="24"/>
          <w:highlight w:val="none"/>
        </w:rPr>
        <w:t>）投标人向采购代理机构、采购人、专家提供不正当利益的；</w:t>
      </w:r>
    </w:p>
    <w:p w14:paraId="386A05FB">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w:t>
      </w:r>
      <w:r>
        <w:rPr>
          <w:rFonts w:ascii="仿宋" w:hAnsi="仿宋" w:eastAsia="仿宋"/>
          <w:color w:val="auto"/>
          <w:sz w:val="24"/>
          <w:szCs w:val="24"/>
          <w:highlight w:val="none"/>
        </w:rPr>
        <w:t>5</w:t>
      </w:r>
      <w:r>
        <w:rPr>
          <w:rFonts w:hint="eastAsia" w:ascii="仿宋" w:hAnsi="仿宋" w:eastAsia="仿宋"/>
          <w:color w:val="auto"/>
          <w:sz w:val="24"/>
          <w:szCs w:val="24"/>
          <w:highlight w:val="none"/>
        </w:rPr>
        <w:t>）经评标委员会认定有故意哄抬报价、串标或者其它违法行为的</w:t>
      </w:r>
      <w:r>
        <w:rPr>
          <w:rFonts w:ascii="仿宋" w:hAnsi="仿宋" w:eastAsia="仿宋"/>
          <w:color w:val="auto"/>
          <w:sz w:val="24"/>
          <w:szCs w:val="24"/>
          <w:highlight w:val="none"/>
        </w:rPr>
        <w:t>;</w:t>
      </w:r>
    </w:p>
    <w:p w14:paraId="77839126">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w:t>
      </w:r>
      <w:r>
        <w:rPr>
          <w:rFonts w:ascii="仿宋" w:hAnsi="仿宋" w:eastAsia="仿宋"/>
          <w:color w:val="auto"/>
          <w:sz w:val="24"/>
          <w:szCs w:val="24"/>
          <w:highlight w:val="none"/>
        </w:rPr>
        <w:t>6</w:t>
      </w:r>
      <w:r>
        <w:rPr>
          <w:rFonts w:hint="eastAsia" w:ascii="仿宋" w:hAnsi="仿宋" w:eastAsia="仿宋"/>
          <w:color w:val="auto"/>
          <w:sz w:val="24"/>
          <w:szCs w:val="24"/>
          <w:highlight w:val="none"/>
        </w:rPr>
        <w:t>）中标人未按照招标文件规定签订合同或者未按照招标文件规定提供履约保证金的；</w:t>
      </w:r>
    </w:p>
    <w:p w14:paraId="637C4827">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w:t>
      </w:r>
      <w:r>
        <w:rPr>
          <w:rFonts w:ascii="仿宋" w:hAnsi="仿宋" w:eastAsia="仿宋"/>
          <w:color w:val="auto"/>
          <w:sz w:val="24"/>
          <w:szCs w:val="24"/>
          <w:highlight w:val="none"/>
        </w:rPr>
        <w:t>7</w:t>
      </w:r>
      <w:r>
        <w:rPr>
          <w:rFonts w:hint="eastAsia" w:ascii="仿宋" w:hAnsi="仿宋" w:eastAsia="仿宋"/>
          <w:color w:val="auto"/>
          <w:sz w:val="24"/>
          <w:szCs w:val="24"/>
          <w:highlight w:val="none"/>
        </w:rPr>
        <w:t>）法律、行政法规以及有关规定的其它情形。</w:t>
      </w:r>
    </w:p>
    <w:p w14:paraId="3821E36A">
      <w:pPr>
        <w:spacing w:line="44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17.3.2</w:t>
      </w:r>
      <w:r>
        <w:rPr>
          <w:rFonts w:hint="eastAsia" w:ascii="仿宋" w:hAnsi="仿宋" w:eastAsia="仿宋"/>
          <w:color w:val="auto"/>
          <w:sz w:val="24"/>
          <w:szCs w:val="24"/>
          <w:highlight w:val="none"/>
        </w:rPr>
        <w:t>不予退还的投标保证金应在规定时间内上缴国库。</w:t>
      </w:r>
    </w:p>
    <w:p w14:paraId="05D5635D">
      <w:pPr>
        <w:spacing w:line="440" w:lineRule="exact"/>
        <w:ind w:firstLine="560" w:firstLineChars="200"/>
        <w:outlineLvl w:val="2"/>
        <w:rPr>
          <w:rFonts w:ascii="楷体" w:hAnsi="楷体" w:eastAsia="楷体"/>
          <w:color w:val="auto"/>
          <w:sz w:val="28"/>
          <w:szCs w:val="28"/>
          <w:highlight w:val="none"/>
        </w:rPr>
      </w:pPr>
      <w:bookmarkStart w:id="84" w:name="_Toc24840"/>
      <w:bookmarkStart w:id="85" w:name="_Toc494455670"/>
      <w:bookmarkStart w:id="86" w:name="_Toc494455667"/>
      <w:r>
        <w:rPr>
          <w:rFonts w:hint="eastAsia" w:ascii="楷体" w:hAnsi="楷体" w:eastAsia="楷体"/>
          <w:color w:val="auto"/>
          <w:sz w:val="28"/>
          <w:szCs w:val="28"/>
          <w:highlight w:val="none"/>
        </w:rPr>
        <w:t>18.开标、评标、定标</w:t>
      </w:r>
      <w:bookmarkEnd w:id="84"/>
      <w:bookmarkEnd w:id="85"/>
    </w:p>
    <w:p w14:paraId="135D8586">
      <w:pPr>
        <w:spacing w:line="440" w:lineRule="exact"/>
        <w:ind w:firstLine="480" w:firstLineChars="200"/>
        <w:rPr>
          <w:rFonts w:ascii="仿宋" w:hAnsi="仿宋" w:eastAsia="仿宋"/>
          <w:color w:val="auto"/>
          <w:sz w:val="24"/>
          <w:szCs w:val="24"/>
          <w:highlight w:val="none"/>
        </w:rPr>
      </w:pPr>
      <w:bookmarkStart w:id="87" w:name="_Toc494455671"/>
      <w:r>
        <w:rPr>
          <w:rFonts w:hint="eastAsia" w:ascii="仿宋" w:hAnsi="仿宋" w:eastAsia="仿宋"/>
          <w:color w:val="auto"/>
          <w:sz w:val="24"/>
          <w:szCs w:val="24"/>
          <w:highlight w:val="none"/>
        </w:rPr>
        <w:t>18.1开标程序</w:t>
      </w:r>
      <w:bookmarkEnd w:id="87"/>
    </w:p>
    <w:p w14:paraId="2B01EA50">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w:t>
      </w:r>
      <w:r>
        <w:rPr>
          <w:rFonts w:ascii="仿宋" w:hAnsi="仿宋" w:eastAsia="仿宋"/>
          <w:color w:val="auto"/>
          <w:sz w:val="24"/>
          <w:szCs w:val="24"/>
          <w:highlight w:val="none"/>
        </w:rPr>
        <w:t>.1</w:t>
      </w:r>
      <w:r>
        <w:rPr>
          <w:rFonts w:hint="eastAsia" w:ascii="仿宋" w:hAnsi="仿宋" w:eastAsia="仿宋"/>
          <w:color w:val="auto"/>
          <w:sz w:val="24"/>
          <w:szCs w:val="24"/>
          <w:highlight w:val="none"/>
        </w:rPr>
        <w:t>.1宣布开标纪律；</w:t>
      </w:r>
    </w:p>
    <w:p w14:paraId="0AFC318C">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18.1</w:t>
      </w:r>
      <w:r>
        <w:rPr>
          <w:rFonts w:ascii="仿宋" w:hAnsi="仿宋" w:eastAsia="仿宋"/>
          <w:color w:val="auto"/>
          <w:sz w:val="24"/>
          <w:szCs w:val="24"/>
          <w:highlight w:val="none"/>
        </w:rPr>
        <w:t>.2</w:t>
      </w:r>
      <w:r>
        <w:rPr>
          <w:rFonts w:hint="eastAsia" w:ascii="仿宋" w:hAnsi="仿宋" w:eastAsia="仿宋"/>
          <w:color w:val="auto"/>
          <w:sz w:val="24"/>
          <w:szCs w:val="24"/>
          <w:highlight w:val="none"/>
        </w:rPr>
        <w:t>宣布主持人、唱标人、记录人等有关人员姓名；</w:t>
      </w:r>
    </w:p>
    <w:p w14:paraId="2B6F6860">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18.1</w:t>
      </w:r>
      <w:r>
        <w:rPr>
          <w:rFonts w:ascii="仿宋" w:hAnsi="仿宋" w:eastAsia="仿宋"/>
          <w:color w:val="auto"/>
          <w:sz w:val="24"/>
          <w:szCs w:val="24"/>
          <w:highlight w:val="none"/>
        </w:rPr>
        <w:t>.3</w:t>
      </w:r>
      <w:r>
        <w:rPr>
          <w:rFonts w:hint="eastAsia" w:ascii="仿宋" w:hAnsi="仿宋" w:eastAsia="仿宋"/>
          <w:color w:val="auto"/>
          <w:sz w:val="24"/>
          <w:szCs w:val="24"/>
          <w:highlight w:val="none"/>
        </w:rPr>
        <w:t>公布在投标截止时间前递交投标文件的投标人名称及签到顺序；</w:t>
      </w:r>
    </w:p>
    <w:p w14:paraId="4477F4BE">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18.1</w:t>
      </w:r>
      <w:r>
        <w:rPr>
          <w:rFonts w:ascii="仿宋" w:hAnsi="仿宋" w:eastAsia="仿宋"/>
          <w:color w:val="auto"/>
          <w:sz w:val="24"/>
          <w:szCs w:val="24"/>
          <w:highlight w:val="none"/>
        </w:rPr>
        <w:t>.4</w:t>
      </w:r>
      <w:r>
        <w:rPr>
          <w:rFonts w:hint="eastAsia" w:ascii="仿宋" w:hAnsi="仿宋" w:eastAsia="仿宋"/>
          <w:color w:val="auto"/>
          <w:sz w:val="24"/>
          <w:szCs w:val="24"/>
          <w:highlight w:val="none"/>
        </w:rPr>
        <w:t>投标人相互检查投标文件密封情况，并签字确认；</w:t>
      </w:r>
    </w:p>
    <w:p w14:paraId="252CF203">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18.1</w:t>
      </w:r>
      <w:r>
        <w:rPr>
          <w:rFonts w:ascii="仿宋" w:hAnsi="仿宋" w:eastAsia="仿宋"/>
          <w:color w:val="auto"/>
          <w:sz w:val="24"/>
          <w:szCs w:val="24"/>
          <w:highlight w:val="none"/>
        </w:rPr>
        <w:t>.5</w:t>
      </w:r>
      <w:r>
        <w:rPr>
          <w:rFonts w:hint="eastAsia" w:ascii="仿宋" w:hAnsi="仿宋" w:eastAsia="仿宋"/>
          <w:color w:val="auto"/>
          <w:sz w:val="24"/>
          <w:szCs w:val="24"/>
          <w:highlight w:val="none"/>
        </w:rPr>
        <w:t>由公证人员、采购人及监督对各投标单位验资，各投标人在验资表上签字确认；</w:t>
      </w:r>
    </w:p>
    <w:p w14:paraId="760705CE">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18.1</w:t>
      </w:r>
      <w:r>
        <w:rPr>
          <w:rFonts w:ascii="仿宋" w:hAnsi="仿宋" w:eastAsia="仿宋"/>
          <w:color w:val="auto"/>
          <w:sz w:val="24"/>
          <w:szCs w:val="24"/>
          <w:highlight w:val="none"/>
        </w:rPr>
        <w:t>.</w:t>
      </w:r>
      <w:r>
        <w:rPr>
          <w:rFonts w:hint="eastAsia" w:ascii="仿宋" w:hAnsi="仿宋" w:eastAsia="仿宋"/>
          <w:color w:val="auto"/>
          <w:sz w:val="24"/>
          <w:szCs w:val="24"/>
          <w:highlight w:val="none"/>
        </w:rPr>
        <w:t>6开启投标文件，按照签到顺序公布投标人名称、投标报价等内容，并记录在案；</w:t>
      </w:r>
    </w:p>
    <w:p w14:paraId="2651018F">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18.1</w:t>
      </w:r>
      <w:r>
        <w:rPr>
          <w:rFonts w:ascii="仿宋" w:hAnsi="仿宋" w:eastAsia="仿宋"/>
          <w:color w:val="auto"/>
          <w:sz w:val="24"/>
          <w:szCs w:val="24"/>
          <w:highlight w:val="none"/>
        </w:rPr>
        <w:t>.</w:t>
      </w:r>
      <w:r>
        <w:rPr>
          <w:rFonts w:hint="eastAsia" w:ascii="仿宋" w:hAnsi="仿宋" w:eastAsia="仿宋"/>
          <w:color w:val="auto"/>
          <w:sz w:val="24"/>
          <w:szCs w:val="24"/>
          <w:highlight w:val="none"/>
        </w:rPr>
        <w:t>7投标人法定代表人（或者被授权代表）、采购人代表、记录人等有关人员在开标记录上签字确认；</w:t>
      </w:r>
    </w:p>
    <w:p w14:paraId="058CBB71">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18.1</w:t>
      </w:r>
      <w:r>
        <w:rPr>
          <w:rFonts w:ascii="仿宋" w:hAnsi="仿宋" w:eastAsia="仿宋"/>
          <w:color w:val="auto"/>
          <w:sz w:val="24"/>
          <w:szCs w:val="24"/>
          <w:highlight w:val="none"/>
        </w:rPr>
        <w:t>.</w:t>
      </w:r>
      <w:r>
        <w:rPr>
          <w:rFonts w:hint="eastAsia" w:ascii="仿宋" w:hAnsi="仿宋" w:eastAsia="仿宋"/>
          <w:color w:val="auto"/>
          <w:sz w:val="24"/>
          <w:szCs w:val="24"/>
          <w:highlight w:val="none"/>
        </w:rPr>
        <w:t>8开标结束。</w:t>
      </w:r>
    </w:p>
    <w:p w14:paraId="4ADD0D4B">
      <w:pPr>
        <w:spacing w:line="440" w:lineRule="exact"/>
        <w:ind w:firstLine="480" w:firstLineChars="200"/>
        <w:rPr>
          <w:rFonts w:ascii="仿宋" w:hAnsi="仿宋" w:eastAsia="仿宋"/>
          <w:color w:val="auto"/>
          <w:sz w:val="24"/>
          <w:szCs w:val="24"/>
          <w:highlight w:val="none"/>
        </w:rPr>
      </w:pPr>
      <w:bookmarkStart w:id="88" w:name="_Toc494455672"/>
      <w:r>
        <w:rPr>
          <w:rFonts w:hint="eastAsia" w:ascii="仿宋" w:hAnsi="仿宋" w:eastAsia="仿宋"/>
          <w:color w:val="auto"/>
          <w:sz w:val="24"/>
          <w:szCs w:val="24"/>
          <w:highlight w:val="none"/>
        </w:rPr>
        <w:t>18.2开标</w:t>
      </w:r>
      <w:bookmarkEnd w:id="88"/>
    </w:p>
    <w:p w14:paraId="1EAD58AD">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18.2</w:t>
      </w:r>
      <w:r>
        <w:rPr>
          <w:rFonts w:ascii="仿宋" w:hAnsi="仿宋" w:eastAsia="仿宋"/>
          <w:color w:val="auto"/>
          <w:sz w:val="24"/>
          <w:szCs w:val="24"/>
          <w:highlight w:val="none"/>
        </w:rPr>
        <w:t>.1</w:t>
      </w:r>
      <w:r>
        <w:rPr>
          <w:rFonts w:hint="eastAsia" w:ascii="仿宋" w:hAnsi="仿宋" w:eastAsia="仿宋"/>
          <w:color w:val="auto"/>
          <w:sz w:val="24"/>
          <w:szCs w:val="24"/>
          <w:highlight w:val="none"/>
        </w:rPr>
        <w:t>开标应当在招标文件确定的提交投标文件截止时间的同一时间公开进行。开标地点应当为招标文件中预先确定的地点。</w:t>
      </w:r>
    </w:p>
    <w:p w14:paraId="29FF1C78">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18.2</w:t>
      </w:r>
      <w:r>
        <w:rPr>
          <w:rFonts w:ascii="仿宋" w:hAnsi="仿宋" w:eastAsia="仿宋"/>
          <w:color w:val="auto"/>
          <w:sz w:val="24"/>
          <w:szCs w:val="24"/>
          <w:highlight w:val="none"/>
        </w:rPr>
        <w:t>.2</w:t>
      </w:r>
      <w:r>
        <w:rPr>
          <w:rFonts w:hint="eastAsia" w:ascii="仿宋" w:hAnsi="仿宋" w:eastAsia="仿宋"/>
          <w:color w:val="auto"/>
          <w:sz w:val="24"/>
          <w:szCs w:val="24"/>
          <w:highlight w:val="none"/>
          <w:lang w:val="en-US" w:eastAsia="zh-CN"/>
        </w:rPr>
        <w:t>供应商应在供应商须知规定的时间内完成解密</w:t>
      </w:r>
      <w:r>
        <w:rPr>
          <w:rFonts w:hint="eastAsia" w:ascii="仿宋" w:hAnsi="仿宋" w:eastAsia="仿宋"/>
          <w:color w:val="auto"/>
          <w:sz w:val="24"/>
          <w:szCs w:val="24"/>
          <w:highlight w:val="none"/>
        </w:rPr>
        <w:t>。</w:t>
      </w:r>
    </w:p>
    <w:p w14:paraId="52106E06">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18.2</w:t>
      </w:r>
      <w:r>
        <w:rPr>
          <w:rFonts w:ascii="仿宋" w:hAnsi="仿宋" w:eastAsia="仿宋"/>
          <w:color w:val="auto"/>
          <w:sz w:val="24"/>
          <w:szCs w:val="24"/>
          <w:highlight w:val="none"/>
        </w:rPr>
        <w:t>.3</w:t>
      </w:r>
      <w:r>
        <w:rPr>
          <w:rFonts w:hint="eastAsia" w:ascii="仿宋" w:hAnsi="仿宋" w:eastAsia="仿宋"/>
          <w:color w:val="auto"/>
          <w:sz w:val="24"/>
          <w:szCs w:val="24"/>
          <w:highlight w:val="none"/>
        </w:rPr>
        <w:t>由采购代理机构工作人员唱标。</w:t>
      </w:r>
    </w:p>
    <w:p w14:paraId="07BA527A">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唱标人当众宣读投标人名称、投标报价、招标文件规定的需要宣布的其他内容，并不得拒绝任何符合要求的投标报价。投标人若有报价和优惠未被唱出，应在开标时及时声明或者提出，否则采购代理机构对此不承担任何责任。</w:t>
      </w:r>
    </w:p>
    <w:p w14:paraId="7FACC405">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18.2</w:t>
      </w:r>
      <w:r>
        <w:rPr>
          <w:rFonts w:ascii="仿宋" w:hAnsi="仿宋" w:eastAsia="仿宋"/>
          <w:color w:val="auto"/>
          <w:sz w:val="24"/>
          <w:szCs w:val="24"/>
          <w:highlight w:val="none"/>
        </w:rPr>
        <w:t>.4</w:t>
      </w:r>
      <w:r>
        <w:rPr>
          <w:rFonts w:hint="eastAsia" w:ascii="仿宋" w:hAnsi="仿宋" w:eastAsia="仿宋"/>
          <w:color w:val="auto"/>
          <w:sz w:val="24"/>
          <w:szCs w:val="24"/>
          <w:highlight w:val="none"/>
        </w:rPr>
        <w:t>开标和唱标由采购代理机构指定专人负责，开标记录由投标人法定代表人或者被授权代表、采购人代表、记录人等有关人员签字确认，采购代理机构负责存档备查。</w:t>
      </w:r>
    </w:p>
    <w:p w14:paraId="37E2B87C">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18.2</w:t>
      </w:r>
      <w:r>
        <w:rPr>
          <w:rFonts w:ascii="仿宋" w:hAnsi="仿宋" w:eastAsia="仿宋"/>
          <w:color w:val="auto"/>
          <w:sz w:val="24"/>
          <w:szCs w:val="24"/>
          <w:highlight w:val="none"/>
        </w:rPr>
        <w:t>.5</w:t>
      </w:r>
      <w:r>
        <w:rPr>
          <w:rFonts w:hint="eastAsia" w:ascii="仿宋" w:hAnsi="仿宋" w:eastAsia="仿宋"/>
          <w:color w:val="auto"/>
          <w:sz w:val="24"/>
          <w:szCs w:val="24"/>
          <w:highlight w:val="none"/>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投标人未参加开标的，视同认可开标结果。</w:t>
      </w:r>
    </w:p>
    <w:p w14:paraId="14461961">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18.2.6投标人不足3家的，不得开标。</w:t>
      </w:r>
    </w:p>
    <w:p w14:paraId="6F481B26">
      <w:pPr>
        <w:spacing w:line="440" w:lineRule="exact"/>
        <w:ind w:firstLine="480" w:firstLineChars="200"/>
        <w:rPr>
          <w:rFonts w:ascii="仿宋" w:hAnsi="仿宋" w:eastAsia="仿宋"/>
          <w:color w:val="auto"/>
          <w:sz w:val="24"/>
          <w:szCs w:val="24"/>
          <w:highlight w:val="none"/>
        </w:rPr>
      </w:pPr>
      <w:bookmarkStart w:id="89" w:name="_Toc494455673"/>
      <w:r>
        <w:rPr>
          <w:rFonts w:hint="eastAsia" w:ascii="仿宋" w:hAnsi="仿宋" w:eastAsia="仿宋"/>
          <w:color w:val="auto"/>
          <w:sz w:val="24"/>
          <w:szCs w:val="24"/>
          <w:highlight w:val="none"/>
        </w:rPr>
        <w:t>18.3评标委员会</w:t>
      </w:r>
      <w:bookmarkEnd w:id="89"/>
    </w:p>
    <w:p w14:paraId="66B4CB23">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18.3</w:t>
      </w:r>
      <w:r>
        <w:rPr>
          <w:rFonts w:ascii="仿宋" w:hAnsi="仿宋" w:eastAsia="仿宋"/>
          <w:color w:val="auto"/>
          <w:sz w:val="24"/>
          <w:szCs w:val="24"/>
          <w:highlight w:val="none"/>
        </w:rPr>
        <w:t>.1</w:t>
      </w:r>
      <w:r>
        <w:rPr>
          <w:rFonts w:hint="eastAsia" w:ascii="仿宋" w:hAnsi="仿宋" w:eastAsia="仿宋"/>
          <w:color w:val="auto"/>
          <w:sz w:val="24"/>
          <w:szCs w:val="24"/>
          <w:highlight w:val="none"/>
        </w:rPr>
        <w:t>评标委员会的组成</w:t>
      </w:r>
    </w:p>
    <w:p w14:paraId="025DCF65">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采购人按照《中华人民共和国政府采购法》以及有关规定组建评标委员会。评标由依法组建的评标委员会负责。评标委员会由采购人代表和评标专家组成，成员人数为5人以上单数，技术、经济等方面的评审专家不得少于成员总数的三分之二。</w:t>
      </w:r>
      <w:r>
        <w:rPr>
          <w:rFonts w:ascii="仿宋" w:hAnsi="仿宋" w:eastAsia="仿宋"/>
          <w:color w:val="auto"/>
          <w:sz w:val="24"/>
          <w:szCs w:val="24"/>
          <w:highlight w:val="none"/>
        </w:rPr>
        <w:t>评审专家对本单位的采购项目只能作为</w:t>
      </w:r>
      <w:r>
        <w:rPr>
          <w:rFonts w:hint="eastAsia" w:ascii="仿宋" w:hAnsi="仿宋" w:eastAsia="仿宋"/>
          <w:color w:val="auto"/>
          <w:sz w:val="24"/>
          <w:szCs w:val="24"/>
          <w:highlight w:val="none"/>
        </w:rPr>
        <w:t>采购人</w:t>
      </w:r>
      <w:r>
        <w:rPr>
          <w:rFonts w:ascii="仿宋" w:hAnsi="仿宋" w:eastAsia="仿宋"/>
          <w:color w:val="auto"/>
          <w:sz w:val="24"/>
          <w:szCs w:val="24"/>
          <w:highlight w:val="none"/>
        </w:rPr>
        <w:t>代表参与评标，</w:t>
      </w:r>
      <w:r>
        <w:rPr>
          <w:rFonts w:hint="eastAsia" w:ascii="仿宋" w:hAnsi="仿宋" w:eastAsia="仿宋"/>
          <w:color w:val="auto"/>
          <w:sz w:val="24"/>
          <w:szCs w:val="24"/>
          <w:highlight w:val="none"/>
        </w:rPr>
        <w:t>采购人</w:t>
      </w:r>
      <w:r>
        <w:rPr>
          <w:rFonts w:ascii="仿宋" w:hAnsi="仿宋" w:eastAsia="仿宋"/>
          <w:color w:val="auto"/>
          <w:sz w:val="24"/>
          <w:szCs w:val="24"/>
          <w:highlight w:val="none"/>
        </w:rPr>
        <w:t>可以自行选定相应专业领域评审专家</w:t>
      </w:r>
      <w:r>
        <w:rPr>
          <w:rFonts w:hint="eastAsia" w:ascii="仿宋" w:hAnsi="仿宋" w:eastAsia="仿宋"/>
          <w:color w:val="auto"/>
          <w:sz w:val="24"/>
          <w:szCs w:val="24"/>
          <w:highlight w:val="none"/>
        </w:rPr>
        <w:t>的</w:t>
      </w:r>
      <w:r>
        <w:rPr>
          <w:rFonts w:ascii="仿宋" w:hAnsi="仿宋" w:eastAsia="仿宋"/>
          <w:color w:val="auto"/>
          <w:sz w:val="24"/>
          <w:szCs w:val="24"/>
          <w:highlight w:val="none"/>
        </w:rPr>
        <w:t>规定情形除外。采购代理机构工作人员不得参加由本机构代理的政府采购项目的评标。</w:t>
      </w:r>
    </w:p>
    <w:p w14:paraId="3F295EFD">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18.3</w:t>
      </w:r>
      <w:r>
        <w:rPr>
          <w:rFonts w:ascii="仿宋" w:hAnsi="仿宋" w:eastAsia="仿宋"/>
          <w:color w:val="auto"/>
          <w:sz w:val="24"/>
          <w:szCs w:val="24"/>
          <w:highlight w:val="none"/>
        </w:rPr>
        <w:t>.2</w:t>
      </w:r>
      <w:r>
        <w:rPr>
          <w:rFonts w:hint="eastAsia" w:ascii="仿宋" w:hAnsi="仿宋" w:eastAsia="仿宋"/>
          <w:color w:val="auto"/>
          <w:sz w:val="24"/>
          <w:szCs w:val="24"/>
          <w:highlight w:val="none"/>
        </w:rPr>
        <w:t>评审专家的抽取</w:t>
      </w:r>
    </w:p>
    <w:p w14:paraId="3E11E833">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18.3</w:t>
      </w:r>
      <w:r>
        <w:rPr>
          <w:rFonts w:ascii="仿宋" w:hAnsi="仿宋" w:eastAsia="仿宋"/>
          <w:color w:val="auto"/>
          <w:sz w:val="24"/>
          <w:szCs w:val="24"/>
          <w:highlight w:val="none"/>
        </w:rPr>
        <w:t>.2.1</w:t>
      </w:r>
      <w:r>
        <w:rPr>
          <w:rFonts w:hint="eastAsia" w:ascii="仿宋" w:hAnsi="仿宋" w:eastAsia="仿宋"/>
          <w:color w:val="auto"/>
          <w:sz w:val="24"/>
          <w:szCs w:val="24"/>
          <w:highlight w:val="none"/>
        </w:rPr>
        <w:t>采用随机抽取方式从地区以上财政部门设立的政府采购评审专家库中抽取评审专家。任何单位和个人都不得指定评审专家或干预评审专家的抽取工作。</w:t>
      </w:r>
    </w:p>
    <w:p w14:paraId="14CEBC0B">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18.3</w:t>
      </w:r>
      <w:r>
        <w:rPr>
          <w:rFonts w:ascii="仿宋" w:hAnsi="仿宋" w:eastAsia="仿宋"/>
          <w:color w:val="auto"/>
          <w:sz w:val="24"/>
          <w:szCs w:val="24"/>
          <w:highlight w:val="none"/>
        </w:rPr>
        <w:t>.2.2</w:t>
      </w:r>
      <w:r>
        <w:rPr>
          <w:rFonts w:hint="eastAsia" w:ascii="仿宋" w:hAnsi="仿宋" w:eastAsia="仿宋"/>
          <w:color w:val="auto"/>
          <w:sz w:val="24"/>
          <w:szCs w:val="24"/>
          <w:highlight w:val="none"/>
        </w:rPr>
        <w:t>参加评审专家抽取的有关人员对被抽取的专家的姓名、单位和联系方式等内容负有保密的义务。评标委员会成员的名单在中标结果确定前必须严格保密。</w:t>
      </w:r>
    </w:p>
    <w:p w14:paraId="537DA2CE">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18.3</w:t>
      </w:r>
      <w:r>
        <w:rPr>
          <w:rFonts w:ascii="仿宋" w:hAnsi="仿宋" w:eastAsia="仿宋"/>
          <w:color w:val="auto"/>
          <w:sz w:val="24"/>
          <w:szCs w:val="24"/>
          <w:highlight w:val="none"/>
        </w:rPr>
        <w:t>.3</w:t>
      </w:r>
      <w:r>
        <w:rPr>
          <w:rFonts w:hint="eastAsia" w:ascii="仿宋" w:hAnsi="仿宋" w:eastAsia="仿宋"/>
          <w:color w:val="auto"/>
          <w:sz w:val="24"/>
          <w:szCs w:val="24"/>
          <w:highlight w:val="none"/>
        </w:rPr>
        <w:t>评标委员会成员不得参加与自己有利害关系的评审活动，与自己有利害关系的应当回避，已经进入的必须更换。</w:t>
      </w:r>
    </w:p>
    <w:p w14:paraId="7E21930E">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18.3</w:t>
      </w:r>
      <w:r>
        <w:rPr>
          <w:rFonts w:ascii="仿宋" w:hAnsi="仿宋" w:eastAsia="仿宋"/>
          <w:color w:val="auto"/>
          <w:sz w:val="24"/>
          <w:szCs w:val="24"/>
          <w:highlight w:val="none"/>
        </w:rPr>
        <w:t>.4</w:t>
      </w:r>
      <w:r>
        <w:rPr>
          <w:rFonts w:hint="eastAsia" w:ascii="仿宋" w:hAnsi="仿宋" w:eastAsia="仿宋"/>
          <w:color w:val="auto"/>
          <w:sz w:val="24"/>
          <w:szCs w:val="24"/>
          <w:highlight w:val="none"/>
        </w:rPr>
        <w:t>评标委员会负责对各投标文件进行评审、比较、评定，并按本招标文件的规定确定中标候选人名单，以及根据采购人委托直接确定中标人。</w:t>
      </w:r>
    </w:p>
    <w:p w14:paraId="257FDCD8">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18.3</w:t>
      </w:r>
      <w:r>
        <w:rPr>
          <w:rFonts w:ascii="仿宋" w:hAnsi="仿宋" w:eastAsia="仿宋"/>
          <w:color w:val="auto"/>
          <w:sz w:val="24"/>
          <w:szCs w:val="24"/>
          <w:highlight w:val="none"/>
        </w:rPr>
        <w:t>.5</w:t>
      </w:r>
      <w:r>
        <w:rPr>
          <w:rFonts w:hint="eastAsia" w:ascii="仿宋" w:hAnsi="仿宋" w:eastAsia="仿宋"/>
          <w:color w:val="auto"/>
          <w:sz w:val="24"/>
          <w:szCs w:val="24"/>
          <w:highlight w:val="none"/>
        </w:rPr>
        <w:t>评标委员会具有依据招标文件进行独立评标的权力，且不受外界任何因素的干扰。评标委员会成员必须独立、负责地提出评审意见，并对自己的评审意见承担责任。对评标结果有不同意见的评标委员会成员应当以书面形式说明其不同意见和理由，评标报告应当注明不同意见。评审委员会成员拒绝评审或者拒绝在评标报告上签字并且又不书面说明其不同意见和理由的，视为同意评标结果。</w:t>
      </w:r>
    </w:p>
    <w:p w14:paraId="615D81D9">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18.3</w:t>
      </w:r>
      <w:r>
        <w:rPr>
          <w:rFonts w:ascii="仿宋" w:hAnsi="仿宋" w:eastAsia="仿宋"/>
          <w:color w:val="auto"/>
          <w:sz w:val="24"/>
          <w:szCs w:val="24"/>
          <w:highlight w:val="none"/>
        </w:rPr>
        <w:t>.6</w:t>
      </w:r>
      <w:r>
        <w:rPr>
          <w:rFonts w:hint="eastAsia" w:ascii="仿宋" w:hAnsi="仿宋" w:eastAsia="仿宋"/>
          <w:color w:val="auto"/>
          <w:sz w:val="24"/>
          <w:szCs w:val="24"/>
          <w:highlight w:val="none"/>
        </w:rPr>
        <w:t>评标委员会的职责：</w:t>
      </w:r>
    </w:p>
    <w:p w14:paraId="3ABB44F2">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18.3.6.1</w:t>
      </w:r>
      <w:r>
        <w:rPr>
          <w:rFonts w:ascii="仿宋" w:hAnsi="仿宋" w:eastAsia="仿宋"/>
          <w:color w:val="auto"/>
          <w:sz w:val="24"/>
          <w:szCs w:val="24"/>
          <w:highlight w:val="none"/>
        </w:rPr>
        <w:t>审查、评价投标文件是否符合招标文件的商务、技术等实质性要求；</w:t>
      </w:r>
    </w:p>
    <w:p w14:paraId="7EF001F1">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18.3.6.2</w:t>
      </w:r>
      <w:r>
        <w:rPr>
          <w:rFonts w:ascii="仿宋" w:hAnsi="仿宋" w:eastAsia="仿宋"/>
          <w:color w:val="auto"/>
          <w:sz w:val="24"/>
          <w:szCs w:val="24"/>
          <w:highlight w:val="none"/>
        </w:rPr>
        <w:t>要求投标人对投标文件有关事项作出澄清或者说明；</w:t>
      </w:r>
    </w:p>
    <w:p w14:paraId="4A6E0899">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18.3.6.3</w:t>
      </w:r>
      <w:r>
        <w:rPr>
          <w:rFonts w:ascii="仿宋" w:hAnsi="仿宋" w:eastAsia="仿宋"/>
          <w:color w:val="auto"/>
          <w:sz w:val="24"/>
          <w:szCs w:val="24"/>
          <w:highlight w:val="none"/>
        </w:rPr>
        <w:t>对投标文件进行比较和评价；</w:t>
      </w:r>
    </w:p>
    <w:p w14:paraId="34BEEC06">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18.3.6.4</w:t>
      </w:r>
      <w:r>
        <w:rPr>
          <w:rFonts w:ascii="仿宋" w:hAnsi="仿宋" w:eastAsia="仿宋"/>
          <w:color w:val="auto"/>
          <w:sz w:val="24"/>
          <w:szCs w:val="24"/>
          <w:highlight w:val="none"/>
        </w:rPr>
        <w:t>确定中标候选人名单，以及根据采购人委托直接确定中标人；</w:t>
      </w:r>
    </w:p>
    <w:p w14:paraId="138E2EF6">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18.3.6.5</w:t>
      </w:r>
      <w:r>
        <w:rPr>
          <w:rFonts w:ascii="仿宋" w:hAnsi="仿宋" w:eastAsia="仿宋"/>
          <w:color w:val="auto"/>
          <w:sz w:val="24"/>
          <w:szCs w:val="24"/>
          <w:highlight w:val="none"/>
        </w:rPr>
        <w:t>向采购人、采购代理机构或者有关部门报告评标中发现的违法行为。</w:t>
      </w:r>
    </w:p>
    <w:p w14:paraId="691EEDC2">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18.3</w:t>
      </w:r>
      <w:r>
        <w:rPr>
          <w:rFonts w:ascii="仿宋" w:hAnsi="仿宋" w:eastAsia="仿宋"/>
          <w:color w:val="auto"/>
          <w:sz w:val="24"/>
          <w:szCs w:val="24"/>
          <w:highlight w:val="none"/>
        </w:rPr>
        <w:t>.7</w:t>
      </w:r>
      <w:r>
        <w:rPr>
          <w:rFonts w:hint="eastAsia" w:ascii="仿宋" w:hAnsi="仿宋" w:eastAsia="仿宋"/>
          <w:color w:val="auto"/>
          <w:sz w:val="24"/>
          <w:szCs w:val="24"/>
          <w:highlight w:val="none"/>
        </w:rPr>
        <w:t>评标委员会的义务：</w:t>
      </w:r>
    </w:p>
    <w:p w14:paraId="19149D4E">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18.3.7.</w:t>
      </w:r>
      <w:r>
        <w:rPr>
          <w:rFonts w:ascii="仿宋" w:hAnsi="仿宋" w:eastAsia="仿宋"/>
          <w:color w:val="auto"/>
          <w:sz w:val="24"/>
          <w:szCs w:val="24"/>
          <w:highlight w:val="none"/>
        </w:rPr>
        <w:t>1</w:t>
      </w:r>
      <w:r>
        <w:rPr>
          <w:rFonts w:hint="eastAsia" w:ascii="仿宋" w:hAnsi="仿宋" w:eastAsia="仿宋"/>
          <w:color w:val="auto"/>
          <w:sz w:val="24"/>
          <w:szCs w:val="24"/>
          <w:highlight w:val="none"/>
        </w:rPr>
        <w:t>遵纪守法，客观、公正、廉洁地履行职责；</w:t>
      </w:r>
    </w:p>
    <w:p w14:paraId="0E06E7C1">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18.3.7.</w:t>
      </w:r>
      <w:r>
        <w:rPr>
          <w:rFonts w:ascii="仿宋" w:hAnsi="仿宋" w:eastAsia="仿宋"/>
          <w:color w:val="auto"/>
          <w:sz w:val="24"/>
          <w:szCs w:val="24"/>
          <w:highlight w:val="none"/>
        </w:rPr>
        <w:t>2</w:t>
      </w:r>
      <w:r>
        <w:rPr>
          <w:rFonts w:hint="eastAsia" w:ascii="仿宋" w:hAnsi="仿宋" w:eastAsia="仿宋"/>
          <w:color w:val="auto"/>
          <w:sz w:val="24"/>
          <w:szCs w:val="24"/>
          <w:highlight w:val="none"/>
        </w:rPr>
        <w:t>提出真实、可靠的评审意见；</w:t>
      </w:r>
    </w:p>
    <w:p w14:paraId="1DDE4B1F">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18.3.7.</w:t>
      </w:r>
      <w:r>
        <w:rPr>
          <w:rFonts w:ascii="仿宋" w:hAnsi="仿宋" w:eastAsia="仿宋"/>
          <w:color w:val="auto"/>
          <w:sz w:val="24"/>
          <w:szCs w:val="24"/>
          <w:highlight w:val="none"/>
        </w:rPr>
        <w:t>3</w:t>
      </w:r>
      <w:r>
        <w:rPr>
          <w:rFonts w:hint="eastAsia" w:ascii="仿宋" w:hAnsi="仿宋" w:eastAsia="仿宋"/>
          <w:color w:val="auto"/>
          <w:sz w:val="24"/>
          <w:szCs w:val="24"/>
          <w:highlight w:val="none"/>
        </w:rPr>
        <w:t>严格遵守评标纪律，不得向外界泄露评标情况；</w:t>
      </w:r>
    </w:p>
    <w:p w14:paraId="5AC777BF">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18.3.7.</w:t>
      </w:r>
      <w:r>
        <w:rPr>
          <w:rFonts w:ascii="仿宋" w:hAnsi="仿宋" w:eastAsia="仿宋"/>
          <w:color w:val="auto"/>
          <w:sz w:val="24"/>
          <w:szCs w:val="24"/>
          <w:highlight w:val="none"/>
        </w:rPr>
        <w:t>4</w:t>
      </w:r>
      <w:r>
        <w:rPr>
          <w:rFonts w:hint="eastAsia" w:ascii="仿宋" w:hAnsi="仿宋" w:eastAsia="仿宋"/>
          <w:color w:val="auto"/>
          <w:sz w:val="24"/>
          <w:szCs w:val="24"/>
          <w:highlight w:val="none"/>
        </w:rPr>
        <w:t>发现投标人在招投标活动中有不正当竞争或者恶意串通等违规行为，应及时向监督部门报告并加以制止；</w:t>
      </w:r>
    </w:p>
    <w:p w14:paraId="702149AC">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18.3.7.</w:t>
      </w:r>
      <w:r>
        <w:rPr>
          <w:rFonts w:ascii="仿宋" w:hAnsi="仿宋" w:eastAsia="仿宋"/>
          <w:color w:val="auto"/>
          <w:sz w:val="24"/>
          <w:szCs w:val="24"/>
          <w:highlight w:val="none"/>
        </w:rPr>
        <w:t>5</w:t>
      </w:r>
      <w:r>
        <w:rPr>
          <w:rFonts w:hint="eastAsia" w:ascii="仿宋" w:hAnsi="仿宋" w:eastAsia="仿宋"/>
          <w:color w:val="auto"/>
          <w:sz w:val="24"/>
          <w:szCs w:val="24"/>
          <w:highlight w:val="none"/>
        </w:rPr>
        <w:t>按照招标文件规定的评标方法和评标标准进行评标，对评标意见承担个人责任；</w:t>
      </w:r>
    </w:p>
    <w:p w14:paraId="461071C0">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18.3.7.</w:t>
      </w:r>
      <w:r>
        <w:rPr>
          <w:rFonts w:ascii="仿宋" w:hAnsi="仿宋" w:eastAsia="仿宋"/>
          <w:color w:val="auto"/>
          <w:sz w:val="24"/>
          <w:szCs w:val="24"/>
          <w:highlight w:val="none"/>
        </w:rPr>
        <w:t>6</w:t>
      </w:r>
      <w:r>
        <w:rPr>
          <w:rFonts w:hint="eastAsia" w:ascii="仿宋" w:hAnsi="仿宋" w:eastAsia="仿宋"/>
          <w:color w:val="auto"/>
          <w:sz w:val="24"/>
          <w:szCs w:val="24"/>
          <w:highlight w:val="none"/>
        </w:rPr>
        <w:t>编写评标报告；</w:t>
      </w:r>
    </w:p>
    <w:p w14:paraId="495D5BA7">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18.3.7.</w:t>
      </w:r>
      <w:r>
        <w:rPr>
          <w:rFonts w:ascii="仿宋" w:hAnsi="仿宋" w:eastAsia="仿宋"/>
          <w:color w:val="auto"/>
          <w:sz w:val="24"/>
          <w:szCs w:val="24"/>
          <w:highlight w:val="none"/>
        </w:rPr>
        <w:t>7</w:t>
      </w:r>
      <w:r>
        <w:rPr>
          <w:rFonts w:hint="eastAsia" w:ascii="仿宋" w:hAnsi="仿宋" w:eastAsia="仿宋"/>
          <w:color w:val="auto"/>
          <w:sz w:val="24"/>
          <w:szCs w:val="24"/>
          <w:highlight w:val="none"/>
        </w:rPr>
        <w:t>配合采购人或者采购代理机构答复投标人提出的质疑；</w:t>
      </w:r>
    </w:p>
    <w:p w14:paraId="71529838">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18.3.7.</w:t>
      </w:r>
      <w:r>
        <w:rPr>
          <w:rFonts w:ascii="仿宋" w:hAnsi="仿宋" w:eastAsia="仿宋"/>
          <w:color w:val="auto"/>
          <w:sz w:val="24"/>
          <w:szCs w:val="24"/>
          <w:highlight w:val="none"/>
        </w:rPr>
        <w:t>8</w:t>
      </w:r>
      <w:r>
        <w:rPr>
          <w:rFonts w:hint="eastAsia" w:ascii="仿宋" w:hAnsi="仿宋" w:eastAsia="仿宋"/>
          <w:color w:val="auto"/>
          <w:sz w:val="24"/>
          <w:szCs w:val="24"/>
          <w:highlight w:val="none"/>
        </w:rPr>
        <w:t>对评标过程和结果，以及采购人、投标人的商业秘密保密；</w:t>
      </w:r>
    </w:p>
    <w:p w14:paraId="03F02A70">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18.3.7.</w:t>
      </w:r>
      <w:r>
        <w:rPr>
          <w:rFonts w:ascii="仿宋" w:hAnsi="仿宋" w:eastAsia="仿宋"/>
          <w:color w:val="auto"/>
          <w:sz w:val="24"/>
          <w:szCs w:val="24"/>
          <w:highlight w:val="none"/>
        </w:rPr>
        <w:t>9</w:t>
      </w:r>
      <w:r>
        <w:rPr>
          <w:rFonts w:hint="eastAsia" w:ascii="仿宋" w:hAnsi="仿宋" w:eastAsia="仿宋"/>
          <w:color w:val="auto"/>
          <w:sz w:val="24"/>
          <w:szCs w:val="24"/>
          <w:highlight w:val="none"/>
        </w:rPr>
        <w:t>配合监管部门处理投诉；</w:t>
      </w:r>
    </w:p>
    <w:p w14:paraId="784F4174">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18.3</w:t>
      </w:r>
      <w:r>
        <w:rPr>
          <w:rFonts w:ascii="仿宋" w:hAnsi="仿宋" w:eastAsia="仿宋"/>
          <w:color w:val="auto"/>
          <w:sz w:val="24"/>
          <w:szCs w:val="24"/>
          <w:highlight w:val="none"/>
        </w:rPr>
        <w:t>.8</w:t>
      </w:r>
      <w:r>
        <w:rPr>
          <w:rFonts w:hint="eastAsia" w:ascii="仿宋" w:hAnsi="仿宋" w:eastAsia="仿宋"/>
          <w:color w:val="auto"/>
          <w:sz w:val="24"/>
          <w:szCs w:val="24"/>
          <w:highlight w:val="none"/>
        </w:rPr>
        <w:t>评标委员会成员有下列情形之一的，应当回避</w:t>
      </w:r>
      <w:r>
        <w:rPr>
          <w:rFonts w:ascii="仿宋" w:hAnsi="仿宋" w:eastAsia="仿宋"/>
          <w:color w:val="auto"/>
          <w:sz w:val="24"/>
          <w:szCs w:val="24"/>
          <w:highlight w:val="none"/>
        </w:rPr>
        <w:t>：</w:t>
      </w:r>
    </w:p>
    <w:p w14:paraId="0508D40F">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18.3</w:t>
      </w:r>
      <w:r>
        <w:rPr>
          <w:rFonts w:ascii="仿宋" w:hAnsi="仿宋" w:eastAsia="仿宋"/>
          <w:color w:val="auto"/>
          <w:sz w:val="24"/>
          <w:szCs w:val="24"/>
          <w:highlight w:val="none"/>
        </w:rPr>
        <w:t>.8.1</w:t>
      </w:r>
      <w:r>
        <w:rPr>
          <w:rFonts w:hint="eastAsia" w:ascii="仿宋" w:hAnsi="仿宋" w:eastAsia="仿宋"/>
          <w:color w:val="auto"/>
          <w:sz w:val="24"/>
          <w:szCs w:val="24"/>
          <w:highlight w:val="none"/>
        </w:rPr>
        <w:t>投标人或者投标人主要负责人的近亲属；</w:t>
      </w:r>
    </w:p>
    <w:p w14:paraId="1131C74F">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18.3</w:t>
      </w:r>
      <w:r>
        <w:rPr>
          <w:rFonts w:ascii="仿宋" w:hAnsi="仿宋" w:eastAsia="仿宋"/>
          <w:color w:val="auto"/>
          <w:sz w:val="24"/>
          <w:szCs w:val="24"/>
          <w:highlight w:val="none"/>
        </w:rPr>
        <w:t>.8.2</w:t>
      </w:r>
      <w:r>
        <w:rPr>
          <w:rFonts w:hint="eastAsia" w:ascii="仿宋" w:hAnsi="仿宋" w:eastAsia="仿宋"/>
          <w:color w:val="auto"/>
          <w:sz w:val="24"/>
          <w:szCs w:val="24"/>
          <w:highlight w:val="none"/>
        </w:rPr>
        <w:t>项目主管部门或者行政监督部门的人员；</w:t>
      </w:r>
    </w:p>
    <w:p w14:paraId="5FB58AEB">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18.3</w:t>
      </w:r>
      <w:r>
        <w:rPr>
          <w:rFonts w:ascii="仿宋" w:hAnsi="仿宋" w:eastAsia="仿宋"/>
          <w:color w:val="auto"/>
          <w:sz w:val="24"/>
          <w:szCs w:val="24"/>
          <w:highlight w:val="none"/>
        </w:rPr>
        <w:t>.8.3</w:t>
      </w:r>
      <w:r>
        <w:rPr>
          <w:rFonts w:hint="eastAsia" w:ascii="仿宋" w:hAnsi="仿宋" w:eastAsia="仿宋"/>
          <w:color w:val="auto"/>
          <w:sz w:val="24"/>
          <w:szCs w:val="24"/>
          <w:highlight w:val="none"/>
        </w:rPr>
        <w:t>与投标人有经济利益关系；</w:t>
      </w:r>
    </w:p>
    <w:p w14:paraId="0C3EE10B">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18.3</w:t>
      </w:r>
      <w:r>
        <w:rPr>
          <w:rFonts w:ascii="仿宋" w:hAnsi="仿宋" w:eastAsia="仿宋"/>
          <w:color w:val="auto"/>
          <w:sz w:val="24"/>
          <w:szCs w:val="24"/>
          <w:highlight w:val="none"/>
        </w:rPr>
        <w:t>.8.4</w:t>
      </w:r>
      <w:r>
        <w:rPr>
          <w:rFonts w:hint="eastAsia" w:ascii="仿宋" w:hAnsi="仿宋" w:eastAsia="仿宋"/>
          <w:color w:val="auto"/>
          <w:sz w:val="24"/>
          <w:szCs w:val="24"/>
          <w:highlight w:val="none"/>
        </w:rPr>
        <w:t>曾因在招标、评标以及其他与招标投标有关系活动中从事违法行为而受到行政处罚或者刑事处罚的；</w:t>
      </w:r>
    </w:p>
    <w:p w14:paraId="08A1B70F">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18.3</w:t>
      </w:r>
      <w:r>
        <w:rPr>
          <w:rFonts w:ascii="仿宋" w:hAnsi="仿宋" w:eastAsia="仿宋"/>
          <w:color w:val="auto"/>
          <w:sz w:val="24"/>
          <w:szCs w:val="24"/>
          <w:highlight w:val="none"/>
        </w:rPr>
        <w:t>.8.5</w:t>
      </w:r>
      <w:r>
        <w:rPr>
          <w:rFonts w:hint="eastAsia" w:ascii="仿宋" w:hAnsi="仿宋" w:eastAsia="仿宋"/>
          <w:color w:val="auto"/>
          <w:sz w:val="24"/>
          <w:szCs w:val="24"/>
          <w:highlight w:val="none"/>
        </w:rPr>
        <w:t>与投标人有其他利害关系。</w:t>
      </w:r>
    </w:p>
    <w:p w14:paraId="475404CB">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18.3.9评标中因评标委员会成员缺席、回避或者健康等特殊原因导致评标委员会组成不符合本办法规定的，采购人或者采购代理机构应当依法补足后继续评标。被更换的评标委员会成员所作出的评标意见无效。</w:t>
      </w:r>
    </w:p>
    <w:p w14:paraId="246C1248">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无法及时补足评标委员会成员的，采购人或者采购代理机构应当停止评标活动，封存所有投标文件和开标、评标资料，依法重新组建评标委员会进行评标。原评标委员会所作出的评标意见无效。</w:t>
      </w:r>
    </w:p>
    <w:p w14:paraId="7527B509">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采购人或者采购代理机构应当将变更、重新组建评标委员会的情况予以记录，并随采购文件一并存档。</w:t>
      </w:r>
    </w:p>
    <w:p w14:paraId="541E9AAF">
      <w:pPr>
        <w:spacing w:line="440" w:lineRule="exact"/>
        <w:ind w:firstLine="480" w:firstLineChars="200"/>
        <w:rPr>
          <w:rFonts w:ascii="仿宋" w:hAnsi="仿宋" w:eastAsia="仿宋"/>
          <w:color w:val="auto"/>
          <w:sz w:val="24"/>
          <w:szCs w:val="24"/>
          <w:highlight w:val="none"/>
        </w:rPr>
      </w:pPr>
      <w:bookmarkStart w:id="90" w:name="_Toc494455674"/>
      <w:r>
        <w:rPr>
          <w:rFonts w:hint="eastAsia" w:ascii="仿宋" w:hAnsi="仿宋" w:eastAsia="仿宋"/>
          <w:color w:val="auto"/>
          <w:sz w:val="24"/>
          <w:szCs w:val="24"/>
          <w:highlight w:val="none"/>
        </w:rPr>
        <w:t>18.4评标程序</w:t>
      </w:r>
      <w:bookmarkEnd w:id="90"/>
    </w:p>
    <w:p w14:paraId="1DADB545">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18.4.</w:t>
      </w:r>
      <w:r>
        <w:rPr>
          <w:rFonts w:ascii="仿宋" w:hAnsi="仿宋" w:eastAsia="仿宋"/>
          <w:color w:val="auto"/>
          <w:sz w:val="24"/>
          <w:szCs w:val="24"/>
          <w:highlight w:val="none"/>
        </w:rPr>
        <w:t>1</w:t>
      </w:r>
      <w:r>
        <w:rPr>
          <w:rFonts w:hint="eastAsia" w:ascii="仿宋" w:hAnsi="仿宋" w:eastAsia="仿宋"/>
          <w:color w:val="auto"/>
          <w:sz w:val="24"/>
          <w:szCs w:val="24"/>
          <w:highlight w:val="none"/>
        </w:rPr>
        <w:t>宣布评标纪律以及回避提示；</w:t>
      </w:r>
    </w:p>
    <w:p w14:paraId="53103193">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18.4.</w:t>
      </w:r>
      <w:r>
        <w:rPr>
          <w:rFonts w:ascii="仿宋" w:hAnsi="仿宋" w:eastAsia="仿宋"/>
          <w:color w:val="auto"/>
          <w:sz w:val="24"/>
          <w:szCs w:val="24"/>
          <w:highlight w:val="none"/>
        </w:rPr>
        <w:t>2</w:t>
      </w:r>
      <w:r>
        <w:rPr>
          <w:rFonts w:hint="eastAsia" w:ascii="仿宋" w:hAnsi="仿宋" w:eastAsia="仿宋"/>
          <w:color w:val="auto"/>
          <w:sz w:val="24"/>
          <w:szCs w:val="24"/>
          <w:highlight w:val="none"/>
        </w:rPr>
        <w:t>组织推荐评标委员会组长；</w:t>
      </w:r>
    </w:p>
    <w:p w14:paraId="7768F1B9">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18.4.</w:t>
      </w:r>
      <w:r>
        <w:rPr>
          <w:rFonts w:ascii="仿宋" w:hAnsi="仿宋" w:eastAsia="仿宋"/>
          <w:color w:val="auto"/>
          <w:sz w:val="24"/>
          <w:szCs w:val="24"/>
          <w:highlight w:val="none"/>
        </w:rPr>
        <w:t>3</w:t>
      </w:r>
      <w:r>
        <w:rPr>
          <w:rFonts w:hint="eastAsia" w:ascii="仿宋" w:hAnsi="仿宋" w:eastAsia="仿宋"/>
          <w:color w:val="auto"/>
          <w:sz w:val="24"/>
          <w:szCs w:val="24"/>
          <w:highlight w:val="none"/>
        </w:rPr>
        <w:t>资格性审查；</w:t>
      </w:r>
    </w:p>
    <w:p w14:paraId="1B20B3A3">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18.4.</w:t>
      </w:r>
      <w:r>
        <w:rPr>
          <w:rFonts w:ascii="仿宋" w:hAnsi="仿宋" w:eastAsia="仿宋"/>
          <w:color w:val="auto"/>
          <w:sz w:val="24"/>
          <w:szCs w:val="24"/>
          <w:highlight w:val="none"/>
        </w:rPr>
        <w:t>4</w:t>
      </w:r>
      <w:r>
        <w:rPr>
          <w:rFonts w:hint="eastAsia" w:ascii="仿宋" w:hAnsi="仿宋" w:eastAsia="仿宋"/>
          <w:color w:val="auto"/>
          <w:sz w:val="24"/>
          <w:szCs w:val="24"/>
          <w:highlight w:val="none"/>
        </w:rPr>
        <w:t>符合性审查；</w:t>
      </w:r>
    </w:p>
    <w:p w14:paraId="3A5E4306">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18.4.</w:t>
      </w:r>
      <w:r>
        <w:rPr>
          <w:rFonts w:ascii="仿宋" w:hAnsi="仿宋" w:eastAsia="仿宋"/>
          <w:color w:val="auto"/>
          <w:sz w:val="24"/>
          <w:szCs w:val="24"/>
          <w:highlight w:val="none"/>
        </w:rPr>
        <w:t>5</w:t>
      </w:r>
      <w:r>
        <w:rPr>
          <w:rFonts w:hint="eastAsia" w:ascii="仿宋" w:hAnsi="仿宋" w:eastAsia="仿宋"/>
          <w:color w:val="auto"/>
          <w:sz w:val="24"/>
          <w:szCs w:val="24"/>
          <w:highlight w:val="none"/>
        </w:rPr>
        <w:t>技术和商务评审；</w:t>
      </w:r>
    </w:p>
    <w:p w14:paraId="6DC6E73D">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18.4.</w:t>
      </w:r>
      <w:r>
        <w:rPr>
          <w:rFonts w:ascii="仿宋" w:hAnsi="仿宋" w:eastAsia="仿宋"/>
          <w:color w:val="auto"/>
          <w:sz w:val="24"/>
          <w:szCs w:val="24"/>
          <w:highlight w:val="none"/>
        </w:rPr>
        <w:t>6</w:t>
      </w:r>
      <w:r>
        <w:rPr>
          <w:rFonts w:hint="eastAsia" w:ascii="仿宋" w:hAnsi="仿宋" w:eastAsia="仿宋"/>
          <w:color w:val="auto"/>
          <w:sz w:val="24"/>
          <w:szCs w:val="24"/>
          <w:highlight w:val="none"/>
        </w:rPr>
        <w:t>澄清有关问题；</w:t>
      </w:r>
    </w:p>
    <w:p w14:paraId="613D3092">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18.4.</w:t>
      </w:r>
      <w:r>
        <w:rPr>
          <w:rFonts w:ascii="仿宋" w:hAnsi="仿宋" w:eastAsia="仿宋"/>
          <w:color w:val="auto"/>
          <w:sz w:val="24"/>
          <w:szCs w:val="24"/>
          <w:highlight w:val="none"/>
        </w:rPr>
        <w:t>7</w:t>
      </w:r>
      <w:r>
        <w:rPr>
          <w:rFonts w:hint="eastAsia" w:ascii="仿宋" w:hAnsi="仿宋" w:eastAsia="仿宋"/>
          <w:color w:val="auto"/>
          <w:sz w:val="24"/>
          <w:szCs w:val="24"/>
          <w:highlight w:val="none"/>
        </w:rPr>
        <w:t>比较与评价；</w:t>
      </w:r>
    </w:p>
    <w:p w14:paraId="13C93B70">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18.4.</w:t>
      </w:r>
      <w:r>
        <w:rPr>
          <w:rFonts w:ascii="仿宋" w:hAnsi="仿宋" w:eastAsia="仿宋"/>
          <w:color w:val="auto"/>
          <w:sz w:val="24"/>
          <w:szCs w:val="24"/>
          <w:highlight w:val="none"/>
        </w:rPr>
        <w:t>8</w:t>
      </w:r>
      <w:r>
        <w:rPr>
          <w:rFonts w:hint="eastAsia" w:ascii="仿宋" w:hAnsi="仿宋" w:eastAsia="仿宋"/>
          <w:color w:val="auto"/>
          <w:sz w:val="24"/>
          <w:szCs w:val="24"/>
          <w:highlight w:val="none"/>
        </w:rPr>
        <w:t>确定中标人或者推荐中标候选人名单；</w:t>
      </w:r>
    </w:p>
    <w:p w14:paraId="3DF6ECBD">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18.4.</w:t>
      </w:r>
      <w:r>
        <w:rPr>
          <w:rFonts w:ascii="仿宋" w:hAnsi="仿宋" w:eastAsia="仿宋"/>
          <w:color w:val="auto"/>
          <w:sz w:val="24"/>
          <w:szCs w:val="24"/>
          <w:highlight w:val="none"/>
        </w:rPr>
        <w:t>9</w:t>
      </w:r>
      <w:r>
        <w:rPr>
          <w:rFonts w:hint="eastAsia" w:ascii="仿宋" w:hAnsi="仿宋" w:eastAsia="仿宋"/>
          <w:color w:val="auto"/>
          <w:sz w:val="24"/>
          <w:szCs w:val="24"/>
          <w:highlight w:val="none"/>
        </w:rPr>
        <w:t>编写评标报告；</w:t>
      </w:r>
    </w:p>
    <w:p w14:paraId="5056FBFA">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18.4.</w:t>
      </w:r>
      <w:r>
        <w:rPr>
          <w:rFonts w:ascii="仿宋" w:hAnsi="仿宋" w:eastAsia="仿宋"/>
          <w:color w:val="auto"/>
          <w:sz w:val="24"/>
          <w:szCs w:val="24"/>
          <w:highlight w:val="none"/>
        </w:rPr>
        <w:t>10</w:t>
      </w:r>
      <w:r>
        <w:rPr>
          <w:rFonts w:hint="eastAsia" w:ascii="仿宋" w:hAnsi="仿宋" w:eastAsia="仿宋"/>
          <w:color w:val="auto"/>
          <w:sz w:val="24"/>
          <w:szCs w:val="24"/>
          <w:highlight w:val="none"/>
        </w:rPr>
        <w:t>宣布评标结果。</w:t>
      </w:r>
    </w:p>
    <w:p w14:paraId="7E8A5EF0">
      <w:pPr>
        <w:spacing w:line="440" w:lineRule="exact"/>
        <w:ind w:firstLine="480" w:firstLineChars="200"/>
        <w:rPr>
          <w:rFonts w:ascii="仿宋" w:hAnsi="仿宋" w:eastAsia="仿宋"/>
          <w:color w:val="auto"/>
          <w:sz w:val="24"/>
          <w:szCs w:val="24"/>
          <w:highlight w:val="none"/>
        </w:rPr>
      </w:pPr>
      <w:bookmarkStart w:id="91" w:name="_Toc494455675"/>
      <w:r>
        <w:rPr>
          <w:rFonts w:hint="eastAsia" w:ascii="仿宋" w:hAnsi="仿宋" w:eastAsia="仿宋"/>
          <w:color w:val="auto"/>
          <w:sz w:val="24"/>
          <w:szCs w:val="24"/>
          <w:highlight w:val="none"/>
        </w:rPr>
        <w:t>18.5评标</w:t>
      </w:r>
      <w:bookmarkEnd w:id="91"/>
    </w:p>
    <w:p w14:paraId="2A575E25">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18.5.1</w:t>
      </w:r>
      <w:r>
        <w:rPr>
          <w:rFonts w:ascii="仿宋" w:hAnsi="仿宋" w:eastAsia="仿宋"/>
          <w:color w:val="auto"/>
          <w:sz w:val="24"/>
          <w:szCs w:val="24"/>
          <w:highlight w:val="none"/>
        </w:rPr>
        <w:t>采购人或者采购代理机构负责组织评标工作，并履行下列职责：</w:t>
      </w:r>
    </w:p>
    <w:p w14:paraId="6BEF20EC">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18.5.1.1</w:t>
      </w:r>
      <w:r>
        <w:rPr>
          <w:rFonts w:ascii="仿宋" w:hAnsi="仿宋" w:eastAsia="仿宋"/>
          <w:color w:val="auto"/>
          <w:sz w:val="24"/>
          <w:szCs w:val="24"/>
          <w:highlight w:val="none"/>
        </w:rPr>
        <w:t>核对评审专家身份和采购人代表授权函，对评审专家在政府采购活动中的职责履行情况予以记录，并及时将有关违法违规行为向财政部门报告；</w:t>
      </w:r>
    </w:p>
    <w:p w14:paraId="534CE35F">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18.5.1.2</w:t>
      </w:r>
      <w:r>
        <w:rPr>
          <w:rFonts w:ascii="仿宋" w:hAnsi="仿宋" w:eastAsia="仿宋"/>
          <w:color w:val="auto"/>
          <w:sz w:val="24"/>
          <w:szCs w:val="24"/>
          <w:highlight w:val="none"/>
        </w:rPr>
        <w:t>宣布评标纪律；</w:t>
      </w:r>
    </w:p>
    <w:p w14:paraId="55EFF164">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18.5.1.3</w:t>
      </w:r>
      <w:r>
        <w:rPr>
          <w:rFonts w:ascii="仿宋" w:hAnsi="仿宋" w:eastAsia="仿宋"/>
          <w:color w:val="auto"/>
          <w:sz w:val="24"/>
          <w:szCs w:val="24"/>
          <w:highlight w:val="none"/>
        </w:rPr>
        <w:t>公布投标人名单，告知评审专家应当回避的情形；</w:t>
      </w:r>
    </w:p>
    <w:p w14:paraId="5923F67A">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18.5.1.4</w:t>
      </w:r>
      <w:r>
        <w:rPr>
          <w:rFonts w:ascii="仿宋" w:hAnsi="仿宋" w:eastAsia="仿宋"/>
          <w:color w:val="auto"/>
          <w:sz w:val="24"/>
          <w:szCs w:val="24"/>
          <w:highlight w:val="none"/>
        </w:rPr>
        <w:t>组织评标委员会推选评标组长，采购人代表不得担任组长；</w:t>
      </w:r>
    </w:p>
    <w:p w14:paraId="287CB143">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18.5.1.5</w:t>
      </w:r>
      <w:r>
        <w:rPr>
          <w:rFonts w:ascii="仿宋" w:hAnsi="仿宋" w:eastAsia="仿宋"/>
          <w:color w:val="auto"/>
          <w:sz w:val="24"/>
          <w:szCs w:val="24"/>
          <w:highlight w:val="none"/>
        </w:rPr>
        <w:t>在评标期间采取必要的通讯管理措施，保证评标活动不受外界干扰；</w:t>
      </w:r>
    </w:p>
    <w:p w14:paraId="03F2D2A8">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18.5.1.6</w:t>
      </w:r>
      <w:r>
        <w:rPr>
          <w:rFonts w:ascii="仿宋" w:hAnsi="仿宋" w:eastAsia="仿宋"/>
          <w:color w:val="auto"/>
          <w:sz w:val="24"/>
          <w:szCs w:val="24"/>
          <w:highlight w:val="none"/>
        </w:rPr>
        <w:t>根据评标委员会的要求介绍政府采购相关政策法规、招标文件；</w:t>
      </w:r>
    </w:p>
    <w:p w14:paraId="62908978">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18.5.1.7</w:t>
      </w:r>
      <w:r>
        <w:rPr>
          <w:rFonts w:ascii="仿宋" w:hAnsi="仿宋" w:eastAsia="仿宋"/>
          <w:color w:val="auto"/>
          <w:sz w:val="24"/>
          <w:szCs w:val="24"/>
          <w:highlight w:val="none"/>
        </w:rPr>
        <w:t>维护评标秩序，监督评标委员会依照招标文件规定的评标程序、方法和标准进行独立评审，及时制止和纠正采购人代表、评审专家的倾向性言论或者违法违规行为；</w:t>
      </w:r>
    </w:p>
    <w:p w14:paraId="777AE1DF">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18.5.1.8</w:t>
      </w:r>
      <w:r>
        <w:rPr>
          <w:rFonts w:ascii="仿宋" w:hAnsi="仿宋" w:eastAsia="仿宋"/>
          <w:color w:val="auto"/>
          <w:sz w:val="24"/>
          <w:szCs w:val="24"/>
          <w:highlight w:val="none"/>
        </w:rPr>
        <w:t>核对评标结果，有</w:t>
      </w:r>
      <w:r>
        <w:rPr>
          <w:rFonts w:hint="eastAsia" w:ascii="仿宋" w:hAnsi="仿宋" w:eastAsia="仿宋"/>
          <w:color w:val="auto"/>
          <w:sz w:val="24"/>
          <w:szCs w:val="24"/>
          <w:highlight w:val="none"/>
        </w:rPr>
        <w:t>以下</w:t>
      </w:r>
      <w:r>
        <w:rPr>
          <w:rFonts w:ascii="仿宋" w:hAnsi="仿宋" w:eastAsia="仿宋"/>
          <w:color w:val="auto"/>
          <w:sz w:val="24"/>
          <w:szCs w:val="24"/>
          <w:highlight w:val="none"/>
        </w:rPr>
        <w:t>情形的，要求评标委员会复核或者书面说明理由，评标委员会拒绝的，应予记录并向本级财政部门报告；</w:t>
      </w:r>
    </w:p>
    <w:p w14:paraId="6CAD6DBB">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18.5.1.8.1</w:t>
      </w:r>
      <w:r>
        <w:rPr>
          <w:rFonts w:ascii="仿宋" w:hAnsi="仿宋" w:eastAsia="仿宋"/>
          <w:color w:val="auto"/>
          <w:sz w:val="24"/>
          <w:szCs w:val="24"/>
          <w:highlight w:val="none"/>
        </w:rPr>
        <w:t>分值汇总计算错误的；</w:t>
      </w:r>
    </w:p>
    <w:p w14:paraId="7E7C032D">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18.5.1.8.2</w:t>
      </w:r>
      <w:r>
        <w:rPr>
          <w:rFonts w:ascii="仿宋" w:hAnsi="仿宋" w:eastAsia="仿宋"/>
          <w:color w:val="auto"/>
          <w:sz w:val="24"/>
          <w:szCs w:val="24"/>
          <w:highlight w:val="none"/>
        </w:rPr>
        <w:t>分项评分超出评分标准范围的；</w:t>
      </w:r>
    </w:p>
    <w:p w14:paraId="1B32E099">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18.5.1.8.3</w:t>
      </w:r>
      <w:r>
        <w:rPr>
          <w:rFonts w:ascii="仿宋" w:hAnsi="仿宋" w:eastAsia="仿宋"/>
          <w:color w:val="auto"/>
          <w:sz w:val="24"/>
          <w:szCs w:val="24"/>
          <w:highlight w:val="none"/>
        </w:rPr>
        <w:t>评标委员会成员对客观评审因素评分不一致的；</w:t>
      </w:r>
    </w:p>
    <w:p w14:paraId="2E4841C7">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18.5.1.8.4</w:t>
      </w:r>
      <w:r>
        <w:rPr>
          <w:rFonts w:ascii="仿宋" w:hAnsi="仿宋" w:eastAsia="仿宋"/>
          <w:color w:val="auto"/>
          <w:sz w:val="24"/>
          <w:szCs w:val="24"/>
          <w:highlight w:val="none"/>
        </w:rPr>
        <w:t>经评标委员会认定评分畸高、畸低的。</w:t>
      </w:r>
    </w:p>
    <w:p w14:paraId="2428C252">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18.5.1.9</w:t>
      </w:r>
      <w:r>
        <w:rPr>
          <w:rFonts w:ascii="仿宋" w:hAnsi="仿宋" w:eastAsia="仿宋"/>
          <w:color w:val="auto"/>
          <w:sz w:val="24"/>
          <w:szCs w:val="24"/>
          <w:highlight w:val="none"/>
        </w:rPr>
        <w:t>评审工作完成后，按照规定向评审专家支付劳务报酬和异地评审差旅费，不得向评审专家以外的其他人员支付评审劳务报酬；</w:t>
      </w:r>
    </w:p>
    <w:p w14:paraId="16FCC2B4">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18.5.1.10</w:t>
      </w:r>
      <w:r>
        <w:rPr>
          <w:rFonts w:ascii="仿宋" w:hAnsi="仿宋" w:eastAsia="仿宋"/>
          <w:color w:val="auto"/>
          <w:sz w:val="24"/>
          <w:szCs w:val="24"/>
          <w:highlight w:val="none"/>
        </w:rPr>
        <w:t>处理与评标有关的其他事项。</w:t>
      </w:r>
    </w:p>
    <w:p w14:paraId="23CEE55D">
      <w:pPr>
        <w:spacing w:line="44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采购人可以在评标前说明项目背景和采购需求，说明内容不得含有歧视性、倾向性意见，不得超出招标文件所述范围。说明应当提交书面材料，并随采购文件一并存档。</w:t>
      </w:r>
    </w:p>
    <w:p w14:paraId="21D22ABF">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18.5.2资格性审查</w:t>
      </w:r>
    </w:p>
    <w:p w14:paraId="52DAFEAB">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18.5.2</w:t>
      </w:r>
      <w:r>
        <w:rPr>
          <w:rFonts w:ascii="仿宋" w:hAnsi="仿宋" w:eastAsia="仿宋"/>
          <w:color w:val="auto"/>
          <w:sz w:val="24"/>
          <w:szCs w:val="24"/>
          <w:highlight w:val="none"/>
        </w:rPr>
        <w:t>.1</w:t>
      </w:r>
      <w:r>
        <w:rPr>
          <w:rFonts w:hint="eastAsia" w:ascii="仿宋" w:hAnsi="仿宋" w:eastAsia="仿宋"/>
          <w:color w:val="auto"/>
          <w:sz w:val="24"/>
          <w:szCs w:val="24"/>
          <w:highlight w:val="none"/>
        </w:rPr>
        <w:t>采购人或者采购代理机构依据法律法规和招标文件的规定，对投标文件中的资格证明、投标保证金等进行审查，以确定投标人是否具备投标资格。</w:t>
      </w:r>
    </w:p>
    <w:p w14:paraId="64963261">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18.5.2</w:t>
      </w:r>
      <w:r>
        <w:rPr>
          <w:rFonts w:ascii="仿宋" w:hAnsi="仿宋" w:eastAsia="仿宋"/>
          <w:color w:val="auto"/>
          <w:sz w:val="24"/>
          <w:szCs w:val="24"/>
          <w:highlight w:val="none"/>
        </w:rPr>
        <w:t>.2</w:t>
      </w:r>
      <w:r>
        <w:rPr>
          <w:rFonts w:hint="eastAsia" w:ascii="仿宋" w:hAnsi="仿宋" w:eastAsia="仿宋"/>
          <w:color w:val="auto"/>
          <w:sz w:val="24"/>
          <w:szCs w:val="24"/>
          <w:highlight w:val="none"/>
        </w:rPr>
        <w:t>采购人、采购代理机构通过“信用中国”网站（www.creditchina.gov.cn）、中国政府采购网（www.ccgp.gov.cn）查询投标人信用记录，查询时要将查询网页、内容进行截图或拍照，以作证据留存，截图或拍照内容要完整清晰，应包括网站网址、查询内容、电脑截屏时间。采购人或者采购代理机构应当对投标人信用记录进行甄别，对列入失信被执行人、重大税收违法案件当事人名单、政府采购严重违法失信行为记录名单及其他不符合《中华人民共和国政府采购法》第二十二条规定条件的投标人，应当拒绝其参加政府采购活动，其投标无效；两个以上的自然人、法人或者其他组织组成一个联合体，以一个投标人的身份共同参加政府采购活动的，应当对所有联合体成员进行信用记录查询，联合体成员存在不良信用记录的，视同联合体存在不良信用记录，其投标无效。</w:t>
      </w:r>
    </w:p>
    <w:p w14:paraId="3C13EF16">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信用信息查询记录及相关证据应当与其他采购文件一并保存。</w:t>
      </w:r>
    </w:p>
    <w:p w14:paraId="09367BF7">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18.5.2.3在资格性审查时，对属于不合格投标人，采购人或者采购代理机构必须提出不合格的事实依据并出具不合格说明，由投标人签字确认。投标人拒绝签字确认的不影响采购人或采购代理机构做出的不合格判定。合格投标人不足3家的，不得评标。</w:t>
      </w:r>
    </w:p>
    <w:p w14:paraId="4E3FE40B">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18.5.3符合性审查</w:t>
      </w:r>
    </w:p>
    <w:p w14:paraId="63B25583">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评标委员会依据招标文件的规定，从投标文件的有效性、完整性和对招标文件的响应程度进行审查，以确定是否对招标文件的实质性要求作出响应。</w:t>
      </w:r>
    </w:p>
    <w:p w14:paraId="1AC38788">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在符合性审查时，对属于不合格投标人或者投标无效的投标人，评标委员会必须提出不合格或者投标无效的事实依据，并出具不合格或者投标无效说明，投标人签字确认。投标人签字确认后评标委员会全体成员签字。投标人拒绝签字确认的不影响评标委员会做出的不合格或无效投标裁定。</w:t>
      </w:r>
    </w:p>
    <w:p w14:paraId="006F1144">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18.5.</w:t>
      </w:r>
      <w:r>
        <w:rPr>
          <w:rFonts w:ascii="仿宋" w:hAnsi="仿宋" w:eastAsia="仿宋"/>
          <w:color w:val="auto"/>
          <w:sz w:val="24"/>
          <w:szCs w:val="24"/>
          <w:highlight w:val="none"/>
        </w:rPr>
        <w:t>4</w:t>
      </w:r>
      <w:r>
        <w:rPr>
          <w:rFonts w:hint="eastAsia" w:ascii="仿宋" w:hAnsi="仿宋" w:eastAsia="仿宋"/>
          <w:color w:val="auto"/>
          <w:sz w:val="24"/>
          <w:szCs w:val="24"/>
          <w:highlight w:val="none"/>
        </w:rPr>
        <w:t>技术和商务评审</w:t>
      </w:r>
    </w:p>
    <w:p w14:paraId="5B93E634">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18.5.4.</w:t>
      </w:r>
      <w:r>
        <w:rPr>
          <w:rFonts w:ascii="仿宋" w:hAnsi="仿宋" w:eastAsia="仿宋"/>
          <w:color w:val="auto"/>
          <w:sz w:val="24"/>
          <w:szCs w:val="24"/>
          <w:highlight w:val="none"/>
        </w:rPr>
        <w:t>1</w:t>
      </w:r>
      <w:r>
        <w:rPr>
          <w:rFonts w:hint="eastAsia" w:ascii="仿宋" w:hAnsi="仿宋" w:eastAsia="仿宋"/>
          <w:color w:val="auto"/>
          <w:sz w:val="24"/>
          <w:szCs w:val="24"/>
          <w:highlight w:val="none"/>
        </w:rPr>
        <w:t>按照招标文件要求，评标委员会审查投标人所投货物和服务的规格、质量、数量以及服务等技术要求和参数，进行技术部分的评审，并记录实质性响应、技术偏离等事项。</w:t>
      </w:r>
    </w:p>
    <w:p w14:paraId="57C270C8">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18.5.4.</w:t>
      </w:r>
      <w:r>
        <w:rPr>
          <w:rFonts w:ascii="仿宋" w:hAnsi="仿宋" w:eastAsia="仿宋"/>
          <w:color w:val="auto"/>
          <w:sz w:val="24"/>
          <w:szCs w:val="24"/>
          <w:highlight w:val="none"/>
        </w:rPr>
        <w:t>2</w:t>
      </w:r>
      <w:r>
        <w:rPr>
          <w:rFonts w:hint="eastAsia" w:ascii="仿宋" w:hAnsi="仿宋" w:eastAsia="仿宋"/>
          <w:color w:val="auto"/>
          <w:sz w:val="24"/>
          <w:szCs w:val="24"/>
          <w:highlight w:val="none"/>
        </w:rPr>
        <w:t>按照招标文件要求，评标委员会审查投标人业绩、政策性加分、价格扣除等事项，进行商务部分评审，并记录相关事项。</w:t>
      </w:r>
    </w:p>
    <w:p w14:paraId="3F4044CA">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18.5.4.</w:t>
      </w:r>
      <w:r>
        <w:rPr>
          <w:rFonts w:ascii="仿宋" w:hAnsi="仿宋" w:eastAsia="仿宋"/>
          <w:color w:val="auto"/>
          <w:sz w:val="24"/>
          <w:szCs w:val="24"/>
          <w:highlight w:val="none"/>
        </w:rPr>
        <w:t>3采用综合评分法的，</w:t>
      </w:r>
      <w:r>
        <w:rPr>
          <w:rFonts w:hint="eastAsia" w:ascii="仿宋" w:hAnsi="仿宋" w:eastAsia="仿宋"/>
          <w:color w:val="auto"/>
          <w:sz w:val="24"/>
          <w:szCs w:val="24"/>
          <w:highlight w:val="none"/>
        </w:rPr>
        <w:t>技术部分由评标委员会成员各自独立打分，按照招标文件规定的评标办法进行逐项打分，对客观评分项的评分应当一致，对需要借助专业知识评判的主观评分项应当严格按照评分标准公正评分。</w:t>
      </w:r>
    </w:p>
    <w:p w14:paraId="29AB339B">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18.5.4.</w:t>
      </w:r>
      <w:r>
        <w:rPr>
          <w:rFonts w:ascii="仿宋" w:hAnsi="仿宋" w:eastAsia="仿宋"/>
          <w:color w:val="auto"/>
          <w:sz w:val="24"/>
          <w:szCs w:val="24"/>
          <w:highlight w:val="none"/>
        </w:rPr>
        <w:t>4采用综合评分法的，</w:t>
      </w:r>
      <w:r>
        <w:rPr>
          <w:rFonts w:hint="eastAsia" w:ascii="仿宋" w:hAnsi="仿宋" w:eastAsia="仿宋"/>
          <w:color w:val="auto"/>
          <w:sz w:val="24"/>
          <w:szCs w:val="24"/>
          <w:highlight w:val="none"/>
        </w:rPr>
        <w:t>商务部分由评标委员会审核认定评分结果，交各投标人签字确认。</w:t>
      </w:r>
    </w:p>
    <w:p w14:paraId="7052EB7C">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18.5.4.5</w:t>
      </w:r>
      <w:r>
        <w:rPr>
          <w:rFonts w:ascii="仿宋" w:hAnsi="仿宋" w:eastAsia="仿宋"/>
          <w:color w:val="auto"/>
          <w:sz w:val="24"/>
          <w:szCs w:val="24"/>
          <w:highlight w:val="none"/>
        </w:rPr>
        <w:t>采用最低评标价法的采购项目，提供相同品牌产品</w:t>
      </w:r>
      <w:r>
        <w:rPr>
          <w:rFonts w:hint="eastAsia" w:ascii="仿宋" w:hAnsi="仿宋" w:eastAsia="仿宋"/>
          <w:color w:val="auto"/>
          <w:sz w:val="24"/>
          <w:szCs w:val="24"/>
          <w:highlight w:val="none"/>
        </w:rPr>
        <w:t>（非单一产品采购项目，系指采购人确定的核心产品）</w:t>
      </w:r>
      <w:r>
        <w:rPr>
          <w:rFonts w:ascii="仿宋" w:hAnsi="仿宋" w:eastAsia="仿宋"/>
          <w:color w:val="auto"/>
          <w:sz w:val="24"/>
          <w:szCs w:val="24"/>
          <w:highlight w:val="none"/>
        </w:rPr>
        <w:t>的不同投标人参加同一合同项下投标的，以其中通过资格审查、符合性审查且报价最低的参加评标；报价相同的，由</w:t>
      </w:r>
      <w:r>
        <w:rPr>
          <w:rFonts w:hint="eastAsia" w:ascii="仿宋" w:hAnsi="仿宋" w:eastAsia="仿宋"/>
          <w:color w:val="auto"/>
          <w:sz w:val="24"/>
          <w:szCs w:val="24"/>
          <w:highlight w:val="none"/>
        </w:rPr>
        <w:t>采购人</w:t>
      </w:r>
      <w:r>
        <w:rPr>
          <w:rFonts w:ascii="仿宋" w:hAnsi="仿宋" w:eastAsia="仿宋"/>
          <w:color w:val="auto"/>
          <w:sz w:val="24"/>
          <w:szCs w:val="24"/>
          <w:highlight w:val="none"/>
        </w:rPr>
        <w:t>或者</w:t>
      </w:r>
      <w:r>
        <w:rPr>
          <w:rFonts w:hint="eastAsia" w:ascii="仿宋" w:hAnsi="仿宋" w:eastAsia="仿宋"/>
          <w:color w:val="auto"/>
          <w:sz w:val="24"/>
          <w:szCs w:val="24"/>
          <w:highlight w:val="none"/>
        </w:rPr>
        <w:t>采购人</w:t>
      </w:r>
      <w:r>
        <w:rPr>
          <w:rFonts w:ascii="仿宋" w:hAnsi="仿宋" w:eastAsia="仿宋"/>
          <w:color w:val="auto"/>
          <w:sz w:val="24"/>
          <w:szCs w:val="24"/>
          <w:highlight w:val="none"/>
        </w:rPr>
        <w:t>委托评标委员会采取随机抽取</w:t>
      </w:r>
      <w:r>
        <w:rPr>
          <w:rFonts w:hint="eastAsia" w:ascii="仿宋" w:hAnsi="仿宋" w:eastAsia="仿宋"/>
          <w:color w:val="auto"/>
          <w:sz w:val="24"/>
          <w:szCs w:val="24"/>
          <w:highlight w:val="none"/>
        </w:rPr>
        <w:t>的</w:t>
      </w:r>
      <w:r>
        <w:rPr>
          <w:rFonts w:ascii="仿宋" w:hAnsi="仿宋" w:eastAsia="仿宋"/>
          <w:color w:val="auto"/>
          <w:sz w:val="24"/>
          <w:szCs w:val="24"/>
          <w:highlight w:val="none"/>
        </w:rPr>
        <w:t>方式确定一个参加评标的投标人，其他投标无效。</w:t>
      </w:r>
    </w:p>
    <w:p w14:paraId="5BA4996E">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18.5.4.6</w:t>
      </w:r>
      <w:r>
        <w:rPr>
          <w:rFonts w:ascii="仿宋" w:hAnsi="仿宋" w:eastAsia="仿宋"/>
          <w:color w:val="auto"/>
          <w:sz w:val="24"/>
          <w:szCs w:val="24"/>
          <w:highlight w:val="none"/>
        </w:rPr>
        <w:t>使用综合评分法的采购项目，提供相同品牌产品</w:t>
      </w:r>
      <w:r>
        <w:rPr>
          <w:rFonts w:hint="eastAsia" w:ascii="仿宋" w:hAnsi="仿宋" w:eastAsia="仿宋"/>
          <w:color w:val="auto"/>
          <w:sz w:val="24"/>
          <w:szCs w:val="24"/>
          <w:highlight w:val="none"/>
        </w:rPr>
        <w:t>（非单一产品采购项目，系指采购人确定的核心产品）</w:t>
      </w:r>
      <w:r>
        <w:rPr>
          <w:rFonts w:ascii="仿宋" w:hAnsi="仿宋" w:eastAsia="仿宋"/>
          <w:color w:val="auto"/>
          <w:sz w:val="24"/>
          <w:szCs w:val="24"/>
          <w:highlight w:val="none"/>
        </w:rPr>
        <w:t>且通过资格审查、符合性审查的不同投标人参加同一合同项下投标的，按一家投标人计算，评审后得分最高的同品牌投标人获得中标人推荐资格；评审得分相同的，由</w:t>
      </w:r>
      <w:r>
        <w:rPr>
          <w:rFonts w:hint="eastAsia" w:ascii="仿宋" w:hAnsi="仿宋" w:eastAsia="仿宋"/>
          <w:color w:val="auto"/>
          <w:sz w:val="24"/>
          <w:szCs w:val="24"/>
          <w:highlight w:val="none"/>
        </w:rPr>
        <w:t>采购人</w:t>
      </w:r>
      <w:r>
        <w:rPr>
          <w:rFonts w:ascii="仿宋" w:hAnsi="仿宋" w:eastAsia="仿宋"/>
          <w:color w:val="auto"/>
          <w:sz w:val="24"/>
          <w:szCs w:val="24"/>
          <w:highlight w:val="none"/>
        </w:rPr>
        <w:t>或者</w:t>
      </w:r>
      <w:r>
        <w:rPr>
          <w:rFonts w:hint="eastAsia" w:ascii="仿宋" w:hAnsi="仿宋" w:eastAsia="仿宋"/>
          <w:color w:val="auto"/>
          <w:sz w:val="24"/>
          <w:szCs w:val="24"/>
          <w:highlight w:val="none"/>
        </w:rPr>
        <w:t>采购人</w:t>
      </w:r>
      <w:r>
        <w:rPr>
          <w:rFonts w:ascii="仿宋" w:hAnsi="仿宋" w:eastAsia="仿宋"/>
          <w:color w:val="auto"/>
          <w:sz w:val="24"/>
          <w:szCs w:val="24"/>
          <w:highlight w:val="none"/>
        </w:rPr>
        <w:t>委托评标委员会采取随机抽取</w:t>
      </w:r>
      <w:r>
        <w:rPr>
          <w:rFonts w:hint="eastAsia" w:ascii="仿宋" w:hAnsi="仿宋" w:eastAsia="仿宋"/>
          <w:color w:val="auto"/>
          <w:sz w:val="24"/>
          <w:szCs w:val="24"/>
          <w:highlight w:val="none"/>
        </w:rPr>
        <w:t>的</w:t>
      </w:r>
      <w:r>
        <w:rPr>
          <w:rFonts w:ascii="仿宋" w:hAnsi="仿宋" w:eastAsia="仿宋"/>
          <w:color w:val="auto"/>
          <w:sz w:val="24"/>
          <w:szCs w:val="24"/>
          <w:highlight w:val="none"/>
        </w:rPr>
        <w:t>方式确定一个投标人获得中标人推荐资格，其他同品牌投标人不作为中标候选人。</w:t>
      </w:r>
    </w:p>
    <w:p w14:paraId="29A582AE">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18.5.4.7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4F4E6CF1">
      <w:pPr>
        <w:spacing w:line="440" w:lineRule="exact"/>
        <w:ind w:firstLine="480" w:firstLineChars="200"/>
        <w:rPr>
          <w:rFonts w:ascii="仿宋" w:hAnsi="仿宋" w:eastAsia="仿宋"/>
          <w:color w:val="auto"/>
          <w:sz w:val="24"/>
          <w:szCs w:val="24"/>
          <w:highlight w:val="none"/>
        </w:rPr>
      </w:pPr>
      <w:bookmarkStart w:id="92" w:name="_Toc494455676"/>
      <w:r>
        <w:rPr>
          <w:rFonts w:hint="eastAsia" w:ascii="仿宋" w:hAnsi="仿宋" w:eastAsia="仿宋"/>
          <w:color w:val="auto"/>
          <w:sz w:val="24"/>
          <w:szCs w:val="24"/>
          <w:highlight w:val="none"/>
        </w:rPr>
        <w:t>18.6澄清有关问题</w:t>
      </w:r>
      <w:bookmarkEnd w:id="92"/>
    </w:p>
    <w:p w14:paraId="767BF7B2">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18.6.</w:t>
      </w:r>
      <w:r>
        <w:rPr>
          <w:rFonts w:ascii="仿宋" w:hAnsi="仿宋" w:eastAsia="仿宋"/>
          <w:color w:val="auto"/>
          <w:sz w:val="24"/>
          <w:szCs w:val="24"/>
          <w:highlight w:val="none"/>
        </w:rPr>
        <w:t>1</w:t>
      </w:r>
      <w:r>
        <w:rPr>
          <w:rFonts w:hint="eastAsia" w:ascii="仿宋" w:hAnsi="仿宋" w:eastAsia="仿宋"/>
          <w:color w:val="auto"/>
          <w:sz w:val="24"/>
          <w:szCs w:val="24"/>
          <w:highlight w:val="none"/>
        </w:rPr>
        <w:t>对投标文件中含义不明确、同类问题表述不一致或者有明显文字和计算错误的内容，评标委员会应以书面形式要求投标人做出必要的澄清、说明或者补正。投标人的澄清、说明或者补正应采取书面形式，由法定代表人或者被授权代表签字。投标人的澄清、说明或者补正不得超出投标文件的范围或者改变投标文件的实质性内容。</w:t>
      </w:r>
    </w:p>
    <w:p w14:paraId="7191655A">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18.6.</w:t>
      </w:r>
      <w:r>
        <w:rPr>
          <w:rFonts w:ascii="仿宋" w:hAnsi="仿宋" w:eastAsia="仿宋"/>
          <w:color w:val="auto"/>
          <w:sz w:val="24"/>
          <w:szCs w:val="24"/>
          <w:highlight w:val="none"/>
        </w:rPr>
        <w:t>2</w:t>
      </w:r>
      <w:r>
        <w:rPr>
          <w:rFonts w:hint="eastAsia" w:ascii="仿宋" w:hAnsi="仿宋" w:eastAsia="仿宋"/>
          <w:color w:val="auto"/>
          <w:sz w:val="24"/>
          <w:szCs w:val="24"/>
          <w:highlight w:val="none"/>
        </w:rPr>
        <w:t>评标委员会判断投标文件的响应性仅基于投标文件本身而不靠外部因素。未响应实质性条款的，评标委员会有权确定其投标无效，投标人不能通过修正、撤销或者澄清不符之处而使其投标成为实质性响应的投标。</w:t>
      </w:r>
    </w:p>
    <w:p w14:paraId="5B8C5FA5">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18.6.</w:t>
      </w:r>
      <w:r>
        <w:rPr>
          <w:rFonts w:ascii="仿宋" w:hAnsi="仿宋" w:eastAsia="仿宋"/>
          <w:color w:val="auto"/>
          <w:sz w:val="24"/>
          <w:szCs w:val="24"/>
          <w:highlight w:val="none"/>
        </w:rPr>
        <w:t>3</w:t>
      </w:r>
      <w:r>
        <w:rPr>
          <w:rFonts w:hint="eastAsia" w:ascii="仿宋" w:hAnsi="仿宋" w:eastAsia="仿宋"/>
          <w:color w:val="auto"/>
          <w:sz w:val="24"/>
          <w:szCs w:val="24"/>
          <w:highlight w:val="none"/>
        </w:rPr>
        <w:t>评标委员会认为投标人的报价明显低于其他通过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3D67F7D">
      <w:pPr>
        <w:spacing w:line="440" w:lineRule="exact"/>
        <w:ind w:firstLine="480" w:firstLineChars="200"/>
        <w:rPr>
          <w:rFonts w:ascii="仿宋" w:hAnsi="仿宋" w:eastAsia="仿宋"/>
          <w:color w:val="auto"/>
          <w:sz w:val="24"/>
          <w:szCs w:val="24"/>
          <w:highlight w:val="none"/>
        </w:rPr>
      </w:pPr>
      <w:bookmarkStart w:id="93" w:name="_Toc494455677"/>
      <w:r>
        <w:rPr>
          <w:rFonts w:hint="eastAsia" w:ascii="仿宋" w:hAnsi="仿宋" w:eastAsia="仿宋"/>
          <w:color w:val="auto"/>
          <w:sz w:val="24"/>
          <w:szCs w:val="24"/>
          <w:highlight w:val="none"/>
        </w:rPr>
        <w:t>18.7定标</w:t>
      </w:r>
      <w:bookmarkEnd w:id="93"/>
    </w:p>
    <w:p w14:paraId="788E48A1">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18.7.</w:t>
      </w:r>
      <w:r>
        <w:rPr>
          <w:rFonts w:ascii="仿宋" w:hAnsi="仿宋" w:eastAsia="仿宋"/>
          <w:color w:val="auto"/>
          <w:sz w:val="24"/>
          <w:szCs w:val="24"/>
          <w:highlight w:val="none"/>
        </w:rPr>
        <w:t>1</w:t>
      </w:r>
      <w:r>
        <w:rPr>
          <w:rFonts w:hint="eastAsia" w:ascii="仿宋" w:hAnsi="仿宋" w:eastAsia="仿宋"/>
          <w:color w:val="auto"/>
          <w:sz w:val="24"/>
          <w:szCs w:val="24"/>
          <w:highlight w:val="none"/>
        </w:rPr>
        <w:t>评标委员会根据投标人须知前附表的规定确定中标候选人或直接确定中标人。</w:t>
      </w:r>
    </w:p>
    <w:p w14:paraId="622BB4F6">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评标委员会确定中标候选人的，中标候选人数见投标人须知前附表。</w:t>
      </w:r>
      <w:r>
        <w:rPr>
          <w:rFonts w:ascii="仿宋" w:hAnsi="仿宋" w:eastAsia="仿宋"/>
          <w:color w:val="auto"/>
          <w:sz w:val="24"/>
          <w:szCs w:val="24"/>
          <w:highlight w:val="none"/>
        </w:rPr>
        <w:t>采购人应当自收到评标报告之日起５个工作日内，在评标报告确定的中标候选人名单中按顺序确定中标人。中标候选人并列的，由采购人或者采购人委托评标委员会按照招标文件规定的方式确定中标人；招标文件未规定的，采取随机抽取的方式确定。</w:t>
      </w:r>
    </w:p>
    <w:p w14:paraId="39C99ADC">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18.7.</w:t>
      </w:r>
      <w:r>
        <w:rPr>
          <w:rFonts w:ascii="仿宋" w:hAnsi="仿宋" w:eastAsia="仿宋"/>
          <w:color w:val="auto"/>
          <w:sz w:val="24"/>
          <w:szCs w:val="24"/>
          <w:highlight w:val="none"/>
        </w:rPr>
        <w:t>2</w:t>
      </w:r>
      <w:r>
        <w:rPr>
          <w:rFonts w:hint="eastAsia" w:ascii="仿宋" w:hAnsi="仿宋" w:eastAsia="仿宋"/>
          <w:color w:val="auto"/>
          <w:sz w:val="24"/>
          <w:szCs w:val="24"/>
          <w:highlight w:val="none"/>
        </w:rPr>
        <w:t>本次招标评标办法：见投标人须知前附表。</w:t>
      </w:r>
    </w:p>
    <w:p w14:paraId="3D6F20B9">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18.7.</w:t>
      </w:r>
      <w:r>
        <w:rPr>
          <w:rFonts w:ascii="仿宋" w:hAnsi="仿宋" w:eastAsia="仿宋"/>
          <w:color w:val="auto"/>
          <w:sz w:val="24"/>
          <w:szCs w:val="24"/>
          <w:highlight w:val="none"/>
        </w:rPr>
        <w:t>3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2449EABB">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18.7.</w:t>
      </w:r>
      <w:r>
        <w:rPr>
          <w:rFonts w:ascii="仿宋" w:hAnsi="仿宋" w:eastAsia="仿宋"/>
          <w:color w:val="auto"/>
          <w:sz w:val="24"/>
          <w:szCs w:val="24"/>
          <w:highlight w:val="none"/>
        </w:rPr>
        <w:t>4</w:t>
      </w:r>
      <w:r>
        <w:rPr>
          <w:rFonts w:hint="eastAsia" w:ascii="仿宋" w:hAnsi="仿宋" w:eastAsia="仿宋"/>
          <w:color w:val="auto"/>
          <w:sz w:val="24"/>
          <w:szCs w:val="24"/>
          <w:highlight w:val="none"/>
        </w:rPr>
        <w:t>采用最低评标价法的，评标结果按投标报价由低到高顺序排列，投标报价相同的并列。</w:t>
      </w:r>
      <w:r>
        <w:rPr>
          <w:rFonts w:ascii="仿宋" w:hAnsi="仿宋" w:eastAsia="仿宋"/>
          <w:color w:val="auto"/>
          <w:sz w:val="24"/>
          <w:szCs w:val="24"/>
          <w:highlight w:val="none"/>
        </w:rPr>
        <w:t>投标文件满足招标文件全部实质性要求且投标报价最低的投标人为排名第一的中标候选人。</w:t>
      </w:r>
    </w:p>
    <w:p w14:paraId="49410C03">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18.7.5</w:t>
      </w:r>
      <w:r>
        <w:rPr>
          <w:rFonts w:ascii="仿宋" w:hAnsi="仿宋" w:eastAsia="仿宋"/>
          <w:color w:val="auto"/>
          <w:sz w:val="24"/>
          <w:szCs w:val="24"/>
          <w:highlight w:val="none"/>
        </w:rPr>
        <w:t>对于可以投多个包，但只能中标</w:t>
      </w:r>
      <w:r>
        <w:rPr>
          <w:rFonts w:hint="eastAsia" w:ascii="仿宋" w:hAnsi="仿宋" w:eastAsia="仿宋"/>
          <w:color w:val="auto"/>
          <w:sz w:val="24"/>
          <w:szCs w:val="24"/>
          <w:highlight w:val="none"/>
        </w:rPr>
        <w:t>1个包且采用综合评分法的项目，若2个及2个以上包的综合得分排名均第一的，由投标人自行选择其中1个包中标；该投标人不再参与其他包的综合得分排名，剩余包其他投标人的综合得分排名依次递进，按新的排名和前述规定确定中标人，以此类推。</w:t>
      </w:r>
    </w:p>
    <w:p w14:paraId="0D28CBCE">
      <w:pPr>
        <w:spacing w:line="440" w:lineRule="exact"/>
        <w:ind w:firstLine="480" w:firstLineChars="2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根据前项规定，导致各包参与综合得分排名的投标人不足</w:t>
      </w:r>
      <w:r>
        <w:rPr>
          <w:rFonts w:hint="eastAsia" w:ascii="仿宋" w:hAnsi="仿宋" w:eastAsia="仿宋" w:cs="仿宋"/>
          <w:color w:val="auto"/>
          <w:kern w:val="0"/>
          <w:sz w:val="24"/>
          <w:szCs w:val="24"/>
          <w:highlight w:val="none"/>
        </w:rPr>
        <w:t>3家时，评委会认为不足以构成竞争的有权对该包予以废标。</w:t>
      </w:r>
    </w:p>
    <w:p w14:paraId="2303251D">
      <w:pPr>
        <w:spacing w:line="440" w:lineRule="exact"/>
        <w:ind w:firstLine="480" w:firstLineChars="20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18.7.6按照有关规定中标人因不可抗力或者自身原因不能履行政府采购合同的，报经同级财政部门同意后，可顺延排序第二的投标人中标；或者报同级财政部门同意后，做废标处理，由采购人依法重新组织招标。</w:t>
      </w:r>
    </w:p>
    <w:p w14:paraId="4DA22005">
      <w:pPr>
        <w:spacing w:line="440" w:lineRule="exact"/>
        <w:ind w:firstLine="480" w:firstLineChars="20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18.7.7以入围方式确定多个中标人的，入围中标人数量应当根据招标需要并在招标活动开始前确定，由评标委员会按照招标文件规定的评标办法确定各投标人排列顺序，依照顺序确定入围中标人。</w:t>
      </w:r>
    </w:p>
    <w:p w14:paraId="016A4D19">
      <w:pPr>
        <w:spacing w:line="440" w:lineRule="exact"/>
        <w:ind w:firstLine="480" w:firstLineChars="20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18.7.8评标委员会成员对需要共同认定的事项存在争议的，应当按照少数服从多数的原则作出结论。持不同意见的评标委员会成员应当在评标报告上签署不同意见及理由，否则视为同意评标报告。</w:t>
      </w:r>
    </w:p>
    <w:p w14:paraId="013B2274">
      <w:pPr>
        <w:spacing w:line="440" w:lineRule="exact"/>
        <w:ind w:firstLine="480" w:firstLineChars="20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18.7.9评标结果汇总完成后，除下列情形外，任何人不得修改评标结果：</w:t>
      </w:r>
    </w:p>
    <w:p w14:paraId="6E76F0FB">
      <w:pPr>
        <w:spacing w:line="440" w:lineRule="exact"/>
        <w:ind w:firstLine="480" w:firstLineChars="20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（一）分值汇总计算错误的；</w:t>
      </w:r>
    </w:p>
    <w:p w14:paraId="578BF7E2">
      <w:pPr>
        <w:spacing w:line="440" w:lineRule="exact"/>
        <w:ind w:firstLine="480" w:firstLineChars="20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（二）分项评分超出评分标准范围的；</w:t>
      </w:r>
    </w:p>
    <w:p w14:paraId="7E3C4BCD">
      <w:pPr>
        <w:spacing w:line="440" w:lineRule="exact"/>
        <w:ind w:firstLine="480" w:firstLineChars="20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（三）评标委员会成员对客观评审因素评分不一致的；</w:t>
      </w:r>
    </w:p>
    <w:p w14:paraId="68C55A75">
      <w:pPr>
        <w:spacing w:line="440" w:lineRule="exact"/>
        <w:ind w:firstLine="480" w:firstLineChars="20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（四）经评标委员会认定评分畸高、畸低的。</w:t>
      </w:r>
    </w:p>
    <w:p w14:paraId="10D759CC">
      <w:pPr>
        <w:spacing w:line="440" w:lineRule="exact"/>
        <w:ind w:firstLine="480" w:firstLineChars="20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3485DF5A">
      <w:pPr>
        <w:spacing w:line="440" w:lineRule="exact"/>
        <w:ind w:firstLine="480" w:firstLineChars="200"/>
        <w:rPr>
          <w:rFonts w:ascii="仿宋" w:hAnsi="仿宋" w:eastAsia="仿宋" w:cs="仿宋"/>
          <w:color w:val="auto"/>
          <w:kern w:val="0"/>
          <w:sz w:val="24"/>
          <w:szCs w:val="24"/>
          <w:highlight w:val="none"/>
        </w:rPr>
      </w:pPr>
      <w:bookmarkStart w:id="94" w:name="_Toc494455678"/>
      <w:r>
        <w:rPr>
          <w:rFonts w:hint="eastAsia" w:ascii="仿宋" w:hAnsi="仿宋" w:eastAsia="仿宋" w:cs="仿宋"/>
          <w:color w:val="auto"/>
          <w:kern w:val="0"/>
          <w:sz w:val="24"/>
          <w:szCs w:val="24"/>
          <w:highlight w:val="none"/>
        </w:rPr>
        <w:t>18.7.10</w:t>
      </w:r>
      <w:r>
        <w:rPr>
          <w:rFonts w:ascii="仿宋" w:hAnsi="仿宋" w:eastAsia="仿宋" w:cs="仿宋"/>
          <w:color w:val="auto"/>
          <w:kern w:val="0"/>
          <w:sz w:val="24"/>
          <w:szCs w:val="24"/>
          <w:highlight w:val="none"/>
        </w:rPr>
        <w:t>评标委员会根据全体评标成员签字的原始评标记录和评标结果编写评标报告。</w:t>
      </w:r>
      <w:bookmarkEnd w:id="94"/>
    </w:p>
    <w:p w14:paraId="7E08A1C5">
      <w:pPr>
        <w:spacing w:line="440" w:lineRule="exact"/>
        <w:ind w:firstLine="480" w:firstLineChars="200"/>
        <w:rPr>
          <w:rFonts w:ascii="仿宋" w:hAnsi="仿宋" w:eastAsia="仿宋" w:cs="仿宋"/>
          <w:color w:val="auto"/>
          <w:kern w:val="0"/>
          <w:sz w:val="24"/>
          <w:szCs w:val="24"/>
          <w:highlight w:val="none"/>
        </w:rPr>
      </w:pPr>
      <w:bookmarkStart w:id="95" w:name="_Toc494455679"/>
      <w:r>
        <w:rPr>
          <w:rFonts w:hint="eastAsia" w:ascii="仿宋" w:hAnsi="仿宋" w:eastAsia="仿宋" w:cs="仿宋"/>
          <w:color w:val="auto"/>
          <w:kern w:val="0"/>
          <w:sz w:val="24"/>
          <w:szCs w:val="24"/>
          <w:highlight w:val="none"/>
        </w:rPr>
        <w:t>18.8中标公告以及中标通知书</w:t>
      </w:r>
      <w:bookmarkEnd w:id="95"/>
    </w:p>
    <w:p w14:paraId="275DBB3D">
      <w:pPr>
        <w:spacing w:line="440" w:lineRule="exact"/>
        <w:ind w:firstLine="480" w:firstLineChars="20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18.8</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采购人或者采购代理机构应当自中标人确定之日起</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个工作日内，发出中标通知书，并在相关媒介公告中标结果（公告期限为1个工作日），招标文件随中标结果同时公告；</w:t>
      </w:r>
      <w:r>
        <w:rPr>
          <w:rFonts w:ascii="仿宋" w:hAnsi="仿宋" w:eastAsia="仿宋" w:cs="仿宋"/>
          <w:color w:val="auto"/>
          <w:kern w:val="0"/>
          <w:sz w:val="24"/>
          <w:szCs w:val="24"/>
          <w:highlight w:val="none"/>
        </w:rPr>
        <w:t>采用综合评分法评审的，还应当告知未中标人本人的评审得分与排序。</w:t>
      </w:r>
    </w:p>
    <w:p w14:paraId="0A8B1078">
      <w:pPr>
        <w:spacing w:line="440" w:lineRule="exact"/>
        <w:ind w:firstLine="480" w:firstLineChars="20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18.8.2采购人或采购代理机构不按照规定发布中标公告或者发布中标公告后不签发中标通知书的，应当承担法律责任，给中标人造成经济损失的应承担赔偿责任。</w:t>
      </w:r>
    </w:p>
    <w:p w14:paraId="5BB5B48B">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18.8</w:t>
      </w:r>
      <w:r>
        <w:rPr>
          <w:rStyle w:val="20"/>
          <w:color w:val="auto"/>
          <w:sz w:val="24"/>
          <w:szCs w:val="24"/>
          <w:highlight w:val="none"/>
        </w:rPr>
        <w:t>.</w:t>
      </w:r>
      <w:r>
        <w:rPr>
          <w:rStyle w:val="20"/>
          <w:rFonts w:hint="eastAsia"/>
          <w:color w:val="auto"/>
          <w:sz w:val="24"/>
          <w:szCs w:val="24"/>
          <w:highlight w:val="none"/>
        </w:rPr>
        <w:t>3中标通知书对采购人和中标人都具有法律效力。中标通知书发出后，采购人改变中标结果的，或者中标人放弃中标，应当依法承担法律责任。</w:t>
      </w:r>
    </w:p>
    <w:p w14:paraId="69CA8FB4">
      <w:pPr>
        <w:spacing w:line="440" w:lineRule="exact"/>
        <w:ind w:firstLine="480" w:firstLineChars="200"/>
        <w:rPr>
          <w:rStyle w:val="20"/>
          <w:color w:val="auto"/>
          <w:sz w:val="24"/>
          <w:szCs w:val="24"/>
          <w:highlight w:val="none"/>
        </w:rPr>
      </w:pPr>
      <w:bookmarkStart w:id="96" w:name="_Toc494455680"/>
      <w:r>
        <w:rPr>
          <w:rStyle w:val="20"/>
          <w:rFonts w:hint="eastAsia"/>
          <w:color w:val="auto"/>
          <w:sz w:val="24"/>
          <w:szCs w:val="24"/>
          <w:highlight w:val="none"/>
        </w:rPr>
        <w:t>18.9投标无效</w:t>
      </w:r>
      <w:bookmarkEnd w:id="96"/>
    </w:p>
    <w:p w14:paraId="3C48E338">
      <w:pPr>
        <w:spacing w:line="440" w:lineRule="exact"/>
        <w:ind w:firstLine="480" w:firstLineChars="200"/>
        <w:rPr>
          <w:rStyle w:val="20"/>
          <w:color w:val="auto"/>
          <w:sz w:val="24"/>
          <w:szCs w:val="24"/>
          <w:highlight w:val="none"/>
        </w:rPr>
      </w:pPr>
      <w:r>
        <w:rPr>
          <w:rStyle w:val="20"/>
          <w:rFonts w:hint="eastAsia"/>
          <w:color w:val="auto"/>
          <w:sz w:val="24"/>
          <w:szCs w:val="24"/>
          <w:highlight w:val="none"/>
        </w:rPr>
        <w:t>出现下列情形之一的，投标无效：</w:t>
      </w:r>
    </w:p>
    <w:p w14:paraId="413BBEA8">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18.9.</w:t>
      </w:r>
      <w:r>
        <w:rPr>
          <w:rStyle w:val="20"/>
          <w:color w:val="auto"/>
          <w:sz w:val="24"/>
          <w:szCs w:val="24"/>
          <w:highlight w:val="none"/>
        </w:rPr>
        <w:t>1报价超过招标文件中规定的预算金额或者最高限价的</w:t>
      </w:r>
      <w:r>
        <w:rPr>
          <w:rStyle w:val="20"/>
          <w:rFonts w:hint="eastAsia"/>
          <w:color w:val="auto"/>
          <w:sz w:val="24"/>
          <w:szCs w:val="24"/>
          <w:highlight w:val="none"/>
        </w:rPr>
        <w:t>；</w:t>
      </w:r>
    </w:p>
    <w:p w14:paraId="35787411">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18.9.</w:t>
      </w:r>
      <w:r>
        <w:rPr>
          <w:rStyle w:val="20"/>
          <w:color w:val="auto"/>
          <w:sz w:val="24"/>
          <w:szCs w:val="24"/>
          <w:highlight w:val="none"/>
        </w:rPr>
        <w:t>2</w:t>
      </w:r>
      <w:r>
        <w:rPr>
          <w:rStyle w:val="20"/>
          <w:rFonts w:hint="eastAsia"/>
          <w:color w:val="auto"/>
          <w:sz w:val="24"/>
          <w:szCs w:val="24"/>
          <w:highlight w:val="none"/>
        </w:rPr>
        <w:t>对招标文件要求的不可更改的参数未做出实质性响应或者发生负偏离的；</w:t>
      </w:r>
    </w:p>
    <w:p w14:paraId="31999209">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18.9.3应提供而未提供标注的政府强制采购节能、环保产品的；</w:t>
      </w:r>
    </w:p>
    <w:p w14:paraId="0782F275">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18.9.4</w:t>
      </w:r>
      <w:r>
        <w:rPr>
          <w:rStyle w:val="20"/>
          <w:color w:val="auto"/>
          <w:sz w:val="24"/>
          <w:szCs w:val="24"/>
          <w:highlight w:val="none"/>
        </w:rPr>
        <w:t>对于不允许偏离的实质性要求和条件</w:t>
      </w:r>
      <w:r>
        <w:rPr>
          <w:rStyle w:val="20"/>
          <w:rFonts w:hint="eastAsia"/>
          <w:color w:val="auto"/>
          <w:sz w:val="24"/>
          <w:szCs w:val="24"/>
          <w:highlight w:val="none"/>
        </w:rPr>
        <w:t>发生偏离的；</w:t>
      </w:r>
    </w:p>
    <w:p w14:paraId="522FF312">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18.9.5不按照招标文件规定报价、没有分项报价、拒绝报价、有多个报价（招标文件另有规定的除外）、有选择性报价、附有条件的报价或者拒绝修正报价的；</w:t>
      </w:r>
    </w:p>
    <w:p w14:paraId="27F83BF1">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18.9.6投标文件正副本未区分或者内容严重不一致的；</w:t>
      </w:r>
    </w:p>
    <w:p w14:paraId="2F214661">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18.9.7</w:t>
      </w:r>
      <w:r>
        <w:rPr>
          <w:rStyle w:val="20"/>
          <w:color w:val="auto"/>
          <w:sz w:val="24"/>
          <w:szCs w:val="24"/>
          <w:highlight w:val="none"/>
        </w:rPr>
        <w:t>未按照招标文件的规定提交投标保证金的</w:t>
      </w:r>
      <w:r>
        <w:rPr>
          <w:rStyle w:val="20"/>
          <w:rFonts w:hint="eastAsia"/>
          <w:color w:val="auto"/>
          <w:sz w:val="24"/>
          <w:szCs w:val="24"/>
          <w:highlight w:val="none"/>
        </w:rPr>
        <w:t>；</w:t>
      </w:r>
    </w:p>
    <w:p w14:paraId="7DD05840">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18.9.8投标有效期不满足招标文件要求的；</w:t>
      </w:r>
    </w:p>
    <w:p w14:paraId="4141D95A">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18.9.9投标超出营业执照经营范围的；</w:t>
      </w:r>
    </w:p>
    <w:p w14:paraId="02C02DBE">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18.9.10评标委员会</w:t>
      </w:r>
      <w:r>
        <w:rPr>
          <w:rStyle w:val="20"/>
          <w:color w:val="auto"/>
          <w:sz w:val="24"/>
          <w:szCs w:val="24"/>
          <w:highlight w:val="none"/>
        </w:rPr>
        <w:t>2/3</w:t>
      </w:r>
      <w:r>
        <w:rPr>
          <w:rStyle w:val="20"/>
          <w:rFonts w:hint="eastAsia"/>
          <w:color w:val="auto"/>
          <w:sz w:val="24"/>
          <w:szCs w:val="24"/>
          <w:highlight w:val="none"/>
        </w:rPr>
        <w:t>及以上成员认定投标方案技术含量低、不符合招标文件要求的；</w:t>
      </w:r>
    </w:p>
    <w:p w14:paraId="233CEE0E">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18.9.</w:t>
      </w:r>
      <w:r>
        <w:rPr>
          <w:rStyle w:val="20"/>
          <w:color w:val="auto"/>
          <w:sz w:val="24"/>
          <w:szCs w:val="24"/>
          <w:highlight w:val="none"/>
        </w:rPr>
        <w:t>1</w:t>
      </w:r>
      <w:r>
        <w:rPr>
          <w:rStyle w:val="20"/>
          <w:rFonts w:hint="eastAsia"/>
          <w:color w:val="auto"/>
          <w:sz w:val="24"/>
          <w:szCs w:val="24"/>
          <w:highlight w:val="none"/>
        </w:rPr>
        <w:t>1评标委员会判定投标人涂改证明材料或者提供虚假材料和承诺的；</w:t>
      </w:r>
    </w:p>
    <w:p w14:paraId="5D5E4784">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18.9.</w:t>
      </w:r>
      <w:r>
        <w:rPr>
          <w:rStyle w:val="20"/>
          <w:color w:val="auto"/>
          <w:sz w:val="24"/>
          <w:szCs w:val="24"/>
          <w:highlight w:val="none"/>
        </w:rPr>
        <w:t>12投标文件未按招标文件要求</w:t>
      </w:r>
      <w:r>
        <w:rPr>
          <w:rStyle w:val="20"/>
          <w:rFonts w:hint="eastAsia"/>
          <w:color w:val="auto"/>
          <w:sz w:val="24"/>
          <w:szCs w:val="24"/>
          <w:highlight w:val="none"/>
        </w:rPr>
        <w:t>编制、</w:t>
      </w:r>
      <w:r>
        <w:rPr>
          <w:rStyle w:val="20"/>
          <w:color w:val="auto"/>
          <w:sz w:val="24"/>
          <w:szCs w:val="24"/>
          <w:highlight w:val="none"/>
        </w:rPr>
        <w:t>签署、盖章</w:t>
      </w:r>
      <w:r>
        <w:rPr>
          <w:rStyle w:val="20"/>
          <w:rFonts w:hint="eastAsia"/>
          <w:color w:val="auto"/>
          <w:sz w:val="24"/>
          <w:szCs w:val="24"/>
          <w:highlight w:val="none"/>
        </w:rPr>
        <w:t>、装订</w:t>
      </w:r>
      <w:r>
        <w:rPr>
          <w:rStyle w:val="20"/>
          <w:color w:val="auto"/>
          <w:sz w:val="24"/>
          <w:szCs w:val="24"/>
          <w:highlight w:val="none"/>
        </w:rPr>
        <w:t>的</w:t>
      </w:r>
      <w:r>
        <w:rPr>
          <w:rStyle w:val="20"/>
          <w:rFonts w:hint="eastAsia"/>
          <w:color w:val="auto"/>
          <w:sz w:val="24"/>
          <w:szCs w:val="24"/>
          <w:highlight w:val="none"/>
        </w:rPr>
        <w:t>；</w:t>
      </w:r>
    </w:p>
    <w:p w14:paraId="3AF0B3A9">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18.9.13</w:t>
      </w:r>
      <w:r>
        <w:rPr>
          <w:rStyle w:val="20"/>
          <w:color w:val="auto"/>
          <w:sz w:val="24"/>
          <w:szCs w:val="24"/>
          <w:highlight w:val="none"/>
        </w:rPr>
        <w:t>招标文件第三章第</w:t>
      </w:r>
      <w:r>
        <w:rPr>
          <w:rStyle w:val="20"/>
          <w:rFonts w:hint="eastAsia"/>
          <w:color w:val="auto"/>
          <w:sz w:val="24"/>
          <w:szCs w:val="24"/>
          <w:highlight w:val="none"/>
        </w:rPr>
        <w:t>1条</w:t>
      </w:r>
      <w:r>
        <w:rPr>
          <w:rStyle w:val="20"/>
          <w:color w:val="auto"/>
          <w:sz w:val="24"/>
          <w:szCs w:val="24"/>
          <w:highlight w:val="none"/>
        </w:rPr>
        <w:t>规定投标人</w:t>
      </w:r>
      <w:r>
        <w:rPr>
          <w:rStyle w:val="20"/>
          <w:rFonts w:hint="eastAsia"/>
          <w:color w:val="auto"/>
          <w:sz w:val="24"/>
          <w:szCs w:val="24"/>
          <w:highlight w:val="none"/>
        </w:rPr>
        <w:t>必须</w:t>
      </w:r>
      <w:r>
        <w:rPr>
          <w:rStyle w:val="20"/>
          <w:color w:val="auto"/>
          <w:sz w:val="24"/>
          <w:szCs w:val="24"/>
          <w:highlight w:val="none"/>
        </w:rPr>
        <w:t>提交的</w:t>
      </w:r>
      <w:r>
        <w:rPr>
          <w:rStyle w:val="20"/>
          <w:rFonts w:hint="eastAsia"/>
          <w:color w:val="auto"/>
          <w:sz w:val="24"/>
          <w:szCs w:val="24"/>
          <w:highlight w:val="none"/>
        </w:rPr>
        <w:t>资格、资信等证明文件未提交、提交不齐全或者复印件未装订于投标文件中的；</w:t>
      </w:r>
    </w:p>
    <w:p w14:paraId="6520641B">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18.9.14资格、资信等证明文件可以为复印件的，复印件未加盖单位公章的；</w:t>
      </w:r>
    </w:p>
    <w:p w14:paraId="58D75396">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18.9.15投标文件含有采购人不能接受的附加条件的；</w:t>
      </w:r>
    </w:p>
    <w:p w14:paraId="16D89A65">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18.9.16</w:t>
      </w:r>
      <w:r>
        <w:rPr>
          <w:rStyle w:val="20"/>
          <w:color w:val="auto"/>
          <w:sz w:val="24"/>
          <w:szCs w:val="24"/>
          <w:highlight w:val="none"/>
        </w:rPr>
        <w:t>法律、法规和招标文件规定的其他无效情形</w:t>
      </w:r>
      <w:r>
        <w:rPr>
          <w:rStyle w:val="20"/>
          <w:rFonts w:hint="eastAsia"/>
          <w:color w:val="auto"/>
          <w:sz w:val="24"/>
          <w:szCs w:val="24"/>
          <w:highlight w:val="none"/>
        </w:rPr>
        <w:t>。</w:t>
      </w:r>
    </w:p>
    <w:p w14:paraId="29E16546">
      <w:pPr>
        <w:spacing w:line="440" w:lineRule="exact"/>
        <w:ind w:firstLine="480" w:firstLineChars="200"/>
        <w:rPr>
          <w:rStyle w:val="20"/>
          <w:color w:val="auto"/>
          <w:sz w:val="24"/>
          <w:szCs w:val="24"/>
          <w:highlight w:val="none"/>
        </w:rPr>
      </w:pPr>
      <w:r>
        <w:rPr>
          <w:rStyle w:val="20"/>
          <w:rFonts w:hint="eastAsia"/>
          <w:color w:val="auto"/>
          <w:sz w:val="24"/>
          <w:szCs w:val="24"/>
          <w:highlight w:val="none"/>
        </w:rPr>
        <w:t>对投标无效的认定，必须经评标委员会集体做出决定并出具投标无效的事实依据，由投标人法定代表人或者被授权代表签字确认，拒绝签字的，不影响评标委员会做出的决定。</w:t>
      </w:r>
    </w:p>
    <w:p w14:paraId="2973FCEB">
      <w:pPr>
        <w:spacing w:line="440" w:lineRule="exact"/>
        <w:ind w:firstLine="480" w:firstLineChars="200"/>
        <w:rPr>
          <w:rStyle w:val="20"/>
          <w:color w:val="auto"/>
          <w:sz w:val="24"/>
          <w:szCs w:val="24"/>
          <w:highlight w:val="none"/>
        </w:rPr>
      </w:pPr>
      <w:bookmarkStart w:id="97" w:name="_Toc494455681"/>
      <w:r>
        <w:rPr>
          <w:rStyle w:val="20"/>
          <w:rFonts w:hint="eastAsia"/>
          <w:color w:val="auto"/>
          <w:sz w:val="24"/>
          <w:szCs w:val="24"/>
          <w:highlight w:val="none"/>
        </w:rPr>
        <w:t>18.10废标</w:t>
      </w:r>
      <w:bookmarkEnd w:id="97"/>
    </w:p>
    <w:p w14:paraId="4337F65E">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18.10.</w:t>
      </w:r>
      <w:r>
        <w:rPr>
          <w:rStyle w:val="20"/>
          <w:color w:val="auto"/>
          <w:sz w:val="24"/>
          <w:szCs w:val="24"/>
          <w:highlight w:val="none"/>
        </w:rPr>
        <w:t>1</w:t>
      </w:r>
      <w:r>
        <w:rPr>
          <w:rStyle w:val="20"/>
          <w:rFonts w:hint="eastAsia"/>
          <w:color w:val="auto"/>
          <w:sz w:val="24"/>
          <w:szCs w:val="24"/>
          <w:highlight w:val="none"/>
        </w:rPr>
        <w:t>出现下列情形之一的，应予废标：</w:t>
      </w:r>
    </w:p>
    <w:p w14:paraId="0AB2798D">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18.10.</w:t>
      </w:r>
      <w:r>
        <w:rPr>
          <w:rStyle w:val="20"/>
          <w:color w:val="auto"/>
          <w:sz w:val="24"/>
          <w:szCs w:val="24"/>
          <w:highlight w:val="none"/>
        </w:rPr>
        <w:t>1.1</w:t>
      </w:r>
      <w:r>
        <w:rPr>
          <w:rStyle w:val="20"/>
          <w:rFonts w:hint="eastAsia"/>
          <w:color w:val="auto"/>
          <w:sz w:val="24"/>
          <w:szCs w:val="24"/>
          <w:highlight w:val="none"/>
        </w:rPr>
        <w:t>在投标截止时间后参加投标的投标人不足3家或者通过资格审查或符合性审查的投标人不足3家的；</w:t>
      </w:r>
    </w:p>
    <w:p w14:paraId="1B565B85">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18.10.</w:t>
      </w:r>
      <w:r>
        <w:rPr>
          <w:rStyle w:val="20"/>
          <w:color w:val="auto"/>
          <w:sz w:val="24"/>
          <w:szCs w:val="24"/>
          <w:highlight w:val="none"/>
        </w:rPr>
        <w:t>1.2</w:t>
      </w:r>
      <w:r>
        <w:rPr>
          <w:rStyle w:val="20"/>
          <w:rFonts w:hint="eastAsia"/>
          <w:color w:val="auto"/>
          <w:sz w:val="24"/>
          <w:szCs w:val="24"/>
          <w:highlight w:val="none"/>
        </w:rPr>
        <w:t>出现影响采购公正的违法违规行为的；</w:t>
      </w:r>
    </w:p>
    <w:p w14:paraId="5A26279C">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18.10.</w:t>
      </w:r>
      <w:r>
        <w:rPr>
          <w:rStyle w:val="20"/>
          <w:color w:val="auto"/>
          <w:sz w:val="24"/>
          <w:szCs w:val="24"/>
          <w:highlight w:val="none"/>
        </w:rPr>
        <w:t>1.3</w:t>
      </w:r>
      <w:r>
        <w:rPr>
          <w:rStyle w:val="20"/>
          <w:rFonts w:hint="eastAsia"/>
          <w:color w:val="auto"/>
          <w:sz w:val="24"/>
          <w:szCs w:val="24"/>
          <w:highlight w:val="none"/>
        </w:rPr>
        <w:t>投标人的报价均超过预算金额或者最高限价的；</w:t>
      </w:r>
    </w:p>
    <w:p w14:paraId="10260F0A">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18.10.</w:t>
      </w:r>
      <w:r>
        <w:rPr>
          <w:rStyle w:val="20"/>
          <w:color w:val="auto"/>
          <w:sz w:val="24"/>
          <w:szCs w:val="24"/>
          <w:highlight w:val="none"/>
        </w:rPr>
        <w:t>1.4</w:t>
      </w:r>
      <w:r>
        <w:rPr>
          <w:rStyle w:val="20"/>
          <w:rFonts w:hint="eastAsia"/>
          <w:color w:val="auto"/>
          <w:sz w:val="24"/>
          <w:szCs w:val="24"/>
          <w:highlight w:val="none"/>
        </w:rPr>
        <w:t>因重大变故，采购任务取消的；</w:t>
      </w:r>
    </w:p>
    <w:p w14:paraId="4DCB5358">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18.10.</w:t>
      </w:r>
      <w:r>
        <w:rPr>
          <w:rStyle w:val="20"/>
          <w:color w:val="auto"/>
          <w:sz w:val="24"/>
          <w:szCs w:val="24"/>
          <w:highlight w:val="none"/>
        </w:rPr>
        <w:t>1.5</w:t>
      </w:r>
      <w:r>
        <w:rPr>
          <w:rStyle w:val="20"/>
          <w:rFonts w:hint="eastAsia"/>
          <w:color w:val="auto"/>
          <w:sz w:val="24"/>
          <w:szCs w:val="24"/>
          <w:highlight w:val="none"/>
        </w:rPr>
        <w:t>法律、法规以及招标文件规定的其他废标情形。</w:t>
      </w:r>
    </w:p>
    <w:p w14:paraId="0CA79842">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18.10.</w:t>
      </w:r>
      <w:r>
        <w:rPr>
          <w:rStyle w:val="20"/>
          <w:color w:val="auto"/>
          <w:sz w:val="24"/>
          <w:szCs w:val="24"/>
          <w:highlight w:val="none"/>
        </w:rPr>
        <w:t>2</w:t>
      </w:r>
      <w:r>
        <w:rPr>
          <w:rStyle w:val="20"/>
          <w:rFonts w:hint="eastAsia"/>
          <w:color w:val="auto"/>
          <w:sz w:val="24"/>
          <w:szCs w:val="24"/>
          <w:highlight w:val="none"/>
        </w:rPr>
        <w:t>废标后，采购人或者采购代理机构应当将废标理由通知所有投标人。</w:t>
      </w:r>
    </w:p>
    <w:p w14:paraId="7A6A5E4B">
      <w:pPr>
        <w:spacing w:line="440" w:lineRule="exact"/>
        <w:ind w:firstLine="480" w:firstLineChars="200"/>
        <w:rPr>
          <w:rStyle w:val="20"/>
          <w:color w:val="auto"/>
          <w:sz w:val="24"/>
          <w:szCs w:val="24"/>
          <w:highlight w:val="none"/>
        </w:rPr>
      </w:pPr>
      <w:bookmarkStart w:id="98" w:name="_Toc494455682"/>
      <w:r>
        <w:rPr>
          <w:rStyle w:val="20"/>
          <w:rFonts w:hint="eastAsia"/>
          <w:color w:val="auto"/>
          <w:sz w:val="24"/>
          <w:szCs w:val="24"/>
          <w:highlight w:val="none"/>
        </w:rPr>
        <w:t>18.11特殊情况处置程序</w:t>
      </w:r>
      <w:bookmarkEnd w:id="98"/>
    </w:p>
    <w:p w14:paraId="5DCD771A">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18.11.</w:t>
      </w:r>
      <w:r>
        <w:rPr>
          <w:rStyle w:val="20"/>
          <w:color w:val="auto"/>
          <w:sz w:val="24"/>
          <w:szCs w:val="24"/>
          <w:highlight w:val="none"/>
        </w:rPr>
        <w:t>1</w:t>
      </w:r>
      <w:r>
        <w:rPr>
          <w:rStyle w:val="20"/>
          <w:rFonts w:hint="eastAsia"/>
          <w:color w:val="auto"/>
          <w:sz w:val="24"/>
          <w:szCs w:val="24"/>
          <w:highlight w:val="none"/>
        </w:rPr>
        <w:t>评标委员会成员的更换</w:t>
      </w:r>
    </w:p>
    <w:p w14:paraId="3A9A099E">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18.11.</w:t>
      </w:r>
      <w:r>
        <w:rPr>
          <w:rStyle w:val="20"/>
          <w:color w:val="auto"/>
          <w:sz w:val="24"/>
          <w:szCs w:val="24"/>
          <w:highlight w:val="none"/>
        </w:rPr>
        <w:t>1.1</w:t>
      </w:r>
      <w:r>
        <w:rPr>
          <w:rStyle w:val="20"/>
          <w:rFonts w:hint="eastAsia"/>
          <w:color w:val="auto"/>
          <w:sz w:val="24"/>
          <w:szCs w:val="24"/>
          <w:highlight w:val="none"/>
        </w:rPr>
        <w:t>评标委员会应当执行连续评标的原则，按照招标文件规定的程序、内容、方法、标准完成全部评标工作。出现评审专家临时缺席、回避等情形导致评审现场专家数量不符合法定标准的，采购人或者采购代理机构要按照有关程序及时补抽专家，继续组织评审。如无法及时补齐专家，则要立即停止评审工作，封存招标文件和所有投标文件，择期重新组建评标委员会进行评审。</w:t>
      </w:r>
    </w:p>
    <w:p w14:paraId="51F76923">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18.11.</w:t>
      </w:r>
      <w:r>
        <w:rPr>
          <w:rStyle w:val="20"/>
          <w:color w:val="auto"/>
          <w:sz w:val="24"/>
          <w:szCs w:val="24"/>
          <w:highlight w:val="none"/>
        </w:rPr>
        <w:t>1.2</w:t>
      </w:r>
      <w:r>
        <w:rPr>
          <w:rStyle w:val="20"/>
          <w:rFonts w:hint="eastAsia"/>
          <w:color w:val="auto"/>
          <w:sz w:val="24"/>
          <w:szCs w:val="24"/>
          <w:highlight w:val="none"/>
        </w:rPr>
        <w:t>退出评标委员会的成员，其已完成的评审行为无效。由采购人向监督人员提出更换评标委员会成员意见并获准后，根据本招标文件规定的评标委员会成员产生方式另行确定替代者进行评标。</w:t>
      </w:r>
    </w:p>
    <w:p w14:paraId="75FF8D99">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18.11.</w:t>
      </w:r>
      <w:r>
        <w:rPr>
          <w:rStyle w:val="20"/>
          <w:color w:val="auto"/>
          <w:sz w:val="24"/>
          <w:szCs w:val="24"/>
          <w:highlight w:val="none"/>
        </w:rPr>
        <w:t>2</w:t>
      </w:r>
      <w:r>
        <w:rPr>
          <w:rStyle w:val="20"/>
          <w:rFonts w:hint="eastAsia"/>
          <w:color w:val="auto"/>
          <w:sz w:val="24"/>
          <w:szCs w:val="24"/>
          <w:highlight w:val="none"/>
        </w:rPr>
        <w:t>记名投票</w:t>
      </w:r>
    </w:p>
    <w:p w14:paraId="506CF214">
      <w:pPr>
        <w:spacing w:line="440" w:lineRule="exact"/>
        <w:ind w:firstLine="480" w:firstLineChars="200"/>
        <w:rPr>
          <w:rStyle w:val="20"/>
          <w:color w:val="auto"/>
          <w:sz w:val="24"/>
          <w:szCs w:val="24"/>
          <w:highlight w:val="none"/>
        </w:rPr>
      </w:pPr>
      <w:r>
        <w:rPr>
          <w:rStyle w:val="20"/>
          <w:rFonts w:hint="eastAsia"/>
          <w:color w:val="auto"/>
          <w:sz w:val="24"/>
          <w:szCs w:val="24"/>
          <w:highlight w:val="none"/>
        </w:rPr>
        <w:t>在评标过程中，评标委员会发生分歧或者评审结论有异议需表决的，按照少数服从多数的原则，由评标委员会全体成员以记名投票方式表决。</w:t>
      </w:r>
    </w:p>
    <w:p w14:paraId="76EFB50F">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18.11.</w:t>
      </w:r>
      <w:r>
        <w:rPr>
          <w:rStyle w:val="20"/>
          <w:color w:val="auto"/>
          <w:sz w:val="24"/>
          <w:szCs w:val="24"/>
          <w:highlight w:val="none"/>
        </w:rPr>
        <w:t>3</w:t>
      </w:r>
      <w:r>
        <w:rPr>
          <w:rStyle w:val="20"/>
          <w:rFonts w:hint="eastAsia"/>
          <w:color w:val="auto"/>
          <w:sz w:val="24"/>
          <w:szCs w:val="24"/>
          <w:highlight w:val="none"/>
        </w:rPr>
        <w:t>延期开标</w:t>
      </w:r>
    </w:p>
    <w:p w14:paraId="2540930F">
      <w:pPr>
        <w:spacing w:line="440" w:lineRule="exact"/>
        <w:ind w:firstLine="480" w:firstLineChars="200"/>
        <w:rPr>
          <w:rStyle w:val="20"/>
          <w:color w:val="auto"/>
          <w:sz w:val="24"/>
          <w:szCs w:val="24"/>
          <w:highlight w:val="none"/>
        </w:rPr>
      </w:pPr>
      <w:r>
        <w:rPr>
          <w:rStyle w:val="20"/>
          <w:rFonts w:hint="eastAsia"/>
          <w:color w:val="auto"/>
          <w:sz w:val="24"/>
          <w:szCs w:val="24"/>
          <w:highlight w:val="none"/>
        </w:rPr>
        <w:t>因特殊情况需要推迟开标时间的，采购人或者采购代理机构必须提前报监督部门审批，经批准后按规定提前告知所有参加投标的投标人，否则必须按时开标。</w:t>
      </w:r>
    </w:p>
    <w:p w14:paraId="7851E2D8">
      <w:pPr>
        <w:spacing w:line="440" w:lineRule="exact"/>
        <w:ind w:firstLine="480" w:firstLineChars="200"/>
        <w:rPr>
          <w:rStyle w:val="20"/>
          <w:color w:val="auto"/>
          <w:sz w:val="24"/>
          <w:szCs w:val="24"/>
          <w:highlight w:val="none"/>
        </w:rPr>
      </w:pPr>
      <w:bookmarkStart w:id="99" w:name="_Toc494455683"/>
      <w:r>
        <w:rPr>
          <w:rStyle w:val="20"/>
          <w:rFonts w:hint="eastAsia"/>
          <w:color w:val="auto"/>
          <w:sz w:val="24"/>
          <w:szCs w:val="24"/>
          <w:highlight w:val="none"/>
        </w:rPr>
        <w:t>18.12违法违规情形</w:t>
      </w:r>
      <w:bookmarkEnd w:id="99"/>
    </w:p>
    <w:p w14:paraId="4B860754">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18.12.</w:t>
      </w:r>
      <w:r>
        <w:rPr>
          <w:rStyle w:val="20"/>
          <w:color w:val="auto"/>
          <w:sz w:val="24"/>
          <w:szCs w:val="24"/>
          <w:highlight w:val="none"/>
        </w:rPr>
        <w:t>1</w:t>
      </w:r>
      <w:r>
        <w:rPr>
          <w:rStyle w:val="20"/>
          <w:rFonts w:hint="eastAsia"/>
          <w:color w:val="auto"/>
          <w:sz w:val="24"/>
          <w:szCs w:val="24"/>
          <w:highlight w:val="none"/>
        </w:rPr>
        <w:t>有下列情形之一的，属于投标人相互串通投标：</w:t>
      </w:r>
    </w:p>
    <w:p w14:paraId="6633CCBA">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18.12.</w:t>
      </w:r>
      <w:r>
        <w:rPr>
          <w:rStyle w:val="20"/>
          <w:color w:val="auto"/>
          <w:sz w:val="24"/>
          <w:szCs w:val="24"/>
          <w:highlight w:val="none"/>
        </w:rPr>
        <w:t>1.1</w:t>
      </w:r>
      <w:r>
        <w:rPr>
          <w:rStyle w:val="20"/>
          <w:rFonts w:hint="eastAsia"/>
          <w:color w:val="auto"/>
          <w:sz w:val="24"/>
          <w:szCs w:val="24"/>
          <w:highlight w:val="none"/>
        </w:rPr>
        <w:t>投标人之间协商投标报价等投标文件的实质性内容；</w:t>
      </w:r>
    </w:p>
    <w:p w14:paraId="615A64AA">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18.12.</w:t>
      </w:r>
      <w:r>
        <w:rPr>
          <w:rStyle w:val="20"/>
          <w:color w:val="auto"/>
          <w:sz w:val="24"/>
          <w:szCs w:val="24"/>
          <w:highlight w:val="none"/>
        </w:rPr>
        <w:t>1.2</w:t>
      </w:r>
      <w:r>
        <w:rPr>
          <w:rStyle w:val="20"/>
          <w:rFonts w:hint="eastAsia"/>
          <w:color w:val="auto"/>
          <w:sz w:val="24"/>
          <w:szCs w:val="24"/>
          <w:highlight w:val="none"/>
        </w:rPr>
        <w:t>投标人之间约定中标人；</w:t>
      </w:r>
    </w:p>
    <w:p w14:paraId="7763B464">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18.12.</w:t>
      </w:r>
      <w:r>
        <w:rPr>
          <w:rStyle w:val="20"/>
          <w:color w:val="auto"/>
          <w:sz w:val="24"/>
          <w:szCs w:val="24"/>
          <w:highlight w:val="none"/>
        </w:rPr>
        <w:t>1.3</w:t>
      </w:r>
      <w:r>
        <w:rPr>
          <w:rStyle w:val="20"/>
          <w:rFonts w:hint="eastAsia"/>
          <w:color w:val="auto"/>
          <w:sz w:val="24"/>
          <w:szCs w:val="24"/>
          <w:highlight w:val="none"/>
        </w:rPr>
        <w:t>投标人之间约定部分投标人放弃投标或者中标；</w:t>
      </w:r>
    </w:p>
    <w:p w14:paraId="19A035D3">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18.12.</w:t>
      </w:r>
      <w:r>
        <w:rPr>
          <w:rStyle w:val="20"/>
          <w:color w:val="auto"/>
          <w:sz w:val="24"/>
          <w:szCs w:val="24"/>
          <w:highlight w:val="none"/>
        </w:rPr>
        <w:t>1.4</w:t>
      </w:r>
      <w:r>
        <w:rPr>
          <w:rStyle w:val="20"/>
          <w:rFonts w:hint="eastAsia"/>
          <w:color w:val="auto"/>
          <w:sz w:val="24"/>
          <w:szCs w:val="24"/>
          <w:highlight w:val="none"/>
        </w:rPr>
        <w:t>属于同一集团、协会、商会等组织成员的投标人按照该组织要求协同投标；</w:t>
      </w:r>
    </w:p>
    <w:p w14:paraId="42D243E4">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18.12.</w:t>
      </w:r>
      <w:r>
        <w:rPr>
          <w:rStyle w:val="20"/>
          <w:color w:val="auto"/>
          <w:sz w:val="24"/>
          <w:szCs w:val="24"/>
          <w:highlight w:val="none"/>
        </w:rPr>
        <w:t>1.5</w:t>
      </w:r>
      <w:r>
        <w:rPr>
          <w:rStyle w:val="20"/>
          <w:rFonts w:hint="eastAsia"/>
          <w:color w:val="auto"/>
          <w:sz w:val="24"/>
          <w:szCs w:val="24"/>
          <w:highlight w:val="none"/>
        </w:rPr>
        <w:t>投标人之间为谋取中标或者排斥特定投标人而采取的其他联合行动。</w:t>
      </w:r>
    </w:p>
    <w:p w14:paraId="046B6CA7">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18.12.</w:t>
      </w:r>
      <w:r>
        <w:rPr>
          <w:rStyle w:val="20"/>
          <w:color w:val="auto"/>
          <w:sz w:val="24"/>
          <w:szCs w:val="24"/>
          <w:highlight w:val="none"/>
        </w:rPr>
        <w:t>2</w:t>
      </w:r>
      <w:r>
        <w:rPr>
          <w:rStyle w:val="20"/>
          <w:rFonts w:hint="eastAsia"/>
          <w:color w:val="auto"/>
          <w:sz w:val="24"/>
          <w:szCs w:val="24"/>
          <w:highlight w:val="none"/>
        </w:rPr>
        <w:t>有下列情形之一的，视为投标人相互串通投标，评标委员会应当出具违法违规认定意见并作投标无效处理：</w:t>
      </w:r>
    </w:p>
    <w:p w14:paraId="282EA70F">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18.12.</w:t>
      </w:r>
      <w:r>
        <w:rPr>
          <w:rStyle w:val="20"/>
          <w:color w:val="auto"/>
          <w:sz w:val="24"/>
          <w:szCs w:val="24"/>
          <w:highlight w:val="none"/>
        </w:rPr>
        <w:t>2.1</w:t>
      </w:r>
      <w:r>
        <w:rPr>
          <w:rStyle w:val="20"/>
          <w:rFonts w:hint="eastAsia"/>
          <w:color w:val="auto"/>
          <w:sz w:val="24"/>
          <w:szCs w:val="24"/>
          <w:highlight w:val="none"/>
        </w:rPr>
        <w:t>不同投标人的投标文件由同一单位或者个人编制；</w:t>
      </w:r>
    </w:p>
    <w:p w14:paraId="338B225C">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18.12.</w:t>
      </w:r>
      <w:r>
        <w:rPr>
          <w:rStyle w:val="20"/>
          <w:color w:val="auto"/>
          <w:sz w:val="24"/>
          <w:szCs w:val="24"/>
          <w:highlight w:val="none"/>
        </w:rPr>
        <w:t>2.2</w:t>
      </w:r>
      <w:r>
        <w:rPr>
          <w:rStyle w:val="20"/>
          <w:rFonts w:hint="eastAsia"/>
          <w:color w:val="auto"/>
          <w:sz w:val="24"/>
          <w:szCs w:val="24"/>
          <w:highlight w:val="none"/>
        </w:rPr>
        <w:t>不同投标人委托同一单位或者个人办理投标事宜；</w:t>
      </w:r>
    </w:p>
    <w:p w14:paraId="02B5299F">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18.12.</w:t>
      </w:r>
      <w:r>
        <w:rPr>
          <w:rStyle w:val="20"/>
          <w:color w:val="auto"/>
          <w:sz w:val="24"/>
          <w:szCs w:val="24"/>
          <w:highlight w:val="none"/>
        </w:rPr>
        <w:t>2.3</w:t>
      </w:r>
      <w:r>
        <w:rPr>
          <w:rStyle w:val="20"/>
          <w:rFonts w:hint="eastAsia"/>
          <w:color w:val="auto"/>
          <w:sz w:val="24"/>
          <w:szCs w:val="24"/>
          <w:highlight w:val="none"/>
        </w:rPr>
        <w:t>不同投标人的投标文件载明的项目管理成员或者联系人员为同一人；</w:t>
      </w:r>
    </w:p>
    <w:p w14:paraId="45C36AB7">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18.12.</w:t>
      </w:r>
      <w:r>
        <w:rPr>
          <w:rStyle w:val="20"/>
          <w:color w:val="auto"/>
          <w:sz w:val="24"/>
          <w:szCs w:val="24"/>
          <w:highlight w:val="none"/>
        </w:rPr>
        <w:t>2.4</w:t>
      </w:r>
      <w:r>
        <w:rPr>
          <w:rStyle w:val="20"/>
          <w:rFonts w:hint="eastAsia"/>
          <w:color w:val="auto"/>
          <w:sz w:val="24"/>
          <w:szCs w:val="24"/>
          <w:highlight w:val="none"/>
        </w:rPr>
        <w:t>不同投标人的投标文件异常一致或者投标报价呈规律性差异；</w:t>
      </w:r>
    </w:p>
    <w:p w14:paraId="5EAEC0D0">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18.12.</w:t>
      </w:r>
      <w:r>
        <w:rPr>
          <w:rStyle w:val="20"/>
          <w:color w:val="auto"/>
          <w:sz w:val="24"/>
          <w:szCs w:val="24"/>
          <w:highlight w:val="none"/>
        </w:rPr>
        <w:t>2.5</w:t>
      </w:r>
      <w:r>
        <w:rPr>
          <w:rStyle w:val="20"/>
          <w:rFonts w:hint="eastAsia"/>
          <w:color w:val="auto"/>
          <w:sz w:val="24"/>
          <w:szCs w:val="24"/>
          <w:highlight w:val="none"/>
        </w:rPr>
        <w:t>不同投标人的投标文件相互混装；</w:t>
      </w:r>
    </w:p>
    <w:p w14:paraId="1CCA6E93">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18.12.</w:t>
      </w:r>
      <w:r>
        <w:rPr>
          <w:rStyle w:val="20"/>
          <w:color w:val="auto"/>
          <w:sz w:val="24"/>
          <w:szCs w:val="24"/>
          <w:highlight w:val="none"/>
        </w:rPr>
        <w:t>2.6</w:t>
      </w:r>
      <w:r>
        <w:rPr>
          <w:rStyle w:val="20"/>
          <w:rFonts w:hint="eastAsia"/>
          <w:color w:val="auto"/>
          <w:sz w:val="24"/>
          <w:szCs w:val="24"/>
          <w:highlight w:val="none"/>
        </w:rPr>
        <w:t>不同投标人的投标保证金从同一单位或者个人的账户转出。</w:t>
      </w:r>
    </w:p>
    <w:p w14:paraId="0545098F">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18.12.</w:t>
      </w:r>
      <w:r>
        <w:rPr>
          <w:rStyle w:val="20"/>
          <w:color w:val="auto"/>
          <w:sz w:val="24"/>
          <w:szCs w:val="24"/>
          <w:highlight w:val="none"/>
        </w:rPr>
        <w:t>3</w:t>
      </w:r>
      <w:r>
        <w:rPr>
          <w:rStyle w:val="20"/>
          <w:rFonts w:hint="eastAsia"/>
          <w:color w:val="auto"/>
          <w:sz w:val="24"/>
          <w:szCs w:val="24"/>
          <w:highlight w:val="none"/>
        </w:rPr>
        <w:t>有下列情形之一的，属于采购人与投标人串通投标：</w:t>
      </w:r>
    </w:p>
    <w:p w14:paraId="1E455691">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18.12.</w:t>
      </w:r>
      <w:r>
        <w:rPr>
          <w:rStyle w:val="20"/>
          <w:color w:val="auto"/>
          <w:sz w:val="24"/>
          <w:szCs w:val="24"/>
          <w:highlight w:val="none"/>
        </w:rPr>
        <w:t>3.1</w:t>
      </w:r>
      <w:r>
        <w:rPr>
          <w:rStyle w:val="20"/>
          <w:rFonts w:hint="eastAsia"/>
          <w:color w:val="auto"/>
          <w:sz w:val="24"/>
          <w:szCs w:val="24"/>
          <w:highlight w:val="none"/>
        </w:rPr>
        <w:t>采购人在开标前开启投标文件并将有关信息泄露给其他投标人</w:t>
      </w:r>
      <w:r>
        <w:rPr>
          <w:rStyle w:val="20"/>
          <w:color w:val="auto"/>
          <w:sz w:val="24"/>
          <w:szCs w:val="24"/>
          <w:highlight w:val="none"/>
        </w:rPr>
        <w:t>；</w:t>
      </w:r>
    </w:p>
    <w:p w14:paraId="2310626D">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18.12.</w:t>
      </w:r>
      <w:r>
        <w:rPr>
          <w:rStyle w:val="20"/>
          <w:color w:val="auto"/>
          <w:sz w:val="24"/>
          <w:szCs w:val="24"/>
          <w:highlight w:val="none"/>
        </w:rPr>
        <w:t>3.2</w:t>
      </w:r>
      <w:r>
        <w:rPr>
          <w:rStyle w:val="20"/>
          <w:rFonts w:hint="eastAsia"/>
          <w:color w:val="auto"/>
          <w:sz w:val="24"/>
          <w:szCs w:val="24"/>
          <w:highlight w:val="none"/>
        </w:rPr>
        <w:t>采购人直接或者间接向投标人泄露标底、评标委员会成员等信息；</w:t>
      </w:r>
    </w:p>
    <w:p w14:paraId="30535C5B">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18.12.</w:t>
      </w:r>
      <w:r>
        <w:rPr>
          <w:rStyle w:val="20"/>
          <w:color w:val="auto"/>
          <w:sz w:val="24"/>
          <w:szCs w:val="24"/>
          <w:highlight w:val="none"/>
        </w:rPr>
        <w:t>3.3</w:t>
      </w:r>
      <w:r>
        <w:rPr>
          <w:rStyle w:val="20"/>
          <w:rFonts w:hint="eastAsia"/>
          <w:color w:val="auto"/>
          <w:sz w:val="24"/>
          <w:szCs w:val="24"/>
          <w:highlight w:val="none"/>
        </w:rPr>
        <w:t>采购人明示或者暗示投标人压低或者抬高投标报价；</w:t>
      </w:r>
    </w:p>
    <w:p w14:paraId="38A0901D">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18.12.</w:t>
      </w:r>
      <w:r>
        <w:rPr>
          <w:rStyle w:val="20"/>
          <w:color w:val="auto"/>
          <w:sz w:val="24"/>
          <w:szCs w:val="24"/>
          <w:highlight w:val="none"/>
        </w:rPr>
        <w:t>3.4</w:t>
      </w:r>
      <w:r>
        <w:rPr>
          <w:rStyle w:val="20"/>
          <w:rFonts w:hint="eastAsia"/>
          <w:color w:val="auto"/>
          <w:sz w:val="24"/>
          <w:szCs w:val="24"/>
          <w:highlight w:val="none"/>
        </w:rPr>
        <w:t>采购人授意投标人撤换、修改投标文件；</w:t>
      </w:r>
    </w:p>
    <w:p w14:paraId="464351FF">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18.12.</w:t>
      </w:r>
      <w:r>
        <w:rPr>
          <w:rStyle w:val="20"/>
          <w:color w:val="auto"/>
          <w:sz w:val="24"/>
          <w:szCs w:val="24"/>
          <w:highlight w:val="none"/>
        </w:rPr>
        <w:t>3.5</w:t>
      </w:r>
      <w:r>
        <w:rPr>
          <w:rStyle w:val="20"/>
          <w:rFonts w:hint="eastAsia"/>
          <w:color w:val="auto"/>
          <w:sz w:val="24"/>
          <w:szCs w:val="24"/>
          <w:highlight w:val="none"/>
        </w:rPr>
        <w:t>采购人明示或者暗示投标人为特定投标人中标提供方便；</w:t>
      </w:r>
    </w:p>
    <w:p w14:paraId="5E1E2E9C">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18.12.</w:t>
      </w:r>
      <w:r>
        <w:rPr>
          <w:rStyle w:val="20"/>
          <w:color w:val="auto"/>
          <w:sz w:val="24"/>
          <w:szCs w:val="24"/>
          <w:highlight w:val="none"/>
        </w:rPr>
        <w:t>3.6</w:t>
      </w:r>
      <w:r>
        <w:rPr>
          <w:rStyle w:val="20"/>
          <w:rFonts w:hint="eastAsia"/>
          <w:color w:val="auto"/>
          <w:sz w:val="24"/>
          <w:szCs w:val="24"/>
          <w:highlight w:val="none"/>
        </w:rPr>
        <w:t>采购人与投标人为谋求特定投标人中标而采取的其他串通行为。</w:t>
      </w:r>
    </w:p>
    <w:p w14:paraId="3B84A60C">
      <w:pPr>
        <w:spacing w:line="440" w:lineRule="exact"/>
        <w:ind w:firstLine="480" w:firstLineChars="200"/>
        <w:rPr>
          <w:rStyle w:val="20"/>
          <w:color w:val="auto"/>
          <w:sz w:val="24"/>
          <w:szCs w:val="24"/>
          <w:highlight w:val="none"/>
        </w:rPr>
      </w:pPr>
      <w:r>
        <w:rPr>
          <w:rStyle w:val="20"/>
          <w:color w:val="auto"/>
          <w:sz w:val="24"/>
          <w:szCs w:val="24"/>
          <w:highlight w:val="none"/>
        </w:rPr>
        <w:t>在评标过程中发现投标人有上述情形的，评标委员会应当认定其投标无效，并书面报告本级财政部门。</w:t>
      </w:r>
    </w:p>
    <w:p w14:paraId="532E5EFC">
      <w:pPr>
        <w:spacing w:line="440" w:lineRule="exact"/>
        <w:ind w:firstLine="480" w:firstLineChars="200"/>
        <w:rPr>
          <w:rStyle w:val="20"/>
          <w:color w:val="auto"/>
          <w:sz w:val="24"/>
          <w:szCs w:val="24"/>
          <w:highlight w:val="none"/>
        </w:rPr>
      </w:pPr>
      <w:bookmarkStart w:id="100" w:name="_Toc494455684"/>
      <w:r>
        <w:rPr>
          <w:rStyle w:val="20"/>
          <w:rFonts w:hint="eastAsia"/>
          <w:color w:val="auto"/>
          <w:sz w:val="24"/>
          <w:szCs w:val="24"/>
          <w:highlight w:val="none"/>
        </w:rPr>
        <w:t>18.13违规处理</w:t>
      </w:r>
      <w:bookmarkEnd w:id="100"/>
    </w:p>
    <w:p w14:paraId="507A6AED">
      <w:pPr>
        <w:spacing w:line="440" w:lineRule="exact"/>
        <w:ind w:firstLine="480" w:firstLineChars="200"/>
        <w:rPr>
          <w:rStyle w:val="20"/>
          <w:color w:val="auto"/>
          <w:sz w:val="24"/>
          <w:szCs w:val="24"/>
          <w:highlight w:val="none"/>
        </w:rPr>
      </w:pPr>
      <w:r>
        <w:rPr>
          <w:rStyle w:val="20"/>
          <w:rFonts w:hint="eastAsia"/>
          <w:color w:val="auto"/>
          <w:sz w:val="24"/>
          <w:szCs w:val="24"/>
          <w:highlight w:val="none"/>
        </w:rPr>
        <w:t>投标人有下列情形之一的，列入不良行为记录名单，在一至三年内禁止参加</w:t>
      </w:r>
      <w:r>
        <w:rPr>
          <w:rStyle w:val="20"/>
          <w:rFonts w:hint="eastAsia" w:eastAsia="仿宋"/>
          <w:color w:val="auto"/>
          <w:sz w:val="24"/>
          <w:szCs w:val="24"/>
          <w:highlight w:val="none"/>
          <w:lang w:val="en-US" w:eastAsia="zh-CN"/>
        </w:rPr>
        <w:t>阿克苏地区</w:t>
      </w:r>
      <w:r>
        <w:rPr>
          <w:rStyle w:val="20"/>
          <w:rFonts w:hint="eastAsia"/>
          <w:color w:val="auto"/>
          <w:sz w:val="24"/>
          <w:szCs w:val="24"/>
          <w:highlight w:val="none"/>
        </w:rPr>
        <w:t>政府采购活动：</w:t>
      </w:r>
    </w:p>
    <w:p w14:paraId="6FC87EED">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18.13.</w:t>
      </w:r>
      <w:r>
        <w:rPr>
          <w:rStyle w:val="20"/>
          <w:color w:val="auto"/>
          <w:sz w:val="24"/>
          <w:szCs w:val="24"/>
          <w:highlight w:val="none"/>
        </w:rPr>
        <w:t>1</w:t>
      </w:r>
      <w:r>
        <w:rPr>
          <w:rStyle w:val="20"/>
          <w:rFonts w:hint="eastAsia"/>
          <w:color w:val="auto"/>
          <w:sz w:val="24"/>
          <w:szCs w:val="24"/>
          <w:highlight w:val="none"/>
        </w:rPr>
        <w:t>提供虚假投标材料谋取中标、成交的；</w:t>
      </w:r>
    </w:p>
    <w:p w14:paraId="42C1E3FF">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18.13.</w:t>
      </w:r>
      <w:r>
        <w:rPr>
          <w:rStyle w:val="20"/>
          <w:color w:val="auto"/>
          <w:sz w:val="24"/>
          <w:szCs w:val="24"/>
          <w:highlight w:val="none"/>
        </w:rPr>
        <w:t>2</w:t>
      </w:r>
      <w:r>
        <w:rPr>
          <w:rStyle w:val="20"/>
          <w:rFonts w:hint="eastAsia"/>
          <w:color w:val="auto"/>
          <w:sz w:val="24"/>
          <w:szCs w:val="24"/>
          <w:highlight w:val="none"/>
        </w:rPr>
        <w:t>采取不正当手段诋毁、排挤其他投标人的；</w:t>
      </w:r>
    </w:p>
    <w:p w14:paraId="364E1DA6">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18.13.</w:t>
      </w:r>
      <w:r>
        <w:rPr>
          <w:rStyle w:val="20"/>
          <w:color w:val="auto"/>
          <w:sz w:val="24"/>
          <w:szCs w:val="24"/>
          <w:highlight w:val="none"/>
        </w:rPr>
        <w:t>3</w:t>
      </w:r>
      <w:r>
        <w:rPr>
          <w:rStyle w:val="20"/>
          <w:rFonts w:hint="eastAsia"/>
          <w:color w:val="auto"/>
          <w:sz w:val="24"/>
          <w:szCs w:val="24"/>
          <w:highlight w:val="none"/>
        </w:rPr>
        <w:t>与采购人、其他投标人或者采购代理机构恶意串通的；</w:t>
      </w:r>
    </w:p>
    <w:p w14:paraId="0CB14890">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18.13.</w:t>
      </w:r>
      <w:r>
        <w:rPr>
          <w:rStyle w:val="20"/>
          <w:color w:val="auto"/>
          <w:sz w:val="24"/>
          <w:szCs w:val="24"/>
          <w:highlight w:val="none"/>
        </w:rPr>
        <w:t>4</w:t>
      </w:r>
      <w:r>
        <w:rPr>
          <w:rStyle w:val="20"/>
          <w:rFonts w:hint="eastAsia"/>
          <w:color w:val="auto"/>
          <w:sz w:val="24"/>
          <w:szCs w:val="24"/>
          <w:highlight w:val="none"/>
        </w:rPr>
        <w:t>向采购人、采购代理机构行贿或者提供其他不正当利益的；</w:t>
      </w:r>
    </w:p>
    <w:p w14:paraId="7CF9E2FC">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18.13.</w:t>
      </w:r>
      <w:r>
        <w:rPr>
          <w:rStyle w:val="20"/>
          <w:color w:val="auto"/>
          <w:sz w:val="24"/>
          <w:szCs w:val="24"/>
          <w:highlight w:val="none"/>
        </w:rPr>
        <w:t>5</w:t>
      </w:r>
      <w:r>
        <w:rPr>
          <w:rStyle w:val="20"/>
          <w:rFonts w:hint="eastAsia"/>
          <w:color w:val="auto"/>
          <w:sz w:val="24"/>
          <w:szCs w:val="24"/>
          <w:highlight w:val="none"/>
        </w:rPr>
        <w:t>在招标采购过程中与采购人进行协商谈判的；</w:t>
      </w:r>
    </w:p>
    <w:p w14:paraId="01D54CAB">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18.13.</w:t>
      </w:r>
      <w:r>
        <w:rPr>
          <w:rStyle w:val="20"/>
          <w:color w:val="auto"/>
          <w:sz w:val="24"/>
          <w:szCs w:val="24"/>
          <w:highlight w:val="none"/>
        </w:rPr>
        <w:t>6</w:t>
      </w:r>
      <w:r>
        <w:rPr>
          <w:rStyle w:val="20"/>
          <w:rFonts w:hint="eastAsia"/>
          <w:color w:val="auto"/>
          <w:sz w:val="24"/>
          <w:szCs w:val="24"/>
          <w:highlight w:val="none"/>
        </w:rPr>
        <w:t>拒绝有关部门监督检查或者提供虚假情况的；</w:t>
      </w:r>
    </w:p>
    <w:p w14:paraId="327A5A6A">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18.13.</w:t>
      </w:r>
      <w:r>
        <w:rPr>
          <w:rStyle w:val="20"/>
          <w:color w:val="auto"/>
          <w:sz w:val="24"/>
          <w:szCs w:val="24"/>
          <w:highlight w:val="none"/>
        </w:rPr>
        <w:t>7</w:t>
      </w:r>
      <w:r>
        <w:rPr>
          <w:rStyle w:val="20"/>
          <w:rFonts w:hint="eastAsia"/>
          <w:color w:val="auto"/>
          <w:sz w:val="24"/>
          <w:szCs w:val="24"/>
          <w:highlight w:val="none"/>
        </w:rPr>
        <w:t>一年内累计三次以上投诉均查无实据，并带有明显故意行为的；</w:t>
      </w:r>
    </w:p>
    <w:p w14:paraId="4A9B6703">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18.13.</w:t>
      </w:r>
      <w:r>
        <w:rPr>
          <w:rStyle w:val="20"/>
          <w:color w:val="auto"/>
          <w:sz w:val="24"/>
          <w:szCs w:val="24"/>
          <w:highlight w:val="none"/>
        </w:rPr>
        <w:t>8</w:t>
      </w:r>
      <w:r>
        <w:rPr>
          <w:rStyle w:val="20"/>
          <w:rFonts w:hint="eastAsia"/>
          <w:color w:val="auto"/>
          <w:sz w:val="24"/>
          <w:szCs w:val="24"/>
          <w:highlight w:val="none"/>
        </w:rPr>
        <w:t>捏造事实或者提供虚假投诉材料的；</w:t>
      </w:r>
    </w:p>
    <w:p w14:paraId="272E0353">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18.13.</w:t>
      </w:r>
      <w:r>
        <w:rPr>
          <w:rStyle w:val="20"/>
          <w:color w:val="auto"/>
          <w:sz w:val="24"/>
          <w:szCs w:val="24"/>
          <w:highlight w:val="none"/>
        </w:rPr>
        <w:t>9</w:t>
      </w:r>
      <w:r>
        <w:rPr>
          <w:rStyle w:val="20"/>
          <w:rFonts w:hint="eastAsia"/>
          <w:color w:val="auto"/>
          <w:sz w:val="24"/>
          <w:szCs w:val="24"/>
          <w:highlight w:val="none"/>
        </w:rPr>
        <w:t>不按照规定程序以及正常途径质疑、投诉，采用匿名信、匿名电话、发短信息等手段，威胁、恫吓、辱骂、恶意中伤其他相关当事人的；</w:t>
      </w:r>
    </w:p>
    <w:p w14:paraId="17534E6E">
      <w:pPr>
        <w:spacing w:line="440" w:lineRule="exact"/>
        <w:ind w:firstLine="480" w:firstLineChars="200"/>
        <w:rPr>
          <w:rStyle w:val="20"/>
          <w:color w:val="auto"/>
          <w:sz w:val="24"/>
          <w:szCs w:val="24"/>
          <w:highlight w:val="none"/>
        </w:rPr>
      </w:pPr>
      <w:r>
        <w:rPr>
          <w:rStyle w:val="20"/>
          <w:rFonts w:hint="eastAsia"/>
          <w:color w:val="auto"/>
          <w:sz w:val="24"/>
          <w:szCs w:val="24"/>
          <w:highlight w:val="none"/>
        </w:rPr>
        <w:t>18.13.</w:t>
      </w:r>
      <w:r>
        <w:rPr>
          <w:rStyle w:val="20"/>
          <w:color w:val="auto"/>
          <w:sz w:val="24"/>
          <w:szCs w:val="24"/>
          <w:highlight w:val="none"/>
        </w:rPr>
        <w:t>10</w:t>
      </w:r>
      <w:r>
        <w:rPr>
          <w:rStyle w:val="20"/>
          <w:rFonts w:hint="eastAsia"/>
          <w:color w:val="auto"/>
          <w:sz w:val="24"/>
          <w:szCs w:val="24"/>
          <w:highlight w:val="none"/>
        </w:rPr>
        <w:t>法律、法规和招标文件中规定的其他情形。</w:t>
      </w:r>
    </w:p>
    <w:p w14:paraId="315769B4">
      <w:pPr>
        <w:spacing w:line="440" w:lineRule="exact"/>
        <w:ind w:firstLine="560" w:firstLineChars="200"/>
        <w:outlineLvl w:val="2"/>
        <w:rPr>
          <w:rFonts w:ascii="楷体" w:hAnsi="楷体" w:eastAsia="楷体"/>
          <w:color w:val="auto"/>
          <w:sz w:val="28"/>
          <w:szCs w:val="28"/>
          <w:highlight w:val="none"/>
        </w:rPr>
      </w:pPr>
      <w:bookmarkStart w:id="101" w:name="_Toc10897"/>
      <w:r>
        <w:rPr>
          <w:rFonts w:hint="eastAsia" w:ascii="楷体" w:hAnsi="楷体" w:eastAsia="楷体"/>
          <w:color w:val="auto"/>
          <w:sz w:val="28"/>
          <w:szCs w:val="28"/>
          <w:highlight w:val="none"/>
        </w:rPr>
        <w:t>19.纪律要求</w:t>
      </w:r>
      <w:bookmarkEnd w:id="101"/>
    </w:p>
    <w:p w14:paraId="790779DB">
      <w:pPr>
        <w:spacing w:line="440" w:lineRule="exact"/>
        <w:ind w:firstLine="480" w:firstLineChars="200"/>
        <w:rPr>
          <w:rFonts w:ascii="仿宋" w:hAnsi="仿宋" w:eastAsia="仿宋"/>
          <w:color w:val="auto"/>
          <w:sz w:val="24"/>
          <w:szCs w:val="24"/>
          <w:highlight w:val="none"/>
        </w:rPr>
      </w:pPr>
      <w:bookmarkStart w:id="102" w:name="_Toc494455686"/>
      <w:r>
        <w:rPr>
          <w:rFonts w:hint="eastAsia" w:ascii="仿宋" w:hAnsi="仿宋" w:eastAsia="仿宋"/>
          <w:color w:val="auto"/>
          <w:sz w:val="24"/>
          <w:szCs w:val="24"/>
          <w:highlight w:val="none"/>
        </w:rPr>
        <w:t>19.1对采购人的纪律要求</w:t>
      </w:r>
      <w:bookmarkEnd w:id="102"/>
    </w:p>
    <w:p w14:paraId="5943948A">
      <w:pPr>
        <w:spacing w:line="44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采购人应当按照行政事业单位内部控制规范要求，建立健全本单位政府采购内部控制制度，在编制政府采购预算和实施计划、确定采购需求、组织采购活动、履约验收、答复询问质疑、配合投诉处理及监督检查等重点环节加强内部控制管理。</w:t>
      </w:r>
    </w:p>
    <w:p w14:paraId="6453AC06">
      <w:pPr>
        <w:spacing w:line="44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采购人不得向供应商索要或者接受其给予的赠品、回扣或者与采购无关的其他</w:t>
      </w:r>
      <w:r>
        <w:rPr>
          <w:rFonts w:hint="eastAsia" w:ascii="仿宋" w:hAnsi="仿宋" w:eastAsia="仿宋"/>
          <w:color w:val="auto"/>
          <w:sz w:val="24"/>
          <w:szCs w:val="24"/>
          <w:highlight w:val="none"/>
        </w:rPr>
        <w:t>商品、服务。</w:t>
      </w:r>
    </w:p>
    <w:p w14:paraId="2C0C745A">
      <w:pPr>
        <w:spacing w:line="440" w:lineRule="exact"/>
        <w:ind w:firstLine="480" w:firstLineChars="200"/>
        <w:rPr>
          <w:rFonts w:ascii="仿宋" w:hAnsi="仿宋" w:eastAsia="仿宋"/>
          <w:color w:val="auto"/>
          <w:sz w:val="24"/>
          <w:szCs w:val="24"/>
          <w:highlight w:val="none"/>
        </w:rPr>
      </w:pPr>
      <w:bookmarkStart w:id="103" w:name="_Toc494455687"/>
      <w:r>
        <w:rPr>
          <w:rFonts w:hint="eastAsia" w:ascii="仿宋" w:hAnsi="仿宋" w:eastAsia="仿宋"/>
          <w:color w:val="auto"/>
          <w:sz w:val="24"/>
          <w:szCs w:val="24"/>
          <w:highlight w:val="none"/>
        </w:rPr>
        <w:t>19.2对投标人的纪律要求</w:t>
      </w:r>
      <w:bookmarkEnd w:id="103"/>
    </w:p>
    <w:p w14:paraId="66BCC97F">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投标人应当遵循公平竞争的原则，不得恶意串通，不得妨碍其他投标人的竞争行为，不得损害采购人或者其他投标人的合法权益。</w:t>
      </w:r>
    </w:p>
    <w:p w14:paraId="084ADA34">
      <w:pPr>
        <w:spacing w:line="440" w:lineRule="exact"/>
        <w:ind w:firstLine="480" w:firstLineChars="200"/>
        <w:rPr>
          <w:rFonts w:ascii="仿宋" w:hAnsi="仿宋" w:eastAsia="仿宋"/>
          <w:color w:val="auto"/>
          <w:sz w:val="24"/>
          <w:szCs w:val="24"/>
          <w:highlight w:val="none"/>
        </w:rPr>
      </w:pPr>
      <w:bookmarkStart w:id="104" w:name="_Toc494455688"/>
      <w:r>
        <w:rPr>
          <w:rFonts w:hint="eastAsia" w:ascii="仿宋" w:hAnsi="仿宋" w:eastAsia="仿宋"/>
          <w:color w:val="auto"/>
          <w:sz w:val="24"/>
          <w:szCs w:val="24"/>
          <w:highlight w:val="none"/>
        </w:rPr>
        <w:t>19.3对评标委员会成员的纪律要求</w:t>
      </w:r>
      <w:bookmarkEnd w:id="104"/>
    </w:p>
    <w:p w14:paraId="4A7EA5BB">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评标委员会及其成员不得有下列行为：</w:t>
      </w:r>
    </w:p>
    <w:p w14:paraId="297472DB">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（一）确定参与评标至评标结束前私自接触投标人；</w:t>
      </w:r>
    </w:p>
    <w:p w14:paraId="0BD41619">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（二）接受投标人提出的与投标文件不一致的澄清或者说明，法律规定允许澄清或说明的情形除外；</w:t>
      </w:r>
    </w:p>
    <w:p w14:paraId="20C365D3">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（三）违反评标纪律发表倾向性意见或者征询采购人的倾向性意见；</w:t>
      </w:r>
    </w:p>
    <w:p w14:paraId="3211778D">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（四）对需要专业判断的主观评审因素协商评分；</w:t>
      </w:r>
    </w:p>
    <w:p w14:paraId="3FE838B4">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（五）在评标过程中擅离职守，影响评标程序正常进行的；</w:t>
      </w:r>
    </w:p>
    <w:p w14:paraId="1B1DD74D">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（六）记录、复制或者带走任何评标资料；</w:t>
      </w:r>
    </w:p>
    <w:p w14:paraId="27E5485D">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（七）其他不遵守评标纪律的行为。</w:t>
      </w:r>
    </w:p>
    <w:p w14:paraId="7DC238E2">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评标委员会成员有前款第一至五项行为之一的，其评审意见无效，并不得获取评审劳务报酬和报销异地评审差旅费。</w:t>
      </w:r>
    </w:p>
    <w:p w14:paraId="21058965">
      <w:pPr>
        <w:spacing w:line="440" w:lineRule="exact"/>
        <w:ind w:firstLine="480" w:firstLineChars="200"/>
        <w:rPr>
          <w:rFonts w:ascii="仿宋" w:hAnsi="仿宋" w:eastAsia="仿宋"/>
          <w:color w:val="auto"/>
          <w:sz w:val="24"/>
          <w:szCs w:val="24"/>
          <w:highlight w:val="none"/>
        </w:rPr>
      </w:pPr>
      <w:bookmarkStart w:id="105" w:name="_Toc494455689"/>
      <w:r>
        <w:rPr>
          <w:rFonts w:hint="eastAsia" w:ascii="仿宋" w:hAnsi="仿宋" w:eastAsia="仿宋"/>
          <w:color w:val="auto"/>
          <w:sz w:val="24"/>
          <w:szCs w:val="24"/>
          <w:highlight w:val="none"/>
        </w:rPr>
        <w:t>19.4对与评标活动有关的工作人员的纪律要求</w:t>
      </w:r>
      <w:bookmarkEnd w:id="105"/>
    </w:p>
    <w:p w14:paraId="037D2CE3">
      <w:pPr>
        <w:spacing w:line="440" w:lineRule="exact"/>
        <w:ind w:firstLine="480" w:firstLineChars="200"/>
        <w:rPr>
          <w:rStyle w:val="20"/>
          <w:color w:val="auto"/>
          <w:sz w:val="24"/>
          <w:szCs w:val="24"/>
          <w:highlight w:val="none"/>
        </w:rPr>
      </w:pPr>
      <w:r>
        <w:rPr>
          <w:rFonts w:hint="eastAsia" w:ascii="仿宋" w:hAnsi="仿宋" w:eastAsia="仿宋"/>
          <w:color w:val="auto"/>
          <w:sz w:val="24"/>
          <w:szCs w:val="24"/>
          <w:highlight w:val="none"/>
        </w:rPr>
        <w:t>与评标活动有关的工作人员不得收受他人的财物或者其他好处，不得向他人透漏对投标文件的评审和比较、中标候选人的确定情况以及评标有关的其他情况。在评标活动中，与评标活动有关的工作人员不得擅离职守，影响评标程序正常进行。</w:t>
      </w:r>
    </w:p>
    <w:bookmarkEnd w:id="86"/>
    <w:p w14:paraId="1492B326">
      <w:pPr>
        <w:spacing w:line="440" w:lineRule="exact"/>
        <w:ind w:firstLine="560" w:firstLineChars="200"/>
        <w:outlineLvl w:val="2"/>
        <w:rPr>
          <w:rFonts w:ascii="楷体" w:hAnsi="楷体" w:eastAsia="楷体"/>
          <w:color w:val="auto"/>
          <w:sz w:val="28"/>
          <w:szCs w:val="28"/>
          <w:highlight w:val="none"/>
        </w:rPr>
      </w:pPr>
      <w:bookmarkStart w:id="106" w:name="_Toc7295"/>
      <w:r>
        <w:rPr>
          <w:rFonts w:hint="eastAsia" w:ascii="楷体" w:hAnsi="楷体" w:eastAsia="楷体"/>
          <w:color w:val="auto"/>
          <w:sz w:val="28"/>
          <w:szCs w:val="28"/>
          <w:highlight w:val="none"/>
        </w:rPr>
        <w:t>20.质疑</w:t>
      </w:r>
      <w:bookmarkEnd w:id="106"/>
    </w:p>
    <w:p w14:paraId="6C8F2E34">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20.1参加本次政府采购活动的投标人认为招标文件、招标过程和中标结果使自己的权益受到损害的，可以在知道或者应知道其权益受到损害之日起7个工作日内，以书面形式向采购人或者采购代理机构提出质疑。</w:t>
      </w:r>
    </w:p>
    <w:p w14:paraId="674C8B3A">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20.</w:t>
      </w:r>
      <w:r>
        <w:rPr>
          <w:rFonts w:ascii="仿宋" w:hAnsi="仿宋" w:eastAsia="仿宋"/>
          <w:color w:val="auto"/>
          <w:sz w:val="24"/>
          <w:szCs w:val="24"/>
          <w:highlight w:val="none"/>
        </w:rPr>
        <w:t>2</w:t>
      </w:r>
      <w:r>
        <w:rPr>
          <w:rFonts w:hint="eastAsia" w:ascii="仿宋" w:hAnsi="仿宋" w:eastAsia="仿宋"/>
          <w:color w:val="auto"/>
          <w:sz w:val="24"/>
          <w:szCs w:val="24"/>
          <w:highlight w:val="none"/>
        </w:rPr>
        <w:t>质疑书内容应包括以下主要内容：</w:t>
      </w:r>
    </w:p>
    <w:p w14:paraId="28F824CB">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20.</w:t>
      </w:r>
      <w:r>
        <w:rPr>
          <w:rFonts w:ascii="仿宋" w:hAnsi="仿宋" w:eastAsia="仿宋"/>
          <w:color w:val="auto"/>
          <w:sz w:val="24"/>
          <w:szCs w:val="24"/>
          <w:highlight w:val="none"/>
        </w:rPr>
        <w:t>2.1</w:t>
      </w:r>
      <w:r>
        <w:rPr>
          <w:rFonts w:hint="eastAsia" w:ascii="仿宋" w:hAnsi="仿宋" w:eastAsia="仿宋"/>
          <w:color w:val="auto"/>
          <w:sz w:val="24"/>
          <w:szCs w:val="24"/>
          <w:highlight w:val="none"/>
        </w:rPr>
        <w:t>质疑人的名称、地址、电话等；</w:t>
      </w:r>
    </w:p>
    <w:p w14:paraId="53986125">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20.</w:t>
      </w:r>
      <w:r>
        <w:rPr>
          <w:rFonts w:ascii="仿宋" w:hAnsi="仿宋" w:eastAsia="仿宋"/>
          <w:color w:val="auto"/>
          <w:sz w:val="24"/>
          <w:szCs w:val="24"/>
          <w:highlight w:val="none"/>
        </w:rPr>
        <w:t>2.2</w:t>
      </w:r>
      <w:r>
        <w:rPr>
          <w:rFonts w:hint="eastAsia" w:ascii="仿宋" w:hAnsi="仿宋" w:eastAsia="仿宋"/>
          <w:color w:val="auto"/>
          <w:sz w:val="24"/>
          <w:szCs w:val="24"/>
          <w:highlight w:val="none"/>
        </w:rPr>
        <w:t>具体的质疑事项、证据以及法律、法规依据；</w:t>
      </w:r>
    </w:p>
    <w:p w14:paraId="6B9974B8">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20.</w:t>
      </w:r>
      <w:r>
        <w:rPr>
          <w:rFonts w:ascii="仿宋" w:hAnsi="仿宋" w:eastAsia="仿宋"/>
          <w:color w:val="auto"/>
          <w:sz w:val="24"/>
          <w:szCs w:val="24"/>
          <w:highlight w:val="none"/>
        </w:rPr>
        <w:t>2.3</w:t>
      </w:r>
      <w:r>
        <w:rPr>
          <w:rFonts w:hint="eastAsia" w:ascii="仿宋" w:hAnsi="仿宋" w:eastAsia="仿宋"/>
          <w:color w:val="auto"/>
          <w:sz w:val="24"/>
          <w:szCs w:val="24"/>
          <w:highlight w:val="none"/>
        </w:rPr>
        <w:t>提出质疑的日期。</w:t>
      </w:r>
    </w:p>
    <w:p w14:paraId="35FF22CF">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20.</w:t>
      </w:r>
      <w:r>
        <w:rPr>
          <w:rFonts w:ascii="仿宋" w:hAnsi="仿宋" w:eastAsia="仿宋"/>
          <w:color w:val="auto"/>
          <w:sz w:val="24"/>
          <w:szCs w:val="24"/>
          <w:highlight w:val="none"/>
        </w:rPr>
        <w:t>3</w:t>
      </w:r>
      <w:r>
        <w:rPr>
          <w:rFonts w:hint="eastAsia" w:ascii="仿宋" w:hAnsi="仿宋" w:eastAsia="仿宋"/>
          <w:color w:val="auto"/>
          <w:sz w:val="24"/>
          <w:szCs w:val="24"/>
          <w:highlight w:val="none"/>
        </w:rPr>
        <w:t>质疑书应当署名，一式叁份。由法定代表人或者主要负责人签字并加盖公章后生效。代理人办理质疑事务时，还应当提交授权委托书，授权委托书应当载明代理的具体权限和事项。否则采购人或者采购代理机构不予受理。</w:t>
      </w:r>
    </w:p>
    <w:p w14:paraId="7EB1E354">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20.</w:t>
      </w:r>
      <w:r>
        <w:rPr>
          <w:rFonts w:ascii="仿宋" w:hAnsi="仿宋" w:eastAsia="仿宋"/>
          <w:color w:val="auto"/>
          <w:sz w:val="24"/>
          <w:szCs w:val="24"/>
          <w:highlight w:val="none"/>
        </w:rPr>
        <w:t>4</w:t>
      </w:r>
      <w:r>
        <w:rPr>
          <w:rFonts w:hint="eastAsia" w:ascii="仿宋" w:hAnsi="仿宋" w:eastAsia="仿宋"/>
          <w:color w:val="auto"/>
          <w:sz w:val="24"/>
          <w:szCs w:val="24"/>
          <w:highlight w:val="none"/>
        </w:rPr>
        <w:t>除书面形式外，其他任何方式的质疑，采购人或者采购代理机构均不予接受和回复。</w:t>
      </w:r>
    </w:p>
    <w:p w14:paraId="0E9D273E">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20.</w:t>
      </w:r>
      <w:r>
        <w:rPr>
          <w:rFonts w:ascii="仿宋" w:hAnsi="仿宋" w:eastAsia="仿宋"/>
          <w:color w:val="auto"/>
          <w:sz w:val="24"/>
          <w:szCs w:val="24"/>
          <w:highlight w:val="none"/>
        </w:rPr>
        <w:t>5</w:t>
      </w:r>
      <w:r>
        <w:rPr>
          <w:rFonts w:hint="eastAsia" w:ascii="仿宋" w:hAnsi="仿宋" w:eastAsia="仿宋"/>
          <w:color w:val="auto"/>
          <w:sz w:val="24"/>
          <w:szCs w:val="24"/>
          <w:highlight w:val="none"/>
        </w:rPr>
        <w:t>采购人或者采购代理机构在收到质疑书后7个工作日内做出书面答复，并以书面形式通知质疑人和其他有关投标人，但答复不得涉及商业秘密。</w:t>
      </w:r>
    </w:p>
    <w:p w14:paraId="4150A6BA">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20.</w:t>
      </w:r>
      <w:r>
        <w:rPr>
          <w:rFonts w:ascii="仿宋" w:hAnsi="仿宋" w:eastAsia="仿宋"/>
          <w:color w:val="auto"/>
          <w:sz w:val="24"/>
          <w:szCs w:val="24"/>
          <w:highlight w:val="none"/>
        </w:rPr>
        <w:t>6</w:t>
      </w:r>
      <w:r>
        <w:rPr>
          <w:rFonts w:hint="eastAsia" w:ascii="仿宋" w:hAnsi="仿宋" w:eastAsia="仿宋"/>
          <w:color w:val="auto"/>
          <w:sz w:val="24"/>
          <w:szCs w:val="24"/>
          <w:highlight w:val="none"/>
        </w:rPr>
        <w:t>质疑人对采购人、采购代理机构的答复不满意或者采购人、采购代理机构未在规定的时间内做出答复的，可以在答复期满后1</w:t>
      </w:r>
      <w:r>
        <w:rPr>
          <w:rFonts w:ascii="仿宋" w:hAnsi="仿宋" w:eastAsia="仿宋"/>
          <w:color w:val="auto"/>
          <w:sz w:val="24"/>
          <w:szCs w:val="24"/>
          <w:highlight w:val="none"/>
        </w:rPr>
        <w:t>5</w:t>
      </w:r>
      <w:r>
        <w:rPr>
          <w:rFonts w:hint="eastAsia" w:ascii="仿宋" w:hAnsi="仿宋" w:eastAsia="仿宋"/>
          <w:color w:val="auto"/>
          <w:sz w:val="24"/>
          <w:szCs w:val="24"/>
          <w:highlight w:val="none"/>
        </w:rPr>
        <w:t>个工作日内向同级监管部门投诉。</w:t>
      </w:r>
    </w:p>
    <w:p w14:paraId="245942DF">
      <w:pPr>
        <w:spacing w:line="440" w:lineRule="exact"/>
        <w:ind w:firstLine="560" w:firstLineChars="200"/>
        <w:outlineLvl w:val="2"/>
        <w:rPr>
          <w:rFonts w:ascii="楷体" w:hAnsi="楷体" w:eastAsia="楷体"/>
          <w:color w:val="auto"/>
          <w:sz w:val="28"/>
          <w:szCs w:val="28"/>
          <w:highlight w:val="none"/>
        </w:rPr>
      </w:pPr>
      <w:bookmarkStart w:id="107" w:name="_Toc494455668"/>
      <w:bookmarkStart w:id="108" w:name="_Toc11466"/>
      <w:r>
        <w:rPr>
          <w:rFonts w:hint="eastAsia" w:ascii="楷体" w:hAnsi="楷体" w:eastAsia="楷体"/>
          <w:color w:val="auto"/>
          <w:sz w:val="28"/>
          <w:szCs w:val="28"/>
          <w:highlight w:val="none"/>
        </w:rPr>
        <w:t>21.投诉</w:t>
      </w:r>
      <w:bookmarkEnd w:id="107"/>
      <w:bookmarkEnd w:id="108"/>
    </w:p>
    <w:p w14:paraId="6C622A9B">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21.</w:t>
      </w:r>
      <w:r>
        <w:rPr>
          <w:rFonts w:ascii="仿宋" w:hAnsi="仿宋" w:eastAsia="仿宋"/>
          <w:color w:val="auto"/>
          <w:sz w:val="24"/>
          <w:szCs w:val="24"/>
          <w:highlight w:val="none"/>
        </w:rPr>
        <w:t>1</w:t>
      </w:r>
      <w:r>
        <w:rPr>
          <w:rFonts w:hint="eastAsia" w:ascii="仿宋" w:hAnsi="仿宋" w:eastAsia="仿宋"/>
          <w:color w:val="auto"/>
          <w:sz w:val="24"/>
          <w:szCs w:val="24"/>
          <w:highlight w:val="none"/>
        </w:rPr>
        <w:t>按照《中华人民共和国政府采购法》、财政部</w:t>
      </w:r>
      <w:r>
        <w:rPr>
          <w:rFonts w:hint="eastAsia" w:ascii="仿宋" w:hAnsi="仿宋" w:eastAsia="仿宋"/>
          <w:color w:val="auto"/>
          <w:sz w:val="24"/>
          <w:szCs w:val="24"/>
          <w:highlight w:val="none"/>
          <w:lang w:eastAsia="zh-CN"/>
        </w:rPr>
        <w:t>《政府采购质疑和投诉办法》（财政部令第94号）</w:t>
      </w:r>
      <w:r>
        <w:rPr>
          <w:rFonts w:hint="eastAsia" w:ascii="仿宋" w:hAnsi="仿宋" w:eastAsia="仿宋"/>
          <w:color w:val="auto"/>
          <w:sz w:val="24"/>
          <w:szCs w:val="24"/>
          <w:highlight w:val="none"/>
        </w:rPr>
        <w:t>文件以及相关的法律、法规及规定，质疑人对采购人、采购代理机构的答复不满意或者采购人、采购代理机构未在规定的时间内做出答复的，可以在答复期满后1</w:t>
      </w:r>
      <w:r>
        <w:rPr>
          <w:rFonts w:ascii="仿宋" w:hAnsi="仿宋" w:eastAsia="仿宋"/>
          <w:color w:val="auto"/>
          <w:sz w:val="24"/>
          <w:szCs w:val="24"/>
          <w:highlight w:val="none"/>
        </w:rPr>
        <w:t>5</w:t>
      </w:r>
      <w:r>
        <w:rPr>
          <w:rFonts w:hint="eastAsia" w:ascii="仿宋" w:hAnsi="仿宋" w:eastAsia="仿宋"/>
          <w:color w:val="auto"/>
          <w:sz w:val="24"/>
          <w:szCs w:val="24"/>
          <w:highlight w:val="none"/>
        </w:rPr>
        <w:t>个工作日内向同级监管部门投诉。</w:t>
      </w:r>
    </w:p>
    <w:p w14:paraId="224D56CE">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21.</w:t>
      </w:r>
      <w:r>
        <w:rPr>
          <w:rFonts w:ascii="仿宋" w:hAnsi="仿宋" w:eastAsia="仿宋"/>
          <w:color w:val="auto"/>
          <w:sz w:val="24"/>
          <w:szCs w:val="24"/>
          <w:highlight w:val="none"/>
        </w:rPr>
        <w:t>2</w:t>
      </w:r>
      <w:r>
        <w:rPr>
          <w:rFonts w:hint="eastAsia" w:ascii="仿宋" w:hAnsi="仿宋" w:eastAsia="仿宋"/>
          <w:color w:val="auto"/>
          <w:sz w:val="24"/>
          <w:szCs w:val="24"/>
          <w:highlight w:val="none"/>
        </w:rPr>
        <w:t>投诉人提起投诉应符合下列条件：</w:t>
      </w:r>
    </w:p>
    <w:p w14:paraId="32453E43">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21.</w:t>
      </w:r>
      <w:r>
        <w:rPr>
          <w:rFonts w:ascii="仿宋" w:hAnsi="仿宋" w:eastAsia="仿宋"/>
          <w:color w:val="auto"/>
          <w:sz w:val="24"/>
          <w:szCs w:val="24"/>
          <w:highlight w:val="none"/>
        </w:rPr>
        <w:t>2.1</w:t>
      </w:r>
      <w:r>
        <w:rPr>
          <w:rFonts w:hint="eastAsia" w:ascii="仿宋" w:hAnsi="仿宋" w:eastAsia="仿宋"/>
          <w:color w:val="auto"/>
          <w:sz w:val="24"/>
          <w:szCs w:val="24"/>
          <w:highlight w:val="none"/>
        </w:rPr>
        <w:t>投诉人是参与所投诉政府采购活动的投标人；</w:t>
      </w:r>
    </w:p>
    <w:p w14:paraId="02E3AD38">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21.</w:t>
      </w:r>
      <w:r>
        <w:rPr>
          <w:rFonts w:ascii="仿宋" w:hAnsi="仿宋" w:eastAsia="仿宋"/>
          <w:color w:val="auto"/>
          <w:sz w:val="24"/>
          <w:szCs w:val="24"/>
          <w:highlight w:val="none"/>
        </w:rPr>
        <w:t>2.2</w:t>
      </w:r>
      <w:r>
        <w:rPr>
          <w:rFonts w:hint="eastAsia" w:ascii="仿宋" w:hAnsi="仿宋" w:eastAsia="仿宋"/>
          <w:color w:val="auto"/>
          <w:sz w:val="24"/>
          <w:szCs w:val="24"/>
          <w:highlight w:val="none"/>
        </w:rPr>
        <w:t>提起投诉前已依法进行质疑；</w:t>
      </w:r>
    </w:p>
    <w:p w14:paraId="7D8474A6">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21.</w:t>
      </w:r>
      <w:r>
        <w:rPr>
          <w:rFonts w:ascii="仿宋" w:hAnsi="仿宋" w:eastAsia="仿宋"/>
          <w:color w:val="auto"/>
          <w:sz w:val="24"/>
          <w:szCs w:val="24"/>
          <w:highlight w:val="none"/>
        </w:rPr>
        <w:t>2.3</w:t>
      </w:r>
      <w:r>
        <w:rPr>
          <w:rFonts w:hint="eastAsia" w:ascii="仿宋" w:hAnsi="仿宋" w:eastAsia="仿宋"/>
          <w:color w:val="auto"/>
          <w:sz w:val="24"/>
          <w:szCs w:val="24"/>
          <w:highlight w:val="none"/>
        </w:rPr>
        <w:t>投诉书内容符合财政部</w:t>
      </w:r>
      <w:r>
        <w:rPr>
          <w:rFonts w:hint="eastAsia" w:ascii="仿宋" w:hAnsi="仿宋" w:eastAsia="仿宋"/>
          <w:color w:val="auto"/>
          <w:sz w:val="24"/>
          <w:szCs w:val="24"/>
          <w:highlight w:val="none"/>
          <w:lang w:eastAsia="zh-CN"/>
        </w:rPr>
        <w:t>《政府采购质疑和投诉办法》（财政部令第94号）</w:t>
      </w:r>
      <w:r>
        <w:rPr>
          <w:rFonts w:hint="eastAsia" w:ascii="仿宋" w:hAnsi="仿宋" w:eastAsia="仿宋"/>
          <w:color w:val="auto"/>
          <w:sz w:val="24"/>
          <w:szCs w:val="24"/>
          <w:highlight w:val="none"/>
        </w:rPr>
        <w:t>规定；</w:t>
      </w:r>
    </w:p>
    <w:p w14:paraId="227AA9B9">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21.</w:t>
      </w:r>
      <w:r>
        <w:rPr>
          <w:rFonts w:ascii="仿宋" w:hAnsi="仿宋" w:eastAsia="仿宋"/>
          <w:color w:val="auto"/>
          <w:sz w:val="24"/>
          <w:szCs w:val="24"/>
          <w:highlight w:val="none"/>
        </w:rPr>
        <w:t>2.4</w:t>
      </w:r>
      <w:r>
        <w:rPr>
          <w:rFonts w:hint="eastAsia" w:ascii="仿宋" w:hAnsi="仿宋" w:eastAsia="仿宋"/>
          <w:color w:val="auto"/>
          <w:sz w:val="24"/>
          <w:szCs w:val="24"/>
          <w:highlight w:val="none"/>
        </w:rPr>
        <w:t>在投诉有效期限内提起投诉；</w:t>
      </w:r>
    </w:p>
    <w:p w14:paraId="75FBA227">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21.</w:t>
      </w:r>
      <w:r>
        <w:rPr>
          <w:rFonts w:ascii="仿宋" w:hAnsi="仿宋" w:eastAsia="仿宋"/>
          <w:color w:val="auto"/>
          <w:sz w:val="24"/>
          <w:szCs w:val="24"/>
          <w:highlight w:val="none"/>
        </w:rPr>
        <w:t>2.5</w:t>
      </w:r>
      <w:r>
        <w:rPr>
          <w:rFonts w:hint="eastAsia" w:ascii="仿宋" w:hAnsi="仿宋" w:eastAsia="仿宋"/>
          <w:color w:val="auto"/>
          <w:sz w:val="24"/>
          <w:szCs w:val="24"/>
          <w:highlight w:val="none"/>
        </w:rPr>
        <w:t>属于本财政部门管辖；</w:t>
      </w:r>
    </w:p>
    <w:p w14:paraId="06B3440C">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21.</w:t>
      </w:r>
      <w:r>
        <w:rPr>
          <w:rFonts w:ascii="仿宋" w:hAnsi="仿宋" w:eastAsia="仿宋"/>
          <w:color w:val="auto"/>
          <w:sz w:val="24"/>
          <w:szCs w:val="24"/>
          <w:highlight w:val="none"/>
        </w:rPr>
        <w:t>2.6</w:t>
      </w:r>
      <w:r>
        <w:rPr>
          <w:rFonts w:hint="eastAsia" w:ascii="仿宋" w:hAnsi="仿宋" w:eastAsia="仿宋"/>
          <w:color w:val="auto"/>
          <w:sz w:val="24"/>
          <w:szCs w:val="24"/>
          <w:highlight w:val="none"/>
        </w:rPr>
        <w:t>同一投诉事项未经财政部门投诉处理；</w:t>
      </w:r>
    </w:p>
    <w:p w14:paraId="5C1BC097">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21.</w:t>
      </w:r>
      <w:r>
        <w:rPr>
          <w:rFonts w:ascii="仿宋" w:hAnsi="仿宋" w:eastAsia="仿宋"/>
          <w:color w:val="auto"/>
          <w:sz w:val="24"/>
          <w:szCs w:val="24"/>
          <w:highlight w:val="none"/>
        </w:rPr>
        <w:t>2.7</w:t>
      </w:r>
      <w:r>
        <w:rPr>
          <w:rFonts w:hint="eastAsia" w:ascii="仿宋" w:hAnsi="仿宋" w:eastAsia="仿宋"/>
          <w:color w:val="auto"/>
          <w:sz w:val="24"/>
          <w:szCs w:val="24"/>
          <w:highlight w:val="none"/>
        </w:rPr>
        <w:t>法律法规规定的其他条件。</w:t>
      </w:r>
    </w:p>
    <w:p w14:paraId="6C3CB983">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21.</w:t>
      </w:r>
      <w:r>
        <w:rPr>
          <w:rFonts w:ascii="仿宋" w:hAnsi="仿宋" w:eastAsia="仿宋"/>
          <w:color w:val="auto"/>
          <w:sz w:val="24"/>
          <w:szCs w:val="24"/>
          <w:highlight w:val="none"/>
        </w:rPr>
        <w:t>3</w:t>
      </w:r>
      <w:r>
        <w:rPr>
          <w:rFonts w:hint="eastAsia" w:ascii="仿宋" w:hAnsi="仿宋" w:eastAsia="仿宋"/>
          <w:color w:val="auto"/>
          <w:sz w:val="24"/>
          <w:szCs w:val="24"/>
          <w:highlight w:val="none"/>
        </w:rPr>
        <w:t>投诉人投诉时，应当提交投诉书，并按照被投诉采购人、采购代理机构和与投诉事项有关的投标人数量提供投诉书的副本。</w:t>
      </w:r>
    </w:p>
    <w:p w14:paraId="4985D610">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21.</w:t>
      </w:r>
      <w:r>
        <w:rPr>
          <w:rFonts w:ascii="仿宋" w:hAnsi="仿宋" w:eastAsia="仿宋"/>
          <w:color w:val="auto"/>
          <w:sz w:val="24"/>
          <w:szCs w:val="24"/>
          <w:highlight w:val="none"/>
        </w:rPr>
        <w:t>4</w:t>
      </w:r>
      <w:r>
        <w:rPr>
          <w:rFonts w:hint="eastAsia" w:ascii="仿宋" w:hAnsi="仿宋" w:eastAsia="仿宋"/>
          <w:color w:val="auto"/>
          <w:sz w:val="24"/>
          <w:szCs w:val="24"/>
          <w:highlight w:val="none"/>
        </w:rPr>
        <w:t>投诉书应当包括以下主要内容：</w:t>
      </w:r>
    </w:p>
    <w:p w14:paraId="30A0F733">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21.</w:t>
      </w:r>
      <w:r>
        <w:rPr>
          <w:rFonts w:ascii="仿宋" w:hAnsi="仿宋" w:eastAsia="仿宋"/>
          <w:color w:val="auto"/>
          <w:sz w:val="24"/>
          <w:szCs w:val="24"/>
          <w:highlight w:val="none"/>
        </w:rPr>
        <w:t>4.1</w:t>
      </w:r>
      <w:r>
        <w:rPr>
          <w:rFonts w:hint="eastAsia" w:ascii="仿宋" w:hAnsi="仿宋" w:eastAsia="仿宋"/>
          <w:color w:val="auto"/>
          <w:sz w:val="24"/>
          <w:szCs w:val="24"/>
          <w:highlight w:val="none"/>
        </w:rPr>
        <w:t>投诉人和被投诉人的名称、地址、电话等；</w:t>
      </w:r>
    </w:p>
    <w:p w14:paraId="55477566">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21.</w:t>
      </w:r>
      <w:r>
        <w:rPr>
          <w:rFonts w:ascii="仿宋" w:hAnsi="仿宋" w:eastAsia="仿宋"/>
          <w:color w:val="auto"/>
          <w:sz w:val="24"/>
          <w:szCs w:val="24"/>
          <w:highlight w:val="none"/>
        </w:rPr>
        <w:t>4.2</w:t>
      </w:r>
      <w:r>
        <w:rPr>
          <w:rFonts w:hint="eastAsia" w:ascii="仿宋" w:hAnsi="仿宋" w:eastAsia="仿宋"/>
          <w:color w:val="auto"/>
          <w:sz w:val="24"/>
          <w:szCs w:val="24"/>
          <w:highlight w:val="none"/>
        </w:rPr>
        <w:t>具体的投诉事宜以及事实依据；</w:t>
      </w:r>
    </w:p>
    <w:p w14:paraId="41BEFC1D">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21.</w:t>
      </w:r>
      <w:r>
        <w:rPr>
          <w:rFonts w:ascii="仿宋" w:hAnsi="仿宋" w:eastAsia="仿宋"/>
          <w:color w:val="auto"/>
          <w:sz w:val="24"/>
          <w:szCs w:val="24"/>
          <w:highlight w:val="none"/>
        </w:rPr>
        <w:t>4.3</w:t>
      </w:r>
      <w:r>
        <w:rPr>
          <w:rFonts w:hint="eastAsia" w:ascii="仿宋" w:hAnsi="仿宋" w:eastAsia="仿宋"/>
          <w:color w:val="auto"/>
          <w:sz w:val="24"/>
          <w:szCs w:val="24"/>
          <w:highlight w:val="none"/>
        </w:rPr>
        <w:t>质疑书和质疑答复情况以及相关证明材料；</w:t>
      </w:r>
    </w:p>
    <w:p w14:paraId="5FA918A5">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21.</w:t>
      </w:r>
      <w:r>
        <w:rPr>
          <w:rFonts w:ascii="仿宋" w:hAnsi="仿宋" w:eastAsia="仿宋"/>
          <w:color w:val="auto"/>
          <w:sz w:val="24"/>
          <w:szCs w:val="24"/>
          <w:highlight w:val="none"/>
        </w:rPr>
        <w:t>4.4</w:t>
      </w:r>
      <w:r>
        <w:rPr>
          <w:rFonts w:hint="eastAsia" w:ascii="仿宋" w:hAnsi="仿宋" w:eastAsia="仿宋"/>
          <w:color w:val="auto"/>
          <w:sz w:val="24"/>
          <w:szCs w:val="24"/>
          <w:highlight w:val="none"/>
        </w:rPr>
        <w:t>提起投诉的日期。</w:t>
      </w:r>
    </w:p>
    <w:p w14:paraId="4F4E6B1D">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21.</w:t>
      </w:r>
      <w:r>
        <w:rPr>
          <w:rFonts w:ascii="仿宋" w:hAnsi="仿宋" w:eastAsia="仿宋"/>
          <w:color w:val="auto"/>
          <w:sz w:val="24"/>
          <w:szCs w:val="24"/>
          <w:highlight w:val="none"/>
        </w:rPr>
        <w:t>5</w:t>
      </w:r>
      <w:r>
        <w:rPr>
          <w:rFonts w:hint="eastAsia" w:ascii="仿宋" w:hAnsi="仿宋" w:eastAsia="仿宋"/>
          <w:color w:val="auto"/>
          <w:sz w:val="24"/>
          <w:szCs w:val="24"/>
          <w:highlight w:val="none"/>
        </w:rPr>
        <w:t>投诉书应当署名。投诉人为自然人的，应当由本人签字；投诉人为法人或者其他组织的，应当由法定代表人或者主要负责人签字盖章并加盖公章。</w:t>
      </w:r>
    </w:p>
    <w:p w14:paraId="6F58C94C">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21.</w:t>
      </w:r>
      <w:r>
        <w:rPr>
          <w:rFonts w:ascii="仿宋" w:hAnsi="仿宋" w:eastAsia="仿宋"/>
          <w:color w:val="auto"/>
          <w:sz w:val="24"/>
          <w:szCs w:val="24"/>
          <w:highlight w:val="none"/>
        </w:rPr>
        <w:t>6</w:t>
      </w:r>
      <w:r>
        <w:rPr>
          <w:rFonts w:hint="eastAsia" w:ascii="仿宋" w:hAnsi="仿宋" w:eastAsia="仿宋"/>
          <w:color w:val="auto"/>
          <w:sz w:val="24"/>
          <w:szCs w:val="24"/>
          <w:highlight w:val="none"/>
        </w:rPr>
        <w:t>投诉人可以委托代理人办理投诉事务。代理人办理投诉事务时，除提交投诉书外，还应当向同级监管部门提交投诉人的授权委托书，授权委托书应当载明委托代理的具体权限和事项。</w:t>
      </w:r>
    </w:p>
    <w:p w14:paraId="4831DED3">
      <w:pPr>
        <w:spacing w:line="44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21.</w:t>
      </w:r>
      <w:r>
        <w:rPr>
          <w:rFonts w:ascii="仿宋" w:hAnsi="仿宋" w:eastAsia="仿宋"/>
          <w:color w:val="auto"/>
          <w:sz w:val="24"/>
          <w:szCs w:val="24"/>
          <w:highlight w:val="none"/>
        </w:rPr>
        <w:t>7</w:t>
      </w:r>
      <w:r>
        <w:rPr>
          <w:rFonts w:hint="eastAsia" w:ascii="仿宋" w:hAnsi="仿宋" w:eastAsia="仿宋"/>
          <w:color w:val="auto"/>
          <w:sz w:val="24"/>
          <w:szCs w:val="24"/>
          <w:highlight w:val="none"/>
        </w:rPr>
        <w:t>投诉人不符合上述规定提起的投诉，监管部门不予受理。</w:t>
      </w:r>
    </w:p>
    <w:p w14:paraId="1F890C2B">
      <w:pPr>
        <w:spacing w:line="440" w:lineRule="exact"/>
        <w:ind w:firstLine="560" w:firstLineChars="200"/>
        <w:outlineLvl w:val="2"/>
        <w:rPr>
          <w:rFonts w:ascii="楷体" w:hAnsi="楷体" w:eastAsia="楷体"/>
          <w:color w:val="auto"/>
          <w:sz w:val="28"/>
          <w:szCs w:val="28"/>
          <w:highlight w:val="none"/>
        </w:rPr>
      </w:pPr>
      <w:bookmarkStart w:id="109" w:name="_Toc5270"/>
      <w:bookmarkStart w:id="110" w:name="_Toc494455669"/>
      <w:r>
        <w:rPr>
          <w:rFonts w:ascii="楷体" w:hAnsi="楷体" w:eastAsia="楷体"/>
          <w:color w:val="auto"/>
          <w:sz w:val="28"/>
          <w:szCs w:val="28"/>
          <w:highlight w:val="none"/>
        </w:rPr>
        <w:t>2</w:t>
      </w:r>
      <w:r>
        <w:rPr>
          <w:rFonts w:hint="eastAsia" w:ascii="楷体" w:hAnsi="楷体" w:eastAsia="楷体"/>
          <w:color w:val="auto"/>
          <w:sz w:val="28"/>
          <w:szCs w:val="28"/>
          <w:highlight w:val="none"/>
        </w:rPr>
        <w:t>2.其他需补充的内容</w:t>
      </w:r>
      <w:bookmarkEnd w:id="109"/>
      <w:bookmarkEnd w:id="110"/>
    </w:p>
    <w:p w14:paraId="2623BE9B">
      <w:pPr>
        <w:rPr>
          <w:rFonts w:ascii="仿宋" w:hAnsi="仿宋" w:eastAsia="仿宋"/>
          <w:color w:val="auto"/>
          <w:sz w:val="24"/>
          <w:szCs w:val="24"/>
          <w:highlight w:val="none"/>
        </w:rPr>
      </w:pPr>
      <w:r>
        <w:rPr>
          <w:rFonts w:hint="eastAsia" w:ascii="仿宋" w:hAnsi="仿宋" w:eastAsia="仿宋"/>
          <w:color w:val="auto"/>
          <w:sz w:val="24"/>
          <w:szCs w:val="24"/>
          <w:highlight w:val="none"/>
        </w:rPr>
        <w:t>其他需补充的内容：见投标人须知前附表。</w:t>
      </w:r>
    </w:p>
    <w:p w14:paraId="77FE0ED1">
      <w:pPr>
        <w:rPr>
          <w:rFonts w:ascii="仿宋" w:hAnsi="仿宋" w:eastAsia="仿宋"/>
          <w:color w:val="auto"/>
          <w:sz w:val="24"/>
          <w:szCs w:val="24"/>
          <w:highlight w:val="none"/>
        </w:rPr>
      </w:pPr>
      <w:r>
        <w:rPr>
          <w:rFonts w:hint="eastAsia" w:ascii="仿宋" w:hAnsi="仿宋" w:eastAsia="仿宋"/>
          <w:color w:val="auto"/>
          <w:sz w:val="24"/>
          <w:szCs w:val="24"/>
          <w:highlight w:val="none"/>
        </w:rPr>
        <w:br w:type="page"/>
      </w:r>
    </w:p>
    <w:p w14:paraId="47063B9B">
      <w:pPr>
        <w:spacing w:afterLines="50" w:line="400" w:lineRule="exact"/>
        <w:jc w:val="center"/>
        <w:outlineLvl w:val="1"/>
        <w:rPr>
          <w:rFonts w:ascii="黑体" w:hAnsi="黑体" w:eastAsia="黑体"/>
          <w:color w:val="auto"/>
          <w:sz w:val="28"/>
          <w:szCs w:val="28"/>
          <w:highlight w:val="none"/>
        </w:rPr>
      </w:pPr>
      <w:bookmarkStart w:id="111" w:name="_Toc494455912"/>
      <w:bookmarkStart w:id="112" w:name="_Toc29272"/>
      <w:r>
        <w:rPr>
          <w:rFonts w:ascii="黑体" w:hAnsi="黑体" w:eastAsia="黑体"/>
          <w:color w:val="auto"/>
          <w:sz w:val="32"/>
          <w:szCs w:val="32"/>
          <w:highlight w:val="none"/>
        </w:rPr>
        <w:t>第</w:t>
      </w:r>
      <w:r>
        <w:rPr>
          <w:rFonts w:hint="eastAsia" w:ascii="黑体" w:hAnsi="黑体" w:eastAsia="黑体"/>
          <w:color w:val="auto"/>
          <w:sz w:val="32"/>
          <w:szCs w:val="32"/>
          <w:highlight w:val="none"/>
        </w:rPr>
        <w:t>三</w:t>
      </w:r>
      <w:r>
        <w:rPr>
          <w:rFonts w:ascii="黑体" w:hAnsi="黑体" w:eastAsia="黑体"/>
          <w:color w:val="auto"/>
          <w:sz w:val="32"/>
          <w:szCs w:val="32"/>
          <w:highlight w:val="none"/>
        </w:rPr>
        <w:t>章</w:t>
      </w:r>
      <w:r>
        <w:rPr>
          <w:rFonts w:hint="eastAsia" w:ascii="黑体" w:hAnsi="黑体" w:eastAsia="黑体"/>
          <w:color w:val="auto"/>
          <w:sz w:val="32"/>
          <w:szCs w:val="32"/>
          <w:highlight w:val="none"/>
        </w:rPr>
        <w:t xml:space="preserve">  采购需求</w:t>
      </w:r>
      <w:bookmarkEnd w:id="111"/>
      <w:bookmarkEnd w:id="112"/>
    </w:p>
    <w:p w14:paraId="5A9385EF">
      <w:pPr>
        <w:keepNext w:val="0"/>
        <w:keepLines w:val="0"/>
        <w:pageBreakBefore w:val="0"/>
        <w:widowControl w:val="0"/>
        <w:kinsoku/>
        <w:wordWrap/>
        <w:overflowPunct/>
        <w:topLinePunct w:val="0"/>
        <w:autoSpaceDE/>
        <w:autoSpaceDN/>
        <w:bidi w:val="0"/>
        <w:adjustRightInd/>
        <w:snapToGrid/>
        <w:spacing w:before="318" w:beforeLines="100" w:afterLines="50" w:line="400" w:lineRule="exact"/>
        <w:ind w:firstLine="560" w:firstLineChars="200"/>
        <w:textAlignment w:val="auto"/>
        <w:outlineLvl w:val="2"/>
        <w:rPr>
          <w:rFonts w:ascii="楷体" w:hAnsi="楷体" w:eastAsia="楷体"/>
          <w:color w:val="auto"/>
          <w:sz w:val="28"/>
          <w:szCs w:val="28"/>
          <w:highlight w:val="none"/>
        </w:rPr>
      </w:pPr>
      <w:bookmarkStart w:id="113" w:name="_Toc494455913"/>
      <w:bookmarkStart w:id="114" w:name="_Toc15377"/>
      <w:bookmarkStart w:id="115" w:name="_Toc4942"/>
      <w:r>
        <w:rPr>
          <w:rFonts w:hint="eastAsia" w:ascii="楷体" w:hAnsi="楷体" w:eastAsia="楷体"/>
          <w:color w:val="auto"/>
          <w:sz w:val="28"/>
          <w:szCs w:val="28"/>
          <w:highlight w:val="none"/>
        </w:rPr>
        <w:t>1.项目说明</w:t>
      </w:r>
      <w:bookmarkEnd w:id="113"/>
      <w:bookmarkEnd w:id="114"/>
      <w:bookmarkEnd w:id="115"/>
    </w:p>
    <w:p w14:paraId="703F275E">
      <w:pPr>
        <w:spacing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1.1本章内容是根据采购项目的实际需求制定的。</w:t>
      </w:r>
    </w:p>
    <w:p w14:paraId="6D6B5E63">
      <w:pPr>
        <w:spacing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w:t>
      </w:r>
      <w:r>
        <w:rPr>
          <w:rFonts w:ascii="仿宋" w:hAnsi="仿宋" w:eastAsia="仿宋"/>
          <w:color w:val="auto"/>
          <w:sz w:val="24"/>
          <w:szCs w:val="24"/>
          <w:highlight w:val="none"/>
        </w:rPr>
        <w:t>2</w:t>
      </w:r>
      <w:r>
        <w:rPr>
          <w:rFonts w:hint="eastAsia" w:ascii="仿宋" w:hAnsi="仿宋" w:eastAsia="仿宋"/>
          <w:color w:val="auto"/>
          <w:sz w:val="24"/>
          <w:szCs w:val="24"/>
          <w:highlight w:val="none"/>
        </w:rPr>
        <w:t>货物必须为合格产品，质量达到国家相关标准、行业标准、地方标准或者其他标准、规范，中标人供货时应当提供有关货物的合格证明材料等。</w:t>
      </w:r>
    </w:p>
    <w:p w14:paraId="25E92252">
      <w:pPr>
        <w:spacing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w:t>
      </w:r>
      <w:r>
        <w:rPr>
          <w:rFonts w:ascii="仿宋" w:hAnsi="仿宋" w:eastAsia="仿宋"/>
          <w:color w:val="auto"/>
          <w:sz w:val="24"/>
          <w:szCs w:val="24"/>
          <w:highlight w:val="none"/>
        </w:rPr>
        <w:t>3</w:t>
      </w:r>
      <w:r>
        <w:rPr>
          <w:rFonts w:hint="eastAsia" w:ascii="仿宋" w:hAnsi="仿宋" w:eastAsia="仿宋"/>
          <w:color w:val="auto"/>
          <w:sz w:val="24"/>
          <w:szCs w:val="24"/>
          <w:highlight w:val="none"/>
        </w:rPr>
        <w:t>投标人应保证货物是全新、未使用过的合格产品。并完全符合合同规定的质量、规格和性能的要求。中标人应保证所提供的货物经正确安装、正常运转和保养后，在其使用寿命期内应具有满意的性能。在货物质量保证期内卖方应对由于设计、工艺或者材料的缺陷而发生的任何不足或者故障负责。</w:t>
      </w:r>
    </w:p>
    <w:p w14:paraId="662D58C1">
      <w:pPr>
        <w:spacing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w:t>
      </w:r>
      <w:r>
        <w:rPr>
          <w:rFonts w:ascii="仿宋" w:hAnsi="仿宋" w:eastAsia="仿宋"/>
          <w:color w:val="auto"/>
          <w:sz w:val="24"/>
          <w:szCs w:val="24"/>
          <w:highlight w:val="none"/>
        </w:rPr>
        <w:t>4</w:t>
      </w:r>
      <w:r>
        <w:rPr>
          <w:rFonts w:hint="eastAsia" w:ascii="仿宋" w:hAnsi="仿宋" w:eastAsia="仿宋"/>
          <w:color w:val="auto"/>
          <w:sz w:val="24"/>
          <w:szCs w:val="24"/>
          <w:highlight w:val="none"/>
        </w:rPr>
        <w:t>进口产品是指通过中国海关报关验放进入中国境内且产自关境外的产品。</w:t>
      </w:r>
    </w:p>
    <w:p w14:paraId="29636DEE">
      <w:pPr>
        <w:spacing w:line="400" w:lineRule="exact"/>
        <w:ind w:firstLine="480" w:firstLineChars="200"/>
        <w:rPr>
          <w:rFonts w:ascii="仿宋" w:hAnsi="仿宋" w:eastAsia="仿宋" w:cs="仿宋"/>
          <w:color w:val="auto"/>
          <w:sz w:val="24"/>
          <w:szCs w:val="24"/>
          <w:highlight w:val="none"/>
        </w:rPr>
      </w:pPr>
      <w:r>
        <w:rPr>
          <w:rFonts w:hint="eastAsia" w:ascii="仿宋" w:hAnsi="仿宋" w:eastAsia="仿宋"/>
          <w:color w:val="auto"/>
          <w:sz w:val="24"/>
          <w:szCs w:val="24"/>
          <w:highlight w:val="none"/>
        </w:rPr>
        <w:t>政府采购应当采购本国产品。采购人确需招标采购进口产品的，应在招投标活动开始前，按照财政部《政府采购进口产品管理办法》（财库〔</w:t>
      </w:r>
      <w:r>
        <w:rPr>
          <w:rFonts w:ascii="仿宋" w:hAnsi="仿宋" w:eastAsia="仿宋"/>
          <w:color w:val="auto"/>
          <w:sz w:val="24"/>
          <w:szCs w:val="24"/>
          <w:highlight w:val="none"/>
        </w:rPr>
        <w:t>2007</w:t>
      </w:r>
      <w:r>
        <w:rPr>
          <w:rFonts w:hint="eastAsia" w:ascii="仿宋" w:hAnsi="仿宋" w:eastAsia="仿宋"/>
          <w:color w:val="auto"/>
          <w:sz w:val="24"/>
          <w:szCs w:val="24"/>
          <w:highlight w:val="none"/>
        </w:rPr>
        <w:t>〕</w:t>
      </w:r>
      <w:r>
        <w:rPr>
          <w:rFonts w:ascii="仿宋" w:hAnsi="仿宋" w:eastAsia="仿宋"/>
          <w:color w:val="auto"/>
          <w:sz w:val="24"/>
          <w:szCs w:val="24"/>
          <w:highlight w:val="none"/>
        </w:rPr>
        <w:t>119</w:t>
      </w:r>
      <w:r>
        <w:rPr>
          <w:rFonts w:hint="eastAsia" w:ascii="仿宋" w:hAnsi="仿宋" w:eastAsia="仿宋"/>
          <w:color w:val="auto"/>
          <w:sz w:val="24"/>
          <w:szCs w:val="24"/>
          <w:highlight w:val="none"/>
        </w:rPr>
        <w:t>号）文件规定办理审核手续，通过财政部门审核后，方可招标采购进口产品，否则采购人不得招标采购</w:t>
      </w:r>
      <w:r>
        <w:rPr>
          <w:rFonts w:hint="eastAsia" w:ascii="仿宋" w:hAnsi="仿宋" w:eastAsia="仿宋" w:cs="仿宋"/>
          <w:color w:val="auto"/>
          <w:sz w:val="24"/>
          <w:szCs w:val="24"/>
          <w:highlight w:val="none"/>
        </w:rPr>
        <w:t>进口产品，投标人不得提供直接进口或者委托进口产品（包括已进入中国境内的进口产品）。</w:t>
      </w:r>
    </w:p>
    <w:p w14:paraId="17DBAAD6">
      <w:pPr>
        <w:spacing w:line="4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采购人或采购代理机构在采购进口产品时不得拒绝国产相同质量产品的制造商或代理商参与投标。</w:t>
      </w:r>
    </w:p>
    <w:p w14:paraId="39FFF5E6">
      <w:pPr>
        <w:numPr>
          <w:ilvl w:val="0"/>
          <w:numId w:val="2"/>
        </w:numPr>
        <w:jc w:val="both"/>
        <w:rPr>
          <w:rFonts w:hint="eastAsia" w:ascii="楷体" w:hAnsi="楷体" w:eastAsia="楷体"/>
          <w:color w:val="auto"/>
          <w:sz w:val="28"/>
          <w:szCs w:val="28"/>
          <w:highlight w:val="none"/>
          <w:lang w:val="en-US" w:eastAsia="zh-CN"/>
        </w:rPr>
      </w:pPr>
      <w:bookmarkStart w:id="116" w:name="_Toc24669"/>
      <w:bookmarkStart w:id="117" w:name="_Toc9977"/>
      <w:bookmarkStart w:id="118" w:name="_Toc8637"/>
      <w:r>
        <w:rPr>
          <w:rFonts w:hint="eastAsia" w:ascii="楷体" w:hAnsi="楷体" w:eastAsia="楷体"/>
          <w:color w:val="auto"/>
          <w:sz w:val="28"/>
          <w:szCs w:val="28"/>
          <w:highlight w:val="none"/>
          <w:lang w:val="en-US" w:eastAsia="zh-CN"/>
        </w:rPr>
        <w:t>采购清单</w:t>
      </w:r>
    </w:p>
    <w:tbl>
      <w:tblPr>
        <w:tblStyle w:val="16"/>
        <w:tblW w:w="99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1"/>
        <w:gridCol w:w="2715"/>
        <w:gridCol w:w="2535"/>
        <w:gridCol w:w="1875"/>
        <w:gridCol w:w="1035"/>
        <w:gridCol w:w="840"/>
      </w:tblGrid>
      <w:tr w14:paraId="039D5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1" w:type="dxa"/>
            <w:vAlign w:val="center"/>
          </w:tcPr>
          <w:p w14:paraId="24F4E4DF">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2715" w:type="dxa"/>
            <w:vAlign w:val="center"/>
          </w:tcPr>
          <w:p w14:paraId="259ED8E8">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名称</w:t>
            </w:r>
          </w:p>
        </w:tc>
        <w:tc>
          <w:tcPr>
            <w:tcW w:w="2535" w:type="dxa"/>
            <w:shd w:val="clear" w:color="auto" w:fill="auto"/>
            <w:vAlign w:val="center"/>
          </w:tcPr>
          <w:p w14:paraId="10F4111B">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参数</w:t>
            </w:r>
          </w:p>
        </w:tc>
        <w:tc>
          <w:tcPr>
            <w:tcW w:w="1875" w:type="dxa"/>
            <w:vAlign w:val="center"/>
          </w:tcPr>
          <w:p w14:paraId="7CE6407A">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单位</w:t>
            </w:r>
          </w:p>
        </w:tc>
        <w:tc>
          <w:tcPr>
            <w:tcW w:w="1035" w:type="dxa"/>
            <w:vAlign w:val="center"/>
          </w:tcPr>
          <w:p w14:paraId="30608755">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数量</w:t>
            </w:r>
          </w:p>
        </w:tc>
        <w:tc>
          <w:tcPr>
            <w:tcW w:w="840" w:type="dxa"/>
            <w:vAlign w:val="center"/>
          </w:tcPr>
          <w:p w14:paraId="108F9530">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tc>
      </w:tr>
      <w:tr w14:paraId="5DF97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961" w:type="dxa"/>
            <w:vAlign w:val="center"/>
          </w:tcPr>
          <w:p w14:paraId="10BE8F9B">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2715" w:type="dxa"/>
            <w:vAlign w:val="center"/>
          </w:tcPr>
          <w:p w14:paraId="6604CD64">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隔热服</w:t>
            </w:r>
          </w:p>
        </w:tc>
        <w:tc>
          <w:tcPr>
            <w:tcW w:w="2535" w:type="dxa"/>
            <w:shd w:val="clear" w:color="auto" w:fill="auto"/>
            <w:vAlign w:val="center"/>
          </w:tcPr>
          <w:p w14:paraId="2A7EE46E">
            <w:pPr>
              <w:spacing w:line="360"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详见技术参数</w:t>
            </w:r>
          </w:p>
        </w:tc>
        <w:tc>
          <w:tcPr>
            <w:tcW w:w="1875" w:type="dxa"/>
            <w:vAlign w:val="center"/>
          </w:tcPr>
          <w:p w14:paraId="13DA053D">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套</w:t>
            </w:r>
          </w:p>
        </w:tc>
        <w:tc>
          <w:tcPr>
            <w:tcW w:w="1035" w:type="dxa"/>
            <w:vAlign w:val="center"/>
          </w:tcPr>
          <w:p w14:paraId="50700B98">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w:t>
            </w:r>
          </w:p>
        </w:tc>
        <w:tc>
          <w:tcPr>
            <w:tcW w:w="840" w:type="dxa"/>
            <w:vAlign w:val="center"/>
          </w:tcPr>
          <w:p w14:paraId="70BCE6F9">
            <w:pPr>
              <w:spacing w:line="360" w:lineRule="auto"/>
              <w:jc w:val="center"/>
              <w:rPr>
                <w:rFonts w:hint="eastAsia" w:ascii="仿宋" w:hAnsi="仿宋" w:eastAsia="仿宋" w:cs="仿宋"/>
                <w:color w:val="auto"/>
                <w:sz w:val="24"/>
                <w:szCs w:val="24"/>
                <w:highlight w:val="none"/>
              </w:rPr>
            </w:pPr>
          </w:p>
        </w:tc>
      </w:tr>
      <w:tr w14:paraId="27A07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961" w:type="dxa"/>
            <w:vAlign w:val="center"/>
          </w:tcPr>
          <w:p w14:paraId="6B2F3F07">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2715" w:type="dxa"/>
            <w:vAlign w:val="center"/>
          </w:tcPr>
          <w:p w14:paraId="18D43501">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高扬程水泵</w:t>
            </w:r>
          </w:p>
        </w:tc>
        <w:tc>
          <w:tcPr>
            <w:tcW w:w="2535" w:type="dxa"/>
            <w:shd w:val="clear" w:color="auto" w:fill="auto"/>
            <w:vAlign w:val="center"/>
          </w:tcPr>
          <w:p w14:paraId="7FDA5DC9">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详见技术参数</w:t>
            </w:r>
          </w:p>
        </w:tc>
        <w:tc>
          <w:tcPr>
            <w:tcW w:w="1875" w:type="dxa"/>
            <w:vAlign w:val="center"/>
          </w:tcPr>
          <w:p w14:paraId="2A235767">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套</w:t>
            </w:r>
          </w:p>
        </w:tc>
        <w:tc>
          <w:tcPr>
            <w:tcW w:w="1035" w:type="dxa"/>
            <w:vAlign w:val="center"/>
          </w:tcPr>
          <w:p w14:paraId="712F1D67">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840" w:type="dxa"/>
            <w:vAlign w:val="center"/>
          </w:tcPr>
          <w:p w14:paraId="69D487EE">
            <w:pPr>
              <w:spacing w:line="360" w:lineRule="auto"/>
              <w:jc w:val="center"/>
              <w:rPr>
                <w:rFonts w:hint="eastAsia" w:ascii="仿宋" w:hAnsi="仿宋" w:eastAsia="仿宋" w:cs="仿宋"/>
                <w:color w:val="auto"/>
                <w:sz w:val="24"/>
                <w:szCs w:val="24"/>
                <w:highlight w:val="none"/>
              </w:rPr>
            </w:pPr>
          </w:p>
        </w:tc>
      </w:tr>
      <w:tr w14:paraId="3F1F3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961" w:type="dxa"/>
            <w:vAlign w:val="center"/>
          </w:tcPr>
          <w:p w14:paraId="09C3A820">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2715" w:type="dxa"/>
            <w:vAlign w:val="center"/>
          </w:tcPr>
          <w:p w14:paraId="3F0F81AA">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快速密闭</w:t>
            </w:r>
          </w:p>
        </w:tc>
        <w:tc>
          <w:tcPr>
            <w:tcW w:w="2535" w:type="dxa"/>
            <w:shd w:val="clear" w:color="auto" w:fill="auto"/>
            <w:vAlign w:val="center"/>
          </w:tcPr>
          <w:p w14:paraId="474F9F01">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详见技术参数</w:t>
            </w:r>
          </w:p>
        </w:tc>
        <w:tc>
          <w:tcPr>
            <w:tcW w:w="1875" w:type="dxa"/>
            <w:vAlign w:val="center"/>
          </w:tcPr>
          <w:p w14:paraId="29B4652B">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套</w:t>
            </w:r>
          </w:p>
        </w:tc>
        <w:tc>
          <w:tcPr>
            <w:tcW w:w="1035" w:type="dxa"/>
            <w:vAlign w:val="center"/>
          </w:tcPr>
          <w:p w14:paraId="437B25F1">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w:t>
            </w:r>
          </w:p>
        </w:tc>
        <w:tc>
          <w:tcPr>
            <w:tcW w:w="840" w:type="dxa"/>
            <w:vAlign w:val="center"/>
          </w:tcPr>
          <w:p w14:paraId="48DF30FD">
            <w:pPr>
              <w:spacing w:line="360" w:lineRule="auto"/>
              <w:jc w:val="center"/>
              <w:rPr>
                <w:rFonts w:hint="eastAsia" w:ascii="仿宋" w:hAnsi="仿宋" w:eastAsia="仿宋" w:cs="仿宋"/>
                <w:color w:val="auto"/>
                <w:sz w:val="24"/>
                <w:szCs w:val="24"/>
                <w:highlight w:val="none"/>
              </w:rPr>
            </w:pPr>
          </w:p>
        </w:tc>
      </w:tr>
      <w:tr w14:paraId="57615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961" w:type="dxa"/>
            <w:vAlign w:val="center"/>
          </w:tcPr>
          <w:p w14:paraId="15EE4DBB">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2715" w:type="dxa"/>
            <w:vAlign w:val="center"/>
          </w:tcPr>
          <w:p w14:paraId="6CE1E614">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破拆工具套装</w:t>
            </w:r>
          </w:p>
        </w:tc>
        <w:tc>
          <w:tcPr>
            <w:tcW w:w="2535" w:type="dxa"/>
            <w:shd w:val="clear" w:color="auto" w:fill="auto"/>
            <w:vAlign w:val="center"/>
          </w:tcPr>
          <w:p w14:paraId="72FCB669">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详见技术参数</w:t>
            </w:r>
          </w:p>
        </w:tc>
        <w:tc>
          <w:tcPr>
            <w:tcW w:w="1875" w:type="dxa"/>
            <w:vAlign w:val="center"/>
          </w:tcPr>
          <w:p w14:paraId="0C1E9F27">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套</w:t>
            </w:r>
          </w:p>
        </w:tc>
        <w:tc>
          <w:tcPr>
            <w:tcW w:w="1035" w:type="dxa"/>
            <w:vAlign w:val="center"/>
          </w:tcPr>
          <w:p w14:paraId="60E4E36A">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840" w:type="dxa"/>
            <w:vAlign w:val="center"/>
          </w:tcPr>
          <w:p w14:paraId="3A4BBD77">
            <w:pPr>
              <w:spacing w:line="360" w:lineRule="auto"/>
              <w:jc w:val="center"/>
              <w:rPr>
                <w:rFonts w:hint="eastAsia" w:ascii="仿宋" w:hAnsi="仿宋" w:eastAsia="仿宋" w:cs="仿宋"/>
                <w:color w:val="auto"/>
                <w:sz w:val="24"/>
                <w:szCs w:val="24"/>
                <w:highlight w:val="none"/>
              </w:rPr>
            </w:pPr>
          </w:p>
        </w:tc>
      </w:tr>
      <w:tr w14:paraId="7EDC3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961" w:type="dxa"/>
            <w:vAlign w:val="center"/>
          </w:tcPr>
          <w:p w14:paraId="25D33108">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2715" w:type="dxa"/>
            <w:vAlign w:val="center"/>
          </w:tcPr>
          <w:p w14:paraId="3B800BDD">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支护设备套装</w:t>
            </w:r>
          </w:p>
        </w:tc>
        <w:tc>
          <w:tcPr>
            <w:tcW w:w="2535" w:type="dxa"/>
            <w:shd w:val="clear" w:color="auto" w:fill="auto"/>
            <w:vAlign w:val="center"/>
          </w:tcPr>
          <w:p w14:paraId="502FD61A">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详见技术参数</w:t>
            </w:r>
          </w:p>
        </w:tc>
        <w:tc>
          <w:tcPr>
            <w:tcW w:w="1875" w:type="dxa"/>
            <w:vAlign w:val="center"/>
          </w:tcPr>
          <w:p w14:paraId="54523541">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台</w:t>
            </w:r>
          </w:p>
        </w:tc>
        <w:tc>
          <w:tcPr>
            <w:tcW w:w="1035" w:type="dxa"/>
            <w:vAlign w:val="center"/>
          </w:tcPr>
          <w:p w14:paraId="675ECB47">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840" w:type="dxa"/>
            <w:vAlign w:val="center"/>
          </w:tcPr>
          <w:p w14:paraId="76CB9BF7">
            <w:pPr>
              <w:spacing w:line="360" w:lineRule="auto"/>
              <w:jc w:val="center"/>
              <w:rPr>
                <w:rFonts w:hint="eastAsia" w:ascii="仿宋" w:hAnsi="仿宋" w:eastAsia="仿宋" w:cs="仿宋"/>
                <w:color w:val="auto"/>
                <w:sz w:val="24"/>
                <w:szCs w:val="24"/>
                <w:highlight w:val="none"/>
              </w:rPr>
            </w:pPr>
          </w:p>
        </w:tc>
      </w:tr>
      <w:tr w14:paraId="1E637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961" w:type="dxa"/>
            <w:vAlign w:val="center"/>
          </w:tcPr>
          <w:p w14:paraId="62A5EEC8">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2715" w:type="dxa"/>
            <w:vAlign w:val="center"/>
          </w:tcPr>
          <w:p w14:paraId="5A24FFFB">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热成像仪</w:t>
            </w:r>
          </w:p>
        </w:tc>
        <w:tc>
          <w:tcPr>
            <w:tcW w:w="2535" w:type="dxa"/>
            <w:shd w:val="clear" w:color="auto" w:fill="auto"/>
            <w:vAlign w:val="center"/>
          </w:tcPr>
          <w:p w14:paraId="62A5AA52">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详见技术参数</w:t>
            </w:r>
          </w:p>
        </w:tc>
        <w:tc>
          <w:tcPr>
            <w:tcW w:w="1875" w:type="dxa"/>
            <w:vAlign w:val="center"/>
          </w:tcPr>
          <w:p w14:paraId="01F23FB0">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台</w:t>
            </w:r>
          </w:p>
        </w:tc>
        <w:tc>
          <w:tcPr>
            <w:tcW w:w="1035" w:type="dxa"/>
            <w:vAlign w:val="center"/>
          </w:tcPr>
          <w:p w14:paraId="514F59AB">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840" w:type="dxa"/>
            <w:vAlign w:val="center"/>
          </w:tcPr>
          <w:p w14:paraId="5050E850">
            <w:pPr>
              <w:spacing w:line="360" w:lineRule="auto"/>
              <w:jc w:val="center"/>
              <w:rPr>
                <w:rFonts w:hint="eastAsia" w:ascii="仿宋" w:hAnsi="仿宋" w:eastAsia="仿宋" w:cs="仿宋"/>
                <w:color w:val="auto"/>
                <w:sz w:val="24"/>
                <w:szCs w:val="24"/>
                <w:highlight w:val="none"/>
              </w:rPr>
            </w:pPr>
          </w:p>
        </w:tc>
      </w:tr>
      <w:tr w14:paraId="0809F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961" w:type="dxa"/>
            <w:vAlign w:val="center"/>
          </w:tcPr>
          <w:p w14:paraId="4C934309">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2715" w:type="dxa"/>
            <w:vAlign w:val="center"/>
          </w:tcPr>
          <w:p w14:paraId="63EAA2F1">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气体分析化验设备</w:t>
            </w:r>
          </w:p>
        </w:tc>
        <w:tc>
          <w:tcPr>
            <w:tcW w:w="2535" w:type="dxa"/>
            <w:shd w:val="clear" w:color="auto" w:fill="auto"/>
            <w:vAlign w:val="center"/>
          </w:tcPr>
          <w:p w14:paraId="1745DB52">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详见技术参数</w:t>
            </w:r>
          </w:p>
        </w:tc>
        <w:tc>
          <w:tcPr>
            <w:tcW w:w="1875" w:type="dxa"/>
            <w:vAlign w:val="center"/>
          </w:tcPr>
          <w:p w14:paraId="4B69AC3A">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台</w:t>
            </w:r>
          </w:p>
        </w:tc>
        <w:tc>
          <w:tcPr>
            <w:tcW w:w="1035" w:type="dxa"/>
            <w:vAlign w:val="center"/>
          </w:tcPr>
          <w:p w14:paraId="47CB5719">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840" w:type="dxa"/>
            <w:vAlign w:val="center"/>
          </w:tcPr>
          <w:p w14:paraId="1C2D9FBE">
            <w:pPr>
              <w:spacing w:line="360" w:lineRule="auto"/>
              <w:jc w:val="center"/>
              <w:rPr>
                <w:rFonts w:hint="eastAsia" w:ascii="仿宋" w:hAnsi="仿宋" w:eastAsia="仿宋" w:cs="仿宋"/>
                <w:color w:val="auto"/>
                <w:sz w:val="24"/>
                <w:szCs w:val="24"/>
                <w:highlight w:val="none"/>
              </w:rPr>
            </w:pPr>
          </w:p>
        </w:tc>
      </w:tr>
      <w:tr w14:paraId="02D72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961" w:type="dxa"/>
            <w:vAlign w:val="center"/>
          </w:tcPr>
          <w:p w14:paraId="73EA8A25">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2715" w:type="dxa"/>
            <w:vAlign w:val="center"/>
          </w:tcPr>
          <w:p w14:paraId="12118E14">
            <w:pPr>
              <w:spacing w:line="360" w:lineRule="auto"/>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四小时氧气呼吸器</w:t>
            </w:r>
          </w:p>
        </w:tc>
        <w:tc>
          <w:tcPr>
            <w:tcW w:w="2535" w:type="dxa"/>
            <w:shd w:val="clear" w:color="auto" w:fill="auto"/>
            <w:vAlign w:val="center"/>
          </w:tcPr>
          <w:p w14:paraId="7D52DC65">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详见技术参数</w:t>
            </w:r>
          </w:p>
        </w:tc>
        <w:tc>
          <w:tcPr>
            <w:tcW w:w="1875" w:type="dxa"/>
            <w:vAlign w:val="center"/>
          </w:tcPr>
          <w:p w14:paraId="5254EC4D">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套</w:t>
            </w:r>
          </w:p>
        </w:tc>
        <w:tc>
          <w:tcPr>
            <w:tcW w:w="1035" w:type="dxa"/>
            <w:vAlign w:val="center"/>
          </w:tcPr>
          <w:p w14:paraId="6ACFD3F8">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13</w:t>
            </w:r>
          </w:p>
        </w:tc>
        <w:tc>
          <w:tcPr>
            <w:tcW w:w="840" w:type="dxa"/>
            <w:vAlign w:val="center"/>
          </w:tcPr>
          <w:p w14:paraId="763401F4">
            <w:pPr>
              <w:spacing w:line="360" w:lineRule="auto"/>
              <w:jc w:val="center"/>
              <w:rPr>
                <w:rFonts w:hint="eastAsia" w:ascii="仿宋" w:hAnsi="仿宋" w:eastAsia="仿宋" w:cs="仿宋"/>
                <w:color w:val="auto"/>
                <w:sz w:val="24"/>
                <w:szCs w:val="24"/>
                <w:highlight w:val="none"/>
              </w:rPr>
            </w:pPr>
          </w:p>
        </w:tc>
      </w:tr>
      <w:tr w14:paraId="41185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961" w:type="dxa"/>
            <w:vAlign w:val="center"/>
          </w:tcPr>
          <w:p w14:paraId="13895B5D">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2715" w:type="dxa"/>
            <w:vAlign w:val="center"/>
          </w:tcPr>
          <w:p w14:paraId="71DAB360">
            <w:pPr>
              <w:spacing w:line="360" w:lineRule="auto"/>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苏生器</w:t>
            </w:r>
          </w:p>
        </w:tc>
        <w:tc>
          <w:tcPr>
            <w:tcW w:w="2535" w:type="dxa"/>
            <w:shd w:val="clear" w:color="auto" w:fill="auto"/>
            <w:vAlign w:val="center"/>
          </w:tcPr>
          <w:p w14:paraId="51C997FA">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详见技术参数</w:t>
            </w:r>
          </w:p>
        </w:tc>
        <w:tc>
          <w:tcPr>
            <w:tcW w:w="1875" w:type="dxa"/>
            <w:vAlign w:val="center"/>
          </w:tcPr>
          <w:p w14:paraId="4E6A05D5">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台</w:t>
            </w:r>
          </w:p>
        </w:tc>
        <w:tc>
          <w:tcPr>
            <w:tcW w:w="1035" w:type="dxa"/>
            <w:vAlign w:val="center"/>
          </w:tcPr>
          <w:p w14:paraId="6F4CB1B3">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840" w:type="dxa"/>
            <w:vAlign w:val="center"/>
          </w:tcPr>
          <w:p w14:paraId="2941FEEA">
            <w:pPr>
              <w:spacing w:line="360" w:lineRule="auto"/>
              <w:jc w:val="center"/>
              <w:rPr>
                <w:rFonts w:hint="eastAsia" w:ascii="仿宋" w:hAnsi="仿宋" w:eastAsia="仿宋" w:cs="仿宋"/>
                <w:color w:val="auto"/>
                <w:sz w:val="24"/>
                <w:szCs w:val="24"/>
                <w:highlight w:val="none"/>
              </w:rPr>
            </w:pPr>
          </w:p>
        </w:tc>
      </w:tr>
      <w:tr w14:paraId="2DD47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961" w:type="dxa"/>
            <w:vAlign w:val="center"/>
          </w:tcPr>
          <w:p w14:paraId="7219E948">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2715" w:type="dxa"/>
            <w:vAlign w:val="center"/>
          </w:tcPr>
          <w:p w14:paraId="1D0218CF">
            <w:pPr>
              <w:spacing w:line="360" w:lineRule="auto"/>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救援三脚架</w:t>
            </w:r>
          </w:p>
        </w:tc>
        <w:tc>
          <w:tcPr>
            <w:tcW w:w="2535" w:type="dxa"/>
            <w:shd w:val="clear" w:color="auto" w:fill="auto"/>
            <w:vAlign w:val="center"/>
          </w:tcPr>
          <w:p w14:paraId="09636E39">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详见技术参数</w:t>
            </w:r>
          </w:p>
        </w:tc>
        <w:tc>
          <w:tcPr>
            <w:tcW w:w="1875" w:type="dxa"/>
            <w:vAlign w:val="center"/>
          </w:tcPr>
          <w:p w14:paraId="3CEBC7D6">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套</w:t>
            </w:r>
          </w:p>
        </w:tc>
        <w:tc>
          <w:tcPr>
            <w:tcW w:w="1035" w:type="dxa"/>
            <w:vAlign w:val="center"/>
          </w:tcPr>
          <w:p w14:paraId="2A47F2C7">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840" w:type="dxa"/>
            <w:vAlign w:val="center"/>
          </w:tcPr>
          <w:p w14:paraId="0585434D">
            <w:pPr>
              <w:spacing w:line="360" w:lineRule="auto"/>
              <w:jc w:val="center"/>
              <w:rPr>
                <w:rFonts w:hint="eastAsia" w:ascii="仿宋" w:hAnsi="仿宋" w:eastAsia="仿宋" w:cs="仿宋"/>
                <w:color w:val="auto"/>
                <w:sz w:val="24"/>
                <w:szCs w:val="24"/>
                <w:highlight w:val="none"/>
              </w:rPr>
            </w:pPr>
          </w:p>
        </w:tc>
      </w:tr>
      <w:tr w14:paraId="1268E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961" w:type="dxa"/>
            <w:vAlign w:val="center"/>
          </w:tcPr>
          <w:p w14:paraId="47F9F45F">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w:t>
            </w:r>
          </w:p>
        </w:tc>
        <w:tc>
          <w:tcPr>
            <w:tcW w:w="2715" w:type="dxa"/>
            <w:vAlign w:val="center"/>
          </w:tcPr>
          <w:p w14:paraId="4F2A22FC">
            <w:pPr>
              <w:spacing w:line="360" w:lineRule="auto"/>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防爆工具</w:t>
            </w:r>
          </w:p>
        </w:tc>
        <w:tc>
          <w:tcPr>
            <w:tcW w:w="2535" w:type="dxa"/>
            <w:shd w:val="clear" w:color="auto" w:fill="auto"/>
            <w:vAlign w:val="center"/>
          </w:tcPr>
          <w:p w14:paraId="46A8CBBB">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详见技术参数</w:t>
            </w:r>
          </w:p>
        </w:tc>
        <w:tc>
          <w:tcPr>
            <w:tcW w:w="1875" w:type="dxa"/>
            <w:vAlign w:val="center"/>
          </w:tcPr>
          <w:p w14:paraId="74CC3772">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套</w:t>
            </w:r>
          </w:p>
        </w:tc>
        <w:tc>
          <w:tcPr>
            <w:tcW w:w="1035" w:type="dxa"/>
            <w:vAlign w:val="center"/>
          </w:tcPr>
          <w:p w14:paraId="7012A8C9">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840" w:type="dxa"/>
            <w:vAlign w:val="center"/>
          </w:tcPr>
          <w:p w14:paraId="675DC796">
            <w:pPr>
              <w:spacing w:line="360" w:lineRule="auto"/>
              <w:jc w:val="center"/>
              <w:rPr>
                <w:rFonts w:hint="eastAsia" w:ascii="仿宋" w:hAnsi="仿宋" w:eastAsia="仿宋" w:cs="仿宋"/>
                <w:color w:val="auto"/>
                <w:sz w:val="24"/>
                <w:szCs w:val="24"/>
                <w:highlight w:val="none"/>
              </w:rPr>
            </w:pPr>
          </w:p>
        </w:tc>
      </w:tr>
      <w:tr w14:paraId="18DD1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961" w:type="dxa"/>
            <w:vAlign w:val="center"/>
          </w:tcPr>
          <w:p w14:paraId="27A61D40">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w:t>
            </w:r>
          </w:p>
        </w:tc>
        <w:tc>
          <w:tcPr>
            <w:tcW w:w="2715" w:type="dxa"/>
            <w:vAlign w:val="center"/>
          </w:tcPr>
          <w:p w14:paraId="400E8BB4">
            <w:pPr>
              <w:spacing w:line="360" w:lineRule="auto"/>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4小时氧气瓶</w:t>
            </w:r>
          </w:p>
        </w:tc>
        <w:tc>
          <w:tcPr>
            <w:tcW w:w="2535" w:type="dxa"/>
            <w:shd w:val="clear" w:color="auto" w:fill="auto"/>
            <w:vAlign w:val="center"/>
          </w:tcPr>
          <w:p w14:paraId="5D33FFE3">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详见技术参数</w:t>
            </w:r>
          </w:p>
        </w:tc>
        <w:tc>
          <w:tcPr>
            <w:tcW w:w="1875" w:type="dxa"/>
            <w:vAlign w:val="center"/>
          </w:tcPr>
          <w:p w14:paraId="618F2B4C">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只</w:t>
            </w:r>
          </w:p>
        </w:tc>
        <w:tc>
          <w:tcPr>
            <w:tcW w:w="1035" w:type="dxa"/>
            <w:vAlign w:val="center"/>
          </w:tcPr>
          <w:p w14:paraId="6D4B489D">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840" w:type="dxa"/>
            <w:vAlign w:val="center"/>
          </w:tcPr>
          <w:p w14:paraId="55BE9DFE">
            <w:pPr>
              <w:spacing w:line="360" w:lineRule="auto"/>
              <w:jc w:val="center"/>
              <w:rPr>
                <w:rFonts w:hint="eastAsia" w:ascii="仿宋" w:hAnsi="仿宋" w:eastAsia="仿宋" w:cs="仿宋"/>
                <w:color w:val="auto"/>
                <w:sz w:val="24"/>
                <w:szCs w:val="24"/>
                <w:highlight w:val="none"/>
              </w:rPr>
            </w:pPr>
          </w:p>
        </w:tc>
      </w:tr>
      <w:tr w14:paraId="4CC1C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961" w:type="dxa"/>
            <w:vAlign w:val="center"/>
          </w:tcPr>
          <w:p w14:paraId="118E7B67">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13</w:t>
            </w:r>
          </w:p>
        </w:tc>
        <w:tc>
          <w:tcPr>
            <w:tcW w:w="2715" w:type="dxa"/>
            <w:vAlign w:val="center"/>
          </w:tcPr>
          <w:p w14:paraId="02252CFF">
            <w:pPr>
              <w:spacing w:line="360" w:lineRule="auto"/>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氧气呼吸器校验仪</w:t>
            </w:r>
          </w:p>
        </w:tc>
        <w:tc>
          <w:tcPr>
            <w:tcW w:w="2535" w:type="dxa"/>
            <w:shd w:val="clear" w:color="auto" w:fill="auto"/>
            <w:vAlign w:val="center"/>
          </w:tcPr>
          <w:p w14:paraId="4FEE6E49">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详见技术参数</w:t>
            </w:r>
          </w:p>
        </w:tc>
        <w:tc>
          <w:tcPr>
            <w:tcW w:w="1875" w:type="dxa"/>
            <w:vAlign w:val="center"/>
          </w:tcPr>
          <w:p w14:paraId="51A5529F">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台</w:t>
            </w:r>
          </w:p>
        </w:tc>
        <w:tc>
          <w:tcPr>
            <w:tcW w:w="1035" w:type="dxa"/>
            <w:vAlign w:val="center"/>
          </w:tcPr>
          <w:p w14:paraId="6C59074C">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840" w:type="dxa"/>
            <w:vAlign w:val="center"/>
          </w:tcPr>
          <w:p w14:paraId="38E4C024">
            <w:pPr>
              <w:spacing w:line="360" w:lineRule="auto"/>
              <w:jc w:val="center"/>
              <w:rPr>
                <w:rFonts w:hint="eastAsia" w:ascii="仿宋" w:hAnsi="仿宋" w:eastAsia="仿宋" w:cs="仿宋"/>
                <w:color w:val="auto"/>
                <w:sz w:val="24"/>
                <w:szCs w:val="24"/>
                <w:highlight w:val="none"/>
              </w:rPr>
            </w:pPr>
          </w:p>
        </w:tc>
      </w:tr>
      <w:tr w14:paraId="4B526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961" w:type="dxa"/>
            <w:vAlign w:val="center"/>
          </w:tcPr>
          <w:p w14:paraId="7C317118">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14</w:t>
            </w:r>
          </w:p>
        </w:tc>
        <w:tc>
          <w:tcPr>
            <w:tcW w:w="2715" w:type="dxa"/>
            <w:vAlign w:val="center"/>
          </w:tcPr>
          <w:p w14:paraId="36C15699">
            <w:pPr>
              <w:spacing w:line="360" w:lineRule="auto"/>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灾区电话</w:t>
            </w:r>
          </w:p>
        </w:tc>
        <w:tc>
          <w:tcPr>
            <w:tcW w:w="2535" w:type="dxa"/>
            <w:shd w:val="clear" w:color="auto" w:fill="auto"/>
            <w:vAlign w:val="center"/>
          </w:tcPr>
          <w:p w14:paraId="6A1891BD">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详见技术参数</w:t>
            </w:r>
          </w:p>
        </w:tc>
        <w:tc>
          <w:tcPr>
            <w:tcW w:w="1875" w:type="dxa"/>
            <w:vAlign w:val="center"/>
          </w:tcPr>
          <w:p w14:paraId="06C3E7A4">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套</w:t>
            </w:r>
          </w:p>
        </w:tc>
        <w:tc>
          <w:tcPr>
            <w:tcW w:w="1035" w:type="dxa"/>
            <w:vAlign w:val="center"/>
          </w:tcPr>
          <w:p w14:paraId="732E60AF">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840" w:type="dxa"/>
            <w:vAlign w:val="center"/>
          </w:tcPr>
          <w:p w14:paraId="1BC29C31">
            <w:pPr>
              <w:spacing w:line="360" w:lineRule="auto"/>
              <w:jc w:val="center"/>
              <w:rPr>
                <w:rFonts w:hint="eastAsia" w:ascii="仿宋" w:hAnsi="仿宋" w:eastAsia="仿宋" w:cs="仿宋"/>
                <w:color w:val="auto"/>
                <w:sz w:val="24"/>
                <w:szCs w:val="24"/>
                <w:highlight w:val="none"/>
              </w:rPr>
            </w:pPr>
          </w:p>
        </w:tc>
      </w:tr>
      <w:tr w14:paraId="45C50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961" w:type="dxa"/>
            <w:vAlign w:val="center"/>
          </w:tcPr>
          <w:p w14:paraId="4D51CA3D">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15</w:t>
            </w:r>
          </w:p>
        </w:tc>
        <w:tc>
          <w:tcPr>
            <w:tcW w:w="2715" w:type="dxa"/>
            <w:vAlign w:val="center"/>
          </w:tcPr>
          <w:p w14:paraId="4A6001FF">
            <w:pPr>
              <w:spacing w:line="360" w:lineRule="auto"/>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4小时氧气瓶</w:t>
            </w:r>
          </w:p>
        </w:tc>
        <w:tc>
          <w:tcPr>
            <w:tcW w:w="2535" w:type="dxa"/>
            <w:shd w:val="clear" w:color="auto" w:fill="auto"/>
            <w:vAlign w:val="center"/>
          </w:tcPr>
          <w:p w14:paraId="21C29F36">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详见技术参数</w:t>
            </w:r>
          </w:p>
        </w:tc>
        <w:tc>
          <w:tcPr>
            <w:tcW w:w="1875" w:type="dxa"/>
            <w:vAlign w:val="center"/>
          </w:tcPr>
          <w:p w14:paraId="2141AF51">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只</w:t>
            </w:r>
          </w:p>
        </w:tc>
        <w:tc>
          <w:tcPr>
            <w:tcW w:w="1035" w:type="dxa"/>
            <w:vAlign w:val="center"/>
          </w:tcPr>
          <w:p w14:paraId="2D31CFCB">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w:t>
            </w:r>
          </w:p>
        </w:tc>
        <w:tc>
          <w:tcPr>
            <w:tcW w:w="840" w:type="dxa"/>
            <w:vAlign w:val="center"/>
          </w:tcPr>
          <w:p w14:paraId="4F90699A">
            <w:pPr>
              <w:spacing w:line="360" w:lineRule="auto"/>
              <w:jc w:val="center"/>
              <w:rPr>
                <w:rFonts w:hint="eastAsia" w:ascii="仿宋" w:hAnsi="仿宋" w:eastAsia="仿宋" w:cs="仿宋"/>
                <w:color w:val="auto"/>
                <w:sz w:val="24"/>
                <w:szCs w:val="24"/>
                <w:highlight w:val="none"/>
              </w:rPr>
            </w:pPr>
          </w:p>
        </w:tc>
      </w:tr>
      <w:tr w14:paraId="7D19D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961" w:type="dxa"/>
            <w:vAlign w:val="center"/>
          </w:tcPr>
          <w:p w14:paraId="552D5D25">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16</w:t>
            </w:r>
          </w:p>
        </w:tc>
        <w:tc>
          <w:tcPr>
            <w:tcW w:w="2715" w:type="dxa"/>
            <w:vAlign w:val="center"/>
          </w:tcPr>
          <w:p w14:paraId="5D6EFA91">
            <w:pPr>
              <w:spacing w:line="360" w:lineRule="auto"/>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氧气呼吸器校验仪</w:t>
            </w:r>
          </w:p>
        </w:tc>
        <w:tc>
          <w:tcPr>
            <w:tcW w:w="2535" w:type="dxa"/>
            <w:shd w:val="clear" w:color="auto" w:fill="auto"/>
            <w:vAlign w:val="center"/>
          </w:tcPr>
          <w:p w14:paraId="2368E113">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详见技术参数</w:t>
            </w:r>
          </w:p>
        </w:tc>
        <w:tc>
          <w:tcPr>
            <w:tcW w:w="1875" w:type="dxa"/>
            <w:vAlign w:val="center"/>
          </w:tcPr>
          <w:p w14:paraId="715F427F">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台</w:t>
            </w:r>
          </w:p>
        </w:tc>
        <w:tc>
          <w:tcPr>
            <w:tcW w:w="1035" w:type="dxa"/>
            <w:vAlign w:val="center"/>
          </w:tcPr>
          <w:p w14:paraId="64029C68">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840" w:type="dxa"/>
            <w:vAlign w:val="center"/>
          </w:tcPr>
          <w:p w14:paraId="06FC1BA6">
            <w:pPr>
              <w:spacing w:line="360" w:lineRule="auto"/>
              <w:jc w:val="center"/>
              <w:rPr>
                <w:rFonts w:hint="eastAsia" w:ascii="仿宋" w:hAnsi="仿宋" w:eastAsia="仿宋" w:cs="仿宋"/>
                <w:color w:val="auto"/>
                <w:sz w:val="24"/>
                <w:szCs w:val="24"/>
                <w:highlight w:val="none"/>
              </w:rPr>
            </w:pPr>
          </w:p>
        </w:tc>
      </w:tr>
      <w:tr w14:paraId="352DF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961" w:type="dxa"/>
            <w:vAlign w:val="center"/>
          </w:tcPr>
          <w:p w14:paraId="14D35227">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17</w:t>
            </w:r>
          </w:p>
        </w:tc>
        <w:tc>
          <w:tcPr>
            <w:tcW w:w="2715" w:type="dxa"/>
            <w:vAlign w:val="center"/>
          </w:tcPr>
          <w:p w14:paraId="60919A3B">
            <w:pPr>
              <w:spacing w:line="360" w:lineRule="auto"/>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氧气便携仪</w:t>
            </w:r>
          </w:p>
        </w:tc>
        <w:tc>
          <w:tcPr>
            <w:tcW w:w="2535" w:type="dxa"/>
            <w:shd w:val="clear" w:color="auto" w:fill="auto"/>
            <w:vAlign w:val="center"/>
          </w:tcPr>
          <w:p w14:paraId="69ECD4B2">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详见技术参数</w:t>
            </w:r>
          </w:p>
        </w:tc>
        <w:tc>
          <w:tcPr>
            <w:tcW w:w="1875" w:type="dxa"/>
            <w:vAlign w:val="center"/>
          </w:tcPr>
          <w:p w14:paraId="69E2CEA4">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台</w:t>
            </w:r>
          </w:p>
        </w:tc>
        <w:tc>
          <w:tcPr>
            <w:tcW w:w="1035" w:type="dxa"/>
            <w:vAlign w:val="center"/>
          </w:tcPr>
          <w:p w14:paraId="42998B45">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840" w:type="dxa"/>
            <w:vAlign w:val="center"/>
          </w:tcPr>
          <w:p w14:paraId="1F03FDAF">
            <w:pPr>
              <w:spacing w:line="360" w:lineRule="auto"/>
              <w:jc w:val="center"/>
              <w:rPr>
                <w:rFonts w:hint="eastAsia" w:ascii="仿宋" w:hAnsi="仿宋" w:eastAsia="仿宋" w:cs="仿宋"/>
                <w:color w:val="auto"/>
                <w:sz w:val="24"/>
                <w:szCs w:val="24"/>
                <w:highlight w:val="none"/>
              </w:rPr>
            </w:pPr>
          </w:p>
        </w:tc>
      </w:tr>
      <w:tr w14:paraId="7099E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961" w:type="dxa"/>
            <w:vAlign w:val="center"/>
          </w:tcPr>
          <w:p w14:paraId="408C5622">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18</w:t>
            </w:r>
          </w:p>
        </w:tc>
        <w:tc>
          <w:tcPr>
            <w:tcW w:w="2715" w:type="dxa"/>
            <w:vAlign w:val="center"/>
          </w:tcPr>
          <w:p w14:paraId="373AF04B">
            <w:pPr>
              <w:spacing w:line="360" w:lineRule="auto"/>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多参数气体检测仪</w:t>
            </w:r>
          </w:p>
        </w:tc>
        <w:tc>
          <w:tcPr>
            <w:tcW w:w="2535" w:type="dxa"/>
            <w:shd w:val="clear" w:color="auto" w:fill="auto"/>
            <w:vAlign w:val="center"/>
          </w:tcPr>
          <w:p w14:paraId="3E6D7F87">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详见技术参数</w:t>
            </w:r>
          </w:p>
        </w:tc>
        <w:tc>
          <w:tcPr>
            <w:tcW w:w="1875" w:type="dxa"/>
            <w:vAlign w:val="center"/>
          </w:tcPr>
          <w:p w14:paraId="583BBBE5">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台</w:t>
            </w:r>
          </w:p>
        </w:tc>
        <w:tc>
          <w:tcPr>
            <w:tcW w:w="1035" w:type="dxa"/>
            <w:vAlign w:val="center"/>
          </w:tcPr>
          <w:p w14:paraId="2865BD4E">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w:t>
            </w:r>
          </w:p>
        </w:tc>
        <w:tc>
          <w:tcPr>
            <w:tcW w:w="840" w:type="dxa"/>
            <w:vAlign w:val="center"/>
          </w:tcPr>
          <w:p w14:paraId="132525FB">
            <w:pPr>
              <w:spacing w:line="360" w:lineRule="auto"/>
              <w:jc w:val="center"/>
              <w:rPr>
                <w:rFonts w:hint="eastAsia" w:ascii="仿宋" w:hAnsi="仿宋" w:eastAsia="仿宋" w:cs="仿宋"/>
                <w:color w:val="auto"/>
                <w:sz w:val="24"/>
                <w:szCs w:val="24"/>
                <w:highlight w:val="none"/>
              </w:rPr>
            </w:pPr>
          </w:p>
        </w:tc>
      </w:tr>
      <w:tr w14:paraId="298F4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961" w:type="dxa"/>
            <w:vAlign w:val="center"/>
          </w:tcPr>
          <w:p w14:paraId="73F51EEF">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19</w:t>
            </w:r>
          </w:p>
        </w:tc>
        <w:tc>
          <w:tcPr>
            <w:tcW w:w="2715" w:type="dxa"/>
            <w:vAlign w:val="center"/>
          </w:tcPr>
          <w:p w14:paraId="56E9935E">
            <w:pPr>
              <w:spacing w:line="360" w:lineRule="auto"/>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自救器</w:t>
            </w:r>
          </w:p>
        </w:tc>
        <w:tc>
          <w:tcPr>
            <w:tcW w:w="2535" w:type="dxa"/>
            <w:shd w:val="clear" w:color="auto" w:fill="auto"/>
            <w:vAlign w:val="center"/>
          </w:tcPr>
          <w:p w14:paraId="01BB31A4">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详见技术参数</w:t>
            </w:r>
          </w:p>
        </w:tc>
        <w:tc>
          <w:tcPr>
            <w:tcW w:w="1875" w:type="dxa"/>
            <w:vAlign w:val="center"/>
          </w:tcPr>
          <w:p w14:paraId="69C076C2">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台</w:t>
            </w:r>
          </w:p>
        </w:tc>
        <w:tc>
          <w:tcPr>
            <w:tcW w:w="1035" w:type="dxa"/>
            <w:vAlign w:val="center"/>
          </w:tcPr>
          <w:p w14:paraId="3315A308">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50</w:t>
            </w:r>
          </w:p>
        </w:tc>
        <w:tc>
          <w:tcPr>
            <w:tcW w:w="840" w:type="dxa"/>
            <w:vAlign w:val="center"/>
          </w:tcPr>
          <w:p w14:paraId="347F429B">
            <w:pPr>
              <w:spacing w:line="360" w:lineRule="auto"/>
              <w:jc w:val="center"/>
              <w:rPr>
                <w:rFonts w:hint="eastAsia" w:ascii="仿宋" w:hAnsi="仿宋" w:eastAsia="仿宋" w:cs="仿宋"/>
                <w:color w:val="auto"/>
                <w:sz w:val="24"/>
                <w:szCs w:val="24"/>
                <w:highlight w:val="none"/>
              </w:rPr>
            </w:pPr>
          </w:p>
        </w:tc>
      </w:tr>
      <w:tr w14:paraId="0DC8D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961" w:type="dxa"/>
            <w:vAlign w:val="center"/>
          </w:tcPr>
          <w:p w14:paraId="447A60D2">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20</w:t>
            </w:r>
          </w:p>
        </w:tc>
        <w:tc>
          <w:tcPr>
            <w:tcW w:w="2715" w:type="dxa"/>
            <w:vAlign w:val="center"/>
          </w:tcPr>
          <w:p w14:paraId="588186BA">
            <w:pPr>
              <w:spacing w:line="360" w:lineRule="auto"/>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瓦检器</w:t>
            </w:r>
          </w:p>
        </w:tc>
        <w:tc>
          <w:tcPr>
            <w:tcW w:w="2535" w:type="dxa"/>
            <w:shd w:val="clear" w:color="auto" w:fill="auto"/>
            <w:vAlign w:val="center"/>
          </w:tcPr>
          <w:p w14:paraId="3A3BEA61">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详见技术参数</w:t>
            </w:r>
          </w:p>
        </w:tc>
        <w:tc>
          <w:tcPr>
            <w:tcW w:w="1875" w:type="dxa"/>
            <w:vAlign w:val="center"/>
          </w:tcPr>
          <w:p w14:paraId="2455E1AB">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台</w:t>
            </w:r>
          </w:p>
        </w:tc>
        <w:tc>
          <w:tcPr>
            <w:tcW w:w="1035" w:type="dxa"/>
            <w:vAlign w:val="center"/>
          </w:tcPr>
          <w:p w14:paraId="6EFC1FB2">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840" w:type="dxa"/>
            <w:vAlign w:val="center"/>
          </w:tcPr>
          <w:p w14:paraId="6926E398">
            <w:pPr>
              <w:spacing w:line="360" w:lineRule="auto"/>
              <w:jc w:val="center"/>
              <w:rPr>
                <w:rFonts w:hint="eastAsia" w:ascii="仿宋" w:hAnsi="仿宋" w:eastAsia="仿宋" w:cs="仿宋"/>
                <w:color w:val="auto"/>
                <w:sz w:val="24"/>
                <w:szCs w:val="24"/>
                <w:highlight w:val="none"/>
              </w:rPr>
            </w:pPr>
          </w:p>
        </w:tc>
      </w:tr>
    </w:tbl>
    <w:p w14:paraId="673B7191">
      <w:pPr>
        <w:spacing w:line="360" w:lineRule="auto"/>
        <w:ind w:left="479" w:leftChars="228" w:firstLine="0" w:firstLineChars="0"/>
        <w:jc w:val="left"/>
        <w:rPr>
          <w:rFonts w:hint="default" w:ascii="仿宋" w:hAnsi="仿宋" w:eastAsia="仿宋" w:cs="Times New Roman"/>
          <w:b/>
          <w:bCs/>
          <w:color w:val="auto"/>
          <w:sz w:val="24"/>
          <w:szCs w:val="24"/>
          <w:highlight w:val="none"/>
          <w:lang w:val="en-US" w:eastAsia="zh-CN"/>
        </w:rPr>
      </w:pPr>
      <w:r>
        <w:rPr>
          <w:rFonts w:hint="eastAsia" w:ascii="Calibri" w:hAnsi="Calibri" w:eastAsia="仿宋" w:cs="Times New Roman"/>
          <w:color w:val="auto"/>
          <w:sz w:val="24"/>
          <w:szCs w:val="24"/>
          <w:highlight w:val="none"/>
          <w:lang w:val="en-US" w:eastAsia="zh-CN"/>
        </w:rPr>
        <w:t>提供相同品牌产品（非单一产品采购项目，系指采购人确定的核心产品）且通过资格审查、符合性审查的不同投标人参加同一合同项下投标的，按一家投标人计算，评审后得分最高的同品牌投标人获得中标人推荐资格；评审得分相同的，由采购人或者采购人委托评标委员会采取随机抽取的方式确定一个投标人获得中标人推荐资格，其他同品牌投标人不作为中标候选人。</w:t>
      </w:r>
    </w:p>
    <w:p w14:paraId="3C54787B">
      <w:pPr>
        <w:rPr>
          <w:rFonts w:hint="eastAsia" w:eastAsia="宋体" w:cs="Times New Roman"/>
          <w:b/>
          <w:color w:val="auto"/>
          <w:sz w:val="32"/>
          <w:szCs w:val="32"/>
          <w:highlight w:val="none"/>
        </w:rPr>
      </w:pPr>
      <w:r>
        <w:rPr>
          <w:rFonts w:hint="eastAsia" w:eastAsia="宋体" w:cs="Times New Roman"/>
          <w:b/>
          <w:color w:val="auto"/>
          <w:sz w:val="32"/>
          <w:szCs w:val="32"/>
          <w:highlight w:val="none"/>
        </w:rPr>
        <w:br w:type="page"/>
      </w:r>
    </w:p>
    <w:p w14:paraId="755E1C70">
      <w:pPr>
        <w:jc w:val="center"/>
        <w:rPr>
          <w:rFonts w:hint="eastAsia" w:eastAsia="宋体" w:cs="Times New Roman"/>
          <w:b/>
          <w:color w:val="auto"/>
          <w:sz w:val="32"/>
          <w:szCs w:val="32"/>
          <w:highlight w:val="none"/>
        </w:rPr>
      </w:pPr>
    </w:p>
    <w:p w14:paraId="2AB626B1">
      <w:pPr>
        <w:numPr>
          <w:ilvl w:val="0"/>
          <w:numId w:val="3"/>
        </w:numPr>
        <w:bidi w:val="0"/>
        <w:spacing w:line="360" w:lineRule="auto"/>
        <w:ind w:firstLine="0" w:firstLineChars="0"/>
        <w:jc w:val="left"/>
        <w:outlineLvl w:val="2"/>
        <w:rPr>
          <w:rFonts w:hint="eastAsia" w:ascii="楷体" w:hAnsi="楷体" w:eastAsia="楷体" w:cs="Times New Roman"/>
          <w:color w:val="auto"/>
          <w:sz w:val="28"/>
          <w:szCs w:val="28"/>
          <w:highlight w:val="none"/>
          <w:lang w:val="en-US" w:eastAsia="zh-CN"/>
        </w:rPr>
      </w:pPr>
      <w:bookmarkStart w:id="119" w:name="_Toc3740"/>
      <w:r>
        <w:rPr>
          <w:rFonts w:hint="eastAsia" w:ascii="楷体" w:hAnsi="楷体" w:eastAsia="楷体" w:cs="Times New Roman"/>
          <w:color w:val="auto"/>
          <w:sz w:val="28"/>
          <w:szCs w:val="28"/>
          <w:highlight w:val="none"/>
          <w:lang w:val="en-US" w:eastAsia="zh-CN"/>
        </w:rPr>
        <w:t>技术参数</w:t>
      </w:r>
      <w:bookmarkEnd w:id="119"/>
    </w:p>
    <w:tbl>
      <w:tblPr>
        <w:tblStyle w:val="15"/>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69"/>
        <w:gridCol w:w="1355"/>
        <w:gridCol w:w="1276"/>
        <w:gridCol w:w="4654"/>
        <w:gridCol w:w="456"/>
        <w:gridCol w:w="525"/>
      </w:tblGrid>
      <w:tr w14:paraId="7EA7D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FDEA4">
            <w:pPr>
              <w:jc w:val="center"/>
              <w:rPr>
                <w:rFonts w:hint="default" w:ascii="CESI楷体-GB2312" w:hAnsi="CESI楷体-GB2312" w:eastAsia="CESI楷体-GB2312" w:cs="CESI楷体-GB2312"/>
                <w:i w:val="0"/>
                <w:iCs w:val="0"/>
                <w:color w:val="000000"/>
                <w:sz w:val="24"/>
                <w:szCs w:val="24"/>
                <w:u w:val="none"/>
              </w:rPr>
            </w:pPr>
            <w:r>
              <w:rPr>
                <w:rFonts w:hint="default" w:ascii="CESI楷体-GB2312" w:hAnsi="CESI楷体-GB2312" w:eastAsia="CESI楷体-GB2312" w:cs="CESI楷体-GB2312"/>
                <w:i w:val="0"/>
                <w:iCs w:val="0"/>
                <w:color w:val="000000"/>
                <w:kern w:val="0"/>
                <w:sz w:val="24"/>
                <w:szCs w:val="24"/>
                <w:u w:val="none"/>
                <w:lang w:val="en-US" w:eastAsia="zh-CN" w:bidi="ar"/>
              </w:rPr>
              <w:t>单位：阿克苏地区应急管理局</w:t>
            </w:r>
          </w:p>
        </w:tc>
      </w:tr>
      <w:tr w14:paraId="38F80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FAF0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B655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装备类型</w:t>
            </w:r>
          </w:p>
        </w:tc>
        <w:tc>
          <w:tcPr>
            <w:tcW w:w="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7B24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装备名称</w:t>
            </w:r>
          </w:p>
        </w:tc>
        <w:tc>
          <w:tcPr>
            <w:tcW w:w="2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F2D1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技术参数</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7AEE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03A4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r>
      <w:tr w14:paraId="299A9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BC19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B7CF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个人防护套装</w:t>
            </w:r>
          </w:p>
        </w:tc>
        <w:tc>
          <w:tcPr>
            <w:tcW w:w="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E19F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隔热服</w:t>
            </w:r>
          </w:p>
        </w:tc>
        <w:tc>
          <w:tcPr>
            <w:tcW w:w="2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940B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▲1、符合XF634-2015《消防隔热防护服》标准要求；(提供相关证明材料)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2、组成：包括隔热上衣、隔热裤、隔热头罩（带头盔）、隔热手套以及隔热脚套等；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3、材质：由外层、隔热层、舒适层等多层织物缝制而成、外层采用新型耐热纤维以特殊镀铝处理，衬里为天然纤维织物；</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4、耐高温性能：经180℃高温，经5min后，无碳化、熔融和滴落现象，视窗无明显变形和损坏现象；</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5、能防护≥500℃的辐射热；</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6、永久性标签包括：型号、规格；生产厂名称或商标；生产厂识别编号、制造时间。</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75CE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79F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r>
      <w:tr w14:paraId="0CAF5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0"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F9FB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9978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矿用潜水泵</w:t>
            </w:r>
          </w:p>
        </w:tc>
        <w:tc>
          <w:tcPr>
            <w:tcW w:w="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52D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高扬程水泵</w:t>
            </w:r>
          </w:p>
        </w:tc>
        <w:tc>
          <w:tcPr>
            <w:tcW w:w="2520" w:type="pct"/>
            <w:tcBorders>
              <w:top w:val="single" w:color="000000" w:sz="4" w:space="0"/>
              <w:left w:val="single" w:color="000000" w:sz="4" w:space="0"/>
              <w:bottom w:val="single" w:color="000000" w:sz="4" w:space="0"/>
              <w:right w:val="single" w:color="000000" w:sz="4" w:space="0"/>
            </w:tcBorders>
            <w:shd w:val="clear" w:color="auto" w:fill="auto"/>
            <w:vAlign w:val="top"/>
          </w:tcPr>
          <w:p w14:paraId="208798CE">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（一）水泵参数：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1、流量≥200m</w:t>
            </w:r>
            <w:r>
              <w:rPr>
                <w:rStyle w:val="36"/>
                <w:rFonts w:hint="eastAsia" w:ascii="仿宋" w:hAnsi="仿宋" w:eastAsia="仿宋" w:cs="仿宋"/>
                <w:sz w:val="24"/>
                <w:szCs w:val="24"/>
                <w:lang w:val="en-US" w:eastAsia="zh-CN" w:bidi="ar"/>
              </w:rPr>
              <w:t>³</w:t>
            </w:r>
            <w:r>
              <w:rPr>
                <w:rFonts w:hint="eastAsia" w:ascii="仿宋" w:hAnsi="仿宋" w:eastAsia="仿宋" w:cs="仿宋"/>
                <w:i w:val="0"/>
                <w:iCs w:val="0"/>
                <w:color w:val="000000"/>
                <w:kern w:val="0"/>
                <w:sz w:val="24"/>
                <w:szCs w:val="24"/>
                <w:u w:val="none"/>
                <w:lang w:val="en-US" w:eastAsia="zh-CN" w:bidi="ar"/>
              </w:rPr>
              <w:t>/h；</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2、扬程≥200m；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3、额定电压：660V/1140V；</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4、额定功率：≥220kW；</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5、出水连接：DN150mm，自带止回阀；</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6、主要部件材质：叶轮、导叶材质为球墨铸铁；泵轴为轴钢；</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7、运行方式：可立、卧、斜三种运行方式，最大潜没深度≥7m；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▲8、产品需提供矿用产品安全标志证和防爆合格证；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（二）软起动参数：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9、工作电源：</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控制器交流工作电压输入范围：AC220V；</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频率：50Hz，允许偏差±1Hz；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（三）电缆参数：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10、长度：≥200米；</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11、阻燃性能满足MT818-2009要求；</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12、配备200米高压水管，直径≥10cm，承压4.5MPa。</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0ADA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E8C8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4F4A1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B3BC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7717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快速密闭装置</w:t>
            </w:r>
          </w:p>
        </w:tc>
        <w:tc>
          <w:tcPr>
            <w:tcW w:w="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AEE5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快速密闭</w:t>
            </w:r>
          </w:p>
        </w:tc>
        <w:tc>
          <w:tcPr>
            <w:tcW w:w="2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5582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1、用于煤矿井下巷道发生火灾时，快速营建临时密闭，以及对原密闭、煤壁、岩、顶板、裂隙进行快速封堵，加固密封的作用，还适用建筑行业的防水及保温工程；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2、内胆正常工作压力不小于10KPa，设计最大压力为0.2MPa；</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3、材质：橡胶材料；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4、包装清单：按需定做气囊、打气筒、气管。</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C939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3DE0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r>
      <w:tr w14:paraId="1247C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0"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3E08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C3DA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破拆工具套装</w:t>
            </w:r>
          </w:p>
        </w:tc>
        <w:tc>
          <w:tcPr>
            <w:tcW w:w="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C1A9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破拆工具套装</w:t>
            </w:r>
          </w:p>
        </w:tc>
        <w:tc>
          <w:tcPr>
            <w:tcW w:w="2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38AE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整套工具包括：凿子、钎子、冲杆等8件套（各2样）；</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1、冲击杆:长度≥645mm，直径≥40mm；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2、金属切割器：长度≥310mm；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3、长扁凿：长度≥460mm；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4、短扁凿：长度≥270mm；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5、长尖凿：长度≥480mm；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6、短尖凿：长度≥280mm；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7、破锁拔钉锤：长度≥310mm，重量≤10磅；</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8、平凿：长度≥460mm；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▲9、材质：以镍铝为原料。</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C8CD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7583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14:paraId="488EB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0"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7FAE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99CE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支护设备套装</w:t>
            </w:r>
          </w:p>
        </w:tc>
        <w:tc>
          <w:tcPr>
            <w:tcW w:w="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74D9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支护设备套装</w:t>
            </w:r>
          </w:p>
        </w:tc>
        <w:tc>
          <w:tcPr>
            <w:tcW w:w="2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319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选用高强度铝镁合金和优质钢材制成。</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（一）液压起重器：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1、数量：3台；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▲2、额定起重量：≥20吨；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3、最初起升高度：≥30mm；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4、最大起升高度：≥250mm；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（二）千斤顶：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5、数量：4台；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▲6、起重量：≥20吨；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7、最高高度：≥270mm；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8、本体高度：≤500mm。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（三）千斤顶：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9、数量：3台；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▲10、起重量：≥10吨；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11、最高高度：≥270mm；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12、本体高度：≤500mm。</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FC27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B280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r>
      <w:tr w14:paraId="13042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0"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8572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3732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生命探测仪</w:t>
            </w:r>
          </w:p>
        </w:tc>
        <w:tc>
          <w:tcPr>
            <w:tcW w:w="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4DD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热成像仪</w:t>
            </w:r>
          </w:p>
        </w:tc>
        <w:tc>
          <w:tcPr>
            <w:tcW w:w="2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33C8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▲1、温度范围：≥-30~650℃/℉；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2、基本精度：±2%；</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3、分 辨 率：0.1℃；</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4、显示方式：≥3.5英寸全视角TFT显示屏；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5、红外热图像分辨率：≥256x192；</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6、功耗：≤500mW；</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7、视场角：≥56°×42.2°；</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▲8、防爆标志：Ex ia I Ma；</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9、安全认证：煤安证、矿安证、防爆合格证、检验报告等；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10、提供生产厂家针对本项目加盖公章的售后服务承诺函。</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B4ED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6936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34845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9"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A9E1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7BF9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便携式气相色谱仪</w:t>
            </w:r>
          </w:p>
        </w:tc>
        <w:tc>
          <w:tcPr>
            <w:tcW w:w="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BF1F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气体分析化验设备</w:t>
            </w:r>
          </w:p>
        </w:tc>
        <w:tc>
          <w:tcPr>
            <w:tcW w:w="2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9786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▲1、采用色谱法检测必须满足O2、CO、CO2、C2H2、C2H4、CH4、C2H6、H2、C3H8、H2S、C4H10、N2等12个组份的检测分析指标;</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▲2、主机显示屏具有显示十二种气体色谱图功能；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▲3、基本误差满足以下要求；</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CH4甲烷：(0.00～1.00)%：±0.05%；</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O2氧气：(0.0～25.0)%：±0.5%；</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CO一氧化碳：(0～0.01)%：±0.0002%；</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C2H6乙烷：(0～0.01)%：±0.0002%；</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C2H4乙烯：(0～0.0002)%：±0.00005%；</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C2H2乙炔：(0～0.0002)%：±0.00005%；</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H2氢气：(0～0.01)%：±0.0002%；</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C3H8丙烷：(0～0.01)%：±0.0002%；</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C4H10丁烷：(0～0.01)%：±0.0002%；</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H2S硫化氢：(0～0.01)%：±0.0002%；</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▲4、测量范围：</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CO：0～100%、CO2：0～100%、O2：0～100%、CH4：0～100%、C2H4：0～100%、C2H6：0～100%、C2H2：0～100%、C3H8：0～100%、C4H10：0～100%、H2S：0～0.1%、H2：0～10%；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▲5、具有《矿用产品安全标志证书》，适合井下工作;自带载气气瓶，自带大屏幕显示器，自带可充电锂电池，不需要任何外接设备采用现场直接取样，快速分析，当场检出监测结果，无需其它采样设备；</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6、非破坏性检测，可对待测气体进行二次分析、化验，检测；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▲7、分离度：R≥1.5；提供安标型式检验报告；</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▲8、灵敏度：应不小于10000mV.mL/mg（甲烷）（提供安标型式检验报告）；</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9、煤矿用气体分析数据处理系统，内置爆炸三角形、四方图等分析系统；</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10、提供生产厂家针对本项目加盖公章的售后服务承诺函。</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E38C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A83D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29547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0" w:hRule="atLeast"/>
        </w:trPr>
        <w:tc>
          <w:tcPr>
            <w:tcW w:w="52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636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734" w:type="pct"/>
            <w:vMerge w:val="restart"/>
            <w:tcBorders>
              <w:top w:val="single" w:color="000000" w:sz="4" w:space="0"/>
              <w:left w:val="single" w:color="000000" w:sz="4" w:space="0"/>
              <w:bottom w:val="nil"/>
              <w:right w:val="single" w:color="000000" w:sz="4" w:space="0"/>
            </w:tcBorders>
            <w:shd w:val="clear" w:color="auto" w:fill="auto"/>
            <w:noWrap/>
            <w:vAlign w:val="center"/>
          </w:tcPr>
          <w:p w14:paraId="61B9192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矿山救援</w:t>
            </w:r>
          </w:p>
        </w:tc>
        <w:tc>
          <w:tcPr>
            <w:tcW w:w="691" w:type="pct"/>
            <w:vMerge w:val="restart"/>
            <w:tcBorders>
              <w:top w:val="single" w:color="000000" w:sz="4" w:space="0"/>
              <w:left w:val="single" w:color="000000" w:sz="4" w:space="0"/>
              <w:bottom w:val="nil"/>
              <w:right w:val="single" w:color="000000" w:sz="4" w:space="0"/>
            </w:tcBorders>
            <w:shd w:val="clear" w:color="auto" w:fill="auto"/>
            <w:vAlign w:val="center"/>
          </w:tcPr>
          <w:p w14:paraId="319A782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四小时氧气呼吸器</w:t>
            </w:r>
          </w:p>
        </w:tc>
        <w:tc>
          <w:tcPr>
            <w:tcW w:w="2520"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278B1B41">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▲1.呼吸器额定防护时间：30L/min时≥240min；</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▲2.符合MT/T 867-2000《隔绝式正压氧气呼吸器》国家标准，取得矿用产品安全标志证书，提供安标检验报告。</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▲3.电子报警器：与呼吸器为同一厂家生产，属于呼吸器主要元部件，体现在呼吸器安标检验报告中。并且电子报警器取得矿用产品安全标志证书和防爆合格证。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▲4.呼吸器采用仓式结构；</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5.冷却系统：环状冷却芯，置于呼吸仓内；</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▲6.吸气中氧气浓度≥61.60%；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▲7.吸气中二氧化碳浓度：30L/min时≤0.95%；50L/min 时≤0.92%；</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▲8.吸气温度：环境温度为（26±2）℃时应≤33.8℃；环境温度为（40±2）℃时，应≤34.8℃；</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▲9.气瓶符合GB5099规定，气瓶容积≥2.7L；</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▲10.呼气阻力：30L/min 时≤425Pa；50L/min 时≤455Pa；</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▲11.吸气阻力：30L/min 时≤335Pa；</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▲12.定量供氧：气瓶压力为（20～2）MPa时≤1.55L/min；</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▲13.自动补给供氧量：气瓶压力为（20-5）MPa时≤88L/min；手动补给供氧量：气瓶压力为（20-5）MPa时≤90L/min；</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14.呼、吸气阀的通气阻力：≤10Pa；</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15.呼、吸气阀的逆向漏气量≤0.1L/min；</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▲16.呼吸仓有效容积≥5.6L；</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17.呼吸导管永久变形量：≤2.8%；</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▲18.冷却器通气阻力：≤0Pa；</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19.限流装置：具有单向限流装置，可自动控制泄漏量在一定范围内，确保呼吸器使用时间；</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20.减压器出口流量:≥105L/min;</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21.自动补给阀开启压力：≤160Pa；</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22.排气阀开启压力：≥500Pa；</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23.当（4～6）MPa 时，应发出余压报警，声级强度≥79dB(A)，报警时间≥45s；</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▲24.电子报警器：具有蓝牙无线传输功能，具有压力显示、电池电量显示、剩余使用时间显示、环境温度显示等功能，具有一键报警功能。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25.呼吸器无需工具可徒手拆装维护保养；</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26.二氧化碳吸收剂质量：≥1.8Kg;</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27.产品结构重量≤12Kg（含冷却芯、冷却液）；</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28.使用重量：≤14Kg；</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29.外形尺寸：≤526mm×386mm×176mm；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30.提供矿用产品安全标志证书及安标检测报告并加盖生产厂家公章，提供产品检测报告及厂家售后服务承诺函。</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D2F1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27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17A2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r>
      <w:tr w14:paraId="1FA4A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0" w:hRule="atLeast"/>
        </w:trPr>
        <w:tc>
          <w:tcPr>
            <w:tcW w:w="52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A02FC">
            <w:pPr>
              <w:jc w:val="center"/>
              <w:rPr>
                <w:rFonts w:hint="eastAsia" w:ascii="仿宋" w:hAnsi="仿宋" w:eastAsia="仿宋" w:cs="仿宋"/>
                <w:i w:val="0"/>
                <w:iCs w:val="0"/>
                <w:color w:val="000000"/>
                <w:sz w:val="24"/>
                <w:szCs w:val="24"/>
                <w:u w:val="none"/>
              </w:rPr>
            </w:pPr>
          </w:p>
        </w:tc>
        <w:tc>
          <w:tcPr>
            <w:tcW w:w="734" w:type="pct"/>
            <w:vMerge w:val="continue"/>
            <w:tcBorders>
              <w:top w:val="single" w:color="000000" w:sz="4" w:space="0"/>
              <w:left w:val="single" w:color="000000" w:sz="4" w:space="0"/>
              <w:bottom w:val="nil"/>
              <w:right w:val="single" w:color="000000" w:sz="4" w:space="0"/>
            </w:tcBorders>
            <w:shd w:val="clear" w:color="auto" w:fill="auto"/>
            <w:noWrap/>
            <w:vAlign w:val="center"/>
          </w:tcPr>
          <w:p w14:paraId="02D49847">
            <w:pPr>
              <w:jc w:val="center"/>
              <w:rPr>
                <w:rFonts w:hint="eastAsia" w:ascii="仿宋" w:hAnsi="仿宋" w:eastAsia="仿宋" w:cs="仿宋"/>
                <w:i w:val="0"/>
                <w:iCs w:val="0"/>
                <w:color w:val="000000"/>
                <w:sz w:val="24"/>
                <w:szCs w:val="24"/>
                <w:u w:val="none"/>
              </w:rPr>
            </w:pPr>
          </w:p>
        </w:tc>
        <w:tc>
          <w:tcPr>
            <w:tcW w:w="691" w:type="pct"/>
            <w:vMerge w:val="continue"/>
            <w:tcBorders>
              <w:top w:val="single" w:color="000000" w:sz="4" w:space="0"/>
              <w:left w:val="single" w:color="000000" w:sz="4" w:space="0"/>
              <w:bottom w:val="nil"/>
              <w:right w:val="single" w:color="000000" w:sz="4" w:space="0"/>
            </w:tcBorders>
            <w:shd w:val="clear" w:color="auto" w:fill="auto"/>
            <w:vAlign w:val="center"/>
          </w:tcPr>
          <w:p w14:paraId="1611ED6F">
            <w:pPr>
              <w:jc w:val="center"/>
              <w:rPr>
                <w:rFonts w:hint="eastAsia" w:ascii="仿宋" w:hAnsi="仿宋" w:eastAsia="仿宋" w:cs="仿宋"/>
                <w:i w:val="0"/>
                <w:iCs w:val="0"/>
                <w:color w:val="000000"/>
                <w:sz w:val="24"/>
                <w:szCs w:val="24"/>
                <w:u w:val="none"/>
              </w:rPr>
            </w:pPr>
          </w:p>
        </w:tc>
        <w:tc>
          <w:tcPr>
            <w:tcW w:w="252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6E3F698">
            <w:pPr>
              <w:jc w:val="left"/>
              <w:rPr>
                <w:rFonts w:hint="eastAsia" w:ascii="仿宋" w:hAnsi="仿宋" w:eastAsia="仿宋" w:cs="仿宋"/>
                <w:i w:val="0"/>
                <w:iCs w:val="0"/>
                <w:color w:val="000000"/>
                <w:sz w:val="24"/>
                <w:szCs w:val="24"/>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B5388">
            <w:pPr>
              <w:jc w:val="center"/>
              <w:rPr>
                <w:rFonts w:hint="eastAsia" w:ascii="仿宋" w:hAnsi="仿宋" w:eastAsia="仿宋" w:cs="仿宋"/>
                <w:i w:val="0"/>
                <w:iCs w:val="0"/>
                <w:color w:val="000000"/>
                <w:sz w:val="24"/>
                <w:szCs w:val="24"/>
                <w:u w:val="none"/>
              </w:rPr>
            </w:pPr>
          </w:p>
        </w:tc>
        <w:tc>
          <w:tcPr>
            <w:tcW w:w="2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1C969">
            <w:pPr>
              <w:jc w:val="center"/>
              <w:rPr>
                <w:rFonts w:hint="eastAsia" w:ascii="仿宋" w:hAnsi="仿宋" w:eastAsia="仿宋" w:cs="仿宋"/>
                <w:i w:val="0"/>
                <w:iCs w:val="0"/>
                <w:color w:val="000000"/>
                <w:sz w:val="24"/>
                <w:szCs w:val="24"/>
                <w:u w:val="none"/>
              </w:rPr>
            </w:pPr>
          </w:p>
        </w:tc>
      </w:tr>
      <w:tr w14:paraId="41A6E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0"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65FD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A802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矿山救援</w:t>
            </w:r>
          </w:p>
        </w:tc>
        <w:tc>
          <w:tcPr>
            <w:tcW w:w="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D3FF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苏生器</w:t>
            </w:r>
          </w:p>
        </w:tc>
        <w:tc>
          <w:tcPr>
            <w:tcW w:w="2520" w:type="pct"/>
            <w:tcBorders>
              <w:top w:val="single" w:color="000000" w:sz="4" w:space="0"/>
              <w:left w:val="single" w:color="000000" w:sz="4" w:space="0"/>
              <w:bottom w:val="single" w:color="000000" w:sz="4" w:space="0"/>
              <w:right w:val="single" w:color="000000" w:sz="4" w:space="0"/>
            </w:tcBorders>
            <w:shd w:val="clear" w:color="auto" w:fill="auto"/>
            <w:vAlign w:val="top"/>
          </w:tcPr>
          <w:p w14:paraId="05C4BC10">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仪器的特点是体和小、重量轻、操作简单、性能可靠，携带方便，特别适于灾难事故现场、煤矿井下救护，也适用于石化冶金、矿山等工矿企业的抢险救护和医疗单位外出急救及护送伤员中使用。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主要技术参数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1.氧气瓶工作压力:≥20MPa</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2.氧气瓶容积:≥1L</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3、自动肺换气量调整范围：12L/min~2 5.5L/min</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充气压力：1.96KPa~2.54KPa</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抽气压力：-1.47KPa~-1.96KPa</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4、自主呼吸供气量：&gt; 15L/min</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5、吸痰引射压力：≤-60KPa</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6、仪器净重：≤8Kg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▲7.仪器体积：≤390×280×180mm</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2B04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7158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r>
      <w:tr w14:paraId="69CF6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E234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5076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矿山救援</w:t>
            </w:r>
          </w:p>
        </w:tc>
        <w:tc>
          <w:tcPr>
            <w:tcW w:w="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D51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救援三脚架</w:t>
            </w:r>
          </w:p>
        </w:tc>
        <w:tc>
          <w:tcPr>
            <w:tcW w:w="2520" w:type="pct"/>
            <w:tcBorders>
              <w:top w:val="single" w:color="000000" w:sz="4" w:space="0"/>
              <w:left w:val="single" w:color="000000" w:sz="4" w:space="0"/>
              <w:bottom w:val="single" w:color="000000" w:sz="4" w:space="0"/>
              <w:right w:val="single" w:color="000000" w:sz="4" w:space="0"/>
            </w:tcBorders>
            <w:shd w:val="clear" w:color="auto" w:fill="auto"/>
            <w:vAlign w:val="top"/>
          </w:tcPr>
          <w:p w14:paraId="089224D0">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1、用于应急救援、安全防护，主体高强度铝合金材质，配有手摇式绞盘，电动绞盘；</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2、三角架技术参数：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（1）完全展开：≥220cm；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（2）完全收缩：≤160cm；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（4）工作负荷：≥300kg；</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3、绞盘技术参数：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（1）工作负荷：≥300kg；</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（2）钢缆：≥20m；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（3）手摇力：≤120N；</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（4）齿轮比例：8：1；</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4、重量：≤35kg。</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2B52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9FD5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26D0D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0"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213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415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矿山救援</w:t>
            </w:r>
          </w:p>
        </w:tc>
        <w:tc>
          <w:tcPr>
            <w:tcW w:w="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36E9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防爆工具</w:t>
            </w:r>
          </w:p>
        </w:tc>
        <w:tc>
          <w:tcPr>
            <w:tcW w:w="2520" w:type="pct"/>
            <w:tcBorders>
              <w:top w:val="single" w:color="000000" w:sz="4" w:space="0"/>
              <w:left w:val="single" w:color="000000" w:sz="4" w:space="0"/>
              <w:bottom w:val="single" w:color="000000" w:sz="4" w:space="0"/>
              <w:right w:val="single" w:color="000000" w:sz="4" w:space="0"/>
            </w:tcBorders>
            <w:shd w:val="clear" w:color="auto" w:fill="auto"/>
            <w:vAlign w:val="top"/>
          </w:tcPr>
          <w:p w14:paraId="288F9694">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1、采用优质合金铝青铜材料制造。</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2、配置如下：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（1）锤：≥2P；</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（2）斧：重量≥0.35kg；</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（3）镐：搞头≥1kg；</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（4）锹：长≥340mm，宽160≥mm；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（5）钎：长≥400mm；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（6）起钉器：长≥250mm；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（7）锯：总长≥350mm。</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E2BD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6BE8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r>
      <w:tr w14:paraId="49371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0"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AE67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B7EB8">
            <w:pPr>
              <w:jc w:val="center"/>
              <w:rPr>
                <w:rFonts w:hint="eastAsia" w:ascii="仿宋" w:hAnsi="仿宋" w:eastAsia="仿宋" w:cs="仿宋"/>
                <w:i w:val="0"/>
                <w:iCs w:val="0"/>
                <w:color w:val="000000"/>
                <w:sz w:val="24"/>
                <w:szCs w:val="24"/>
                <w:u w:val="none"/>
              </w:rPr>
            </w:pPr>
          </w:p>
        </w:tc>
        <w:tc>
          <w:tcPr>
            <w:tcW w:w="691" w:type="pct"/>
            <w:tcBorders>
              <w:top w:val="nil"/>
              <w:left w:val="single" w:color="000000" w:sz="4" w:space="0"/>
              <w:bottom w:val="nil"/>
              <w:right w:val="single" w:color="000000" w:sz="4" w:space="0"/>
            </w:tcBorders>
            <w:shd w:val="clear" w:color="auto" w:fill="auto"/>
            <w:vAlign w:val="center"/>
          </w:tcPr>
          <w:p w14:paraId="0627F68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4小时氧气瓶</w:t>
            </w:r>
          </w:p>
        </w:tc>
        <w:tc>
          <w:tcPr>
            <w:tcW w:w="2520" w:type="pct"/>
            <w:tcBorders>
              <w:top w:val="single" w:color="000000" w:sz="4" w:space="0"/>
              <w:left w:val="single" w:color="000000" w:sz="4" w:space="0"/>
              <w:bottom w:val="single" w:color="000000" w:sz="4" w:space="0"/>
              <w:right w:val="single" w:color="000000" w:sz="4" w:space="0"/>
            </w:tcBorders>
            <w:shd w:val="clear" w:color="auto" w:fill="auto"/>
            <w:vAlign w:val="top"/>
          </w:tcPr>
          <w:p w14:paraId="0D018DE3">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 公称工作压力：20MPa；</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 额定水容积：≥2.7L；</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 充装介质：医用氧气或呼吸用氧气；</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 气瓶结构：碳纤维复合材料全缠绕；</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 重量：≤1.8Kg（空瓶状态）。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 压力表量程：0～30MPa；</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 瓶体应具有永久性标识，包括制造单位、容积、工作压力、水压试验压力、重量、生产日期及使用期限等信息；</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 瓶体应有耐磨、防腐蚀的保护涂层；</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 产品合格证可扫二维码查询；</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D645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A87F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r>
      <w:tr w14:paraId="28881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0"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C392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30F6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矿山救援</w:t>
            </w:r>
          </w:p>
        </w:tc>
        <w:tc>
          <w:tcPr>
            <w:tcW w:w="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F30E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氧气呼吸器校验仪</w:t>
            </w:r>
          </w:p>
        </w:tc>
        <w:tc>
          <w:tcPr>
            <w:tcW w:w="2520" w:type="pct"/>
            <w:tcBorders>
              <w:top w:val="single" w:color="000000" w:sz="4" w:space="0"/>
              <w:left w:val="single" w:color="000000" w:sz="4" w:space="0"/>
              <w:bottom w:val="single" w:color="000000" w:sz="4" w:space="0"/>
              <w:right w:val="single" w:color="000000" w:sz="4" w:space="0"/>
            </w:tcBorders>
            <w:shd w:val="clear" w:color="auto" w:fill="auto"/>
            <w:vAlign w:val="top"/>
          </w:tcPr>
          <w:p w14:paraId="786DF80D">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1．材质：ABS工程塑料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2．技术参数：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（1）正压密封性/最小阀/手动补给阀测试；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（2）各项密封性测试及压力测试；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（3）测试时温度：5℃到40℃；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（4）空气压力：900到1200毫巴；</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（5）相对湿度：最大90％；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（6）温度：≤60℃；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内置泵和转换开关集成在设备上，无需配备额外配件带卡扣的适配器可与呼吸器安全连接,且唯一接口，即可进行全部检测。可在无外部电源情况下，连续工作24小时；唯一显示屏，集成显示全部检测参数。采用集成式手泵电源电压：100-220VAC交流电50-60Hz，通过蓄电池和外部电源供电；</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（8）内置电池：可充电锂电池；</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（9）传感器检测范围：压力传感器：-27.5mbar～+27.5mbar；</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▲（10）电池使用时间：24小时；</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6664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2364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15B73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0"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A205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w:t>
            </w: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D8F4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矿山救援</w:t>
            </w:r>
          </w:p>
        </w:tc>
        <w:tc>
          <w:tcPr>
            <w:tcW w:w="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7A72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灾区电话</w:t>
            </w:r>
          </w:p>
        </w:tc>
        <w:tc>
          <w:tcPr>
            <w:tcW w:w="2520" w:type="pct"/>
            <w:tcBorders>
              <w:top w:val="single" w:color="000000" w:sz="4" w:space="0"/>
              <w:left w:val="single" w:color="000000" w:sz="4" w:space="0"/>
              <w:bottom w:val="single" w:color="000000" w:sz="4" w:space="0"/>
              <w:right w:val="single" w:color="000000" w:sz="4" w:space="0"/>
            </w:tcBorders>
            <w:shd w:val="clear" w:color="auto" w:fill="auto"/>
            <w:vAlign w:val="top"/>
          </w:tcPr>
          <w:p w14:paraId="42A4903A">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通信方式：有线，通讯电缆（含线盘）≥500m。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工作温度：-10℃~+40℃，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失真度：≤10%（不影响通话），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工作频率：350Hz～3000Hz（6dB带宽），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报警参数：1000Hz±200Hz，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最大工作电流：≤115mA，</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额定工作电压：DC11.1V，</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▲电源：防爆电池、可充次数≥500次,提供防爆合格证；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连续使用时间：≥16h。</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▲提供矿用产品安全标志证书。</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1DAF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06F6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r>
      <w:tr w14:paraId="271EA8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0"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1D6F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734" w:type="pct"/>
            <w:tcBorders>
              <w:top w:val="nil"/>
              <w:left w:val="single" w:color="000000" w:sz="4" w:space="0"/>
              <w:bottom w:val="nil"/>
              <w:right w:val="single" w:color="000000" w:sz="4" w:space="0"/>
            </w:tcBorders>
            <w:shd w:val="clear" w:color="auto" w:fill="auto"/>
            <w:noWrap/>
            <w:vAlign w:val="center"/>
          </w:tcPr>
          <w:p w14:paraId="60470397">
            <w:pPr>
              <w:rPr>
                <w:rFonts w:hint="eastAsia" w:ascii="仿宋" w:hAnsi="仿宋" w:eastAsia="仿宋" w:cs="仿宋"/>
                <w:i w:val="0"/>
                <w:iCs w:val="0"/>
                <w:color w:val="000000"/>
                <w:sz w:val="24"/>
                <w:szCs w:val="24"/>
                <w:u w:val="none"/>
              </w:rPr>
            </w:pPr>
          </w:p>
        </w:tc>
        <w:tc>
          <w:tcPr>
            <w:tcW w:w="691" w:type="pct"/>
            <w:tcBorders>
              <w:top w:val="nil"/>
              <w:left w:val="single" w:color="000000" w:sz="4" w:space="0"/>
              <w:bottom w:val="nil"/>
              <w:right w:val="single" w:color="000000" w:sz="4" w:space="0"/>
            </w:tcBorders>
            <w:shd w:val="clear" w:color="auto" w:fill="auto"/>
            <w:vAlign w:val="center"/>
          </w:tcPr>
          <w:p w14:paraId="34F61C2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4小时氧气瓶</w:t>
            </w:r>
          </w:p>
        </w:tc>
        <w:tc>
          <w:tcPr>
            <w:tcW w:w="2520" w:type="pct"/>
            <w:tcBorders>
              <w:top w:val="single" w:color="000000" w:sz="4" w:space="0"/>
              <w:left w:val="single" w:color="000000" w:sz="4" w:space="0"/>
              <w:bottom w:val="single" w:color="000000" w:sz="4" w:space="0"/>
              <w:right w:val="single" w:color="000000" w:sz="4" w:space="0"/>
            </w:tcBorders>
            <w:shd w:val="clear" w:color="auto" w:fill="auto"/>
            <w:vAlign w:val="top"/>
          </w:tcPr>
          <w:p w14:paraId="10A5E46E">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 公称工作压力：20MPa；</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 额定水容积：≥2.7L；</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 充装介质：医用氧气或呼吸用氧气；</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 气瓶结构：碳纤维复合材料全缠绕；</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 重量：≤1.8Kg（空瓶状态）。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 压力表量程：0～30MPa；</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 瓶体应具有永久性标识，包括制造单位、容积、工作压力、水压试验压力、重量、生产日期及使用期限等信息；</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 瓶体应有耐磨、防腐蚀的保护涂层；</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 产品合格证可扫二维码查询；</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D8F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FDEB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r>
      <w:tr w14:paraId="3E40D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7"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6CAF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w:t>
            </w: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D75F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矿山救援</w:t>
            </w:r>
          </w:p>
        </w:tc>
        <w:tc>
          <w:tcPr>
            <w:tcW w:w="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A06A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氧气呼吸器校验仪</w:t>
            </w:r>
          </w:p>
        </w:tc>
        <w:tc>
          <w:tcPr>
            <w:tcW w:w="2520" w:type="pct"/>
            <w:tcBorders>
              <w:top w:val="single" w:color="000000" w:sz="4" w:space="0"/>
              <w:left w:val="single" w:color="000000" w:sz="4" w:space="0"/>
              <w:bottom w:val="single" w:color="000000" w:sz="4" w:space="0"/>
              <w:right w:val="single" w:color="000000" w:sz="4" w:space="0"/>
            </w:tcBorders>
            <w:shd w:val="clear" w:color="auto" w:fill="auto"/>
            <w:vAlign w:val="top"/>
          </w:tcPr>
          <w:p w14:paraId="6B32694C">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1．材质：ABS工程塑料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2．技术参数：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（1）正压密封性/最小阀/手动补给阀测试；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（2）各项密封性测试及压力测试；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（3）测试时温度：5℃到40℃；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（4）空气压力：900到1200毫巴；</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（5）相对湿度：最大90％；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（6）温度：≤60℃；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内置泵和转换开关集成在设备上，无需配备额外配件带卡扣的适配器可与呼吸器安全连接,且唯一接口，即可进行全部检测。可在无外部电源情况下，连续工作24小时；唯一显示屏，集成显示全部检测参数。采用集成式手泵电源电压：100-220VAC交流电50-60Hz，通过蓄电池和外部电源供电；</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（8）内置电池：可充电锂电池；</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（9）传感器检测范围：压力传感器：-27.5mbar～+27.5mbar；</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▲（10）电池使用时间：24小时；</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E1BF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667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r>
      <w:tr w14:paraId="73E61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0"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31A7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w:t>
            </w: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6C48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矿山救援</w:t>
            </w:r>
          </w:p>
        </w:tc>
        <w:tc>
          <w:tcPr>
            <w:tcW w:w="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267C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氧气便携仪</w:t>
            </w:r>
          </w:p>
        </w:tc>
        <w:tc>
          <w:tcPr>
            <w:tcW w:w="2520" w:type="pct"/>
            <w:tcBorders>
              <w:top w:val="single" w:color="000000" w:sz="4" w:space="0"/>
              <w:left w:val="single" w:color="000000" w:sz="4" w:space="0"/>
              <w:bottom w:val="single" w:color="000000" w:sz="4" w:space="0"/>
              <w:right w:val="single" w:color="000000" w:sz="4" w:space="0"/>
            </w:tcBorders>
            <w:shd w:val="clear" w:color="auto" w:fill="auto"/>
            <w:vAlign w:val="top"/>
          </w:tcPr>
          <w:p w14:paraId="24A70A8F">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1、环境和使用条件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 环境温度：0℃～40℃；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 湿度：≤98%；</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 大气压力：80kPa～116kPa；</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 风速：≤8m/s；</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  贮存温度: -40℃～60℃。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2、显示方式：TFT彩色显示屏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3、分辨率：0.1%O2</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4、工作方式：扩散式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4.1 测量范围：(0～25.0)%O2</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4.2 响应时间： O2≤35s</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4.4 超限报警功能：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测定器能在测量范围内任意设置报警点，报警误差：氧气报警显示值与设定值的差值应不超过±0.3%O2。</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报警方式：红色报警灯闪光、警报声报警声级强度：≥75dB</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5、欠压报警和欠压自动关机功能：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电池工作电压E≤3.3V 时，欠压值闪动，2秒钟后自动关机。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6、连续工作时间：≥10 小时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 电池组充电寿命：＞500 次</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 工作电流：＜180mA</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 本安参数；U0：4.2V；I0；1.00A；Ue：3.7 V；</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10、防爆型式：矿用本质安全型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11、防爆标志：Exib I Mb</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9C82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0D6E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r>
      <w:tr w14:paraId="245F9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40"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17F3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w:t>
            </w: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5CE8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矿山救援</w:t>
            </w:r>
          </w:p>
        </w:tc>
        <w:tc>
          <w:tcPr>
            <w:tcW w:w="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C9D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多参数气体检测仪</w:t>
            </w:r>
          </w:p>
        </w:tc>
        <w:tc>
          <w:tcPr>
            <w:tcW w:w="2520" w:type="pct"/>
            <w:tcBorders>
              <w:top w:val="single" w:color="000000" w:sz="4" w:space="0"/>
              <w:left w:val="single" w:color="000000" w:sz="4" w:space="0"/>
              <w:bottom w:val="single" w:color="000000" w:sz="4" w:space="0"/>
              <w:right w:val="single" w:color="000000" w:sz="4" w:space="0"/>
            </w:tcBorders>
            <w:shd w:val="clear" w:color="auto" w:fill="auto"/>
            <w:vAlign w:val="top"/>
          </w:tcPr>
          <w:p w14:paraId="43D7BADD">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大采用优质进口传感器，稳定性好、精度高、使用寿命长；</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声、光、震三重报警功能，以四级频率警示环境安全状况；</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TFT彩色显示屏，让显示更丰富、直观清晰；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具有电池电量和日期时间显示；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智能调零及校准功能，让校准操作更简单快捷；</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外売采用双色包胶工艺，防水、防尘、防滑、防爆；</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仪器自带定时存储和突发存储功能，可存储二十万条数据;</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内含高性能、低功耗芯片、让响应更及时、误差低；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温度、湿度显示；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1、测量气体：</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甲烷（CH4）：0.00～4.00%CH4、分辨率：0.01%VOL、响应时间：≤20s</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氧气（O2）：0.0～25.0 %VOL、分辨率：0.1%VOL、响应时间：≤35s</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一氧化碳（CO）：0～1000 ppm、分辨率：1ppm、响应时间：≤45s</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硫化氢（H2S）：0.0～100PPML、分辨率：0.1ppm、响应时间：≤45s</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2、测量方式：扩散式测量方法；</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3、报警点设置：全量程可调；</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4、电源：3.7V/1.5Ah可充电电池；</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5、防护等级：≥IP65；</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6、防爆型式：EX d ib Ⅰ Mb；</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7、工作温度/湿度：-20℃～+60℃/≤98%RH；</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8、尺寸/重量：≤125*66*33mm/约226g；</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9、标准配置：仪器主机、校验罩、导气管、充电器、保护套、说明书、合格证等。</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26CF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3AF3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r>
      <w:tr w14:paraId="4725B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80"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3135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w:t>
            </w: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4DA2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矿山救援</w:t>
            </w:r>
          </w:p>
        </w:tc>
        <w:tc>
          <w:tcPr>
            <w:tcW w:w="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C281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自救器</w:t>
            </w:r>
          </w:p>
        </w:tc>
        <w:tc>
          <w:tcPr>
            <w:tcW w:w="2520" w:type="pct"/>
            <w:tcBorders>
              <w:top w:val="single" w:color="000000" w:sz="4" w:space="0"/>
              <w:left w:val="single" w:color="000000" w:sz="4" w:space="0"/>
              <w:bottom w:val="single" w:color="000000" w:sz="4" w:space="0"/>
              <w:right w:val="single" w:color="000000" w:sz="4" w:space="0"/>
            </w:tcBorders>
            <w:shd w:val="clear" w:color="auto" w:fill="auto"/>
            <w:vAlign w:val="top"/>
          </w:tcPr>
          <w:p w14:paraId="192A1B99">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采用了循环呼吸方式，人呼出的气体通过二氧化碳吸收剂，把二氧化碳吸收，而余下的氧气和减压器输出的氧气进入气囊通过口具吸入人体，与往复呼吸方式（指呼、吸气流皆通过吸收剂）相比，其优点是阻力小，无粉尘吸入，不呛人，吸气温度低，呼吸舒适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2、额定防护时间：≥45min；静坐防护时间：≥135min</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3、氧气瓶容积：≥0.6L</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4、气瓶充填压力：≥20Mpa</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5、储气量：≥120L</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6、供氧方式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（1）定量供氧：呼吸量35L/min时≥2.1L/min,呼吸量10L/min时≥0.5L/min；</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（2）手动补氧：≥65L/min</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（3）自动补氧：≥65L/min</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7、自动排气压力：150——300pa</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8、贮气袋容积：≥5L</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9、质量（包括氧气和二氧化碳吸收剂）≤3kg</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10、外形尺寸：≤205mm×105mm×260mm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11、产品有效期：≥3年</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D5E4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7168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r>
      <w:tr w14:paraId="29300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0"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BDB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81B9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矿山救援</w:t>
            </w:r>
          </w:p>
        </w:tc>
        <w:tc>
          <w:tcPr>
            <w:tcW w:w="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6D9A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瓦检器</w:t>
            </w:r>
          </w:p>
        </w:tc>
        <w:tc>
          <w:tcPr>
            <w:tcW w:w="2520" w:type="pct"/>
            <w:tcBorders>
              <w:top w:val="single" w:color="000000" w:sz="4" w:space="0"/>
              <w:left w:val="single" w:color="000000" w:sz="4" w:space="0"/>
              <w:bottom w:val="single" w:color="000000" w:sz="4" w:space="0"/>
              <w:right w:val="single" w:color="000000" w:sz="4" w:space="0"/>
            </w:tcBorders>
            <w:shd w:val="clear" w:color="auto" w:fill="auto"/>
            <w:vAlign w:val="top"/>
          </w:tcPr>
          <w:p w14:paraId="7189DDD5">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1、仪器的防爆类型：矿用本质安全型，防爆标志：Exib I Mb</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2、仪器电池及本安参数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测定器采用 1 节 1.5V R20 锌锰电池供电；U。：1.65V，I。：3.5A。工作电流：≤50mA</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3、环境和使用条件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 环境温度：0℃～40℃；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 湿度：≤98%；</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 大气压力：80kPa～116kPa；</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 风速：≤8m/s；</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 具有甲烷、有毒气体及煤尘爆炸性混合物的煤矿井下；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 贮存温度: -40℃～60℃。</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CA9B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1255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r>
      <w:bookmarkEnd w:id="116"/>
      <w:bookmarkEnd w:id="117"/>
      <w:bookmarkEnd w:id="118"/>
    </w:tbl>
    <w:p w14:paraId="7DAC4610">
      <w:pPr>
        <w:keepNext w:val="0"/>
        <w:keepLines w:val="0"/>
        <w:pageBreakBefore w:val="0"/>
        <w:widowControl w:val="0"/>
        <w:kinsoku/>
        <w:wordWrap/>
        <w:overflowPunct/>
        <w:topLinePunct w:val="0"/>
        <w:autoSpaceDE/>
        <w:autoSpaceDN/>
        <w:bidi w:val="0"/>
        <w:adjustRightInd/>
        <w:snapToGrid/>
        <w:spacing w:before="313" w:beforeLines="100" w:line="360" w:lineRule="auto"/>
        <w:textAlignment w:val="auto"/>
        <w:rPr>
          <w:rFonts w:hint="default" w:ascii="仿宋" w:hAnsi="仿宋" w:eastAsia="仿宋"/>
          <w:color w:val="auto"/>
          <w:sz w:val="24"/>
          <w:szCs w:val="24"/>
          <w:highlight w:val="none"/>
          <w:lang w:val="en-US" w:eastAsia="zh-CN"/>
        </w:rPr>
      </w:pPr>
      <w:bookmarkStart w:id="120" w:name="_Toc494455915"/>
      <w:bookmarkStart w:id="121" w:name="_Toc10338"/>
      <w:bookmarkStart w:id="122" w:name="_Toc29088"/>
      <w:bookmarkStart w:id="123" w:name="_Toc494455916"/>
      <w:r>
        <w:rPr>
          <w:rFonts w:hint="eastAsia" w:ascii="仿宋" w:hAnsi="仿宋" w:eastAsia="仿宋" w:cs="Times New Roman"/>
          <w:b w:val="0"/>
          <w:bCs w:val="0"/>
          <w:color w:val="auto"/>
          <w:sz w:val="24"/>
          <w:szCs w:val="24"/>
          <w:highlight w:val="none"/>
          <w:lang w:val="en-US" w:eastAsia="zh-CN"/>
        </w:rPr>
        <w:t>标</w:t>
      </w:r>
      <w:r>
        <w:rPr>
          <w:rFonts w:hint="eastAsia" w:ascii="仿宋" w:hAnsi="仿宋" w:eastAsia="仿宋" w:cs="Times New Roman"/>
          <w:b/>
          <w:bCs/>
          <w:color w:val="auto"/>
          <w:sz w:val="24"/>
          <w:szCs w:val="24"/>
          <w:highlight w:val="none"/>
          <w:lang w:val="en-US" w:eastAsia="zh-CN"/>
        </w:rPr>
        <w:t>“</w:t>
      </w:r>
      <w:r>
        <w:rPr>
          <w:rFonts w:hint="eastAsia" w:ascii="宋体" w:hAnsi="宋体" w:eastAsia="宋体" w:cs="宋体"/>
          <w:color w:val="auto"/>
          <w:szCs w:val="21"/>
          <w:highlight w:val="none"/>
        </w:rPr>
        <w:t>▲</w:t>
      </w:r>
      <w:r>
        <w:rPr>
          <w:rFonts w:hint="eastAsia" w:ascii="Calibri" w:hAnsi="Calibri" w:eastAsia="仿宋" w:cs="Times New Roman"/>
          <w:color w:val="auto"/>
          <w:sz w:val="24"/>
          <w:szCs w:val="24"/>
          <w:highlight w:val="none"/>
          <w:lang w:eastAsia="zh-CN"/>
        </w:rPr>
        <w:t>”</w:t>
      </w:r>
      <w:r>
        <w:rPr>
          <w:rFonts w:hint="eastAsia" w:eastAsia="仿宋" w:cs="Times New Roman"/>
          <w:color w:val="auto"/>
          <w:sz w:val="24"/>
          <w:szCs w:val="24"/>
          <w:highlight w:val="none"/>
          <w:lang w:val="en-US" w:eastAsia="zh-CN"/>
        </w:rPr>
        <w:t>参数</w:t>
      </w:r>
      <w:r>
        <w:rPr>
          <w:rFonts w:hint="eastAsia" w:ascii="Calibri" w:hAnsi="Calibri" w:eastAsia="仿宋" w:cs="Times New Roman"/>
          <w:color w:val="auto"/>
          <w:sz w:val="24"/>
          <w:szCs w:val="24"/>
          <w:highlight w:val="none"/>
          <w:lang w:val="en-US" w:eastAsia="zh-CN"/>
        </w:rPr>
        <w:t>为</w:t>
      </w:r>
      <w:r>
        <w:rPr>
          <w:rFonts w:hint="eastAsia" w:eastAsia="仿宋" w:cs="Times New Roman"/>
          <w:color w:val="auto"/>
          <w:sz w:val="24"/>
          <w:szCs w:val="24"/>
          <w:highlight w:val="none"/>
          <w:lang w:val="en-US" w:eastAsia="zh-CN"/>
        </w:rPr>
        <w:t>重要参数，未</w:t>
      </w:r>
      <w:r>
        <w:rPr>
          <w:rFonts w:hint="eastAsia" w:ascii="仿宋" w:hAnsi="仿宋" w:eastAsia="仿宋" w:cs="Times New Roman"/>
          <w:b w:val="0"/>
          <w:bCs w:val="0"/>
          <w:color w:val="auto"/>
          <w:sz w:val="24"/>
          <w:szCs w:val="24"/>
          <w:highlight w:val="none"/>
          <w:lang w:val="en-US" w:eastAsia="zh-CN"/>
        </w:rPr>
        <w:t>标</w:t>
      </w:r>
      <w:r>
        <w:rPr>
          <w:rFonts w:hint="eastAsia" w:ascii="仿宋" w:hAnsi="仿宋" w:eastAsia="仿宋" w:cs="Times New Roman"/>
          <w:b/>
          <w:bCs/>
          <w:color w:val="auto"/>
          <w:sz w:val="24"/>
          <w:szCs w:val="24"/>
          <w:highlight w:val="none"/>
          <w:lang w:val="en-US" w:eastAsia="zh-CN"/>
        </w:rPr>
        <w:t>“</w:t>
      </w:r>
      <w:r>
        <w:rPr>
          <w:rFonts w:hint="eastAsia" w:ascii="宋体" w:hAnsi="宋体" w:eastAsia="宋体" w:cs="宋体"/>
          <w:color w:val="auto"/>
          <w:szCs w:val="21"/>
          <w:highlight w:val="none"/>
        </w:rPr>
        <w:t>▲</w:t>
      </w:r>
      <w:r>
        <w:rPr>
          <w:rFonts w:hint="eastAsia" w:ascii="Calibri" w:hAnsi="Calibri" w:eastAsia="仿宋" w:cs="Times New Roman"/>
          <w:color w:val="auto"/>
          <w:sz w:val="24"/>
          <w:szCs w:val="24"/>
          <w:highlight w:val="none"/>
          <w:lang w:eastAsia="zh-CN"/>
        </w:rPr>
        <w:t>”</w:t>
      </w:r>
      <w:r>
        <w:rPr>
          <w:rFonts w:hint="eastAsia" w:eastAsia="仿宋" w:cs="Times New Roman"/>
          <w:color w:val="auto"/>
          <w:sz w:val="24"/>
          <w:szCs w:val="24"/>
          <w:highlight w:val="none"/>
          <w:lang w:val="en-US" w:eastAsia="zh-CN"/>
        </w:rPr>
        <w:t>参数</w:t>
      </w:r>
      <w:r>
        <w:rPr>
          <w:rFonts w:hint="eastAsia" w:ascii="Calibri" w:hAnsi="Calibri" w:eastAsia="仿宋" w:cs="Times New Roman"/>
          <w:color w:val="auto"/>
          <w:sz w:val="24"/>
          <w:szCs w:val="24"/>
          <w:highlight w:val="none"/>
          <w:lang w:val="en-US" w:eastAsia="zh-CN"/>
        </w:rPr>
        <w:t>为</w:t>
      </w:r>
      <w:r>
        <w:rPr>
          <w:rFonts w:hint="eastAsia" w:eastAsia="仿宋" w:cs="Times New Roman"/>
          <w:color w:val="auto"/>
          <w:sz w:val="24"/>
          <w:szCs w:val="24"/>
          <w:highlight w:val="none"/>
          <w:lang w:val="en-US" w:eastAsia="zh-CN"/>
        </w:rPr>
        <w:t>一般参数，所有参数均允许偏离。</w:t>
      </w:r>
    </w:p>
    <w:p w14:paraId="0711122A">
      <w:pPr>
        <w:keepNext w:val="0"/>
        <w:keepLines w:val="0"/>
        <w:pageBreakBefore w:val="0"/>
        <w:widowControl w:val="0"/>
        <w:kinsoku/>
        <w:wordWrap/>
        <w:overflowPunct/>
        <w:topLinePunct w:val="0"/>
        <w:autoSpaceDE/>
        <w:autoSpaceDN/>
        <w:bidi w:val="0"/>
        <w:adjustRightInd/>
        <w:snapToGrid/>
        <w:spacing w:before="318" w:beforeLines="100" w:afterLines="50" w:line="400" w:lineRule="exact"/>
        <w:ind w:firstLine="560" w:firstLineChars="200"/>
        <w:textAlignment w:val="auto"/>
        <w:outlineLvl w:val="2"/>
        <w:rPr>
          <w:rFonts w:hint="eastAsia" w:ascii="楷体" w:hAnsi="楷体" w:eastAsia="楷体"/>
          <w:color w:val="auto"/>
          <w:sz w:val="28"/>
          <w:szCs w:val="28"/>
          <w:highlight w:val="none"/>
          <w:lang w:val="en-US" w:eastAsia="zh-CN"/>
        </w:rPr>
      </w:pPr>
      <w:bookmarkStart w:id="124" w:name="_Toc23029"/>
      <w:r>
        <w:rPr>
          <w:rFonts w:hint="eastAsia" w:ascii="楷体" w:hAnsi="楷体" w:eastAsia="楷体"/>
          <w:color w:val="auto"/>
          <w:sz w:val="28"/>
          <w:szCs w:val="28"/>
          <w:highlight w:val="none"/>
          <w:lang w:val="en-US" w:eastAsia="zh-CN"/>
        </w:rPr>
        <w:t>4.商务条件</w:t>
      </w:r>
      <w:bookmarkEnd w:id="120"/>
      <w:bookmarkEnd w:id="121"/>
      <w:bookmarkEnd w:id="122"/>
      <w:r>
        <w:rPr>
          <w:rFonts w:hint="eastAsia" w:ascii="楷体" w:hAnsi="楷体" w:eastAsia="楷体"/>
          <w:color w:val="auto"/>
          <w:sz w:val="28"/>
          <w:szCs w:val="28"/>
          <w:highlight w:val="none"/>
          <w:lang w:val="en-US" w:eastAsia="zh-CN"/>
        </w:rPr>
        <w:t>（不允许负偏离）</w:t>
      </w:r>
      <w:bookmarkEnd w:id="124"/>
    </w:p>
    <w:p w14:paraId="0D8E83AB">
      <w:pPr>
        <w:spacing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lang w:val="en-US" w:eastAsia="zh-CN"/>
        </w:rPr>
        <w:t>4</w:t>
      </w:r>
      <w:r>
        <w:rPr>
          <w:rFonts w:hint="eastAsia" w:ascii="仿宋" w:hAnsi="仿宋" w:eastAsia="仿宋"/>
          <w:color w:val="auto"/>
          <w:sz w:val="24"/>
          <w:szCs w:val="24"/>
          <w:highlight w:val="none"/>
        </w:rPr>
        <w:t>.1交货期</w:t>
      </w:r>
    </w:p>
    <w:p w14:paraId="228A5C14">
      <w:pPr>
        <w:spacing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lang w:val="en-US" w:eastAsia="zh-CN"/>
        </w:rPr>
        <w:t>30天</w:t>
      </w:r>
      <w:r>
        <w:rPr>
          <w:rFonts w:hint="eastAsia" w:ascii="仿宋" w:hAnsi="仿宋" w:eastAsia="仿宋"/>
          <w:color w:val="auto"/>
          <w:sz w:val="24"/>
          <w:szCs w:val="24"/>
          <w:highlight w:val="none"/>
        </w:rPr>
        <w:t>。</w:t>
      </w:r>
    </w:p>
    <w:p w14:paraId="02D489FD">
      <w:pPr>
        <w:spacing w:beforeLines="50"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lang w:val="en-US" w:eastAsia="zh-CN"/>
        </w:rPr>
        <w:t>4</w:t>
      </w:r>
      <w:r>
        <w:rPr>
          <w:rFonts w:hint="eastAsia" w:ascii="仿宋" w:hAnsi="仿宋" w:eastAsia="仿宋"/>
          <w:color w:val="auto"/>
          <w:sz w:val="24"/>
          <w:szCs w:val="24"/>
          <w:highlight w:val="none"/>
        </w:rPr>
        <w:t>.2交货地点</w:t>
      </w:r>
    </w:p>
    <w:p w14:paraId="09E15193">
      <w:pPr>
        <w:spacing w:beforeLines="50" w:line="400" w:lineRule="exact"/>
        <w:ind w:firstLine="480" w:firstLineChars="200"/>
        <w:rPr>
          <w:rFonts w:hint="eastAsia" w:ascii="仿宋" w:hAnsi="仿宋" w:eastAsia="仿宋"/>
          <w:color w:val="auto"/>
          <w:sz w:val="24"/>
          <w:szCs w:val="24"/>
          <w:highlight w:val="none"/>
          <w:lang w:val="en-US" w:eastAsia="zh-CN"/>
        </w:rPr>
      </w:pPr>
      <w:r>
        <w:rPr>
          <w:rFonts w:hint="eastAsia" w:ascii="仿宋" w:hAnsi="仿宋" w:eastAsia="仿宋"/>
          <w:color w:val="auto"/>
          <w:sz w:val="24"/>
          <w:szCs w:val="24"/>
          <w:highlight w:val="none"/>
          <w:lang w:val="en-US" w:eastAsia="zh-CN"/>
        </w:rPr>
        <w:t>甲方指定地点</w:t>
      </w:r>
    </w:p>
    <w:p w14:paraId="7EF88AF3">
      <w:pPr>
        <w:spacing w:beforeLines="50"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lang w:val="en-US" w:eastAsia="zh-CN"/>
        </w:rPr>
        <w:t>4</w:t>
      </w:r>
      <w:r>
        <w:rPr>
          <w:rFonts w:hint="eastAsia" w:ascii="仿宋" w:hAnsi="仿宋" w:eastAsia="仿宋"/>
          <w:color w:val="auto"/>
          <w:sz w:val="24"/>
          <w:szCs w:val="24"/>
          <w:highlight w:val="none"/>
        </w:rPr>
        <w:t>.3付款方式</w:t>
      </w:r>
    </w:p>
    <w:p w14:paraId="325E3FC2">
      <w:pPr>
        <w:spacing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lang w:val="en-US" w:eastAsia="zh-CN"/>
        </w:rPr>
        <w:t>甲、乙双方合同中约定</w:t>
      </w:r>
      <w:r>
        <w:rPr>
          <w:rFonts w:hint="eastAsia" w:ascii="仿宋" w:hAnsi="仿宋" w:eastAsia="仿宋"/>
          <w:color w:val="auto"/>
          <w:sz w:val="24"/>
          <w:szCs w:val="24"/>
          <w:highlight w:val="none"/>
        </w:rPr>
        <w:t>。</w:t>
      </w:r>
    </w:p>
    <w:p w14:paraId="749669CA">
      <w:pPr>
        <w:spacing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lang w:val="en-US" w:eastAsia="zh-CN"/>
        </w:rPr>
        <w:t>4</w:t>
      </w:r>
      <w:r>
        <w:rPr>
          <w:rFonts w:hint="eastAsia" w:ascii="仿宋" w:hAnsi="仿宋" w:eastAsia="仿宋"/>
          <w:color w:val="auto"/>
          <w:sz w:val="24"/>
          <w:szCs w:val="24"/>
          <w:highlight w:val="none"/>
        </w:rPr>
        <w:t>.4验收</w:t>
      </w:r>
    </w:p>
    <w:p w14:paraId="3239048D">
      <w:pPr>
        <w:spacing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lang w:val="en-US" w:eastAsia="zh-CN"/>
        </w:rPr>
        <w:t>4</w:t>
      </w:r>
      <w:r>
        <w:rPr>
          <w:rFonts w:hint="eastAsia" w:ascii="仿宋" w:hAnsi="仿宋" w:eastAsia="仿宋"/>
          <w:color w:val="auto"/>
          <w:sz w:val="24"/>
          <w:szCs w:val="24"/>
          <w:highlight w:val="none"/>
        </w:rPr>
        <w:t>.4</w:t>
      </w:r>
      <w:r>
        <w:rPr>
          <w:rFonts w:ascii="仿宋" w:hAnsi="仿宋" w:eastAsia="仿宋"/>
          <w:color w:val="auto"/>
          <w:sz w:val="24"/>
          <w:szCs w:val="24"/>
          <w:highlight w:val="none"/>
        </w:rPr>
        <w:t>.1</w:t>
      </w:r>
      <w:r>
        <w:rPr>
          <w:rFonts w:hint="eastAsia" w:ascii="仿宋" w:hAnsi="仿宋" w:eastAsia="仿宋"/>
          <w:color w:val="auto"/>
          <w:sz w:val="24"/>
          <w:szCs w:val="24"/>
          <w:highlight w:val="none"/>
        </w:rPr>
        <w:t>货物运抵现场后，采购人将对货物数量、质量、规格等进行检验。如发现货物和规格或者两者都与招标文件、投标文件、合同不符，采购人有权限根据检验结果要求中标人立即更换或者提出索赔要求。</w:t>
      </w:r>
    </w:p>
    <w:p w14:paraId="5B306FDA">
      <w:pPr>
        <w:spacing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lang w:val="en-US" w:eastAsia="zh-CN"/>
        </w:rPr>
        <w:t>4</w:t>
      </w:r>
      <w:r>
        <w:rPr>
          <w:rFonts w:hint="eastAsia" w:ascii="仿宋" w:hAnsi="仿宋" w:eastAsia="仿宋"/>
          <w:color w:val="auto"/>
          <w:sz w:val="24"/>
          <w:szCs w:val="24"/>
          <w:highlight w:val="none"/>
        </w:rPr>
        <w:t>.4</w:t>
      </w:r>
      <w:r>
        <w:rPr>
          <w:rFonts w:ascii="仿宋" w:hAnsi="仿宋" w:eastAsia="仿宋"/>
          <w:color w:val="auto"/>
          <w:sz w:val="24"/>
          <w:szCs w:val="24"/>
          <w:highlight w:val="none"/>
        </w:rPr>
        <w:t>.2</w:t>
      </w:r>
      <w:r>
        <w:rPr>
          <w:rFonts w:hint="eastAsia" w:ascii="仿宋" w:hAnsi="仿宋" w:eastAsia="仿宋"/>
          <w:color w:val="auto"/>
          <w:sz w:val="24"/>
          <w:szCs w:val="24"/>
          <w:highlight w:val="none"/>
        </w:rPr>
        <w:t>货物由中标人进行安装，完毕后，采购人应对货物的数量、质量、规格、性能等进行详细而全面的检验。安装完毕</w:t>
      </w:r>
      <w:r>
        <w:rPr>
          <w:rFonts w:ascii="仿宋" w:hAnsi="仿宋" w:eastAsia="仿宋"/>
          <w:color w:val="auto"/>
          <w:sz w:val="24"/>
          <w:szCs w:val="24"/>
          <w:highlight w:val="none"/>
        </w:rPr>
        <w:t>7</w:t>
      </w:r>
      <w:r>
        <w:rPr>
          <w:rFonts w:hint="eastAsia" w:ascii="仿宋" w:hAnsi="仿宋" w:eastAsia="仿宋"/>
          <w:color w:val="auto"/>
          <w:sz w:val="24"/>
          <w:szCs w:val="24"/>
          <w:highlight w:val="none"/>
        </w:rPr>
        <w:t>日后，证明货物以及安装质量无任何问题，由采购人组成的验收小组签署验收报告，作为付款凭据之一。</w:t>
      </w:r>
    </w:p>
    <w:p w14:paraId="6EF18296">
      <w:pPr>
        <w:spacing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lang w:val="en-US" w:eastAsia="zh-CN"/>
        </w:rPr>
        <w:t>4</w:t>
      </w:r>
      <w:r>
        <w:rPr>
          <w:rFonts w:hint="eastAsia" w:ascii="仿宋" w:hAnsi="仿宋" w:eastAsia="仿宋"/>
          <w:color w:val="auto"/>
          <w:sz w:val="24"/>
          <w:szCs w:val="24"/>
          <w:highlight w:val="none"/>
        </w:rPr>
        <w:t>.5质量保证期</w:t>
      </w:r>
    </w:p>
    <w:p w14:paraId="3B95B120">
      <w:pPr>
        <w:spacing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lang w:val="en-US" w:eastAsia="zh-CN"/>
        </w:rPr>
        <w:t>4</w:t>
      </w:r>
      <w:r>
        <w:rPr>
          <w:rFonts w:hint="eastAsia" w:ascii="仿宋" w:hAnsi="仿宋" w:eastAsia="仿宋"/>
          <w:color w:val="auto"/>
          <w:sz w:val="24"/>
          <w:szCs w:val="24"/>
          <w:highlight w:val="none"/>
        </w:rPr>
        <w:t>.5</w:t>
      </w:r>
      <w:r>
        <w:rPr>
          <w:rFonts w:ascii="仿宋" w:hAnsi="仿宋" w:eastAsia="仿宋"/>
          <w:color w:val="auto"/>
          <w:sz w:val="24"/>
          <w:szCs w:val="24"/>
          <w:highlight w:val="none"/>
        </w:rPr>
        <w:t>.1</w:t>
      </w:r>
      <w:r>
        <w:rPr>
          <w:rFonts w:hint="eastAsia" w:ascii="仿宋" w:hAnsi="仿宋" w:eastAsia="仿宋"/>
          <w:color w:val="auto"/>
          <w:sz w:val="24"/>
          <w:szCs w:val="24"/>
          <w:highlight w:val="none"/>
        </w:rPr>
        <w:t>质保期：自验收合格之日起</w:t>
      </w:r>
      <w:r>
        <w:rPr>
          <w:rFonts w:hint="eastAsia" w:ascii="仿宋" w:hAnsi="仿宋" w:eastAsia="仿宋"/>
          <w:color w:val="auto"/>
          <w:sz w:val="24"/>
          <w:szCs w:val="24"/>
          <w:highlight w:val="none"/>
          <w:u w:val="single"/>
          <w:lang w:val="en-US" w:eastAsia="zh-CN"/>
        </w:rPr>
        <w:t>3</w:t>
      </w:r>
      <w:r>
        <w:rPr>
          <w:rFonts w:hint="eastAsia" w:ascii="仿宋" w:hAnsi="仿宋" w:eastAsia="仿宋"/>
          <w:color w:val="auto"/>
          <w:sz w:val="24"/>
          <w:szCs w:val="24"/>
          <w:highlight w:val="none"/>
        </w:rPr>
        <w:t>年，国家主管部门或者行业标准对货物本身有更高要求的，从其规定并在合同中约定，投标人亦可提报更长的质保期。</w:t>
      </w:r>
    </w:p>
    <w:p w14:paraId="7160AE0D">
      <w:pPr>
        <w:spacing w:line="400" w:lineRule="exact"/>
        <w:ind w:firstLine="480" w:firstLineChars="200"/>
        <w:rPr>
          <w:rFonts w:ascii="黑体" w:hAnsi="黑体" w:eastAsia="黑体"/>
          <w:color w:val="auto"/>
          <w:sz w:val="32"/>
          <w:szCs w:val="32"/>
          <w:highlight w:val="none"/>
        </w:rPr>
      </w:pPr>
      <w:r>
        <w:rPr>
          <w:rFonts w:hint="eastAsia" w:ascii="仿宋" w:hAnsi="仿宋" w:eastAsia="仿宋"/>
          <w:color w:val="auto"/>
          <w:sz w:val="24"/>
          <w:szCs w:val="24"/>
          <w:highlight w:val="none"/>
          <w:lang w:val="en-US" w:eastAsia="zh-CN"/>
        </w:rPr>
        <w:t>4</w:t>
      </w:r>
      <w:r>
        <w:rPr>
          <w:rFonts w:hint="eastAsia" w:ascii="仿宋" w:hAnsi="仿宋" w:eastAsia="仿宋"/>
          <w:color w:val="auto"/>
          <w:sz w:val="24"/>
          <w:szCs w:val="24"/>
          <w:highlight w:val="none"/>
        </w:rPr>
        <w:t>.5</w:t>
      </w:r>
      <w:r>
        <w:rPr>
          <w:rFonts w:ascii="仿宋" w:hAnsi="仿宋" w:eastAsia="仿宋"/>
          <w:color w:val="auto"/>
          <w:sz w:val="24"/>
          <w:szCs w:val="24"/>
          <w:highlight w:val="none"/>
        </w:rPr>
        <w:t>.2</w:t>
      </w:r>
      <w:r>
        <w:rPr>
          <w:rFonts w:hint="eastAsia" w:ascii="仿宋" w:hAnsi="仿宋" w:eastAsia="仿宋"/>
          <w:color w:val="auto"/>
          <w:sz w:val="24"/>
          <w:szCs w:val="24"/>
          <w:highlight w:val="none"/>
        </w:rPr>
        <w:t>质量保证期内，如果证实货物是有缺陷的，包括潜在的缺陷或者使用不符合要求的材料等，中标人应立即免费维修或者更换有缺陷的货物或者部件，保证达到合同规定的技术以及性能要求。如果中标人在收到通知后</w:t>
      </w:r>
      <w:r>
        <w:rPr>
          <w:rFonts w:ascii="仿宋" w:hAnsi="仿宋" w:eastAsia="仿宋"/>
          <w:color w:val="auto"/>
          <w:sz w:val="24"/>
          <w:szCs w:val="24"/>
          <w:highlight w:val="none"/>
        </w:rPr>
        <w:t>5</w:t>
      </w:r>
      <w:r>
        <w:rPr>
          <w:rFonts w:hint="eastAsia" w:ascii="仿宋" w:hAnsi="仿宋" w:eastAsia="仿宋"/>
          <w:color w:val="auto"/>
          <w:sz w:val="24"/>
          <w:szCs w:val="24"/>
          <w:highlight w:val="none"/>
        </w:rPr>
        <w:t>天内没有弥补缺陷，采购人可自行采取必要的补救措施，但风险和费用由中标人承担，采购人同时保留通过法律途径进行索赔的权利。</w:t>
      </w:r>
      <w:r>
        <w:rPr>
          <w:rFonts w:ascii="黑体" w:hAnsi="黑体" w:eastAsia="黑体"/>
          <w:color w:val="auto"/>
          <w:sz w:val="32"/>
          <w:szCs w:val="32"/>
          <w:highlight w:val="none"/>
        </w:rPr>
        <w:br w:type="page"/>
      </w:r>
    </w:p>
    <w:p w14:paraId="5220A668">
      <w:pPr>
        <w:spacing w:afterLines="50" w:line="400" w:lineRule="exact"/>
        <w:jc w:val="center"/>
        <w:outlineLvl w:val="1"/>
        <w:rPr>
          <w:rFonts w:ascii="黑体" w:hAnsi="黑体" w:eastAsia="黑体"/>
          <w:color w:val="auto"/>
          <w:sz w:val="28"/>
          <w:szCs w:val="28"/>
          <w:highlight w:val="none"/>
        </w:rPr>
      </w:pPr>
      <w:bookmarkStart w:id="125" w:name="_Toc28091"/>
      <w:r>
        <w:rPr>
          <w:rFonts w:ascii="黑体" w:hAnsi="黑体" w:eastAsia="黑体"/>
          <w:color w:val="auto"/>
          <w:sz w:val="32"/>
          <w:szCs w:val="32"/>
          <w:highlight w:val="none"/>
        </w:rPr>
        <w:t>第</w:t>
      </w:r>
      <w:r>
        <w:rPr>
          <w:rFonts w:hint="eastAsia" w:ascii="黑体" w:hAnsi="黑体" w:eastAsia="黑体"/>
          <w:color w:val="auto"/>
          <w:sz w:val="32"/>
          <w:szCs w:val="32"/>
          <w:highlight w:val="none"/>
        </w:rPr>
        <w:t>四</w:t>
      </w:r>
      <w:r>
        <w:rPr>
          <w:rFonts w:ascii="黑体" w:hAnsi="黑体" w:eastAsia="黑体"/>
          <w:color w:val="auto"/>
          <w:sz w:val="32"/>
          <w:szCs w:val="32"/>
          <w:highlight w:val="none"/>
        </w:rPr>
        <w:t>章</w:t>
      </w:r>
      <w:r>
        <w:rPr>
          <w:rFonts w:hint="eastAsia" w:ascii="黑体" w:hAnsi="黑体" w:eastAsia="黑体"/>
          <w:color w:val="auto"/>
          <w:sz w:val="32"/>
          <w:szCs w:val="32"/>
          <w:highlight w:val="none"/>
        </w:rPr>
        <w:t xml:space="preserve">  评标办法</w:t>
      </w:r>
      <w:bookmarkEnd w:id="123"/>
      <w:bookmarkEnd w:id="125"/>
    </w:p>
    <w:p w14:paraId="1685597C">
      <w:pPr>
        <w:spacing w:afterLines="50" w:line="400" w:lineRule="exact"/>
        <w:ind w:firstLine="560" w:firstLineChars="200"/>
        <w:outlineLvl w:val="2"/>
        <w:rPr>
          <w:rFonts w:ascii="楷体" w:hAnsi="楷体" w:eastAsia="楷体"/>
          <w:color w:val="auto"/>
          <w:sz w:val="28"/>
          <w:szCs w:val="28"/>
          <w:highlight w:val="none"/>
        </w:rPr>
      </w:pPr>
      <w:bookmarkStart w:id="126" w:name="_Toc494455917"/>
      <w:bookmarkStart w:id="127" w:name="_Toc2393"/>
      <w:r>
        <w:rPr>
          <w:rFonts w:hint="eastAsia" w:ascii="楷体" w:hAnsi="楷体" w:eastAsia="楷体"/>
          <w:color w:val="auto"/>
          <w:sz w:val="28"/>
          <w:szCs w:val="28"/>
          <w:highlight w:val="none"/>
        </w:rPr>
        <w:t>1.相关要求</w:t>
      </w:r>
      <w:bookmarkEnd w:id="126"/>
      <w:bookmarkEnd w:id="127"/>
    </w:p>
    <w:p w14:paraId="1C0BFF26">
      <w:pPr>
        <w:spacing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w:t>
      </w:r>
      <w:r>
        <w:rPr>
          <w:rFonts w:ascii="仿宋" w:hAnsi="仿宋" w:eastAsia="仿宋"/>
          <w:color w:val="auto"/>
          <w:sz w:val="24"/>
          <w:szCs w:val="24"/>
          <w:highlight w:val="none"/>
        </w:rPr>
        <w:t>.1</w:t>
      </w:r>
      <w:r>
        <w:rPr>
          <w:rFonts w:hint="eastAsia" w:ascii="仿宋" w:hAnsi="仿宋" w:eastAsia="仿宋"/>
          <w:color w:val="auto"/>
          <w:sz w:val="24"/>
          <w:szCs w:val="24"/>
          <w:highlight w:val="none"/>
        </w:rPr>
        <w:t>当投标人未提供符合招标文件规定的技术支持资料时，其技术部分得</w:t>
      </w:r>
      <w:r>
        <w:rPr>
          <w:rFonts w:ascii="仿宋" w:hAnsi="仿宋" w:eastAsia="仿宋"/>
          <w:color w:val="auto"/>
          <w:sz w:val="24"/>
          <w:szCs w:val="24"/>
          <w:highlight w:val="none"/>
        </w:rPr>
        <w:t>0</w:t>
      </w:r>
      <w:r>
        <w:rPr>
          <w:rFonts w:hint="eastAsia" w:ascii="仿宋" w:hAnsi="仿宋" w:eastAsia="仿宋"/>
          <w:color w:val="auto"/>
          <w:sz w:val="24"/>
          <w:szCs w:val="24"/>
          <w:highlight w:val="none"/>
        </w:rPr>
        <w:t>分。</w:t>
      </w:r>
    </w:p>
    <w:p w14:paraId="39DB8103">
      <w:pPr>
        <w:spacing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w:t>
      </w:r>
      <w:r>
        <w:rPr>
          <w:rFonts w:ascii="仿宋" w:hAnsi="仿宋" w:eastAsia="仿宋"/>
          <w:color w:val="auto"/>
          <w:sz w:val="24"/>
          <w:szCs w:val="24"/>
          <w:highlight w:val="none"/>
        </w:rPr>
        <w:t>.2</w:t>
      </w:r>
      <w:r>
        <w:rPr>
          <w:rFonts w:hint="eastAsia" w:ascii="仿宋" w:hAnsi="仿宋" w:eastAsia="仿宋"/>
          <w:color w:val="auto"/>
          <w:sz w:val="24"/>
          <w:szCs w:val="24"/>
          <w:highlight w:val="none"/>
        </w:rPr>
        <w:t>技术汇总得分的计算方法：评标委员会成员技术评分的算术平均值。</w:t>
      </w:r>
    </w:p>
    <w:p w14:paraId="31694415">
      <w:pPr>
        <w:spacing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w:t>
      </w:r>
      <w:r>
        <w:rPr>
          <w:rFonts w:ascii="仿宋" w:hAnsi="仿宋" w:eastAsia="仿宋"/>
          <w:color w:val="auto"/>
          <w:sz w:val="24"/>
          <w:szCs w:val="24"/>
          <w:highlight w:val="none"/>
        </w:rPr>
        <w:t>.3</w:t>
      </w:r>
      <w:r>
        <w:rPr>
          <w:rFonts w:hint="eastAsia" w:ascii="仿宋" w:hAnsi="仿宋" w:eastAsia="仿宋"/>
          <w:color w:val="auto"/>
          <w:sz w:val="24"/>
          <w:szCs w:val="24"/>
          <w:highlight w:val="none"/>
        </w:rPr>
        <w:t>当投标人所投设备功能与招标文件要求相同，但其表述不同时不扣分。</w:t>
      </w:r>
    </w:p>
    <w:p w14:paraId="37F9568B">
      <w:pPr>
        <w:spacing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w:t>
      </w:r>
      <w:r>
        <w:rPr>
          <w:rFonts w:ascii="仿宋" w:hAnsi="仿宋" w:eastAsia="仿宋"/>
          <w:color w:val="auto"/>
          <w:sz w:val="24"/>
          <w:szCs w:val="24"/>
          <w:highlight w:val="none"/>
        </w:rPr>
        <w:t>.4</w:t>
      </w:r>
      <w:r>
        <w:rPr>
          <w:rFonts w:hint="eastAsia" w:ascii="仿宋" w:hAnsi="仿宋" w:eastAsia="仿宋"/>
          <w:color w:val="auto"/>
          <w:sz w:val="24"/>
          <w:szCs w:val="24"/>
          <w:highlight w:val="none"/>
        </w:rPr>
        <w:t>“同类项目”是指投标人已经完成的与本次采购要求相同或者类同的货物，并且签订合同一方必须是投标人，以相同或者类同部分的合同金额为准。</w:t>
      </w:r>
    </w:p>
    <w:p w14:paraId="1FBBE8E9">
      <w:pPr>
        <w:spacing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1.5</w:t>
      </w:r>
      <w:r>
        <w:rPr>
          <w:rFonts w:ascii="仿宋" w:hAnsi="仿宋" w:eastAsia="仿宋"/>
          <w:color w:val="auto"/>
          <w:sz w:val="24"/>
          <w:szCs w:val="24"/>
          <w:highlight w:val="none"/>
        </w:rPr>
        <w:t>执行国家统一定价标准和采用固定价格采购的项目，其价格不列为评审因素。</w:t>
      </w:r>
    </w:p>
    <w:p w14:paraId="6511033E">
      <w:pPr>
        <w:spacing w:line="40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1.</w:t>
      </w:r>
      <w:r>
        <w:rPr>
          <w:rFonts w:hint="eastAsia" w:ascii="仿宋" w:hAnsi="仿宋" w:eastAsia="仿宋"/>
          <w:color w:val="auto"/>
          <w:sz w:val="24"/>
          <w:szCs w:val="24"/>
          <w:highlight w:val="none"/>
        </w:rPr>
        <w:t>6中型、小型、微型企业应当同时符合以下条件：</w:t>
      </w:r>
    </w:p>
    <w:p w14:paraId="61FF2773">
      <w:pPr>
        <w:spacing w:line="40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1.</w:t>
      </w:r>
      <w:r>
        <w:rPr>
          <w:rFonts w:hint="eastAsia" w:ascii="仿宋" w:hAnsi="仿宋" w:eastAsia="仿宋"/>
          <w:color w:val="auto"/>
          <w:sz w:val="24"/>
          <w:szCs w:val="24"/>
          <w:highlight w:val="none"/>
        </w:rPr>
        <w:t>6.1依据《关于印发&lt;统计上大中小微型企业划分办法(2017)&gt;的通知》规定，中型、小型和微型企业投标的须提供《中小企业声明函》原件并对声明函的真实性负责；</w:t>
      </w:r>
    </w:p>
    <w:p w14:paraId="519D617E">
      <w:pPr>
        <w:spacing w:line="40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1.</w:t>
      </w:r>
      <w:r>
        <w:rPr>
          <w:rFonts w:hint="eastAsia" w:ascii="仿宋" w:hAnsi="仿宋" w:eastAsia="仿宋"/>
          <w:color w:val="auto"/>
          <w:sz w:val="24"/>
          <w:szCs w:val="24"/>
          <w:highlight w:val="none"/>
        </w:rPr>
        <w:t>6.2按照《关于印发&lt;统计上大中小微型企业划分办法(2017)&gt;的通知》规定，投标人应符合中小企业划分标准；所称中小企业划分标准，是指国务院有关部门根据企业从业人员、营业收入、资产总额等指标制定的中小企业划型标准。</w:t>
      </w:r>
    </w:p>
    <w:p w14:paraId="55BDCA48">
      <w:pPr>
        <w:spacing w:line="40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1.</w:t>
      </w:r>
      <w:r>
        <w:rPr>
          <w:rFonts w:hint="eastAsia" w:ascii="仿宋" w:hAnsi="仿宋" w:eastAsia="仿宋"/>
          <w:color w:val="auto"/>
          <w:sz w:val="24"/>
          <w:szCs w:val="24"/>
          <w:highlight w:val="none"/>
        </w:rPr>
        <w:t>6.3提供本企业制造的货物、承担的工程或者服务，或者提供其他中小企业制造的货物。本项所称货物不包括使用大型企业注册商标的货物。</w:t>
      </w:r>
    </w:p>
    <w:p w14:paraId="570F129A">
      <w:pPr>
        <w:spacing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1.7小型、微型企业提供中型企业制造的货物的，视同为中型企业。</w:t>
      </w:r>
    </w:p>
    <w:p w14:paraId="6942AF94">
      <w:pPr>
        <w:spacing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w:t>
      </w:r>
      <w:r>
        <w:rPr>
          <w:rFonts w:ascii="仿宋" w:hAnsi="仿宋" w:eastAsia="仿宋"/>
          <w:color w:val="auto"/>
          <w:sz w:val="24"/>
          <w:szCs w:val="24"/>
          <w:highlight w:val="none"/>
        </w:rPr>
        <w:t>.</w:t>
      </w:r>
      <w:r>
        <w:rPr>
          <w:rFonts w:hint="eastAsia" w:ascii="仿宋" w:hAnsi="仿宋" w:eastAsia="仿宋"/>
          <w:color w:val="auto"/>
          <w:sz w:val="24"/>
          <w:szCs w:val="24"/>
          <w:highlight w:val="none"/>
        </w:rPr>
        <w:t>8小型和微型企业提供的货物中含有中型及以上企业的产品或者大中型企业提供货物中含有小型、微型企业产品的，均不给予价格扣除。</w:t>
      </w:r>
    </w:p>
    <w:p w14:paraId="445C3768">
      <w:pPr>
        <w:spacing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1.9评分得分非整数的保留小数点后两位（小数点后第三位数四舍五入）。</w:t>
      </w:r>
    </w:p>
    <w:p w14:paraId="00D762AB">
      <w:pPr>
        <w:spacing w:beforeLines="100" w:afterLines="50" w:line="400" w:lineRule="exact"/>
        <w:ind w:firstLine="560" w:firstLineChars="200"/>
        <w:outlineLvl w:val="2"/>
        <w:rPr>
          <w:rFonts w:ascii="楷体" w:hAnsi="楷体" w:eastAsia="楷体"/>
          <w:color w:val="auto"/>
          <w:sz w:val="28"/>
          <w:szCs w:val="28"/>
          <w:highlight w:val="none"/>
        </w:rPr>
      </w:pPr>
      <w:bookmarkStart w:id="128" w:name="_Toc494455918"/>
      <w:bookmarkStart w:id="129" w:name="_Toc17055"/>
      <w:r>
        <w:rPr>
          <w:rFonts w:hint="eastAsia" w:ascii="楷体" w:hAnsi="楷体" w:eastAsia="楷体"/>
          <w:color w:val="auto"/>
          <w:sz w:val="28"/>
          <w:szCs w:val="28"/>
          <w:highlight w:val="none"/>
        </w:rPr>
        <w:t>2.评</w:t>
      </w:r>
      <w:bookmarkEnd w:id="128"/>
      <w:r>
        <w:rPr>
          <w:rFonts w:hint="eastAsia" w:ascii="楷体" w:hAnsi="楷体" w:eastAsia="楷体"/>
          <w:color w:val="auto"/>
          <w:sz w:val="28"/>
          <w:szCs w:val="28"/>
          <w:highlight w:val="none"/>
        </w:rPr>
        <w:t>标附表</w:t>
      </w:r>
      <w:bookmarkEnd w:id="129"/>
    </w:p>
    <w:p w14:paraId="19630144">
      <w:pPr>
        <w:spacing w:afterLines="50" w:line="400" w:lineRule="exact"/>
        <w:ind w:firstLine="480" w:firstLineChars="200"/>
        <w:rPr>
          <w:rFonts w:ascii="楷体" w:hAnsi="楷体" w:eastAsia="楷体"/>
          <w:color w:val="auto"/>
          <w:sz w:val="24"/>
          <w:szCs w:val="24"/>
          <w:highlight w:val="none"/>
        </w:rPr>
      </w:pPr>
      <w:r>
        <w:rPr>
          <w:rFonts w:hint="eastAsia" w:ascii="楷体" w:hAnsi="楷体" w:eastAsia="楷体"/>
          <w:color w:val="auto"/>
          <w:sz w:val="24"/>
          <w:szCs w:val="24"/>
          <w:highlight w:val="none"/>
        </w:rPr>
        <w:t>2.1评分因素以及分值</w:t>
      </w:r>
    </w:p>
    <w:tbl>
      <w:tblPr>
        <w:tblStyle w:val="15"/>
        <w:tblW w:w="91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5"/>
        <w:gridCol w:w="2457"/>
        <w:gridCol w:w="2484"/>
        <w:gridCol w:w="2306"/>
      </w:tblGrid>
      <w:tr w14:paraId="27C65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935" w:type="dxa"/>
            <w:vAlign w:val="center"/>
          </w:tcPr>
          <w:p w14:paraId="0AAD4EEC">
            <w:pPr>
              <w:spacing w:line="400" w:lineRule="exact"/>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评分因素</w:t>
            </w:r>
          </w:p>
        </w:tc>
        <w:tc>
          <w:tcPr>
            <w:tcW w:w="2457" w:type="dxa"/>
            <w:vAlign w:val="center"/>
          </w:tcPr>
          <w:p w14:paraId="63AC314E">
            <w:pPr>
              <w:spacing w:line="400" w:lineRule="exact"/>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商务部分</w:t>
            </w:r>
          </w:p>
        </w:tc>
        <w:tc>
          <w:tcPr>
            <w:tcW w:w="2484" w:type="dxa"/>
            <w:vAlign w:val="center"/>
          </w:tcPr>
          <w:p w14:paraId="09B6F492">
            <w:pPr>
              <w:spacing w:line="400" w:lineRule="exact"/>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技术部分</w:t>
            </w:r>
          </w:p>
        </w:tc>
        <w:tc>
          <w:tcPr>
            <w:tcW w:w="2306" w:type="dxa"/>
            <w:vAlign w:val="center"/>
          </w:tcPr>
          <w:p w14:paraId="51F004E7">
            <w:pPr>
              <w:spacing w:line="400" w:lineRule="exact"/>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总分</w:t>
            </w:r>
          </w:p>
        </w:tc>
      </w:tr>
      <w:tr w14:paraId="2EA9F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935" w:type="dxa"/>
            <w:vAlign w:val="center"/>
          </w:tcPr>
          <w:p w14:paraId="45FDB9AB">
            <w:pPr>
              <w:spacing w:line="400" w:lineRule="exact"/>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分值比重</w:t>
            </w:r>
          </w:p>
        </w:tc>
        <w:tc>
          <w:tcPr>
            <w:tcW w:w="2457" w:type="dxa"/>
            <w:vAlign w:val="center"/>
          </w:tcPr>
          <w:p w14:paraId="78970D09">
            <w:pPr>
              <w:spacing w:line="400" w:lineRule="exact"/>
              <w:jc w:val="center"/>
              <w:rPr>
                <w:rFonts w:ascii="仿宋" w:hAnsi="仿宋" w:eastAsia="仿宋"/>
                <w:color w:val="auto"/>
                <w:sz w:val="24"/>
                <w:szCs w:val="24"/>
                <w:highlight w:val="none"/>
              </w:rPr>
            </w:pPr>
            <w:r>
              <w:rPr>
                <w:rFonts w:hint="eastAsia" w:ascii="仿宋" w:hAnsi="仿宋" w:eastAsia="仿宋"/>
                <w:color w:val="auto"/>
                <w:sz w:val="24"/>
                <w:szCs w:val="24"/>
                <w:highlight w:val="none"/>
                <w:lang w:val="en-US" w:eastAsia="zh-CN"/>
              </w:rPr>
              <w:t>30</w:t>
            </w:r>
            <w:r>
              <w:rPr>
                <w:rFonts w:hint="eastAsia" w:ascii="仿宋" w:hAnsi="仿宋" w:eastAsia="仿宋"/>
                <w:color w:val="auto"/>
                <w:sz w:val="24"/>
                <w:szCs w:val="24"/>
                <w:highlight w:val="none"/>
              </w:rPr>
              <w:t>分</w:t>
            </w:r>
          </w:p>
        </w:tc>
        <w:tc>
          <w:tcPr>
            <w:tcW w:w="2484" w:type="dxa"/>
            <w:vAlign w:val="center"/>
          </w:tcPr>
          <w:p w14:paraId="75B76AA9">
            <w:pPr>
              <w:spacing w:line="400" w:lineRule="exact"/>
              <w:jc w:val="center"/>
              <w:rPr>
                <w:rFonts w:ascii="仿宋" w:hAnsi="仿宋" w:eastAsia="仿宋"/>
                <w:color w:val="auto"/>
                <w:sz w:val="24"/>
                <w:szCs w:val="24"/>
                <w:highlight w:val="none"/>
              </w:rPr>
            </w:pPr>
            <w:r>
              <w:rPr>
                <w:rFonts w:hint="eastAsia" w:ascii="仿宋" w:hAnsi="仿宋" w:eastAsia="仿宋"/>
                <w:color w:val="auto"/>
                <w:sz w:val="24"/>
                <w:szCs w:val="24"/>
                <w:highlight w:val="none"/>
                <w:lang w:val="en-US" w:eastAsia="zh-CN"/>
              </w:rPr>
              <w:t>70</w:t>
            </w:r>
            <w:r>
              <w:rPr>
                <w:rFonts w:hint="eastAsia" w:ascii="仿宋" w:hAnsi="仿宋" w:eastAsia="仿宋"/>
                <w:color w:val="auto"/>
                <w:sz w:val="24"/>
                <w:szCs w:val="24"/>
                <w:highlight w:val="none"/>
              </w:rPr>
              <w:t>分</w:t>
            </w:r>
          </w:p>
        </w:tc>
        <w:tc>
          <w:tcPr>
            <w:tcW w:w="2306" w:type="dxa"/>
            <w:vAlign w:val="center"/>
          </w:tcPr>
          <w:p w14:paraId="112AE435">
            <w:pPr>
              <w:spacing w:line="400" w:lineRule="exact"/>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100分</w:t>
            </w:r>
          </w:p>
        </w:tc>
      </w:tr>
    </w:tbl>
    <w:p w14:paraId="556ED46D">
      <w:pPr>
        <w:spacing w:afterLines="50" w:line="400" w:lineRule="exact"/>
        <w:ind w:firstLine="480" w:firstLineChars="200"/>
        <w:rPr>
          <w:rFonts w:ascii="楷体" w:hAnsi="楷体" w:eastAsia="楷体"/>
          <w:color w:val="auto"/>
          <w:sz w:val="24"/>
          <w:szCs w:val="24"/>
          <w:highlight w:val="none"/>
        </w:rPr>
      </w:pPr>
      <w:bookmarkStart w:id="130" w:name="_Toc391306856"/>
      <w:bookmarkStart w:id="131" w:name="_Toc381951225"/>
      <w:r>
        <w:rPr>
          <w:rFonts w:hint="eastAsia" w:ascii="楷体" w:hAnsi="楷体" w:eastAsia="楷体"/>
          <w:color w:val="auto"/>
          <w:sz w:val="24"/>
          <w:szCs w:val="24"/>
          <w:highlight w:val="none"/>
        </w:rPr>
        <w:t>2.2初步评审表</w:t>
      </w:r>
      <w:bookmarkEnd w:id="130"/>
      <w:bookmarkEnd w:id="131"/>
    </w:p>
    <w:tbl>
      <w:tblPr>
        <w:tblStyle w:val="15"/>
        <w:tblW w:w="916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32"/>
        <w:gridCol w:w="1881"/>
        <w:gridCol w:w="5947"/>
      </w:tblGrid>
      <w:tr w14:paraId="481A74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213" w:type="dxa"/>
            <w:gridSpan w:val="2"/>
            <w:tcBorders>
              <w:top w:val="single" w:color="auto" w:sz="4" w:space="0"/>
              <w:left w:val="single" w:color="auto" w:sz="4" w:space="0"/>
              <w:bottom w:val="single" w:color="auto" w:sz="4" w:space="0"/>
              <w:right w:val="single" w:color="auto" w:sz="4" w:space="0"/>
            </w:tcBorders>
            <w:vAlign w:val="center"/>
          </w:tcPr>
          <w:p w14:paraId="7213FE2C">
            <w:pPr>
              <w:spacing w:beforeLines="30" w:line="312" w:lineRule="auto"/>
              <w:jc w:val="center"/>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条款号</w:t>
            </w:r>
          </w:p>
        </w:tc>
        <w:tc>
          <w:tcPr>
            <w:tcW w:w="5947" w:type="dxa"/>
            <w:tcBorders>
              <w:top w:val="single" w:color="auto" w:sz="4" w:space="0"/>
              <w:left w:val="single" w:color="auto" w:sz="4" w:space="0"/>
              <w:bottom w:val="single" w:color="auto" w:sz="4" w:space="0"/>
              <w:right w:val="single" w:color="auto" w:sz="4" w:space="0"/>
            </w:tcBorders>
            <w:vAlign w:val="center"/>
          </w:tcPr>
          <w:p w14:paraId="78FC1DE3">
            <w:pPr>
              <w:spacing w:beforeLines="30" w:line="312" w:lineRule="auto"/>
              <w:jc w:val="center"/>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评审标准</w:t>
            </w:r>
          </w:p>
        </w:tc>
      </w:tr>
      <w:tr w14:paraId="0BDFFE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332" w:type="dxa"/>
            <w:vMerge w:val="restart"/>
            <w:tcBorders>
              <w:top w:val="single" w:color="auto" w:sz="4" w:space="0"/>
              <w:left w:val="single" w:color="auto" w:sz="4" w:space="0"/>
              <w:right w:val="single" w:color="auto" w:sz="4" w:space="0"/>
            </w:tcBorders>
            <w:vAlign w:val="center"/>
          </w:tcPr>
          <w:p w14:paraId="7CADA300">
            <w:pPr>
              <w:spacing w:beforeLines="30" w:line="312"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2.2.1</w:t>
            </w:r>
          </w:p>
        </w:tc>
        <w:tc>
          <w:tcPr>
            <w:tcW w:w="1881" w:type="dxa"/>
            <w:vMerge w:val="restart"/>
            <w:tcBorders>
              <w:top w:val="single" w:color="auto" w:sz="4" w:space="0"/>
              <w:left w:val="nil"/>
              <w:right w:val="single" w:color="auto" w:sz="4" w:space="0"/>
            </w:tcBorders>
            <w:vAlign w:val="center"/>
          </w:tcPr>
          <w:p w14:paraId="39623F2F">
            <w:pPr>
              <w:spacing w:beforeLines="30" w:line="312"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资格性审查</w:t>
            </w:r>
          </w:p>
        </w:tc>
        <w:tc>
          <w:tcPr>
            <w:tcW w:w="5947" w:type="dxa"/>
            <w:tcBorders>
              <w:top w:val="single" w:color="auto" w:sz="4" w:space="0"/>
              <w:left w:val="single" w:color="auto" w:sz="4" w:space="0"/>
              <w:bottom w:val="single" w:color="auto" w:sz="4" w:space="0"/>
              <w:right w:val="single" w:color="auto" w:sz="4" w:space="0"/>
            </w:tcBorders>
            <w:vAlign w:val="center"/>
          </w:tcPr>
          <w:p w14:paraId="6200B651">
            <w:pPr>
              <w:spacing w:beforeLines="30" w:line="312"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具有独立承担民事责任的能力:</w:t>
            </w:r>
            <w:r>
              <w:rPr>
                <w:rFonts w:hint="eastAsia" w:ascii="仿宋" w:hAnsi="仿宋" w:eastAsia="仿宋" w:cs="仿宋"/>
                <w:color w:val="auto"/>
                <w:sz w:val="24"/>
                <w:szCs w:val="24"/>
                <w:highlight w:val="none"/>
                <w:lang w:val="en-US" w:eastAsia="zh-CN"/>
              </w:rPr>
              <w:t>投标人为企业(包括合伙企业)的，应提供有效的“营业执照”；供应商是非企业机构的，应提供有效的“执业许可证”、“登记证书”等证明文件；投标人是个体工商户的，应提供有效的“个体工商户营业执照”。</w:t>
            </w:r>
          </w:p>
        </w:tc>
      </w:tr>
      <w:tr w14:paraId="5057A6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332" w:type="dxa"/>
            <w:vMerge w:val="continue"/>
            <w:tcBorders>
              <w:left w:val="single" w:color="auto" w:sz="4" w:space="0"/>
              <w:right w:val="single" w:color="auto" w:sz="4" w:space="0"/>
            </w:tcBorders>
            <w:vAlign w:val="center"/>
          </w:tcPr>
          <w:p w14:paraId="19F27509">
            <w:pPr>
              <w:spacing w:beforeLines="30" w:line="312" w:lineRule="auto"/>
              <w:ind w:firstLine="480" w:firstLineChars="200"/>
              <w:jc w:val="center"/>
              <w:rPr>
                <w:rFonts w:ascii="仿宋" w:hAnsi="仿宋" w:eastAsia="仿宋" w:cs="仿宋"/>
                <w:color w:val="auto"/>
                <w:sz w:val="24"/>
                <w:szCs w:val="24"/>
                <w:highlight w:val="none"/>
              </w:rPr>
            </w:pPr>
          </w:p>
        </w:tc>
        <w:tc>
          <w:tcPr>
            <w:tcW w:w="1881" w:type="dxa"/>
            <w:vMerge w:val="continue"/>
            <w:tcBorders>
              <w:left w:val="nil"/>
              <w:right w:val="single" w:color="auto" w:sz="4" w:space="0"/>
            </w:tcBorders>
            <w:vAlign w:val="center"/>
          </w:tcPr>
          <w:p w14:paraId="108509AD">
            <w:pPr>
              <w:spacing w:beforeLines="30" w:line="312" w:lineRule="auto"/>
              <w:ind w:firstLine="480" w:firstLineChars="200"/>
              <w:jc w:val="center"/>
              <w:rPr>
                <w:rFonts w:ascii="仿宋" w:hAnsi="仿宋" w:eastAsia="仿宋" w:cs="仿宋"/>
                <w:color w:val="auto"/>
                <w:sz w:val="24"/>
                <w:szCs w:val="24"/>
                <w:highlight w:val="none"/>
              </w:rPr>
            </w:pPr>
          </w:p>
        </w:tc>
        <w:tc>
          <w:tcPr>
            <w:tcW w:w="5947" w:type="dxa"/>
            <w:tcBorders>
              <w:top w:val="single" w:color="auto" w:sz="4" w:space="0"/>
              <w:left w:val="single" w:color="auto" w:sz="4" w:space="0"/>
              <w:bottom w:val="single" w:color="auto" w:sz="4" w:space="0"/>
              <w:right w:val="single" w:color="auto" w:sz="4" w:space="0"/>
            </w:tcBorders>
            <w:vAlign w:val="center"/>
          </w:tcPr>
          <w:p w14:paraId="38396DA8">
            <w:pPr>
              <w:spacing w:beforeLines="30" w:line="312"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提供法定代表人身份证明、授权委托书及委托人身份证</w:t>
            </w:r>
          </w:p>
          <w:p w14:paraId="13BD49C0">
            <w:pPr>
              <w:spacing w:beforeLines="30" w:line="312"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明；</w:t>
            </w:r>
          </w:p>
        </w:tc>
      </w:tr>
      <w:tr w14:paraId="432BE6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332" w:type="dxa"/>
            <w:vMerge w:val="continue"/>
            <w:tcBorders>
              <w:left w:val="single" w:color="auto" w:sz="4" w:space="0"/>
              <w:right w:val="single" w:color="auto" w:sz="4" w:space="0"/>
            </w:tcBorders>
            <w:vAlign w:val="center"/>
          </w:tcPr>
          <w:p w14:paraId="5C676486">
            <w:pPr>
              <w:spacing w:beforeLines="30" w:line="312" w:lineRule="auto"/>
              <w:ind w:firstLine="480" w:firstLineChars="200"/>
              <w:jc w:val="center"/>
              <w:rPr>
                <w:rFonts w:ascii="仿宋" w:hAnsi="仿宋" w:eastAsia="仿宋" w:cs="仿宋"/>
                <w:color w:val="auto"/>
                <w:sz w:val="24"/>
                <w:szCs w:val="24"/>
                <w:highlight w:val="none"/>
              </w:rPr>
            </w:pPr>
          </w:p>
        </w:tc>
        <w:tc>
          <w:tcPr>
            <w:tcW w:w="1881" w:type="dxa"/>
            <w:vMerge w:val="continue"/>
            <w:tcBorders>
              <w:left w:val="nil"/>
              <w:right w:val="single" w:color="auto" w:sz="4" w:space="0"/>
            </w:tcBorders>
            <w:vAlign w:val="center"/>
          </w:tcPr>
          <w:p w14:paraId="188AB974">
            <w:pPr>
              <w:spacing w:beforeLines="30" w:line="312" w:lineRule="auto"/>
              <w:ind w:firstLine="480" w:firstLineChars="200"/>
              <w:jc w:val="center"/>
              <w:rPr>
                <w:rFonts w:ascii="仿宋" w:hAnsi="仿宋" w:eastAsia="仿宋" w:cs="仿宋"/>
                <w:color w:val="auto"/>
                <w:sz w:val="24"/>
                <w:szCs w:val="24"/>
                <w:highlight w:val="none"/>
              </w:rPr>
            </w:pPr>
          </w:p>
        </w:tc>
        <w:tc>
          <w:tcPr>
            <w:tcW w:w="5947" w:type="dxa"/>
            <w:tcBorders>
              <w:top w:val="single" w:color="auto" w:sz="4" w:space="0"/>
              <w:left w:val="single" w:color="auto" w:sz="4" w:space="0"/>
              <w:bottom w:val="single" w:color="auto" w:sz="4" w:space="0"/>
              <w:right w:val="single" w:color="auto" w:sz="4" w:space="0"/>
            </w:tcBorders>
            <w:vAlign w:val="center"/>
          </w:tcPr>
          <w:p w14:paraId="7AE06362">
            <w:pPr>
              <w:spacing w:beforeLines="30" w:line="312"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近</w:t>
            </w:r>
            <w:r>
              <w:rPr>
                <w:rFonts w:hint="eastAsia" w:ascii="仿宋" w:hAnsi="仿宋" w:eastAsia="仿宋" w:cs="仿宋"/>
                <w:color w:val="auto"/>
                <w:sz w:val="24"/>
                <w:szCs w:val="24"/>
                <w:highlight w:val="none"/>
                <w:lang w:val="en-US" w:eastAsia="zh-CN"/>
              </w:rPr>
              <w:t>一</w:t>
            </w:r>
            <w:r>
              <w:rPr>
                <w:rFonts w:hint="eastAsia" w:ascii="仿宋" w:hAnsi="仿宋" w:eastAsia="仿宋" w:cs="仿宋"/>
                <w:color w:val="auto"/>
                <w:sz w:val="24"/>
                <w:szCs w:val="24"/>
                <w:highlight w:val="none"/>
              </w:rPr>
              <w:t>年经年审的财务审计报告</w:t>
            </w:r>
            <w:r>
              <w:rPr>
                <w:rFonts w:hint="eastAsia" w:ascii="仿宋" w:hAnsi="仿宋" w:eastAsia="仿宋" w:cs="仿宋"/>
                <w:color w:val="auto"/>
                <w:sz w:val="24"/>
                <w:szCs w:val="24"/>
                <w:highlight w:val="none"/>
                <w:lang w:val="en-US" w:eastAsia="zh-CN"/>
              </w:rPr>
              <w:t>或财务报表</w:t>
            </w:r>
            <w:r>
              <w:rPr>
                <w:rFonts w:hint="eastAsia" w:ascii="仿宋" w:hAnsi="仿宋" w:eastAsia="仿宋" w:cs="仿宋"/>
                <w:color w:val="auto"/>
                <w:sz w:val="24"/>
                <w:szCs w:val="24"/>
                <w:highlight w:val="none"/>
              </w:rPr>
              <w:t>（202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年度），企业成立不足一年的提供企业成立至今的财务报表</w:t>
            </w:r>
          </w:p>
        </w:tc>
      </w:tr>
      <w:tr w14:paraId="30A1C2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332" w:type="dxa"/>
            <w:vMerge w:val="continue"/>
            <w:tcBorders>
              <w:left w:val="single" w:color="auto" w:sz="4" w:space="0"/>
              <w:right w:val="single" w:color="auto" w:sz="4" w:space="0"/>
            </w:tcBorders>
            <w:vAlign w:val="center"/>
          </w:tcPr>
          <w:p w14:paraId="1503C347">
            <w:pPr>
              <w:spacing w:beforeLines="30" w:line="312" w:lineRule="auto"/>
              <w:ind w:firstLine="480" w:firstLineChars="200"/>
              <w:jc w:val="center"/>
              <w:rPr>
                <w:rFonts w:ascii="仿宋" w:hAnsi="仿宋" w:eastAsia="仿宋" w:cs="仿宋"/>
                <w:color w:val="auto"/>
                <w:sz w:val="24"/>
                <w:szCs w:val="24"/>
                <w:highlight w:val="none"/>
              </w:rPr>
            </w:pPr>
          </w:p>
        </w:tc>
        <w:tc>
          <w:tcPr>
            <w:tcW w:w="1881" w:type="dxa"/>
            <w:vMerge w:val="continue"/>
            <w:tcBorders>
              <w:left w:val="nil"/>
              <w:right w:val="single" w:color="auto" w:sz="4" w:space="0"/>
            </w:tcBorders>
            <w:vAlign w:val="center"/>
          </w:tcPr>
          <w:p w14:paraId="4A69B61F">
            <w:pPr>
              <w:spacing w:beforeLines="30" w:line="312" w:lineRule="auto"/>
              <w:ind w:firstLine="480" w:firstLineChars="200"/>
              <w:jc w:val="center"/>
              <w:rPr>
                <w:rFonts w:ascii="仿宋" w:hAnsi="仿宋" w:eastAsia="仿宋" w:cs="仿宋"/>
                <w:color w:val="auto"/>
                <w:sz w:val="24"/>
                <w:szCs w:val="24"/>
                <w:highlight w:val="none"/>
              </w:rPr>
            </w:pPr>
          </w:p>
        </w:tc>
        <w:tc>
          <w:tcPr>
            <w:tcW w:w="5947" w:type="dxa"/>
            <w:tcBorders>
              <w:top w:val="single" w:color="auto" w:sz="4" w:space="0"/>
              <w:left w:val="single" w:color="auto" w:sz="4" w:space="0"/>
              <w:bottom w:val="single" w:color="auto" w:sz="4" w:space="0"/>
              <w:right w:val="single" w:color="auto" w:sz="4" w:space="0"/>
            </w:tcBorders>
            <w:vAlign w:val="center"/>
          </w:tcPr>
          <w:p w14:paraId="6E5F6B59">
            <w:pPr>
              <w:spacing w:beforeLines="30" w:line="312"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提供 2026 年度任意时段的缴纳税收的电子回单或税务部门出具的纳税证明或完税证明或有效的证明材料；</w:t>
            </w:r>
          </w:p>
        </w:tc>
      </w:tr>
      <w:tr w14:paraId="385EFF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332" w:type="dxa"/>
            <w:vMerge w:val="continue"/>
            <w:tcBorders>
              <w:left w:val="single" w:color="auto" w:sz="4" w:space="0"/>
              <w:right w:val="single" w:color="auto" w:sz="4" w:space="0"/>
            </w:tcBorders>
            <w:vAlign w:val="center"/>
          </w:tcPr>
          <w:p w14:paraId="4566813C">
            <w:pPr>
              <w:spacing w:beforeLines="30" w:line="312" w:lineRule="auto"/>
              <w:ind w:firstLine="480" w:firstLineChars="200"/>
              <w:jc w:val="center"/>
              <w:rPr>
                <w:rFonts w:ascii="仿宋" w:hAnsi="仿宋" w:eastAsia="仿宋" w:cs="仿宋"/>
                <w:color w:val="auto"/>
                <w:sz w:val="24"/>
                <w:szCs w:val="24"/>
                <w:highlight w:val="none"/>
              </w:rPr>
            </w:pPr>
          </w:p>
        </w:tc>
        <w:tc>
          <w:tcPr>
            <w:tcW w:w="1881" w:type="dxa"/>
            <w:vMerge w:val="continue"/>
            <w:tcBorders>
              <w:left w:val="nil"/>
              <w:right w:val="single" w:color="auto" w:sz="4" w:space="0"/>
            </w:tcBorders>
            <w:vAlign w:val="center"/>
          </w:tcPr>
          <w:p w14:paraId="3D49731C">
            <w:pPr>
              <w:spacing w:beforeLines="30" w:line="312" w:lineRule="auto"/>
              <w:ind w:firstLine="480" w:firstLineChars="200"/>
              <w:jc w:val="center"/>
              <w:rPr>
                <w:rFonts w:ascii="仿宋" w:hAnsi="仿宋" w:eastAsia="仿宋" w:cs="仿宋"/>
                <w:color w:val="auto"/>
                <w:sz w:val="24"/>
                <w:szCs w:val="24"/>
                <w:highlight w:val="none"/>
              </w:rPr>
            </w:pPr>
          </w:p>
        </w:tc>
        <w:tc>
          <w:tcPr>
            <w:tcW w:w="5947" w:type="dxa"/>
            <w:tcBorders>
              <w:top w:val="single" w:color="auto" w:sz="4" w:space="0"/>
              <w:left w:val="single" w:color="auto" w:sz="4" w:space="0"/>
              <w:bottom w:val="single" w:color="auto" w:sz="4" w:space="0"/>
              <w:right w:val="single" w:color="auto" w:sz="4" w:space="0"/>
            </w:tcBorders>
            <w:vAlign w:val="center"/>
          </w:tcPr>
          <w:p w14:paraId="41072E93">
            <w:pPr>
              <w:spacing w:beforeLines="30" w:line="312" w:lineRule="auto"/>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提供 202</w:t>
            </w:r>
            <w:r>
              <w:rPr>
                <w:rFonts w:hint="eastAsia" w:ascii="仿宋" w:hAnsi="仿宋" w:eastAsia="仿宋" w:cs="仿宋"/>
                <w:color w:val="auto"/>
                <w:sz w:val="24"/>
                <w:szCs w:val="24"/>
                <w:highlight w:val="none"/>
                <w:lang w:val="en-US" w:eastAsia="zh-CN"/>
              </w:rPr>
              <w:t>6</w:t>
            </w:r>
            <w:r>
              <w:rPr>
                <w:rFonts w:hint="default" w:ascii="仿宋" w:hAnsi="仿宋" w:eastAsia="仿宋" w:cs="仿宋"/>
                <w:color w:val="auto"/>
                <w:sz w:val="24"/>
                <w:szCs w:val="24"/>
                <w:highlight w:val="none"/>
                <w:lang w:val="en-US" w:eastAsia="zh-CN"/>
              </w:rPr>
              <w:t xml:space="preserve"> 年度任意时段的缴纳社保的银行电子回单或社保部门出具的社保缴纳证明材料或有效的证明材料；</w:t>
            </w:r>
          </w:p>
        </w:tc>
      </w:tr>
      <w:tr w14:paraId="18EAA7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332" w:type="dxa"/>
            <w:vMerge w:val="restart"/>
            <w:tcBorders>
              <w:left w:val="single" w:color="auto" w:sz="4" w:space="0"/>
              <w:right w:val="single" w:color="auto" w:sz="4" w:space="0"/>
            </w:tcBorders>
            <w:vAlign w:val="center"/>
          </w:tcPr>
          <w:p w14:paraId="0A0ECEE2">
            <w:pPr>
              <w:spacing w:beforeLines="30" w:line="312" w:lineRule="auto"/>
              <w:ind w:firstLine="480" w:firstLineChars="200"/>
              <w:jc w:val="center"/>
              <w:rPr>
                <w:rFonts w:ascii="仿宋" w:hAnsi="仿宋" w:eastAsia="仿宋" w:cs="仿宋"/>
                <w:color w:val="auto"/>
                <w:sz w:val="24"/>
                <w:szCs w:val="24"/>
                <w:highlight w:val="none"/>
              </w:rPr>
            </w:pPr>
          </w:p>
        </w:tc>
        <w:tc>
          <w:tcPr>
            <w:tcW w:w="1881" w:type="dxa"/>
            <w:vMerge w:val="restart"/>
            <w:tcBorders>
              <w:left w:val="nil"/>
              <w:right w:val="single" w:color="auto" w:sz="4" w:space="0"/>
            </w:tcBorders>
            <w:vAlign w:val="center"/>
          </w:tcPr>
          <w:p w14:paraId="2FC7EF39">
            <w:pPr>
              <w:spacing w:beforeLines="30" w:line="312" w:lineRule="auto"/>
              <w:ind w:firstLine="480" w:firstLineChars="200"/>
              <w:jc w:val="center"/>
              <w:rPr>
                <w:rFonts w:ascii="仿宋" w:hAnsi="仿宋" w:eastAsia="仿宋" w:cs="仿宋"/>
                <w:color w:val="auto"/>
                <w:sz w:val="24"/>
                <w:szCs w:val="24"/>
                <w:highlight w:val="none"/>
              </w:rPr>
            </w:pPr>
          </w:p>
        </w:tc>
        <w:tc>
          <w:tcPr>
            <w:tcW w:w="5947" w:type="dxa"/>
            <w:tcBorders>
              <w:top w:val="single" w:color="auto" w:sz="4" w:space="0"/>
              <w:left w:val="single" w:color="auto" w:sz="4" w:space="0"/>
              <w:bottom w:val="single" w:color="auto" w:sz="4" w:space="0"/>
              <w:right w:val="single" w:color="auto" w:sz="4" w:space="0"/>
            </w:tcBorders>
            <w:vAlign w:val="center"/>
          </w:tcPr>
          <w:p w14:paraId="044D53F2">
            <w:pPr>
              <w:spacing w:beforeLines="30" w:line="312" w:lineRule="auto"/>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具有履行合同所必需的设备和专业技术能力和参加政府 采购活动前三年内，在经营活动中没有重大违法记录的声明</w:t>
            </w:r>
          </w:p>
        </w:tc>
      </w:tr>
      <w:tr w14:paraId="20EA5D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332" w:type="dxa"/>
            <w:vMerge w:val="continue"/>
            <w:tcBorders>
              <w:left w:val="single" w:color="auto" w:sz="4" w:space="0"/>
              <w:right w:val="single" w:color="auto" w:sz="4" w:space="0"/>
            </w:tcBorders>
            <w:vAlign w:val="center"/>
          </w:tcPr>
          <w:p w14:paraId="172B7540">
            <w:pPr>
              <w:spacing w:beforeLines="30" w:line="312" w:lineRule="auto"/>
              <w:ind w:firstLine="480" w:firstLineChars="200"/>
              <w:jc w:val="center"/>
              <w:rPr>
                <w:rFonts w:ascii="仿宋" w:hAnsi="仿宋" w:eastAsia="仿宋" w:cs="仿宋"/>
                <w:color w:val="auto"/>
                <w:sz w:val="24"/>
                <w:szCs w:val="24"/>
                <w:highlight w:val="none"/>
              </w:rPr>
            </w:pPr>
          </w:p>
        </w:tc>
        <w:tc>
          <w:tcPr>
            <w:tcW w:w="1881" w:type="dxa"/>
            <w:vMerge w:val="continue"/>
            <w:tcBorders>
              <w:left w:val="nil"/>
              <w:right w:val="single" w:color="auto" w:sz="4" w:space="0"/>
            </w:tcBorders>
            <w:vAlign w:val="center"/>
          </w:tcPr>
          <w:p w14:paraId="6646CBC9">
            <w:pPr>
              <w:spacing w:beforeLines="30" w:line="312" w:lineRule="auto"/>
              <w:ind w:firstLine="480" w:firstLineChars="200"/>
              <w:jc w:val="center"/>
              <w:rPr>
                <w:rFonts w:ascii="仿宋" w:hAnsi="仿宋" w:eastAsia="仿宋" w:cs="仿宋"/>
                <w:color w:val="auto"/>
                <w:sz w:val="24"/>
                <w:szCs w:val="24"/>
                <w:highlight w:val="none"/>
              </w:rPr>
            </w:pPr>
          </w:p>
        </w:tc>
        <w:tc>
          <w:tcPr>
            <w:tcW w:w="5947" w:type="dxa"/>
            <w:tcBorders>
              <w:top w:val="single" w:color="auto" w:sz="4" w:space="0"/>
              <w:left w:val="single" w:color="auto" w:sz="4" w:space="0"/>
              <w:bottom w:val="single" w:color="auto" w:sz="4" w:space="0"/>
              <w:right w:val="single" w:color="auto" w:sz="4" w:space="0"/>
            </w:tcBorders>
            <w:vAlign w:val="center"/>
          </w:tcPr>
          <w:p w14:paraId="0D5BF223">
            <w:pPr>
              <w:spacing w:beforeLines="30" w:line="312" w:lineRule="auto"/>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单位负责人为同一人或者存在直接控股、管理关系的不</w:t>
            </w:r>
          </w:p>
          <w:p w14:paraId="36B10D1B">
            <w:pPr>
              <w:spacing w:beforeLines="30" w:line="312" w:lineRule="auto"/>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同供应商，不得参加同一合同项下的政府采购活动（提供承诺书）。</w:t>
            </w:r>
          </w:p>
        </w:tc>
      </w:tr>
      <w:tr w14:paraId="0B6B4B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1332" w:type="dxa"/>
            <w:vMerge w:val="restart"/>
            <w:tcBorders>
              <w:top w:val="single" w:color="auto" w:sz="4" w:space="0"/>
              <w:left w:val="single" w:color="auto" w:sz="4" w:space="0"/>
              <w:right w:val="single" w:color="auto" w:sz="4" w:space="0"/>
            </w:tcBorders>
            <w:vAlign w:val="center"/>
          </w:tcPr>
          <w:p w14:paraId="76E64F6A">
            <w:pPr>
              <w:spacing w:beforeLines="30" w:line="312"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2.2.2</w:t>
            </w:r>
          </w:p>
        </w:tc>
        <w:tc>
          <w:tcPr>
            <w:tcW w:w="1881" w:type="dxa"/>
            <w:vMerge w:val="restart"/>
            <w:tcBorders>
              <w:top w:val="single" w:color="auto" w:sz="4" w:space="0"/>
              <w:left w:val="nil"/>
              <w:right w:val="single" w:color="auto" w:sz="4" w:space="0"/>
            </w:tcBorders>
            <w:vAlign w:val="center"/>
          </w:tcPr>
          <w:p w14:paraId="4D28B798">
            <w:pPr>
              <w:spacing w:beforeLines="30" w:line="312"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符合性审查</w:t>
            </w:r>
          </w:p>
        </w:tc>
        <w:tc>
          <w:tcPr>
            <w:tcW w:w="5947" w:type="dxa"/>
            <w:tcBorders>
              <w:top w:val="single" w:color="auto" w:sz="4" w:space="0"/>
              <w:left w:val="single" w:color="auto" w:sz="4" w:space="0"/>
              <w:bottom w:val="single" w:color="auto" w:sz="4" w:space="0"/>
              <w:right w:val="single" w:color="auto" w:sz="4" w:space="0"/>
            </w:tcBorders>
            <w:vAlign w:val="center"/>
          </w:tcPr>
          <w:p w14:paraId="57A92A95">
            <w:pPr>
              <w:spacing w:beforeLines="30" w:line="312"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投标文件格式符合招标文件要求</w:t>
            </w:r>
          </w:p>
        </w:tc>
      </w:tr>
      <w:tr w14:paraId="196796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332" w:type="dxa"/>
            <w:vMerge w:val="continue"/>
            <w:tcBorders>
              <w:left w:val="single" w:color="auto" w:sz="4" w:space="0"/>
              <w:right w:val="single" w:color="auto" w:sz="4" w:space="0"/>
            </w:tcBorders>
            <w:vAlign w:val="center"/>
          </w:tcPr>
          <w:p w14:paraId="4600665F">
            <w:pPr>
              <w:spacing w:beforeLines="30" w:line="312" w:lineRule="auto"/>
              <w:ind w:firstLine="480" w:firstLineChars="200"/>
              <w:jc w:val="center"/>
              <w:rPr>
                <w:rFonts w:ascii="仿宋" w:hAnsi="仿宋" w:eastAsia="仿宋" w:cs="仿宋"/>
                <w:color w:val="auto"/>
                <w:sz w:val="24"/>
                <w:szCs w:val="24"/>
                <w:highlight w:val="none"/>
              </w:rPr>
            </w:pPr>
          </w:p>
        </w:tc>
        <w:tc>
          <w:tcPr>
            <w:tcW w:w="1881" w:type="dxa"/>
            <w:vMerge w:val="continue"/>
            <w:tcBorders>
              <w:left w:val="nil"/>
              <w:right w:val="single" w:color="auto" w:sz="4" w:space="0"/>
            </w:tcBorders>
            <w:vAlign w:val="center"/>
          </w:tcPr>
          <w:p w14:paraId="76BADFD5">
            <w:pPr>
              <w:spacing w:beforeLines="30" w:line="312" w:lineRule="auto"/>
              <w:jc w:val="center"/>
              <w:rPr>
                <w:rFonts w:ascii="仿宋" w:hAnsi="仿宋" w:eastAsia="仿宋" w:cs="仿宋"/>
                <w:color w:val="auto"/>
                <w:sz w:val="24"/>
                <w:szCs w:val="24"/>
                <w:highlight w:val="none"/>
              </w:rPr>
            </w:pPr>
          </w:p>
        </w:tc>
        <w:tc>
          <w:tcPr>
            <w:tcW w:w="5947" w:type="dxa"/>
            <w:tcBorders>
              <w:top w:val="single" w:color="auto" w:sz="4" w:space="0"/>
              <w:left w:val="single" w:color="auto" w:sz="4" w:space="0"/>
              <w:bottom w:val="single" w:color="auto" w:sz="4" w:space="0"/>
              <w:right w:val="single" w:color="auto" w:sz="4" w:space="0"/>
            </w:tcBorders>
            <w:vAlign w:val="center"/>
          </w:tcPr>
          <w:p w14:paraId="48F44F9E">
            <w:pPr>
              <w:spacing w:beforeLines="30" w:line="312"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投标文件的签名盖章符合招标文件要求</w:t>
            </w:r>
          </w:p>
        </w:tc>
      </w:tr>
      <w:tr w14:paraId="050282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atLeast"/>
          <w:jc w:val="center"/>
        </w:trPr>
        <w:tc>
          <w:tcPr>
            <w:tcW w:w="1332" w:type="dxa"/>
            <w:vMerge w:val="continue"/>
            <w:tcBorders>
              <w:left w:val="single" w:color="auto" w:sz="4" w:space="0"/>
              <w:right w:val="single" w:color="auto" w:sz="4" w:space="0"/>
            </w:tcBorders>
            <w:vAlign w:val="center"/>
          </w:tcPr>
          <w:p w14:paraId="2AC60BF2">
            <w:pPr>
              <w:spacing w:beforeLines="30" w:line="312" w:lineRule="auto"/>
              <w:ind w:firstLine="480" w:firstLineChars="200"/>
              <w:jc w:val="center"/>
              <w:rPr>
                <w:rFonts w:ascii="仿宋" w:hAnsi="仿宋" w:eastAsia="仿宋" w:cs="仿宋"/>
                <w:color w:val="auto"/>
                <w:sz w:val="24"/>
                <w:szCs w:val="24"/>
                <w:highlight w:val="none"/>
              </w:rPr>
            </w:pPr>
          </w:p>
        </w:tc>
        <w:tc>
          <w:tcPr>
            <w:tcW w:w="1881" w:type="dxa"/>
            <w:vMerge w:val="continue"/>
            <w:tcBorders>
              <w:left w:val="nil"/>
              <w:right w:val="single" w:color="auto" w:sz="4" w:space="0"/>
            </w:tcBorders>
            <w:vAlign w:val="center"/>
          </w:tcPr>
          <w:p w14:paraId="1EA7E3A2">
            <w:pPr>
              <w:spacing w:beforeLines="30" w:line="312" w:lineRule="auto"/>
              <w:jc w:val="center"/>
              <w:rPr>
                <w:rFonts w:ascii="仿宋" w:hAnsi="仿宋" w:eastAsia="仿宋" w:cs="仿宋"/>
                <w:color w:val="auto"/>
                <w:sz w:val="24"/>
                <w:szCs w:val="24"/>
                <w:highlight w:val="none"/>
              </w:rPr>
            </w:pPr>
          </w:p>
        </w:tc>
        <w:tc>
          <w:tcPr>
            <w:tcW w:w="5947" w:type="dxa"/>
            <w:tcBorders>
              <w:top w:val="single" w:color="auto" w:sz="4" w:space="0"/>
              <w:left w:val="single" w:color="auto" w:sz="4" w:space="0"/>
              <w:bottom w:val="single" w:color="auto" w:sz="4" w:space="0"/>
              <w:right w:val="single" w:color="auto" w:sz="4" w:space="0"/>
            </w:tcBorders>
            <w:vAlign w:val="center"/>
          </w:tcPr>
          <w:p w14:paraId="45487691">
            <w:pPr>
              <w:spacing w:beforeLines="30" w:line="312"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投标有效期符合招标文件要求</w:t>
            </w:r>
          </w:p>
        </w:tc>
      </w:tr>
      <w:tr w14:paraId="084BFC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332" w:type="dxa"/>
            <w:vMerge w:val="continue"/>
            <w:tcBorders>
              <w:left w:val="single" w:color="auto" w:sz="4" w:space="0"/>
              <w:right w:val="single" w:color="auto" w:sz="4" w:space="0"/>
            </w:tcBorders>
            <w:vAlign w:val="center"/>
          </w:tcPr>
          <w:p w14:paraId="449766BC">
            <w:pPr>
              <w:spacing w:beforeLines="30" w:line="312" w:lineRule="auto"/>
              <w:ind w:firstLine="480" w:firstLineChars="200"/>
              <w:jc w:val="center"/>
              <w:rPr>
                <w:rFonts w:ascii="仿宋" w:hAnsi="仿宋" w:eastAsia="仿宋" w:cs="仿宋"/>
                <w:color w:val="auto"/>
                <w:sz w:val="24"/>
                <w:szCs w:val="24"/>
                <w:highlight w:val="none"/>
              </w:rPr>
            </w:pPr>
          </w:p>
        </w:tc>
        <w:tc>
          <w:tcPr>
            <w:tcW w:w="1881" w:type="dxa"/>
            <w:vMerge w:val="continue"/>
            <w:tcBorders>
              <w:left w:val="nil"/>
              <w:right w:val="single" w:color="auto" w:sz="4" w:space="0"/>
            </w:tcBorders>
            <w:vAlign w:val="center"/>
          </w:tcPr>
          <w:p w14:paraId="0CFB08CA">
            <w:pPr>
              <w:spacing w:beforeLines="30" w:line="312" w:lineRule="auto"/>
              <w:ind w:firstLine="480" w:firstLineChars="200"/>
              <w:jc w:val="center"/>
              <w:rPr>
                <w:rFonts w:ascii="仿宋" w:hAnsi="仿宋" w:eastAsia="仿宋" w:cs="仿宋"/>
                <w:color w:val="auto"/>
                <w:sz w:val="24"/>
                <w:szCs w:val="24"/>
                <w:highlight w:val="none"/>
              </w:rPr>
            </w:pPr>
          </w:p>
        </w:tc>
        <w:tc>
          <w:tcPr>
            <w:tcW w:w="5947" w:type="dxa"/>
            <w:tcBorders>
              <w:top w:val="single" w:color="auto" w:sz="4" w:space="0"/>
              <w:left w:val="single" w:color="auto" w:sz="4" w:space="0"/>
              <w:bottom w:val="single" w:color="auto" w:sz="4" w:space="0"/>
              <w:right w:val="single" w:color="auto" w:sz="4" w:space="0"/>
            </w:tcBorders>
            <w:vAlign w:val="center"/>
          </w:tcPr>
          <w:p w14:paraId="41ED7E8A">
            <w:pPr>
              <w:spacing w:beforeLines="30" w:line="312"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交货期符合招标文件要求</w:t>
            </w:r>
          </w:p>
        </w:tc>
      </w:tr>
      <w:tr w14:paraId="47FA7B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332" w:type="dxa"/>
            <w:vMerge w:val="continue"/>
            <w:tcBorders>
              <w:left w:val="single" w:color="auto" w:sz="4" w:space="0"/>
              <w:right w:val="single" w:color="auto" w:sz="4" w:space="0"/>
            </w:tcBorders>
            <w:vAlign w:val="center"/>
          </w:tcPr>
          <w:p w14:paraId="320866DA">
            <w:pPr>
              <w:spacing w:beforeLines="30" w:line="312" w:lineRule="auto"/>
              <w:ind w:firstLine="480" w:firstLineChars="200"/>
              <w:jc w:val="center"/>
              <w:rPr>
                <w:rFonts w:ascii="仿宋" w:hAnsi="仿宋" w:eastAsia="仿宋" w:cs="仿宋"/>
                <w:color w:val="auto"/>
                <w:sz w:val="24"/>
                <w:szCs w:val="24"/>
                <w:highlight w:val="none"/>
              </w:rPr>
            </w:pPr>
          </w:p>
        </w:tc>
        <w:tc>
          <w:tcPr>
            <w:tcW w:w="1881" w:type="dxa"/>
            <w:vMerge w:val="continue"/>
            <w:tcBorders>
              <w:left w:val="nil"/>
              <w:right w:val="single" w:color="auto" w:sz="4" w:space="0"/>
            </w:tcBorders>
            <w:vAlign w:val="center"/>
          </w:tcPr>
          <w:p w14:paraId="24803914">
            <w:pPr>
              <w:spacing w:beforeLines="30" w:line="312" w:lineRule="auto"/>
              <w:ind w:firstLine="480" w:firstLineChars="200"/>
              <w:jc w:val="center"/>
              <w:rPr>
                <w:rFonts w:ascii="仿宋" w:hAnsi="仿宋" w:eastAsia="仿宋" w:cs="仿宋"/>
                <w:color w:val="auto"/>
                <w:sz w:val="24"/>
                <w:szCs w:val="24"/>
                <w:highlight w:val="none"/>
              </w:rPr>
            </w:pPr>
          </w:p>
        </w:tc>
        <w:tc>
          <w:tcPr>
            <w:tcW w:w="5947" w:type="dxa"/>
            <w:tcBorders>
              <w:top w:val="single" w:color="auto" w:sz="4" w:space="0"/>
              <w:left w:val="single" w:color="auto" w:sz="4" w:space="0"/>
              <w:bottom w:val="single" w:color="auto" w:sz="4" w:space="0"/>
              <w:right w:val="single" w:color="auto" w:sz="4" w:space="0"/>
            </w:tcBorders>
            <w:vAlign w:val="center"/>
          </w:tcPr>
          <w:p w14:paraId="004F58DB">
            <w:pPr>
              <w:spacing w:beforeLines="30" w:line="312"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货物质量符合招标文件要求</w:t>
            </w:r>
          </w:p>
        </w:tc>
      </w:tr>
      <w:tr w14:paraId="63593B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332" w:type="dxa"/>
            <w:vMerge w:val="continue"/>
            <w:tcBorders>
              <w:left w:val="single" w:color="auto" w:sz="4" w:space="0"/>
              <w:right w:val="single" w:color="auto" w:sz="4" w:space="0"/>
            </w:tcBorders>
            <w:vAlign w:val="center"/>
          </w:tcPr>
          <w:p w14:paraId="1A74FB95">
            <w:pPr>
              <w:spacing w:beforeLines="30" w:line="312" w:lineRule="auto"/>
              <w:ind w:firstLine="480" w:firstLineChars="200"/>
              <w:jc w:val="center"/>
              <w:rPr>
                <w:rFonts w:ascii="仿宋" w:hAnsi="仿宋" w:eastAsia="仿宋" w:cs="仿宋"/>
                <w:color w:val="auto"/>
                <w:sz w:val="24"/>
                <w:szCs w:val="24"/>
                <w:highlight w:val="none"/>
              </w:rPr>
            </w:pPr>
          </w:p>
        </w:tc>
        <w:tc>
          <w:tcPr>
            <w:tcW w:w="1881" w:type="dxa"/>
            <w:vMerge w:val="continue"/>
            <w:tcBorders>
              <w:left w:val="nil"/>
              <w:right w:val="single" w:color="auto" w:sz="4" w:space="0"/>
            </w:tcBorders>
            <w:vAlign w:val="center"/>
          </w:tcPr>
          <w:p w14:paraId="769FC845">
            <w:pPr>
              <w:spacing w:beforeLines="30" w:line="312" w:lineRule="auto"/>
              <w:ind w:firstLine="480" w:firstLineChars="200"/>
              <w:jc w:val="center"/>
              <w:rPr>
                <w:rFonts w:ascii="仿宋" w:hAnsi="仿宋" w:eastAsia="仿宋" w:cs="仿宋"/>
                <w:color w:val="auto"/>
                <w:sz w:val="24"/>
                <w:szCs w:val="24"/>
                <w:highlight w:val="none"/>
              </w:rPr>
            </w:pPr>
          </w:p>
        </w:tc>
        <w:tc>
          <w:tcPr>
            <w:tcW w:w="5947" w:type="dxa"/>
            <w:tcBorders>
              <w:top w:val="single" w:color="auto" w:sz="4" w:space="0"/>
              <w:left w:val="single" w:color="auto" w:sz="4" w:space="0"/>
              <w:bottom w:val="single" w:color="auto" w:sz="4" w:space="0"/>
              <w:right w:val="single" w:color="auto" w:sz="4" w:space="0"/>
            </w:tcBorders>
            <w:vAlign w:val="center"/>
          </w:tcPr>
          <w:p w14:paraId="38070F81">
            <w:pPr>
              <w:spacing w:before="72" w:beforeLines="30" w:line="312" w:lineRule="auto"/>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商务偏离</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技术偏离</w:t>
            </w:r>
            <w:r>
              <w:rPr>
                <w:rFonts w:hint="eastAsia" w:ascii="仿宋" w:hAnsi="仿宋" w:eastAsia="仿宋" w:cs="仿宋"/>
                <w:color w:val="auto"/>
                <w:sz w:val="24"/>
                <w:szCs w:val="24"/>
                <w:highlight w:val="none"/>
                <w:lang w:val="en-US" w:eastAsia="zh-CN"/>
              </w:rPr>
              <w:t>符合</w:t>
            </w:r>
            <w:r>
              <w:rPr>
                <w:rFonts w:hint="eastAsia" w:ascii="仿宋" w:hAnsi="仿宋" w:eastAsia="仿宋" w:cs="仿宋"/>
                <w:color w:val="auto"/>
                <w:sz w:val="24"/>
                <w:szCs w:val="24"/>
                <w:highlight w:val="none"/>
              </w:rPr>
              <w:t>招标文件</w:t>
            </w:r>
            <w:r>
              <w:rPr>
                <w:rFonts w:hint="eastAsia" w:ascii="仿宋" w:hAnsi="仿宋" w:eastAsia="仿宋" w:cs="仿宋"/>
                <w:color w:val="auto"/>
                <w:sz w:val="24"/>
                <w:szCs w:val="24"/>
                <w:highlight w:val="none"/>
                <w:lang w:val="en-US" w:eastAsia="zh-CN"/>
              </w:rPr>
              <w:t>要求</w:t>
            </w:r>
          </w:p>
        </w:tc>
      </w:tr>
      <w:tr w14:paraId="479E10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332" w:type="dxa"/>
            <w:vMerge w:val="continue"/>
            <w:tcBorders>
              <w:left w:val="single" w:color="auto" w:sz="4" w:space="0"/>
              <w:right w:val="single" w:color="auto" w:sz="4" w:space="0"/>
            </w:tcBorders>
            <w:vAlign w:val="center"/>
          </w:tcPr>
          <w:p w14:paraId="559AB4AE">
            <w:pPr>
              <w:spacing w:beforeLines="30" w:line="312" w:lineRule="auto"/>
              <w:jc w:val="center"/>
              <w:rPr>
                <w:rFonts w:ascii="仿宋" w:hAnsi="仿宋" w:eastAsia="仿宋" w:cs="仿宋"/>
                <w:color w:val="auto"/>
                <w:sz w:val="24"/>
                <w:szCs w:val="24"/>
                <w:highlight w:val="none"/>
              </w:rPr>
            </w:pPr>
          </w:p>
        </w:tc>
        <w:tc>
          <w:tcPr>
            <w:tcW w:w="1881" w:type="dxa"/>
            <w:vMerge w:val="continue"/>
            <w:tcBorders>
              <w:left w:val="nil"/>
              <w:right w:val="single" w:color="auto" w:sz="4" w:space="0"/>
            </w:tcBorders>
            <w:vAlign w:val="center"/>
          </w:tcPr>
          <w:p w14:paraId="23707648">
            <w:pPr>
              <w:spacing w:beforeLines="30" w:line="312" w:lineRule="auto"/>
              <w:ind w:firstLine="480" w:firstLineChars="200"/>
              <w:jc w:val="center"/>
              <w:rPr>
                <w:rFonts w:ascii="仿宋" w:hAnsi="仿宋" w:eastAsia="仿宋" w:cs="仿宋"/>
                <w:color w:val="auto"/>
                <w:sz w:val="24"/>
                <w:szCs w:val="24"/>
                <w:highlight w:val="none"/>
              </w:rPr>
            </w:pPr>
          </w:p>
        </w:tc>
        <w:tc>
          <w:tcPr>
            <w:tcW w:w="5947" w:type="dxa"/>
            <w:tcBorders>
              <w:top w:val="single" w:color="auto" w:sz="4" w:space="0"/>
              <w:left w:val="single" w:color="auto" w:sz="4" w:space="0"/>
              <w:bottom w:val="single" w:color="auto" w:sz="4" w:space="0"/>
              <w:right w:val="single" w:color="auto" w:sz="4" w:space="0"/>
            </w:tcBorders>
            <w:vAlign w:val="center"/>
          </w:tcPr>
          <w:p w14:paraId="22AB1BB5">
            <w:pPr>
              <w:spacing w:beforeLines="30" w:line="312"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按照招标文件规定报价只有一个有效报价且没有漏项</w:t>
            </w:r>
          </w:p>
        </w:tc>
      </w:tr>
      <w:tr w14:paraId="36C9A6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332" w:type="dxa"/>
            <w:vMerge w:val="continue"/>
            <w:tcBorders>
              <w:left w:val="single" w:color="auto" w:sz="4" w:space="0"/>
              <w:right w:val="single" w:color="auto" w:sz="4" w:space="0"/>
            </w:tcBorders>
            <w:vAlign w:val="center"/>
          </w:tcPr>
          <w:p w14:paraId="05822299">
            <w:pPr>
              <w:spacing w:beforeLines="30" w:line="312" w:lineRule="auto"/>
              <w:jc w:val="center"/>
              <w:rPr>
                <w:rFonts w:ascii="仿宋" w:hAnsi="仿宋" w:eastAsia="仿宋" w:cs="仿宋"/>
                <w:color w:val="auto"/>
                <w:sz w:val="24"/>
                <w:szCs w:val="24"/>
                <w:highlight w:val="none"/>
              </w:rPr>
            </w:pPr>
          </w:p>
        </w:tc>
        <w:tc>
          <w:tcPr>
            <w:tcW w:w="1881" w:type="dxa"/>
            <w:vMerge w:val="continue"/>
            <w:tcBorders>
              <w:left w:val="nil"/>
              <w:right w:val="single" w:color="auto" w:sz="4" w:space="0"/>
            </w:tcBorders>
            <w:vAlign w:val="center"/>
          </w:tcPr>
          <w:p w14:paraId="7612CFC3">
            <w:pPr>
              <w:spacing w:beforeLines="30" w:line="312" w:lineRule="auto"/>
              <w:ind w:firstLine="480" w:firstLineChars="200"/>
              <w:jc w:val="center"/>
              <w:rPr>
                <w:rFonts w:ascii="仿宋" w:hAnsi="仿宋" w:eastAsia="仿宋" w:cs="仿宋"/>
                <w:color w:val="auto"/>
                <w:sz w:val="24"/>
                <w:szCs w:val="24"/>
                <w:highlight w:val="none"/>
              </w:rPr>
            </w:pPr>
          </w:p>
        </w:tc>
        <w:tc>
          <w:tcPr>
            <w:tcW w:w="5947" w:type="dxa"/>
            <w:tcBorders>
              <w:top w:val="single" w:color="auto" w:sz="4" w:space="0"/>
              <w:left w:val="single" w:color="auto" w:sz="4" w:space="0"/>
              <w:bottom w:val="single" w:color="auto" w:sz="4" w:space="0"/>
              <w:right w:val="single" w:color="auto" w:sz="4" w:space="0"/>
            </w:tcBorders>
            <w:vAlign w:val="center"/>
          </w:tcPr>
          <w:p w14:paraId="448B41A5">
            <w:pPr>
              <w:spacing w:beforeLines="30" w:line="312" w:lineRule="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其他不符合招标文件的实质性要求</w:t>
            </w:r>
          </w:p>
        </w:tc>
      </w:tr>
    </w:tbl>
    <w:p w14:paraId="04ABE085">
      <w:pPr>
        <w:keepNext w:val="0"/>
        <w:keepLines w:val="0"/>
        <w:pageBreakBefore w:val="0"/>
        <w:widowControl w:val="0"/>
        <w:kinsoku/>
        <w:wordWrap/>
        <w:overflowPunct/>
        <w:topLinePunct w:val="0"/>
        <w:autoSpaceDE/>
        <w:autoSpaceDN/>
        <w:bidi w:val="0"/>
        <w:adjustRightInd/>
        <w:snapToGrid/>
        <w:spacing w:before="318" w:beforeLines="100" w:afterLines="50" w:line="400" w:lineRule="exact"/>
        <w:jc w:val="left"/>
        <w:textAlignment w:val="auto"/>
        <w:rPr>
          <w:rFonts w:hint="default" w:ascii="楷体" w:hAnsi="楷体" w:eastAsia="楷体"/>
          <w:b/>
          <w:bCs/>
          <w:color w:val="auto"/>
          <w:sz w:val="24"/>
          <w:szCs w:val="24"/>
          <w:highlight w:val="none"/>
          <w:lang w:val="en-US" w:eastAsia="zh-CN"/>
        </w:rPr>
      </w:pPr>
      <w:r>
        <w:rPr>
          <w:rFonts w:hint="eastAsia" w:ascii="楷体" w:hAnsi="楷体" w:eastAsia="楷体"/>
          <w:b/>
          <w:bCs/>
          <w:color w:val="auto"/>
          <w:sz w:val="24"/>
          <w:szCs w:val="24"/>
          <w:highlight w:val="none"/>
          <w:lang w:val="en-US" w:eastAsia="zh-CN"/>
        </w:rPr>
        <w:t>评分标准</w:t>
      </w:r>
    </w:p>
    <w:p w14:paraId="7C9FB5AA">
      <w:pPr>
        <w:keepNext w:val="0"/>
        <w:keepLines w:val="0"/>
        <w:pageBreakBefore w:val="0"/>
        <w:widowControl w:val="0"/>
        <w:kinsoku/>
        <w:wordWrap/>
        <w:overflowPunct/>
        <w:topLinePunct w:val="0"/>
        <w:autoSpaceDE/>
        <w:autoSpaceDN/>
        <w:bidi w:val="0"/>
        <w:adjustRightInd/>
        <w:snapToGrid/>
        <w:spacing w:before="318" w:beforeLines="100" w:afterLines="50" w:line="400" w:lineRule="exact"/>
        <w:ind w:firstLine="480" w:firstLineChars="200"/>
        <w:textAlignment w:val="auto"/>
        <w:rPr>
          <w:rFonts w:ascii="楷体" w:hAnsi="楷体" w:eastAsia="楷体"/>
          <w:color w:val="auto"/>
          <w:sz w:val="24"/>
          <w:szCs w:val="24"/>
          <w:highlight w:val="none"/>
        </w:rPr>
      </w:pPr>
      <w:r>
        <w:rPr>
          <w:rFonts w:hint="eastAsia" w:ascii="楷体" w:hAnsi="楷体" w:eastAsia="楷体"/>
          <w:color w:val="auto"/>
          <w:sz w:val="24"/>
          <w:szCs w:val="24"/>
          <w:highlight w:val="none"/>
        </w:rPr>
        <w:t>2.3商务部分</w:t>
      </w:r>
    </w:p>
    <w:tbl>
      <w:tblPr>
        <w:tblStyle w:val="15"/>
        <w:tblW w:w="918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32"/>
        <w:gridCol w:w="1900"/>
        <w:gridCol w:w="5948"/>
      </w:tblGrid>
      <w:tr w14:paraId="398B72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232" w:type="dxa"/>
            <w:gridSpan w:val="2"/>
            <w:tcBorders>
              <w:top w:val="single" w:color="auto" w:sz="4" w:space="0"/>
              <w:left w:val="single" w:color="auto" w:sz="4" w:space="0"/>
              <w:bottom w:val="single" w:color="auto" w:sz="4" w:space="0"/>
              <w:right w:val="single" w:color="auto" w:sz="4" w:space="0"/>
            </w:tcBorders>
            <w:vAlign w:val="center"/>
          </w:tcPr>
          <w:p w14:paraId="4F70EE5E">
            <w:pPr>
              <w:spacing w:beforeLines="30" w:line="312" w:lineRule="auto"/>
              <w:jc w:val="center"/>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条款号</w:t>
            </w:r>
          </w:p>
        </w:tc>
        <w:tc>
          <w:tcPr>
            <w:tcW w:w="5948" w:type="dxa"/>
            <w:tcBorders>
              <w:top w:val="single" w:color="auto" w:sz="4" w:space="0"/>
              <w:left w:val="single" w:color="auto" w:sz="4" w:space="0"/>
              <w:bottom w:val="single" w:color="auto" w:sz="4" w:space="0"/>
              <w:right w:val="single" w:color="auto" w:sz="4" w:space="0"/>
            </w:tcBorders>
            <w:vAlign w:val="center"/>
          </w:tcPr>
          <w:p w14:paraId="2F25497C">
            <w:pPr>
              <w:spacing w:beforeLines="30" w:line="312" w:lineRule="auto"/>
              <w:jc w:val="center"/>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评审标准</w:t>
            </w:r>
          </w:p>
        </w:tc>
      </w:tr>
      <w:tr w14:paraId="698502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332" w:type="dxa"/>
            <w:tcBorders>
              <w:top w:val="single" w:color="auto" w:sz="4" w:space="0"/>
              <w:left w:val="single" w:color="auto" w:sz="4" w:space="0"/>
              <w:bottom w:val="single" w:color="auto" w:sz="4" w:space="0"/>
              <w:right w:val="single" w:color="auto" w:sz="4" w:space="0"/>
            </w:tcBorders>
            <w:vAlign w:val="center"/>
          </w:tcPr>
          <w:p w14:paraId="0E0B983F">
            <w:pPr>
              <w:spacing w:beforeLines="30" w:line="312"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2.3.1</w:t>
            </w:r>
          </w:p>
        </w:tc>
        <w:tc>
          <w:tcPr>
            <w:tcW w:w="1900" w:type="dxa"/>
            <w:tcBorders>
              <w:top w:val="single" w:color="auto" w:sz="4" w:space="0"/>
              <w:left w:val="nil"/>
              <w:bottom w:val="single" w:color="auto" w:sz="4" w:space="0"/>
              <w:right w:val="single" w:color="auto" w:sz="4" w:space="0"/>
            </w:tcBorders>
            <w:vAlign w:val="center"/>
          </w:tcPr>
          <w:p w14:paraId="3A8835E4">
            <w:pPr>
              <w:spacing w:beforeLines="30" w:line="312"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报价得分</w:t>
            </w:r>
          </w:p>
          <w:p w14:paraId="4E1A96E3">
            <w:pPr>
              <w:spacing w:beforeLines="30" w:line="312"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0分）</w:t>
            </w:r>
          </w:p>
        </w:tc>
        <w:tc>
          <w:tcPr>
            <w:tcW w:w="5948" w:type="dxa"/>
            <w:tcBorders>
              <w:top w:val="single" w:color="auto" w:sz="4" w:space="0"/>
              <w:left w:val="nil"/>
              <w:bottom w:val="single" w:color="auto" w:sz="4" w:space="0"/>
              <w:right w:val="single" w:color="auto" w:sz="4" w:space="0"/>
            </w:tcBorders>
            <w:vAlign w:val="center"/>
          </w:tcPr>
          <w:p w14:paraId="3C035068">
            <w:pPr>
              <w:spacing w:beforeLines="30" w:line="312"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综合评分法中的价格分统一采用低价优先法计算，即满足招标要求且投标价格最低的投标报价为评标基准价，其价格分为满分。其他投标人的价格分统一按照下列公式计算：投标报价得分=(评标基准价／投标报价)×价格权值×100。</w:t>
            </w:r>
          </w:p>
        </w:tc>
      </w:tr>
    </w:tbl>
    <w:p w14:paraId="4204D187">
      <w:pPr>
        <w:spacing w:beforeLines="50" w:afterLines="50" w:line="400" w:lineRule="exact"/>
        <w:ind w:firstLine="480" w:firstLineChars="200"/>
        <w:rPr>
          <w:rFonts w:ascii="仿宋" w:hAnsi="仿宋" w:eastAsia="仿宋"/>
          <w:color w:val="auto"/>
          <w:sz w:val="24"/>
          <w:szCs w:val="24"/>
          <w:highlight w:val="none"/>
        </w:rPr>
      </w:pPr>
      <w:r>
        <w:rPr>
          <w:rFonts w:hint="eastAsia" w:ascii="楷体" w:hAnsi="楷体" w:eastAsia="楷体"/>
          <w:color w:val="auto"/>
          <w:sz w:val="24"/>
          <w:szCs w:val="24"/>
          <w:highlight w:val="none"/>
        </w:rPr>
        <w:t>2.4技术部分</w:t>
      </w:r>
    </w:p>
    <w:tbl>
      <w:tblPr>
        <w:tblStyle w:val="15"/>
        <w:tblW w:w="918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11"/>
        <w:gridCol w:w="1950"/>
        <w:gridCol w:w="5924"/>
      </w:tblGrid>
      <w:tr w14:paraId="2601ED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261" w:type="dxa"/>
            <w:gridSpan w:val="2"/>
            <w:tcBorders>
              <w:top w:val="single" w:color="auto" w:sz="4" w:space="0"/>
              <w:left w:val="single" w:color="auto" w:sz="4" w:space="0"/>
              <w:bottom w:val="single" w:color="auto" w:sz="4" w:space="0"/>
              <w:right w:val="single" w:color="auto" w:sz="4" w:space="0"/>
            </w:tcBorders>
            <w:vAlign w:val="center"/>
          </w:tcPr>
          <w:p w14:paraId="74272AC2">
            <w:pPr>
              <w:spacing w:beforeLines="30" w:line="312" w:lineRule="auto"/>
              <w:jc w:val="center"/>
              <w:rPr>
                <w:rFonts w:ascii="仿宋" w:hAnsi="仿宋" w:eastAsia="仿宋" w:cs="仿宋"/>
                <w:b/>
                <w:bCs/>
                <w:color w:val="auto"/>
                <w:sz w:val="24"/>
                <w:szCs w:val="24"/>
                <w:highlight w:val="none"/>
              </w:rPr>
            </w:pPr>
            <w:bookmarkStart w:id="132" w:name="_Toc32665"/>
            <w:r>
              <w:rPr>
                <w:rFonts w:hint="eastAsia" w:ascii="仿宋" w:hAnsi="仿宋" w:eastAsia="仿宋" w:cs="仿宋"/>
                <w:b/>
                <w:bCs/>
                <w:color w:val="auto"/>
                <w:sz w:val="24"/>
                <w:szCs w:val="24"/>
                <w:highlight w:val="none"/>
              </w:rPr>
              <w:t>条款号</w:t>
            </w:r>
          </w:p>
        </w:tc>
        <w:tc>
          <w:tcPr>
            <w:tcW w:w="5924" w:type="dxa"/>
            <w:tcBorders>
              <w:top w:val="single" w:color="auto" w:sz="4" w:space="0"/>
              <w:left w:val="single" w:color="auto" w:sz="4" w:space="0"/>
              <w:bottom w:val="single" w:color="auto" w:sz="4" w:space="0"/>
              <w:right w:val="single" w:color="auto" w:sz="4" w:space="0"/>
            </w:tcBorders>
            <w:vAlign w:val="center"/>
          </w:tcPr>
          <w:p w14:paraId="01F8D219">
            <w:pPr>
              <w:spacing w:beforeLines="30" w:line="312" w:lineRule="auto"/>
              <w:jc w:val="center"/>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评审标准</w:t>
            </w:r>
          </w:p>
        </w:tc>
      </w:tr>
      <w:tr w14:paraId="6CEAFC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311" w:type="dxa"/>
            <w:tcBorders>
              <w:top w:val="single" w:color="auto" w:sz="4" w:space="0"/>
              <w:left w:val="single" w:color="auto" w:sz="4" w:space="0"/>
              <w:right w:val="single" w:color="auto" w:sz="4" w:space="0"/>
            </w:tcBorders>
            <w:vAlign w:val="center"/>
          </w:tcPr>
          <w:p w14:paraId="0B53E208">
            <w:pPr>
              <w:spacing w:beforeLines="30" w:line="312"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2.4.1</w:t>
            </w:r>
          </w:p>
        </w:tc>
        <w:tc>
          <w:tcPr>
            <w:tcW w:w="1950" w:type="dxa"/>
            <w:tcBorders>
              <w:top w:val="single" w:color="auto" w:sz="4" w:space="0"/>
              <w:left w:val="nil"/>
              <w:right w:val="single" w:color="auto" w:sz="4" w:space="0"/>
            </w:tcBorders>
            <w:vAlign w:val="center"/>
          </w:tcPr>
          <w:p w14:paraId="452885E5">
            <w:pPr>
              <w:spacing w:beforeLines="30" w:line="312" w:lineRule="auto"/>
              <w:rPr>
                <w:rFonts w:ascii="仿宋" w:hAnsi="仿宋" w:eastAsia="仿宋" w:cs="仿宋"/>
                <w:color w:val="auto"/>
                <w:sz w:val="24"/>
                <w:szCs w:val="24"/>
                <w:highlight w:val="none"/>
              </w:rPr>
            </w:pPr>
            <w:r>
              <w:rPr>
                <w:rFonts w:hint="eastAsia" w:ascii="仿宋" w:hAnsi="仿宋" w:eastAsia="仿宋" w:cs="仿宋"/>
                <w:sz w:val="24"/>
                <w:szCs w:val="24"/>
              </w:rPr>
              <w:t>技术参数响应评价</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39</w:t>
            </w:r>
            <w:r>
              <w:rPr>
                <w:rFonts w:hint="eastAsia" w:ascii="仿宋" w:hAnsi="仿宋" w:eastAsia="仿宋" w:cs="仿宋"/>
                <w:color w:val="auto"/>
                <w:sz w:val="24"/>
                <w:szCs w:val="24"/>
                <w:highlight w:val="none"/>
              </w:rPr>
              <w:t>分）</w:t>
            </w:r>
          </w:p>
        </w:tc>
        <w:tc>
          <w:tcPr>
            <w:tcW w:w="5924" w:type="dxa"/>
            <w:tcBorders>
              <w:top w:val="single" w:color="auto" w:sz="4" w:space="0"/>
              <w:left w:val="single" w:color="auto" w:sz="4" w:space="0"/>
              <w:bottom w:val="single" w:color="auto" w:sz="4" w:space="0"/>
              <w:right w:val="single" w:color="auto" w:sz="4" w:space="0"/>
            </w:tcBorders>
            <w:vAlign w:val="center"/>
          </w:tcPr>
          <w:p w14:paraId="3FB42F47">
            <w:pPr>
              <w:spacing w:beforeLines="30" w:line="312"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对照“采购需求 ”技术参数（每条技术参数前标注“</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”的为重要技术参数，未标注“</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”的为一般参数），根据投标人提供的产品配置及技术性能指标的响应情况进行评审：</w:t>
            </w:r>
          </w:p>
          <w:p w14:paraId="4F3AF808">
            <w:pPr>
              <w:spacing w:beforeLines="30" w:line="312"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技术参数全部满足的得39分。</w:t>
            </w:r>
          </w:p>
          <w:p w14:paraId="3B5E796A">
            <w:pPr>
              <w:spacing w:beforeLines="30" w:line="312"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2、注“</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”重要技术参数未响应或负偏离的每条扣1分，一般参数未响应或负偏离的不扣分；扣完为止。</w:t>
            </w:r>
          </w:p>
          <w:p w14:paraId="2A20529D">
            <w:pPr>
              <w:spacing w:beforeLines="30" w:line="312"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负偏离评审依据：①所提供产品技术参数低于招标文件要求的，视为负偏离；②技术参数响应条款（以投标文件内技术偏离表为准）与招标文件对比有缺项、漏项的，视为负偏离；③投标人提供的投标文件中产品技术偏离表与产品说明</w:t>
            </w:r>
            <w:r>
              <w:rPr>
                <w:rFonts w:hint="eastAsia" w:ascii="仿宋" w:hAnsi="仿宋" w:eastAsia="仿宋" w:cs="仿宋"/>
                <w:color w:val="auto"/>
                <w:sz w:val="24"/>
                <w:szCs w:val="24"/>
                <w:highlight w:val="none"/>
                <w:lang w:val="en-US" w:eastAsia="zh-CN"/>
              </w:rPr>
              <w:t>或</w:t>
            </w:r>
            <w:r>
              <w:rPr>
                <w:rFonts w:hint="eastAsia" w:ascii="仿宋" w:hAnsi="仿宋" w:eastAsia="仿宋" w:cs="仿宋"/>
                <w:color w:val="auto"/>
                <w:sz w:val="24"/>
                <w:szCs w:val="24"/>
                <w:highlight w:val="none"/>
              </w:rPr>
              <w:t>彩页或产品检测报告等印证材料描述的同一产品技术参数响应值不一致的，视为负偏离；</w:t>
            </w:r>
          </w:p>
        </w:tc>
      </w:tr>
      <w:tr w14:paraId="3332F0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311" w:type="dxa"/>
            <w:tcBorders>
              <w:top w:val="single" w:color="auto" w:sz="4" w:space="0"/>
              <w:left w:val="single" w:color="auto" w:sz="4" w:space="0"/>
              <w:right w:val="single" w:color="auto" w:sz="4" w:space="0"/>
            </w:tcBorders>
            <w:vAlign w:val="center"/>
          </w:tcPr>
          <w:p w14:paraId="716CFE18">
            <w:pPr>
              <w:spacing w:beforeLines="30" w:line="312"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2.4.2</w:t>
            </w:r>
          </w:p>
        </w:tc>
        <w:tc>
          <w:tcPr>
            <w:tcW w:w="1950" w:type="dxa"/>
            <w:tcBorders>
              <w:top w:val="single" w:color="auto" w:sz="4" w:space="0"/>
              <w:left w:val="nil"/>
              <w:right w:val="single" w:color="auto" w:sz="4" w:space="0"/>
            </w:tcBorders>
            <w:vAlign w:val="center"/>
          </w:tcPr>
          <w:p w14:paraId="652C04F1">
            <w:pPr>
              <w:spacing w:beforeLines="30" w:line="312" w:lineRule="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实施方案（15分）</w:t>
            </w:r>
          </w:p>
        </w:tc>
        <w:tc>
          <w:tcPr>
            <w:tcW w:w="5924" w:type="dxa"/>
            <w:tcBorders>
              <w:top w:val="single" w:color="auto" w:sz="4" w:space="0"/>
              <w:left w:val="single" w:color="auto" w:sz="4" w:space="0"/>
              <w:bottom w:val="single" w:color="auto" w:sz="4" w:space="0"/>
              <w:right w:val="single" w:color="auto" w:sz="4" w:space="0"/>
            </w:tcBorders>
            <w:vAlign w:val="center"/>
          </w:tcPr>
          <w:p w14:paraId="21222592">
            <w:pPr>
              <w:spacing w:beforeLines="30" w:line="312"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根据供应商提供的项目实施方案进行评分：项目实施方案包括但不限于：</w:t>
            </w:r>
          </w:p>
          <w:p w14:paraId="12CE9855">
            <w:pPr>
              <w:spacing w:beforeLines="30" w:line="312" w:lineRule="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①供货方案（包含但不限于产品来源、供货计划、供货时间、包装和运输方式）;② 质量保证措施：质量管控体系包含生产或出库环节质量监测、安装验收环节质量问题应急预案等方面内容提供完善的包含上述内容;③安装调试方案：安装步骤清晰、技术参数明确，针对现场可能出现的问题（如场地适配、设备兼容）制定应对措施;④验收方案：验收标准符合国家/行业规范及项目需求，包含功能测试、性能验证、文档交付等完整流程;</w:t>
            </w:r>
          </w:p>
          <w:p w14:paraId="0CDB95DA">
            <w:pPr>
              <w:spacing w:beforeLines="30" w:line="312" w:lineRule="auto"/>
              <w:rPr>
                <w:rFonts w:hint="eastAsia" w:ascii="仿宋" w:hAnsi="仿宋" w:eastAsia="仿宋" w:cs="仿宋"/>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⑤</w:t>
            </w:r>
            <w:r>
              <w:rPr>
                <w:rFonts w:hint="eastAsia" w:ascii="仿宋" w:hAnsi="仿宋" w:eastAsia="仿宋" w:cs="仿宋"/>
                <w:color w:val="auto"/>
                <w:sz w:val="24"/>
                <w:szCs w:val="24"/>
                <w:highlight w:val="none"/>
                <w:lang w:val="en-US" w:eastAsia="zh-CN"/>
              </w:rPr>
              <w:t>进度计划（包含项目启动计划、后勤保障计划）等内容：项目启动计划明确（含人员进场、物资筹备节点），进度计划包含里程碑节点及偏差修正机制（如延误预警、资源调配方案）;</w:t>
            </w:r>
          </w:p>
          <w:p w14:paraId="514D831F">
            <w:pPr>
              <w:spacing w:beforeLines="30" w:line="312" w:lineRule="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上述五项内容，评委根据提供的内容赋分每项最高得3分，未提供不得分。</w:t>
            </w:r>
          </w:p>
        </w:tc>
      </w:tr>
      <w:tr w14:paraId="743240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311" w:type="dxa"/>
            <w:tcBorders>
              <w:top w:val="single" w:color="auto" w:sz="4" w:space="0"/>
              <w:left w:val="single" w:color="auto" w:sz="4" w:space="0"/>
              <w:right w:val="single" w:color="auto" w:sz="4" w:space="0"/>
            </w:tcBorders>
            <w:vAlign w:val="center"/>
          </w:tcPr>
          <w:p w14:paraId="2A5AB43F">
            <w:pPr>
              <w:spacing w:beforeLines="30" w:line="312"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2.4.3</w:t>
            </w:r>
          </w:p>
        </w:tc>
        <w:tc>
          <w:tcPr>
            <w:tcW w:w="1950" w:type="dxa"/>
            <w:tcBorders>
              <w:top w:val="single" w:color="auto" w:sz="4" w:space="0"/>
              <w:left w:val="nil"/>
              <w:right w:val="single" w:color="auto" w:sz="4" w:space="0"/>
            </w:tcBorders>
            <w:shd w:val="clear" w:color="auto" w:fill="auto"/>
            <w:vAlign w:val="center"/>
          </w:tcPr>
          <w:p w14:paraId="0184227E">
            <w:pPr>
              <w:spacing w:beforeLines="30" w:line="312"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培训服务（8分）</w:t>
            </w:r>
          </w:p>
        </w:tc>
        <w:tc>
          <w:tcPr>
            <w:tcW w:w="5924" w:type="dxa"/>
            <w:tcBorders>
              <w:top w:val="single" w:color="auto" w:sz="4" w:space="0"/>
              <w:left w:val="single" w:color="auto" w:sz="4" w:space="0"/>
              <w:bottom w:val="single" w:color="auto" w:sz="4" w:space="0"/>
              <w:right w:val="single" w:color="auto" w:sz="4" w:space="0"/>
            </w:tcBorders>
            <w:shd w:val="clear" w:color="auto" w:fill="auto"/>
            <w:vAlign w:val="center"/>
          </w:tcPr>
          <w:p w14:paraId="344D5546">
            <w:pPr>
              <w:spacing w:beforeLines="30" w:line="312"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根据供应商提供的项目培训方案进行评分：</w:t>
            </w:r>
          </w:p>
          <w:p w14:paraId="38E77BCB">
            <w:pPr>
              <w:spacing w:beforeLines="30" w:line="312"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项目培训方案包括但不限于</w:t>
            </w:r>
          </w:p>
          <w:p w14:paraId="588210F1">
            <w:pPr>
              <w:spacing w:beforeLines="30" w:line="312"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①培训内容：培训内容完整覆盖设备操作、日常维护、故障排查、应急处置等核心需求，且与本项目设备的专业特性匹配，内容提供完善的。② 培训方式;培训方式灵活，多样，全面的。③培训计划:培训计划明确时间节点、人员批次、考核标准及后续答疑机制，进度安排与项目整体交付节奏匹配。④培训团队人员配置等内容：培训团队人员配备充足，有较强的培训经验的。</w:t>
            </w:r>
          </w:p>
          <w:p w14:paraId="56D3F159">
            <w:pPr>
              <w:spacing w:beforeLines="30" w:line="312" w:lineRule="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上述五项内容，评委根据提供的内容赋分每项最高得2分，未提供不得分。</w:t>
            </w:r>
          </w:p>
        </w:tc>
      </w:tr>
      <w:tr w14:paraId="6F48D6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311" w:type="dxa"/>
            <w:tcBorders>
              <w:top w:val="single" w:color="auto" w:sz="4" w:space="0"/>
              <w:left w:val="single" w:color="auto" w:sz="4" w:space="0"/>
              <w:right w:val="single" w:color="auto" w:sz="4" w:space="0"/>
            </w:tcBorders>
            <w:vAlign w:val="center"/>
          </w:tcPr>
          <w:p w14:paraId="7CE03706">
            <w:pPr>
              <w:spacing w:beforeLines="30" w:line="312"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2.4.4</w:t>
            </w:r>
          </w:p>
        </w:tc>
        <w:tc>
          <w:tcPr>
            <w:tcW w:w="1950" w:type="dxa"/>
            <w:tcBorders>
              <w:top w:val="single" w:color="auto" w:sz="4" w:space="0"/>
              <w:left w:val="nil"/>
              <w:right w:val="single" w:color="auto" w:sz="4" w:space="0"/>
            </w:tcBorders>
            <w:shd w:val="clear" w:color="auto" w:fill="auto"/>
            <w:vAlign w:val="center"/>
          </w:tcPr>
          <w:p w14:paraId="3D6A615B">
            <w:pPr>
              <w:spacing w:beforeLines="30" w:line="312"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售后服务承诺（3分）</w:t>
            </w:r>
          </w:p>
        </w:tc>
        <w:tc>
          <w:tcPr>
            <w:tcW w:w="5924" w:type="dxa"/>
            <w:tcBorders>
              <w:top w:val="single" w:color="auto" w:sz="4" w:space="0"/>
              <w:left w:val="single" w:color="auto" w:sz="4" w:space="0"/>
              <w:bottom w:val="single" w:color="auto" w:sz="4" w:space="0"/>
              <w:right w:val="single" w:color="auto" w:sz="4" w:space="0"/>
            </w:tcBorders>
            <w:shd w:val="clear" w:color="auto" w:fill="auto"/>
            <w:vAlign w:val="center"/>
          </w:tcPr>
          <w:p w14:paraId="63C9C438">
            <w:pPr>
              <w:spacing w:beforeLines="30" w:line="312"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1、提供明确的书面承诺函免费服务范围（含维修、零部件更换）及服务质量标准的得1分，仅提供服务承诺得1分，承诺模糊或未提供书面承诺及服务质量标准的的得0分。</w:t>
            </w:r>
          </w:p>
          <w:p w14:paraId="33D5F05D">
            <w:pPr>
              <w:spacing w:beforeLines="30" w:line="312"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2、承诺中标后提供本地化售后服务承诺（需明确本地化售后服务形式）得1分，承诺模糊或未提供书面承诺的得0分。</w:t>
            </w:r>
            <w:bookmarkStart w:id="142" w:name="_GoBack"/>
            <w:bookmarkEnd w:id="142"/>
          </w:p>
          <w:p w14:paraId="0A011E65">
            <w:pPr>
              <w:spacing w:beforeLines="30" w:line="312"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3、承诺提供7×24小时全天候响应，且现场响应时间≤1小时且远程响应时间≤0.5小时），并明确响应流程的得1分；响应时间＞1小时或流程模糊的得0.5分承诺模糊或未提供书面承诺的得0分。</w:t>
            </w:r>
          </w:p>
        </w:tc>
      </w:tr>
      <w:tr w14:paraId="7A46F2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9" w:hRule="atLeast"/>
          <w:jc w:val="center"/>
        </w:trPr>
        <w:tc>
          <w:tcPr>
            <w:tcW w:w="1311" w:type="dxa"/>
            <w:tcBorders>
              <w:top w:val="single" w:color="auto" w:sz="4" w:space="0"/>
              <w:left w:val="single" w:color="auto" w:sz="4" w:space="0"/>
              <w:right w:val="single" w:color="auto" w:sz="4" w:space="0"/>
            </w:tcBorders>
            <w:vAlign w:val="center"/>
          </w:tcPr>
          <w:p w14:paraId="368B5675">
            <w:pPr>
              <w:spacing w:beforeLines="30" w:line="312"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2.4.5</w:t>
            </w:r>
          </w:p>
        </w:tc>
        <w:tc>
          <w:tcPr>
            <w:tcW w:w="1950" w:type="dxa"/>
            <w:tcBorders>
              <w:top w:val="single" w:color="auto" w:sz="4" w:space="0"/>
              <w:left w:val="single" w:color="auto" w:sz="4" w:space="0"/>
              <w:right w:val="single" w:color="auto" w:sz="4" w:space="0"/>
            </w:tcBorders>
            <w:shd w:val="clear" w:color="auto" w:fill="auto"/>
            <w:vAlign w:val="center"/>
          </w:tcPr>
          <w:p w14:paraId="1762A097">
            <w:pPr>
              <w:spacing w:beforeLines="30" w:line="312" w:lineRule="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售后服务方案（5分）</w:t>
            </w:r>
          </w:p>
        </w:tc>
        <w:tc>
          <w:tcPr>
            <w:tcW w:w="5924" w:type="dxa"/>
            <w:tcBorders>
              <w:top w:val="single" w:color="auto" w:sz="4" w:space="0"/>
              <w:left w:val="single" w:color="auto" w:sz="4" w:space="0"/>
              <w:bottom w:val="single" w:color="auto" w:sz="4" w:space="0"/>
              <w:right w:val="single" w:color="auto" w:sz="4" w:space="0"/>
            </w:tcBorders>
            <w:shd w:val="clear" w:color="auto" w:fill="auto"/>
            <w:vAlign w:val="center"/>
          </w:tcPr>
          <w:p w14:paraId="3BF37DAB">
            <w:pPr>
              <w:spacing w:beforeLines="30" w:line="312"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根据供应商提供的售后服务方案进行评分：</w:t>
            </w:r>
          </w:p>
          <w:p w14:paraId="5EF5A6F6">
            <w:pPr>
              <w:spacing w:beforeLines="30" w:line="312"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①服务响应方案：方案逻辑清晰度、问题覆盖全面性。</w:t>
            </w:r>
            <w:r>
              <w:rPr>
                <w:rFonts w:hint="eastAsia" w:ascii="微软雅黑" w:hAnsi="微软雅黑" w:eastAsia="微软雅黑" w:cs="微软雅黑"/>
                <w:color w:val="auto"/>
                <w:sz w:val="24"/>
                <w:szCs w:val="24"/>
                <w:highlight w:val="none"/>
                <w:lang w:val="en-US" w:eastAsia="zh-CN"/>
              </w:rPr>
              <w:t>②</w:t>
            </w:r>
            <w:r>
              <w:rPr>
                <w:rFonts w:hint="eastAsia" w:ascii="仿宋" w:hAnsi="仿宋" w:eastAsia="仿宋" w:cs="仿宋"/>
                <w:color w:val="auto"/>
                <w:sz w:val="24"/>
                <w:szCs w:val="24"/>
                <w:highlight w:val="none"/>
                <w:lang w:val="en-US" w:eastAsia="zh-CN"/>
              </w:rPr>
              <w:t>服务人员配备：团队配置与项目需求高度适配、经验充足的。</w:t>
            </w:r>
            <w:r>
              <w:rPr>
                <w:rFonts w:hint="eastAsia" w:ascii="微软雅黑" w:hAnsi="微软雅黑" w:eastAsia="微软雅黑" w:cs="微软雅黑"/>
                <w:color w:val="auto"/>
                <w:sz w:val="24"/>
                <w:szCs w:val="24"/>
                <w:highlight w:val="none"/>
                <w:lang w:val="en-US" w:eastAsia="zh-CN"/>
              </w:rPr>
              <w:t>③</w:t>
            </w:r>
            <w:r>
              <w:rPr>
                <w:rFonts w:hint="eastAsia" w:ascii="仿宋" w:hAnsi="仿宋" w:eastAsia="仿宋" w:cs="仿宋"/>
                <w:color w:val="auto"/>
                <w:sz w:val="24"/>
                <w:szCs w:val="24"/>
                <w:highlight w:val="none"/>
                <w:lang w:val="en-US" w:eastAsia="zh-CN"/>
              </w:rPr>
              <w:t>故障响应措施：故障分级合理、预判精准、应对措施有效的。</w:t>
            </w:r>
            <w:r>
              <w:rPr>
                <w:rFonts w:hint="eastAsia" w:ascii="微软雅黑" w:hAnsi="微软雅黑" w:eastAsia="微软雅黑" w:cs="微软雅黑"/>
                <w:color w:val="auto"/>
                <w:sz w:val="24"/>
                <w:szCs w:val="24"/>
                <w:highlight w:val="none"/>
                <w:lang w:val="en-US" w:eastAsia="zh-CN"/>
              </w:rPr>
              <w:t>④</w:t>
            </w:r>
            <w:r>
              <w:rPr>
                <w:rFonts w:hint="eastAsia" w:ascii="仿宋" w:hAnsi="仿宋" w:eastAsia="仿宋" w:cs="仿宋"/>
                <w:color w:val="auto"/>
                <w:sz w:val="24"/>
                <w:szCs w:val="24"/>
                <w:highlight w:val="none"/>
                <w:lang w:val="en-US" w:eastAsia="zh-CN"/>
              </w:rPr>
              <w:t>质保外服务措施：收费透明合理、服务延续性强、增值服务实用的。</w:t>
            </w:r>
            <w:r>
              <w:rPr>
                <w:rFonts w:hint="eastAsia" w:ascii="微软雅黑" w:hAnsi="微软雅黑" w:eastAsia="微软雅黑" w:cs="微软雅黑"/>
                <w:color w:val="auto"/>
                <w:sz w:val="24"/>
                <w:szCs w:val="24"/>
                <w:highlight w:val="none"/>
                <w:lang w:val="en-US" w:eastAsia="zh-CN"/>
              </w:rPr>
              <w:t>⑤</w:t>
            </w:r>
            <w:r>
              <w:rPr>
                <w:rFonts w:hint="eastAsia" w:ascii="仿宋" w:hAnsi="仿宋" w:eastAsia="仿宋" w:cs="仿宋"/>
                <w:color w:val="auto"/>
                <w:sz w:val="24"/>
                <w:szCs w:val="24"/>
                <w:highlight w:val="none"/>
                <w:lang w:val="en-US" w:eastAsia="zh-CN"/>
              </w:rPr>
              <w:t>应急预案：场景覆盖全面、资源保障充足、操作便捷的。</w:t>
            </w:r>
          </w:p>
          <w:p w14:paraId="21790A83">
            <w:pPr>
              <w:spacing w:beforeLines="30" w:line="312" w:lineRule="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上述五项</w:t>
            </w:r>
            <w:r>
              <w:rPr>
                <w:rFonts w:hint="eastAsia" w:ascii="仿宋" w:hAnsi="仿宋" w:eastAsia="仿宋" w:cs="仿宋"/>
                <w:color w:val="auto"/>
                <w:sz w:val="24"/>
                <w:szCs w:val="24"/>
                <w:highlight w:val="none"/>
                <w:lang w:val="en-US" w:eastAsia="zh-CN"/>
              </w:rPr>
              <w:t>内容，评委根据提供的内容赋分每项最高得1分，未提供不得分。</w:t>
            </w:r>
          </w:p>
        </w:tc>
      </w:tr>
    </w:tbl>
    <w:p w14:paraId="15FAACF5">
      <w:pPr>
        <w:spacing w:beforeLines="100" w:afterLines="50" w:line="400" w:lineRule="exact"/>
        <w:outlineLvl w:val="2"/>
        <w:rPr>
          <w:rFonts w:ascii="楷体" w:hAnsi="楷体" w:eastAsia="楷体"/>
          <w:color w:val="auto"/>
          <w:sz w:val="28"/>
          <w:szCs w:val="28"/>
          <w:highlight w:val="none"/>
        </w:rPr>
      </w:pPr>
      <w:r>
        <w:rPr>
          <w:rFonts w:hint="eastAsia" w:ascii="楷体" w:hAnsi="楷体" w:eastAsia="楷体"/>
          <w:color w:val="auto"/>
          <w:sz w:val="28"/>
          <w:szCs w:val="28"/>
          <w:highlight w:val="none"/>
          <w:lang w:val="en-US" w:eastAsia="zh-CN"/>
        </w:rPr>
        <w:t>3</w:t>
      </w:r>
      <w:r>
        <w:rPr>
          <w:rFonts w:hint="eastAsia" w:ascii="楷体" w:hAnsi="楷体" w:eastAsia="楷体"/>
          <w:color w:val="auto"/>
          <w:sz w:val="28"/>
          <w:szCs w:val="28"/>
          <w:highlight w:val="none"/>
        </w:rPr>
        <w:t>.评标方法</w:t>
      </w:r>
      <w:bookmarkEnd w:id="132"/>
    </w:p>
    <w:p w14:paraId="693131B3">
      <w:pPr>
        <w:spacing w:line="40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本项目评标办法为综合评分法。评标委员会对满足招标文件实质性要求的投标文件，按照本章第2.3、2.4款规定的评分标准进行打分，并按综合得分由高到低顺序推荐中标候选人，或根据招标人授权直接确定中标人。综合评分相等时，以投标报价低的优先；投标报价也相等的，由招标人自行确定。</w:t>
      </w:r>
    </w:p>
    <w:p w14:paraId="2D130E05">
      <w:pPr>
        <w:spacing w:line="400" w:lineRule="exact"/>
        <w:rPr>
          <w:rFonts w:hint="eastAsia" w:ascii="仿宋" w:hAnsi="仿宋" w:eastAsia="仿宋"/>
          <w:color w:val="auto"/>
          <w:sz w:val="24"/>
          <w:szCs w:val="24"/>
          <w:highlight w:val="none"/>
        </w:rPr>
        <w:sectPr>
          <w:footerReference r:id="rId4" w:type="default"/>
          <w:pgSz w:w="11906" w:h="16838"/>
          <w:pgMar w:top="1440" w:right="1440" w:bottom="1440" w:left="1440" w:header="851" w:footer="992" w:gutter="0"/>
          <w:pgNumType w:fmt="decimal" w:start="1"/>
          <w:cols w:space="0" w:num="1"/>
          <w:docGrid w:type="lines" w:linePitch="317" w:charSpace="0"/>
        </w:sectPr>
      </w:pPr>
    </w:p>
    <w:p w14:paraId="11F04A1B">
      <w:pPr>
        <w:spacing w:afterLines="50" w:line="440" w:lineRule="exact"/>
        <w:jc w:val="center"/>
        <w:outlineLvl w:val="1"/>
        <w:rPr>
          <w:rFonts w:hint="default" w:ascii="黑体" w:hAnsi="黑体" w:eastAsia="黑体"/>
          <w:color w:val="auto"/>
          <w:sz w:val="28"/>
          <w:szCs w:val="28"/>
          <w:highlight w:val="none"/>
          <w:lang w:val="en-US" w:eastAsia="zh-CN"/>
        </w:rPr>
      </w:pPr>
      <w:bookmarkStart w:id="133" w:name="_Toc494455690"/>
      <w:bookmarkStart w:id="134" w:name="_Toc9912"/>
      <w:r>
        <w:rPr>
          <w:rFonts w:ascii="黑体" w:hAnsi="黑体" w:eastAsia="黑体"/>
          <w:color w:val="auto"/>
          <w:sz w:val="32"/>
          <w:szCs w:val="32"/>
          <w:highlight w:val="none"/>
        </w:rPr>
        <w:t>第</w:t>
      </w:r>
      <w:r>
        <w:rPr>
          <w:rFonts w:hint="eastAsia" w:ascii="黑体" w:hAnsi="黑体" w:eastAsia="黑体"/>
          <w:color w:val="auto"/>
          <w:sz w:val="32"/>
          <w:szCs w:val="32"/>
          <w:highlight w:val="none"/>
        </w:rPr>
        <w:t>五</w:t>
      </w:r>
      <w:r>
        <w:rPr>
          <w:rFonts w:ascii="黑体" w:hAnsi="黑体" w:eastAsia="黑体"/>
          <w:color w:val="auto"/>
          <w:sz w:val="32"/>
          <w:szCs w:val="32"/>
          <w:highlight w:val="none"/>
        </w:rPr>
        <w:t>章</w:t>
      </w:r>
      <w:r>
        <w:rPr>
          <w:rFonts w:hint="eastAsia" w:ascii="黑体" w:hAnsi="黑体" w:eastAsia="黑体"/>
          <w:color w:val="auto"/>
          <w:sz w:val="32"/>
          <w:szCs w:val="32"/>
          <w:highlight w:val="none"/>
        </w:rPr>
        <w:t xml:space="preserve">  签订合同、合同主要条款</w:t>
      </w:r>
      <w:bookmarkEnd w:id="133"/>
      <w:r>
        <w:rPr>
          <w:rFonts w:hint="eastAsia" w:ascii="黑体" w:hAnsi="黑体" w:eastAsia="黑体"/>
          <w:color w:val="auto"/>
          <w:sz w:val="32"/>
          <w:szCs w:val="32"/>
          <w:highlight w:val="none"/>
          <w:lang w:val="en-US" w:eastAsia="zh-CN"/>
        </w:rPr>
        <w:t>(参考）</w:t>
      </w:r>
      <w:bookmarkEnd w:id="134"/>
    </w:p>
    <w:p w14:paraId="69C4044D">
      <w:pPr>
        <w:widowControl/>
        <w:kinsoku w:val="0"/>
        <w:autoSpaceDE w:val="0"/>
        <w:autoSpaceDN w:val="0"/>
        <w:adjustRightInd w:val="0"/>
        <w:snapToGrid w:val="0"/>
        <w:spacing w:before="101" w:line="224" w:lineRule="auto"/>
        <w:ind w:left="12" w:leftChars="0" w:hanging="12" w:firstLineChars="0"/>
        <w:jc w:val="center"/>
        <w:textAlignment w:val="baseline"/>
        <w:outlineLvl w:val="0"/>
        <w:rPr>
          <w:rFonts w:hint="default" w:ascii="Times New Roman" w:hAnsi="Times New Roman" w:eastAsia="方正小标宋简体" w:cs="Times New Roman"/>
          <w:b w:val="0"/>
          <w:bCs w:val="0"/>
          <w:snapToGrid w:val="0"/>
          <w:color w:val="auto"/>
          <w:kern w:val="0"/>
          <w:sz w:val="44"/>
          <w:szCs w:val="44"/>
          <w:lang w:eastAsia="en-US"/>
        </w:rPr>
      </w:pPr>
      <w:r>
        <w:rPr>
          <w:rFonts w:hint="default" w:ascii="Times New Roman" w:hAnsi="Times New Roman" w:eastAsia="方正小标宋简体" w:cs="Times New Roman"/>
          <w:b w:val="0"/>
          <w:bCs w:val="0"/>
          <w:snapToGrid w:val="0"/>
          <w:color w:val="auto"/>
          <w:spacing w:val="6"/>
          <w:kern w:val="0"/>
          <w:sz w:val="44"/>
          <w:szCs w:val="44"/>
          <w:lang w:eastAsia="en-US"/>
        </w:rPr>
        <w:t>政府采购货物买卖合同</w:t>
      </w:r>
    </w:p>
    <w:p w14:paraId="02B4951D">
      <w:pPr>
        <w:widowControl/>
        <w:kinsoku w:val="0"/>
        <w:autoSpaceDE w:val="0"/>
        <w:autoSpaceDN w:val="0"/>
        <w:adjustRightInd w:val="0"/>
        <w:snapToGrid w:val="0"/>
        <w:spacing w:before="165" w:line="225" w:lineRule="auto"/>
        <w:ind w:left="3290"/>
        <w:jc w:val="left"/>
        <w:textAlignment w:val="baseline"/>
        <w:rPr>
          <w:rFonts w:hint="default" w:ascii="Times New Roman" w:hAnsi="Times New Roman" w:eastAsia="KaiTi_GB2312" w:cs="Times New Roman"/>
          <w:snapToGrid w:val="0"/>
          <w:color w:val="auto"/>
          <w:kern w:val="0"/>
          <w:sz w:val="47"/>
          <w:szCs w:val="47"/>
          <w:lang w:eastAsia="en-US"/>
        </w:rPr>
      </w:pPr>
    </w:p>
    <w:p w14:paraId="438D09E3">
      <w:pPr>
        <w:kinsoku w:val="0"/>
        <w:autoSpaceDE w:val="0"/>
        <w:autoSpaceDN w:val="0"/>
        <w:adjustRightInd w:val="0"/>
        <w:snapToGrid w:val="0"/>
        <w:spacing w:line="270" w:lineRule="auto"/>
        <w:jc w:val="left"/>
        <w:textAlignment w:val="baseline"/>
        <w:rPr>
          <w:rFonts w:hint="default" w:ascii="Times New Roman" w:hAnsi="Times New Roman" w:eastAsia="Arial" w:cs="Times New Roman"/>
          <w:snapToGrid w:val="0"/>
          <w:color w:val="auto"/>
          <w:kern w:val="0"/>
          <w:sz w:val="21"/>
          <w:szCs w:val="21"/>
          <w:lang w:val="en-US" w:eastAsia="en-US" w:bidi="ar-SA"/>
        </w:rPr>
      </w:pPr>
    </w:p>
    <w:p w14:paraId="7F162B58">
      <w:pPr>
        <w:kinsoku w:val="0"/>
        <w:autoSpaceDE w:val="0"/>
        <w:autoSpaceDN w:val="0"/>
        <w:adjustRightInd w:val="0"/>
        <w:snapToGrid w:val="0"/>
        <w:spacing w:line="270" w:lineRule="auto"/>
        <w:jc w:val="left"/>
        <w:textAlignment w:val="baseline"/>
        <w:rPr>
          <w:rFonts w:hint="default" w:ascii="Times New Roman" w:hAnsi="Times New Roman" w:eastAsia="Arial" w:cs="Times New Roman"/>
          <w:snapToGrid w:val="0"/>
          <w:color w:val="auto"/>
          <w:kern w:val="0"/>
          <w:sz w:val="21"/>
          <w:szCs w:val="21"/>
          <w:lang w:val="en-US" w:eastAsia="en-US" w:bidi="ar-SA"/>
        </w:rPr>
      </w:pPr>
    </w:p>
    <w:p w14:paraId="2CBEBAE8">
      <w:pPr>
        <w:kinsoku w:val="0"/>
        <w:autoSpaceDE w:val="0"/>
        <w:autoSpaceDN w:val="0"/>
        <w:adjustRightInd w:val="0"/>
        <w:snapToGrid w:val="0"/>
        <w:spacing w:line="271" w:lineRule="auto"/>
        <w:jc w:val="left"/>
        <w:textAlignment w:val="baseline"/>
        <w:rPr>
          <w:rFonts w:hint="default" w:ascii="Times New Roman" w:hAnsi="Times New Roman" w:eastAsia="Arial" w:cs="Times New Roman"/>
          <w:snapToGrid w:val="0"/>
          <w:color w:val="auto"/>
          <w:kern w:val="0"/>
          <w:sz w:val="21"/>
          <w:szCs w:val="21"/>
          <w:lang w:val="en-US" w:eastAsia="en-US" w:bidi="ar-SA"/>
        </w:rPr>
      </w:pPr>
    </w:p>
    <w:p w14:paraId="79766043">
      <w:pPr>
        <w:kinsoku w:val="0"/>
        <w:autoSpaceDE w:val="0"/>
        <w:autoSpaceDN w:val="0"/>
        <w:adjustRightInd w:val="0"/>
        <w:snapToGrid w:val="0"/>
        <w:spacing w:line="271" w:lineRule="auto"/>
        <w:jc w:val="left"/>
        <w:textAlignment w:val="baseline"/>
        <w:rPr>
          <w:rFonts w:hint="default" w:ascii="Times New Roman" w:hAnsi="Times New Roman" w:eastAsia="Arial" w:cs="Times New Roman"/>
          <w:snapToGrid w:val="0"/>
          <w:color w:val="auto"/>
          <w:kern w:val="0"/>
          <w:sz w:val="21"/>
          <w:szCs w:val="21"/>
          <w:lang w:val="en-US" w:eastAsia="en-US" w:bidi="ar-SA"/>
        </w:rPr>
      </w:pPr>
    </w:p>
    <w:p w14:paraId="14DE23A1">
      <w:pPr>
        <w:kinsoku w:val="0"/>
        <w:autoSpaceDE w:val="0"/>
        <w:autoSpaceDN w:val="0"/>
        <w:adjustRightInd w:val="0"/>
        <w:snapToGrid w:val="0"/>
        <w:spacing w:line="271" w:lineRule="auto"/>
        <w:jc w:val="left"/>
        <w:textAlignment w:val="baseline"/>
        <w:rPr>
          <w:rFonts w:hint="default" w:ascii="Times New Roman" w:hAnsi="Times New Roman" w:eastAsia="Arial" w:cs="Times New Roman"/>
          <w:snapToGrid w:val="0"/>
          <w:color w:val="auto"/>
          <w:kern w:val="0"/>
          <w:sz w:val="21"/>
          <w:szCs w:val="21"/>
          <w:lang w:val="en-US" w:eastAsia="en-US" w:bidi="ar-SA"/>
        </w:rPr>
      </w:pPr>
    </w:p>
    <w:p w14:paraId="7B2A9830">
      <w:pPr>
        <w:kinsoku w:val="0"/>
        <w:autoSpaceDE w:val="0"/>
        <w:autoSpaceDN w:val="0"/>
        <w:adjustRightInd w:val="0"/>
        <w:snapToGrid w:val="0"/>
        <w:spacing w:line="271" w:lineRule="auto"/>
        <w:jc w:val="left"/>
        <w:textAlignment w:val="baseline"/>
        <w:rPr>
          <w:rFonts w:hint="default" w:ascii="Times New Roman" w:hAnsi="Times New Roman" w:eastAsia="Arial" w:cs="Times New Roman"/>
          <w:snapToGrid w:val="0"/>
          <w:color w:val="auto"/>
          <w:kern w:val="0"/>
          <w:sz w:val="21"/>
          <w:szCs w:val="21"/>
          <w:lang w:val="en-US" w:eastAsia="en-US" w:bidi="ar-SA"/>
        </w:rPr>
      </w:pPr>
    </w:p>
    <w:p w14:paraId="09330E4D">
      <w:pPr>
        <w:kinsoku w:val="0"/>
        <w:autoSpaceDE w:val="0"/>
        <w:autoSpaceDN w:val="0"/>
        <w:adjustRightInd w:val="0"/>
        <w:snapToGrid w:val="0"/>
        <w:spacing w:line="271" w:lineRule="auto"/>
        <w:jc w:val="left"/>
        <w:textAlignment w:val="baseline"/>
        <w:rPr>
          <w:rFonts w:hint="default" w:ascii="Times New Roman" w:hAnsi="Times New Roman" w:eastAsia="Arial" w:cs="Times New Roman"/>
          <w:snapToGrid w:val="0"/>
          <w:color w:val="auto"/>
          <w:kern w:val="0"/>
          <w:sz w:val="21"/>
          <w:szCs w:val="21"/>
          <w:lang w:val="en-US" w:eastAsia="en-US" w:bidi="ar-SA"/>
        </w:rPr>
      </w:pPr>
    </w:p>
    <w:p w14:paraId="544E7DC2">
      <w:pPr>
        <w:keepNext w:val="0"/>
        <w:keepLines w:val="0"/>
        <w:pageBreakBefore w:val="0"/>
        <w:widowControl w:val="0"/>
        <w:kinsoku w:val="0"/>
        <w:wordWrap/>
        <w:overflowPunct/>
        <w:topLinePunct w:val="0"/>
        <w:autoSpaceDE w:val="0"/>
        <w:autoSpaceDN w:val="0"/>
        <w:bidi w:val="0"/>
        <w:adjustRightInd w:val="0"/>
        <w:snapToGrid w:val="0"/>
        <w:spacing w:before="114" w:line="560" w:lineRule="exact"/>
        <w:ind w:firstLine="1200" w:firstLineChars="400"/>
        <w:jc w:val="left"/>
        <w:textAlignment w:val="baseline"/>
        <w:rPr>
          <w:rFonts w:hint="default" w:ascii="Times New Roman" w:hAnsi="Times New Roman" w:eastAsia="宋体" w:cs="Times New Roman"/>
          <w:snapToGrid w:val="0"/>
          <w:color w:val="auto"/>
          <w:spacing w:val="0"/>
          <w:kern w:val="0"/>
          <w:sz w:val="30"/>
          <w:szCs w:val="30"/>
          <w:u w:val="single"/>
          <w:lang w:eastAsia="en-US"/>
        </w:rPr>
      </w:pPr>
      <w:r>
        <w:rPr>
          <w:rFonts w:hint="default" w:ascii="Times New Roman" w:hAnsi="Times New Roman" w:eastAsia="宋体" w:cs="Times New Roman"/>
          <w:snapToGrid w:val="0"/>
          <w:color w:val="auto"/>
          <w:spacing w:val="0"/>
          <w:kern w:val="0"/>
          <w:sz w:val="30"/>
          <w:szCs w:val="30"/>
          <w:lang w:eastAsia="en-US"/>
        </w:rPr>
        <w:t>项目名称：</w:t>
      </w:r>
      <w:r>
        <w:rPr>
          <w:rFonts w:hint="default" w:ascii="Times New Roman" w:hAnsi="Times New Roman" w:eastAsia="宋体" w:cs="Times New Roman"/>
          <w:snapToGrid w:val="0"/>
          <w:color w:val="auto"/>
          <w:spacing w:val="0"/>
          <w:kern w:val="0"/>
          <w:sz w:val="30"/>
          <w:szCs w:val="30"/>
          <w:u w:val="single"/>
          <w:lang w:val="en-US" w:eastAsia="en-US"/>
        </w:rPr>
        <w:t xml:space="preserve">                     </w:t>
      </w:r>
    </w:p>
    <w:p w14:paraId="73FDD74C">
      <w:pPr>
        <w:keepNext w:val="0"/>
        <w:keepLines w:val="0"/>
        <w:pageBreakBefore w:val="0"/>
        <w:widowControl w:val="0"/>
        <w:kinsoku w:val="0"/>
        <w:wordWrap/>
        <w:overflowPunct/>
        <w:topLinePunct w:val="0"/>
        <w:autoSpaceDE w:val="0"/>
        <w:autoSpaceDN w:val="0"/>
        <w:bidi w:val="0"/>
        <w:adjustRightInd w:val="0"/>
        <w:snapToGrid w:val="0"/>
        <w:spacing w:before="114" w:line="560" w:lineRule="exact"/>
        <w:ind w:firstLine="1200" w:firstLineChars="400"/>
        <w:jc w:val="left"/>
        <w:textAlignment w:val="baseline"/>
        <w:rPr>
          <w:rFonts w:hint="default" w:ascii="Times New Roman" w:hAnsi="Times New Roman" w:eastAsia="宋体" w:cs="Times New Roman"/>
          <w:snapToGrid w:val="0"/>
          <w:color w:val="auto"/>
          <w:spacing w:val="0"/>
          <w:kern w:val="0"/>
          <w:sz w:val="30"/>
          <w:szCs w:val="30"/>
          <w:u w:val="single"/>
          <w:lang w:val="en-US" w:eastAsia="zh-CN"/>
        </w:rPr>
      </w:pPr>
      <w:r>
        <w:rPr>
          <w:rFonts w:hint="default" w:ascii="Times New Roman" w:hAnsi="Times New Roman" w:eastAsia="宋体" w:cs="Times New Roman"/>
          <w:snapToGrid w:val="0"/>
          <w:color w:val="auto"/>
          <w:spacing w:val="0"/>
          <w:kern w:val="0"/>
          <w:sz w:val="30"/>
          <w:szCs w:val="30"/>
          <w:lang w:eastAsia="en-US"/>
        </w:rPr>
        <w:t>合同编号：</w:t>
      </w:r>
      <w:r>
        <w:rPr>
          <w:rFonts w:hint="default" w:ascii="Times New Roman" w:hAnsi="Times New Roman" w:eastAsia="宋体" w:cs="Times New Roman"/>
          <w:snapToGrid w:val="0"/>
          <w:color w:val="auto"/>
          <w:spacing w:val="0"/>
          <w:kern w:val="0"/>
          <w:sz w:val="30"/>
          <w:szCs w:val="30"/>
          <w:u w:val="single"/>
          <w:lang w:val="en-US" w:eastAsia="en-US"/>
        </w:rPr>
        <w:t xml:space="preserve">                     </w:t>
      </w:r>
    </w:p>
    <w:p w14:paraId="2BF2ABBE">
      <w:pPr>
        <w:keepNext w:val="0"/>
        <w:keepLines w:val="0"/>
        <w:pageBreakBefore w:val="0"/>
        <w:widowControl w:val="0"/>
        <w:kinsoku w:val="0"/>
        <w:wordWrap/>
        <w:overflowPunct/>
        <w:topLinePunct w:val="0"/>
        <w:autoSpaceDE w:val="0"/>
        <w:autoSpaceDN w:val="0"/>
        <w:bidi w:val="0"/>
        <w:adjustRightInd w:val="0"/>
        <w:snapToGrid w:val="0"/>
        <w:spacing w:before="114" w:line="560" w:lineRule="exact"/>
        <w:ind w:firstLine="1200" w:firstLineChars="400"/>
        <w:jc w:val="left"/>
        <w:textAlignment w:val="baseline"/>
        <w:rPr>
          <w:rFonts w:hint="default" w:ascii="Times New Roman" w:hAnsi="Times New Roman" w:eastAsia="宋体" w:cs="Times New Roman"/>
          <w:snapToGrid w:val="0"/>
          <w:color w:val="auto"/>
          <w:spacing w:val="0"/>
          <w:kern w:val="0"/>
          <w:sz w:val="30"/>
          <w:szCs w:val="30"/>
          <w:u w:val="single"/>
          <w:lang w:val="en-US" w:eastAsia="zh-CN"/>
        </w:rPr>
      </w:pPr>
      <w:r>
        <w:rPr>
          <w:rFonts w:hint="default" w:ascii="Times New Roman" w:hAnsi="Times New Roman" w:eastAsia="宋体" w:cs="Times New Roman"/>
          <w:snapToGrid w:val="0"/>
          <w:color w:val="auto"/>
          <w:spacing w:val="0"/>
          <w:kern w:val="0"/>
          <w:sz w:val="30"/>
          <w:szCs w:val="30"/>
          <w:lang w:eastAsia="en-US"/>
        </w:rPr>
        <w:t>甲</w:t>
      </w:r>
      <w:r>
        <w:rPr>
          <w:rFonts w:hint="default" w:ascii="Times New Roman" w:hAnsi="Times New Roman" w:eastAsia="宋体" w:cs="Times New Roman"/>
          <w:snapToGrid w:val="0"/>
          <w:color w:val="auto"/>
          <w:spacing w:val="0"/>
          <w:kern w:val="0"/>
          <w:sz w:val="30"/>
          <w:szCs w:val="30"/>
          <w:lang w:val="en-US" w:eastAsia="en-US"/>
        </w:rPr>
        <w:t xml:space="preserve">    </w:t>
      </w:r>
      <w:r>
        <w:rPr>
          <w:rFonts w:hint="default" w:ascii="Times New Roman" w:hAnsi="Times New Roman" w:eastAsia="宋体" w:cs="Times New Roman"/>
          <w:snapToGrid w:val="0"/>
          <w:color w:val="auto"/>
          <w:spacing w:val="0"/>
          <w:kern w:val="0"/>
          <w:sz w:val="30"/>
          <w:szCs w:val="30"/>
          <w:lang w:eastAsia="en-US"/>
        </w:rPr>
        <w:t>方：</w:t>
      </w:r>
      <w:r>
        <w:rPr>
          <w:rFonts w:hint="default" w:ascii="Times New Roman" w:hAnsi="Times New Roman" w:eastAsia="宋体" w:cs="Times New Roman"/>
          <w:snapToGrid w:val="0"/>
          <w:color w:val="auto"/>
          <w:spacing w:val="0"/>
          <w:kern w:val="0"/>
          <w:sz w:val="30"/>
          <w:szCs w:val="30"/>
          <w:u w:val="single"/>
          <w:lang w:val="en-US" w:eastAsia="en-US"/>
        </w:rPr>
        <w:t xml:space="preserve">                     </w:t>
      </w:r>
    </w:p>
    <w:p w14:paraId="39D0C49E">
      <w:pPr>
        <w:keepNext w:val="0"/>
        <w:keepLines w:val="0"/>
        <w:pageBreakBefore w:val="0"/>
        <w:widowControl w:val="0"/>
        <w:kinsoku w:val="0"/>
        <w:wordWrap/>
        <w:overflowPunct/>
        <w:topLinePunct w:val="0"/>
        <w:autoSpaceDE w:val="0"/>
        <w:autoSpaceDN w:val="0"/>
        <w:bidi w:val="0"/>
        <w:adjustRightInd w:val="0"/>
        <w:snapToGrid w:val="0"/>
        <w:spacing w:before="114" w:line="560" w:lineRule="exact"/>
        <w:ind w:firstLine="1200" w:firstLineChars="400"/>
        <w:jc w:val="left"/>
        <w:textAlignment w:val="baseline"/>
        <w:rPr>
          <w:rFonts w:hint="default" w:ascii="Times New Roman" w:hAnsi="Times New Roman" w:eastAsia="宋体" w:cs="Times New Roman"/>
          <w:snapToGrid w:val="0"/>
          <w:color w:val="auto"/>
          <w:spacing w:val="0"/>
          <w:kern w:val="0"/>
          <w:sz w:val="30"/>
          <w:szCs w:val="30"/>
          <w:lang w:val="en-US" w:eastAsia="zh-CN"/>
        </w:rPr>
      </w:pPr>
      <w:r>
        <w:rPr>
          <w:rFonts w:hint="default" w:ascii="Times New Roman" w:hAnsi="Times New Roman" w:eastAsia="宋体" w:cs="Times New Roman"/>
          <w:snapToGrid w:val="0"/>
          <w:color w:val="auto"/>
          <w:spacing w:val="0"/>
          <w:kern w:val="0"/>
          <w:sz w:val="30"/>
          <w:szCs w:val="30"/>
          <w:lang w:eastAsia="en-US"/>
        </w:rPr>
        <w:t>乙</w:t>
      </w:r>
      <w:r>
        <w:rPr>
          <w:rFonts w:hint="default" w:ascii="Times New Roman" w:hAnsi="Times New Roman" w:eastAsia="宋体" w:cs="Times New Roman"/>
          <w:snapToGrid w:val="0"/>
          <w:color w:val="auto"/>
          <w:spacing w:val="0"/>
          <w:kern w:val="0"/>
          <w:sz w:val="30"/>
          <w:szCs w:val="30"/>
          <w:lang w:val="en-US" w:eastAsia="en-US"/>
        </w:rPr>
        <w:t xml:space="preserve">    </w:t>
      </w:r>
      <w:r>
        <w:rPr>
          <w:rFonts w:hint="default" w:ascii="Times New Roman" w:hAnsi="Times New Roman" w:eastAsia="宋体" w:cs="Times New Roman"/>
          <w:snapToGrid w:val="0"/>
          <w:color w:val="auto"/>
          <w:spacing w:val="0"/>
          <w:kern w:val="0"/>
          <w:sz w:val="30"/>
          <w:szCs w:val="30"/>
          <w:lang w:eastAsia="en-US"/>
        </w:rPr>
        <w:t>方：</w:t>
      </w:r>
      <w:r>
        <w:rPr>
          <w:rFonts w:hint="default" w:ascii="Times New Roman" w:hAnsi="Times New Roman" w:eastAsia="宋体" w:cs="Times New Roman"/>
          <w:snapToGrid w:val="0"/>
          <w:color w:val="auto"/>
          <w:spacing w:val="0"/>
          <w:kern w:val="0"/>
          <w:sz w:val="30"/>
          <w:szCs w:val="30"/>
          <w:u w:val="single"/>
          <w:lang w:val="en-US" w:eastAsia="zh-CN"/>
        </w:rPr>
        <w:t xml:space="preserve">                     </w:t>
      </w:r>
    </w:p>
    <w:p w14:paraId="27DC2AEC">
      <w:pPr>
        <w:keepNext w:val="0"/>
        <w:keepLines w:val="0"/>
        <w:pageBreakBefore w:val="0"/>
        <w:widowControl w:val="0"/>
        <w:kinsoku w:val="0"/>
        <w:wordWrap/>
        <w:overflowPunct/>
        <w:topLinePunct w:val="0"/>
        <w:autoSpaceDE w:val="0"/>
        <w:autoSpaceDN w:val="0"/>
        <w:bidi w:val="0"/>
        <w:adjustRightInd w:val="0"/>
        <w:snapToGrid w:val="0"/>
        <w:spacing w:before="114" w:line="560" w:lineRule="exact"/>
        <w:ind w:firstLine="1200" w:firstLineChars="400"/>
        <w:jc w:val="left"/>
        <w:textAlignment w:val="baseline"/>
        <w:rPr>
          <w:rFonts w:hint="default" w:ascii="Times New Roman" w:hAnsi="Times New Roman" w:eastAsia="宋体" w:cs="Times New Roman"/>
          <w:snapToGrid w:val="0"/>
          <w:color w:val="auto"/>
          <w:spacing w:val="0"/>
          <w:kern w:val="0"/>
          <w:sz w:val="30"/>
          <w:szCs w:val="30"/>
          <w:lang w:val="en-US" w:eastAsia="zh-CN"/>
        </w:rPr>
      </w:pPr>
      <w:r>
        <w:rPr>
          <w:rFonts w:hint="default" w:ascii="Times New Roman" w:hAnsi="Times New Roman" w:eastAsia="宋体" w:cs="Times New Roman"/>
          <w:snapToGrid w:val="0"/>
          <w:color w:val="auto"/>
          <w:spacing w:val="0"/>
          <w:kern w:val="0"/>
          <w:sz w:val="30"/>
          <w:szCs w:val="30"/>
          <w:lang w:eastAsia="en-US"/>
        </w:rPr>
        <w:t>签订时间：</w:t>
      </w:r>
      <w:r>
        <w:rPr>
          <w:rFonts w:hint="default" w:ascii="Times New Roman" w:hAnsi="Times New Roman" w:eastAsia="宋体" w:cs="Times New Roman"/>
          <w:snapToGrid w:val="0"/>
          <w:color w:val="auto"/>
          <w:spacing w:val="0"/>
          <w:kern w:val="0"/>
          <w:sz w:val="30"/>
          <w:szCs w:val="30"/>
          <w:u w:val="single"/>
          <w:lang w:val="en-US" w:eastAsia="zh-CN"/>
        </w:rPr>
        <w:t xml:space="preserve">                     </w:t>
      </w:r>
    </w:p>
    <w:p w14:paraId="2F1D4ED8">
      <w:pPr>
        <w:keepNext w:val="0"/>
        <w:keepLines w:val="0"/>
        <w:pageBreakBefore w:val="0"/>
        <w:widowControl/>
        <w:kinsoku w:val="0"/>
        <w:wordWrap/>
        <w:overflowPunct/>
        <w:topLinePunct w:val="0"/>
        <w:autoSpaceDE w:val="0"/>
        <w:autoSpaceDN w:val="0"/>
        <w:bidi w:val="0"/>
        <w:adjustRightInd w:val="0"/>
        <w:snapToGrid w:val="0"/>
        <w:spacing w:line="560" w:lineRule="exact"/>
        <w:ind w:firstLine="840" w:firstLineChars="400"/>
        <w:jc w:val="left"/>
        <w:textAlignment w:val="baseline"/>
        <w:rPr>
          <w:rFonts w:hint="default" w:ascii="Times New Roman" w:hAnsi="Times New Roman" w:eastAsia="宋体" w:cs="Times New Roman"/>
          <w:snapToGrid w:val="0"/>
          <w:color w:val="auto"/>
          <w:kern w:val="0"/>
          <w:szCs w:val="21"/>
          <w:lang w:val="en-US" w:eastAsia="zh-CN"/>
        </w:rPr>
      </w:pPr>
    </w:p>
    <w:p w14:paraId="35422A8A">
      <w:pPr>
        <w:kinsoku w:val="0"/>
        <w:autoSpaceDE w:val="0"/>
        <w:autoSpaceDN w:val="0"/>
        <w:adjustRightInd w:val="0"/>
        <w:snapToGrid w:val="0"/>
        <w:spacing w:line="256" w:lineRule="auto"/>
        <w:jc w:val="left"/>
        <w:textAlignment w:val="baseline"/>
        <w:rPr>
          <w:rFonts w:hint="default" w:ascii="Times New Roman" w:hAnsi="Times New Roman" w:eastAsia="Arial" w:cs="Times New Roman"/>
          <w:snapToGrid w:val="0"/>
          <w:color w:val="auto"/>
          <w:kern w:val="0"/>
          <w:sz w:val="21"/>
          <w:szCs w:val="21"/>
          <w:lang w:val="en-US" w:eastAsia="en-US" w:bidi="ar-SA"/>
        </w:rPr>
      </w:pPr>
    </w:p>
    <w:p w14:paraId="19633DC1">
      <w:pPr>
        <w:kinsoku w:val="0"/>
        <w:autoSpaceDE w:val="0"/>
        <w:autoSpaceDN w:val="0"/>
        <w:adjustRightInd w:val="0"/>
        <w:snapToGrid w:val="0"/>
        <w:spacing w:line="256" w:lineRule="auto"/>
        <w:jc w:val="left"/>
        <w:textAlignment w:val="baseline"/>
        <w:rPr>
          <w:rFonts w:hint="default" w:ascii="Times New Roman" w:hAnsi="Times New Roman" w:eastAsia="Arial" w:cs="Times New Roman"/>
          <w:snapToGrid w:val="0"/>
          <w:color w:val="auto"/>
          <w:kern w:val="0"/>
          <w:sz w:val="21"/>
          <w:szCs w:val="21"/>
          <w:lang w:val="en-US" w:eastAsia="en-US" w:bidi="ar-SA"/>
        </w:rPr>
      </w:pPr>
    </w:p>
    <w:p w14:paraId="5B7814F5">
      <w:pPr>
        <w:kinsoku w:val="0"/>
        <w:autoSpaceDE w:val="0"/>
        <w:autoSpaceDN w:val="0"/>
        <w:adjustRightInd w:val="0"/>
        <w:snapToGrid w:val="0"/>
        <w:spacing w:line="256" w:lineRule="auto"/>
        <w:jc w:val="left"/>
        <w:textAlignment w:val="baseline"/>
        <w:rPr>
          <w:rFonts w:hint="default" w:ascii="Times New Roman" w:hAnsi="Times New Roman" w:eastAsia="Arial" w:cs="Times New Roman"/>
          <w:snapToGrid w:val="0"/>
          <w:color w:val="auto"/>
          <w:kern w:val="0"/>
          <w:sz w:val="21"/>
          <w:szCs w:val="21"/>
          <w:lang w:val="en-US" w:eastAsia="en-US" w:bidi="ar-SA"/>
        </w:rPr>
      </w:pPr>
    </w:p>
    <w:p w14:paraId="7961A2CD">
      <w:pPr>
        <w:kinsoku w:val="0"/>
        <w:autoSpaceDE w:val="0"/>
        <w:autoSpaceDN w:val="0"/>
        <w:adjustRightInd w:val="0"/>
        <w:snapToGrid w:val="0"/>
        <w:spacing w:line="256" w:lineRule="auto"/>
        <w:jc w:val="left"/>
        <w:textAlignment w:val="baseline"/>
        <w:rPr>
          <w:rFonts w:hint="default" w:ascii="Times New Roman" w:hAnsi="Times New Roman" w:eastAsia="Arial" w:cs="Times New Roman"/>
          <w:snapToGrid w:val="0"/>
          <w:color w:val="auto"/>
          <w:kern w:val="0"/>
          <w:sz w:val="21"/>
          <w:szCs w:val="21"/>
          <w:lang w:val="en-US" w:eastAsia="en-US" w:bidi="ar-SA"/>
        </w:rPr>
      </w:pPr>
    </w:p>
    <w:p w14:paraId="3DECC917">
      <w:pPr>
        <w:kinsoku w:val="0"/>
        <w:autoSpaceDE w:val="0"/>
        <w:autoSpaceDN w:val="0"/>
        <w:adjustRightInd w:val="0"/>
        <w:snapToGrid w:val="0"/>
        <w:spacing w:line="256" w:lineRule="auto"/>
        <w:jc w:val="left"/>
        <w:textAlignment w:val="baseline"/>
        <w:rPr>
          <w:rFonts w:hint="default" w:ascii="Times New Roman" w:hAnsi="Times New Roman" w:eastAsia="Arial" w:cs="Times New Roman"/>
          <w:snapToGrid w:val="0"/>
          <w:color w:val="auto"/>
          <w:kern w:val="0"/>
          <w:sz w:val="21"/>
          <w:szCs w:val="21"/>
          <w:lang w:val="en-US" w:eastAsia="en-US" w:bidi="ar-SA"/>
        </w:rPr>
      </w:pPr>
    </w:p>
    <w:p w14:paraId="081B9BC1">
      <w:pPr>
        <w:kinsoku w:val="0"/>
        <w:autoSpaceDE w:val="0"/>
        <w:autoSpaceDN w:val="0"/>
        <w:adjustRightInd w:val="0"/>
        <w:snapToGrid w:val="0"/>
        <w:spacing w:line="256" w:lineRule="auto"/>
        <w:jc w:val="left"/>
        <w:textAlignment w:val="baseline"/>
        <w:rPr>
          <w:rFonts w:hint="default" w:ascii="Times New Roman" w:hAnsi="Times New Roman" w:eastAsia="Arial" w:cs="Times New Roman"/>
          <w:snapToGrid w:val="0"/>
          <w:color w:val="auto"/>
          <w:kern w:val="0"/>
          <w:sz w:val="21"/>
          <w:szCs w:val="21"/>
          <w:lang w:val="en-US" w:eastAsia="en-US" w:bidi="ar-SA"/>
        </w:rPr>
      </w:pPr>
    </w:p>
    <w:p w14:paraId="037D6570">
      <w:pPr>
        <w:kinsoku w:val="0"/>
        <w:autoSpaceDE w:val="0"/>
        <w:autoSpaceDN w:val="0"/>
        <w:adjustRightInd w:val="0"/>
        <w:snapToGrid w:val="0"/>
        <w:spacing w:line="256" w:lineRule="auto"/>
        <w:jc w:val="left"/>
        <w:textAlignment w:val="baseline"/>
        <w:rPr>
          <w:rFonts w:hint="default" w:ascii="Times New Roman" w:hAnsi="Times New Roman" w:eastAsia="Arial" w:cs="Times New Roman"/>
          <w:snapToGrid w:val="0"/>
          <w:color w:val="auto"/>
          <w:kern w:val="0"/>
          <w:sz w:val="21"/>
          <w:szCs w:val="21"/>
          <w:lang w:val="en-US" w:eastAsia="en-US" w:bidi="ar-SA"/>
        </w:rPr>
      </w:pPr>
    </w:p>
    <w:p w14:paraId="4E100505">
      <w:pPr>
        <w:kinsoku w:val="0"/>
        <w:autoSpaceDE w:val="0"/>
        <w:autoSpaceDN w:val="0"/>
        <w:adjustRightInd w:val="0"/>
        <w:snapToGrid w:val="0"/>
        <w:spacing w:line="256" w:lineRule="auto"/>
        <w:jc w:val="left"/>
        <w:textAlignment w:val="baseline"/>
        <w:rPr>
          <w:rFonts w:hint="default" w:ascii="Times New Roman" w:hAnsi="Times New Roman" w:eastAsia="Arial" w:cs="Times New Roman"/>
          <w:snapToGrid w:val="0"/>
          <w:color w:val="auto"/>
          <w:kern w:val="0"/>
          <w:sz w:val="21"/>
          <w:szCs w:val="21"/>
          <w:lang w:val="en-US" w:eastAsia="en-US" w:bidi="ar-SA"/>
        </w:rPr>
      </w:pPr>
    </w:p>
    <w:p w14:paraId="0309E9B0">
      <w:pPr>
        <w:kinsoku w:val="0"/>
        <w:autoSpaceDE w:val="0"/>
        <w:autoSpaceDN w:val="0"/>
        <w:adjustRightInd w:val="0"/>
        <w:snapToGrid w:val="0"/>
        <w:spacing w:line="256" w:lineRule="auto"/>
        <w:jc w:val="left"/>
        <w:textAlignment w:val="baseline"/>
        <w:rPr>
          <w:rFonts w:hint="default" w:ascii="Times New Roman" w:hAnsi="Times New Roman" w:eastAsia="Arial" w:cs="Times New Roman"/>
          <w:snapToGrid w:val="0"/>
          <w:color w:val="auto"/>
          <w:kern w:val="0"/>
          <w:sz w:val="21"/>
          <w:szCs w:val="21"/>
          <w:lang w:val="en-US" w:eastAsia="en-US" w:bidi="ar-SA"/>
        </w:rPr>
      </w:pPr>
    </w:p>
    <w:p w14:paraId="54187AE4">
      <w:pPr>
        <w:kinsoku w:val="0"/>
        <w:autoSpaceDE w:val="0"/>
        <w:autoSpaceDN w:val="0"/>
        <w:adjustRightInd w:val="0"/>
        <w:snapToGrid w:val="0"/>
        <w:spacing w:line="256" w:lineRule="auto"/>
        <w:jc w:val="left"/>
        <w:textAlignment w:val="baseline"/>
        <w:rPr>
          <w:rFonts w:hint="default" w:ascii="Times New Roman" w:hAnsi="Times New Roman" w:eastAsia="Arial" w:cs="Times New Roman"/>
          <w:snapToGrid w:val="0"/>
          <w:color w:val="auto"/>
          <w:kern w:val="0"/>
          <w:sz w:val="21"/>
          <w:szCs w:val="21"/>
          <w:lang w:val="en-US" w:eastAsia="en-US" w:bidi="ar-SA"/>
        </w:rPr>
      </w:pPr>
    </w:p>
    <w:p w14:paraId="2F80319C">
      <w:pPr>
        <w:kinsoku w:val="0"/>
        <w:autoSpaceDE w:val="0"/>
        <w:autoSpaceDN w:val="0"/>
        <w:adjustRightInd w:val="0"/>
        <w:snapToGrid w:val="0"/>
        <w:spacing w:line="256" w:lineRule="auto"/>
        <w:jc w:val="left"/>
        <w:textAlignment w:val="baseline"/>
        <w:rPr>
          <w:rFonts w:hint="default" w:ascii="Times New Roman" w:hAnsi="Times New Roman" w:eastAsia="Arial" w:cs="Times New Roman"/>
          <w:snapToGrid w:val="0"/>
          <w:color w:val="auto"/>
          <w:kern w:val="0"/>
          <w:sz w:val="21"/>
          <w:szCs w:val="21"/>
          <w:lang w:val="en-US" w:eastAsia="en-US" w:bidi="ar-SA"/>
        </w:rPr>
      </w:pPr>
    </w:p>
    <w:p w14:paraId="0F340E69">
      <w:pPr>
        <w:kinsoku w:val="0"/>
        <w:autoSpaceDE w:val="0"/>
        <w:autoSpaceDN w:val="0"/>
        <w:adjustRightInd w:val="0"/>
        <w:snapToGrid w:val="0"/>
        <w:spacing w:line="256" w:lineRule="auto"/>
        <w:jc w:val="left"/>
        <w:textAlignment w:val="baseline"/>
        <w:rPr>
          <w:rFonts w:hint="default" w:ascii="Times New Roman" w:hAnsi="Times New Roman" w:eastAsia="Arial" w:cs="Times New Roman"/>
          <w:snapToGrid w:val="0"/>
          <w:color w:val="auto"/>
          <w:kern w:val="0"/>
          <w:sz w:val="21"/>
          <w:szCs w:val="21"/>
          <w:lang w:val="en-US" w:eastAsia="en-US" w:bidi="ar-SA"/>
        </w:rPr>
      </w:pPr>
    </w:p>
    <w:p w14:paraId="639B9F66">
      <w:pPr>
        <w:kinsoku w:val="0"/>
        <w:autoSpaceDE w:val="0"/>
        <w:autoSpaceDN w:val="0"/>
        <w:adjustRightInd w:val="0"/>
        <w:snapToGrid w:val="0"/>
        <w:spacing w:line="256" w:lineRule="auto"/>
        <w:jc w:val="left"/>
        <w:textAlignment w:val="baseline"/>
        <w:rPr>
          <w:rFonts w:hint="default" w:ascii="Times New Roman" w:hAnsi="Times New Roman" w:eastAsia="Arial" w:cs="Times New Roman"/>
          <w:snapToGrid w:val="0"/>
          <w:color w:val="auto"/>
          <w:kern w:val="0"/>
          <w:sz w:val="21"/>
          <w:szCs w:val="21"/>
          <w:lang w:val="en-US" w:eastAsia="en-US" w:bidi="ar-SA"/>
        </w:rPr>
      </w:pPr>
    </w:p>
    <w:p w14:paraId="46BB6AEC">
      <w:pPr>
        <w:kinsoku w:val="0"/>
        <w:autoSpaceDE w:val="0"/>
        <w:autoSpaceDN w:val="0"/>
        <w:adjustRightInd w:val="0"/>
        <w:snapToGrid w:val="0"/>
        <w:spacing w:line="256" w:lineRule="auto"/>
        <w:jc w:val="left"/>
        <w:textAlignment w:val="baseline"/>
        <w:rPr>
          <w:rFonts w:hint="default" w:ascii="Times New Roman" w:hAnsi="Times New Roman" w:eastAsia="Arial" w:cs="Times New Roman"/>
          <w:snapToGrid w:val="0"/>
          <w:color w:val="auto"/>
          <w:kern w:val="0"/>
          <w:sz w:val="21"/>
          <w:szCs w:val="21"/>
          <w:lang w:val="en-US" w:eastAsia="en-US" w:bidi="ar-SA"/>
        </w:rPr>
      </w:pPr>
    </w:p>
    <w:p w14:paraId="7C756AA1">
      <w:pPr>
        <w:kinsoku w:val="0"/>
        <w:autoSpaceDE w:val="0"/>
        <w:autoSpaceDN w:val="0"/>
        <w:adjustRightInd w:val="0"/>
        <w:snapToGrid w:val="0"/>
        <w:spacing w:line="256" w:lineRule="auto"/>
        <w:jc w:val="left"/>
        <w:textAlignment w:val="baseline"/>
        <w:rPr>
          <w:rFonts w:hint="default" w:ascii="Times New Roman" w:hAnsi="Times New Roman" w:eastAsia="Arial" w:cs="Times New Roman"/>
          <w:snapToGrid w:val="0"/>
          <w:color w:val="auto"/>
          <w:kern w:val="0"/>
          <w:sz w:val="21"/>
          <w:szCs w:val="21"/>
          <w:lang w:val="en-US" w:eastAsia="en-US" w:bidi="ar-SA"/>
        </w:rPr>
      </w:pPr>
    </w:p>
    <w:p w14:paraId="2BBFF8DA">
      <w:pPr>
        <w:kinsoku w:val="0"/>
        <w:autoSpaceDE w:val="0"/>
        <w:autoSpaceDN w:val="0"/>
        <w:adjustRightInd w:val="0"/>
        <w:snapToGrid w:val="0"/>
        <w:spacing w:line="256" w:lineRule="auto"/>
        <w:jc w:val="left"/>
        <w:textAlignment w:val="baseline"/>
        <w:rPr>
          <w:rFonts w:hint="default" w:ascii="Times New Roman" w:hAnsi="Times New Roman" w:eastAsia="Arial" w:cs="Times New Roman"/>
          <w:snapToGrid w:val="0"/>
          <w:color w:val="auto"/>
          <w:kern w:val="0"/>
          <w:sz w:val="21"/>
          <w:szCs w:val="21"/>
          <w:lang w:val="en-US" w:eastAsia="en-US" w:bidi="ar-SA"/>
        </w:rPr>
      </w:pPr>
    </w:p>
    <w:p w14:paraId="329DE4F6">
      <w:pPr>
        <w:kinsoku w:val="0"/>
        <w:autoSpaceDE w:val="0"/>
        <w:autoSpaceDN w:val="0"/>
        <w:adjustRightInd w:val="0"/>
        <w:snapToGrid w:val="0"/>
        <w:spacing w:line="256" w:lineRule="auto"/>
        <w:jc w:val="left"/>
        <w:textAlignment w:val="baseline"/>
        <w:rPr>
          <w:rFonts w:hint="default" w:ascii="Times New Roman" w:hAnsi="Times New Roman" w:eastAsia="Arial" w:cs="Times New Roman"/>
          <w:snapToGrid w:val="0"/>
          <w:color w:val="auto"/>
          <w:kern w:val="0"/>
          <w:sz w:val="21"/>
          <w:szCs w:val="21"/>
          <w:lang w:val="en-US" w:eastAsia="en-US" w:bidi="ar-SA"/>
        </w:rPr>
      </w:pPr>
    </w:p>
    <w:p w14:paraId="4F07BE86">
      <w:pPr>
        <w:kinsoku w:val="0"/>
        <w:autoSpaceDE w:val="0"/>
        <w:autoSpaceDN w:val="0"/>
        <w:adjustRightInd w:val="0"/>
        <w:snapToGrid w:val="0"/>
        <w:spacing w:line="256" w:lineRule="auto"/>
        <w:jc w:val="left"/>
        <w:textAlignment w:val="baseline"/>
        <w:rPr>
          <w:rFonts w:hint="default" w:ascii="Times New Roman" w:hAnsi="Times New Roman" w:eastAsia="Arial" w:cs="Times New Roman"/>
          <w:snapToGrid w:val="0"/>
          <w:color w:val="auto"/>
          <w:kern w:val="0"/>
          <w:sz w:val="21"/>
          <w:szCs w:val="21"/>
          <w:lang w:val="en-US" w:eastAsia="en-US" w:bidi="ar-SA"/>
        </w:rPr>
      </w:pPr>
    </w:p>
    <w:p w14:paraId="4A4C742E">
      <w:pPr>
        <w:kinsoku w:val="0"/>
        <w:autoSpaceDE w:val="0"/>
        <w:autoSpaceDN w:val="0"/>
        <w:adjustRightInd w:val="0"/>
        <w:snapToGrid w:val="0"/>
        <w:spacing w:line="256" w:lineRule="auto"/>
        <w:jc w:val="left"/>
        <w:textAlignment w:val="baseline"/>
        <w:rPr>
          <w:rFonts w:hint="default" w:ascii="Times New Roman" w:hAnsi="Times New Roman" w:eastAsia="Arial" w:cs="Times New Roman"/>
          <w:snapToGrid w:val="0"/>
          <w:color w:val="auto"/>
          <w:kern w:val="0"/>
          <w:sz w:val="21"/>
          <w:szCs w:val="21"/>
          <w:lang w:val="en-US" w:eastAsia="en-US" w:bidi="ar-SA"/>
        </w:rPr>
      </w:pPr>
    </w:p>
    <w:p w14:paraId="2AC03FCD">
      <w:pPr>
        <w:kinsoku w:val="0"/>
        <w:autoSpaceDE w:val="0"/>
        <w:autoSpaceDN w:val="0"/>
        <w:adjustRightInd w:val="0"/>
        <w:snapToGrid w:val="0"/>
        <w:spacing w:line="257" w:lineRule="auto"/>
        <w:jc w:val="left"/>
        <w:textAlignment w:val="baseline"/>
        <w:rPr>
          <w:rFonts w:hint="default" w:ascii="Times New Roman" w:hAnsi="Times New Roman" w:eastAsia="Arial" w:cs="Times New Roman"/>
          <w:snapToGrid w:val="0"/>
          <w:color w:val="auto"/>
          <w:kern w:val="0"/>
          <w:sz w:val="21"/>
          <w:szCs w:val="21"/>
          <w:lang w:val="en-US" w:eastAsia="en-US" w:bidi="ar-SA"/>
        </w:rPr>
      </w:pPr>
    </w:p>
    <w:p w14:paraId="3A594923">
      <w:pPr>
        <w:kinsoku w:val="0"/>
        <w:autoSpaceDE w:val="0"/>
        <w:autoSpaceDN w:val="0"/>
        <w:adjustRightInd w:val="0"/>
        <w:snapToGrid w:val="0"/>
        <w:spacing w:line="257" w:lineRule="auto"/>
        <w:jc w:val="left"/>
        <w:textAlignment w:val="baseline"/>
        <w:rPr>
          <w:rFonts w:hint="default" w:ascii="Times New Roman" w:hAnsi="Times New Roman" w:eastAsia="Arial" w:cs="Times New Roman"/>
          <w:snapToGrid w:val="0"/>
          <w:color w:val="auto"/>
          <w:kern w:val="0"/>
          <w:sz w:val="21"/>
          <w:szCs w:val="21"/>
          <w:lang w:val="en-US" w:eastAsia="en-US" w:bidi="ar-SA"/>
        </w:rPr>
      </w:pPr>
    </w:p>
    <w:p w14:paraId="51D57710">
      <w:pPr>
        <w:kinsoku w:val="0"/>
        <w:autoSpaceDE w:val="0"/>
        <w:autoSpaceDN w:val="0"/>
        <w:adjustRightInd w:val="0"/>
        <w:snapToGrid w:val="0"/>
        <w:spacing w:line="257" w:lineRule="auto"/>
        <w:jc w:val="left"/>
        <w:textAlignment w:val="baseline"/>
        <w:rPr>
          <w:rFonts w:hint="default" w:ascii="Times New Roman" w:hAnsi="Times New Roman" w:eastAsia="Arial" w:cs="Times New Roman"/>
          <w:snapToGrid w:val="0"/>
          <w:color w:val="auto"/>
          <w:kern w:val="0"/>
          <w:sz w:val="21"/>
          <w:szCs w:val="21"/>
          <w:lang w:val="en-US" w:eastAsia="en-US" w:bidi="ar-SA"/>
        </w:rPr>
      </w:pPr>
    </w:p>
    <w:p w14:paraId="2C819DD2">
      <w:pPr>
        <w:widowControl/>
        <w:kinsoku w:val="0"/>
        <w:autoSpaceDE w:val="0"/>
        <w:autoSpaceDN w:val="0"/>
        <w:adjustRightInd w:val="0"/>
        <w:snapToGrid w:val="0"/>
        <w:spacing w:before="140" w:line="225" w:lineRule="auto"/>
        <w:jc w:val="center"/>
        <w:textAlignment w:val="baseline"/>
        <w:rPr>
          <w:rFonts w:hint="default" w:ascii="Times New Roman" w:hAnsi="Times New Roman" w:eastAsia="方正黑体_GBK" w:cs="Times New Roman"/>
          <w:snapToGrid w:val="0"/>
          <w:color w:val="auto"/>
          <w:kern w:val="0"/>
          <w:sz w:val="40"/>
          <w:szCs w:val="40"/>
          <w:lang w:eastAsia="en-US"/>
        </w:rPr>
      </w:pPr>
      <w:r>
        <w:rPr>
          <w:rFonts w:hint="default" w:ascii="Times New Roman" w:hAnsi="Times New Roman" w:eastAsia="方正黑体_GBK" w:cs="Times New Roman"/>
          <w:snapToGrid w:val="0"/>
          <w:color w:val="auto"/>
          <w:spacing w:val="-10"/>
          <w:kern w:val="0"/>
          <w:sz w:val="40"/>
          <w:szCs w:val="40"/>
          <w:lang w:eastAsia="en-US"/>
        </w:rPr>
        <w:t>使用说明</w:t>
      </w:r>
    </w:p>
    <w:p w14:paraId="78F18DDC">
      <w:pPr>
        <w:kinsoku w:val="0"/>
        <w:autoSpaceDE w:val="0"/>
        <w:autoSpaceDN w:val="0"/>
        <w:adjustRightInd w:val="0"/>
        <w:snapToGrid w:val="0"/>
        <w:spacing w:line="341" w:lineRule="auto"/>
        <w:jc w:val="left"/>
        <w:textAlignment w:val="baseline"/>
        <w:rPr>
          <w:rFonts w:hint="default" w:ascii="Times New Roman" w:hAnsi="Times New Roman" w:eastAsia="Arial" w:cs="Times New Roman"/>
          <w:snapToGrid w:val="0"/>
          <w:color w:val="auto"/>
          <w:kern w:val="0"/>
          <w:sz w:val="21"/>
          <w:szCs w:val="21"/>
          <w:lang w:val="en-US" w:eastAsia="en-US" w:bidi="ar-SA"/>
        </w:rPr>
      </w:pPr>
    </w:p>
    <w:p w14:paraId="68CC9E46">
      <w:pPr>
        <w:kinsoku w:val="0"/>
        <w:autoSpaceDE w:val="0"/>
        <w:autoSpaceDN w:val="0"/>
        <w:adjustRightInd w:val="0"/>
        <w:snapToGrid w:val="0"/>
        <w:spacing w:line="342" w:lineRule="auto"/>
        <w:jc w:val="left"/>
        <w:textAlignment w:val="baseline"/>
        <w:rPr>
          <w:rFonts w:hint="default" w:ascii="Times New Roman" w:hAnsi="Times New Roman" w:eastAsia="Arial" w:cs="Times New Roman"/>
          <w:snapToGrid w:val="0"/>
          <w:color w:val="auto"/>
          <w:kern w:val="0"/>
          <w:sz w:val="21"/>
          <w:szCs w:val="21"/>
          <w:lang w:val="en-US" w:eastAsia="en-US" w:bidi="ar-SA"/>
        </w:rPr>
      </w:pPr>
    </w:p>
    <w:p w14:paraId="5ABBA9FA">
      <w:pPr>
        <w:keepNext w:val="0"/>
        <w:keepLines w:val="0"/>
        <w:pageBreakBefore w:val="0"/>
        <w:widowControl/>
        <w:kinsoku w:val="0"/>
        <w:wordWrap/>
        <w:overflowPunct/>
        <w:topLinePunct w:val="0"/>
        <w:autoSpaceDE w:val="0"/>
        <w:autoSpaceDN w:val="0"/>
        <w:bidi w:val="0"/>
        <w:adjustRightInd w:val="0"/>
        <w:snapToGrid w:val="0"/>
        <w:spacing w:line="560" w:lineRule="exact"/>
        <w:ind w:left="16" w:right="16" w:firstLine="670"/>
        <w:jc w:val="both"/>
        <w:textAlignment w:val="baseline"/>
        <w:rPr>
          <w:rFonts w:hint="default" w:ascii="Times New Roman" w:hAnsi="Times New Roman" w:eastAsia="FangSong_GB2312" w:cs="Times New Roman"/>
          <w:snapToGrid w:val="0"/>
          <w:color w:val="auto"/>
          <w:kern w:val="0"/>
          <w:sz w:val="31"/>
          <w:szCs w:val="31"/>
          <w:lang w:eastAsia="en-US"/>
        </w:rPr>
      </w:pPr>
      <w:r>
        <w:rPr>
          <w:rFonts w:hint="default" w:ascii="Times New Roman" w:hAnsi="Times New Roman" w:eastAsia="FangSong_GB2312" w:cs="Times New Roman"/>
          <w:snapToGrid w:val="0"/>
          <w:color w:val="auto"/>
          <w:spacing w:val="7"/>
          <w:kern w:val="0"/>
          <w:sz w:val="31"/>
          <w:szCs w:val="31"/>
          <w:lang w:eastAsia="en-US"/>
        </w:rPr>
        <w:t>1.本合同标准文本适用于购买现成货物的采购项目，不</w:t>
      </w:r>
      <w:r>
        <w:rPr>
          <w:rFonts w:hint="default" w:ascii="Times New Roman" w:hAnsi="Times New Roman" w:eastAsia="FangSong_GB2312" w:cs="Times New Roman"/>
          <w:snapToGrid w:val="0"/>
          <w:color w:val="auto"/>
          <w:spacing w:val="9"/>
          <w:kern w:val="0"/>
          <w:sz w:val="31"/>
          <w:szCs w:val="31"/>
          <w:lang w:eastAsia="en-US"/>
        </w:rPr>
        <w:t>包括需要供应商定制开发、创新研发的货物采购项目。</w:t>
      </w:r>
    </w:p>
    <w:p w14:paraId="197FFC64">
      <w:pPr>
        <w:keepNext w:val="0"/>
        <w:keepLines w:val="0"/>
        <w:pageBreakBefore w:val="0"/>
        <w:widowControl/>
        <w:kinsoku w:val="0"/>
        <w:wordWrap/>
        <w:overflowPunct/>
        <w:topLinePunct w:val="0"/>
        <w:autoSpaceDE w:val="0"/>
        <w:autoSpaceDN w:val="0"/>
        <w:bidi w:val="0"/>
        <w:adjustRightInd w:val="0"/>
        <w:snapToGrid w:val="0"/>
        <w:spacing w:line="560" w:lineRule="exact"/>
        <w:ind w:left="30" w:right="11" w:firstLine="668"/>
        <w:jc w:val="both"/>
        <w:textAlignment w:val="baseline"/>
        <w:rPr>
          <w:rFonts w:hint="default" w:ascii="Times New Roman" w:hAnsi="Times New Roman" w:eastAsia="FangSong_GB2312" w:cs="Times New Roman"/>
          <w:snapToGrid w:val="0"/>
          <w:color w:val="auto"/>
          <w:kern w:val="0"/>
          <w:sz w:val="31"/>
          <w:szCs w:val="31"/>
          <w:lang w:eastAsia="en-US"/>
        </w:rPr>
      </w:pPr>
      <w:r>
        <w:rPr>
          <w:rFonts w:hint="default" w:ascii="Times New Roman" w:hAnsi="Times New Roman" w:eastAsia="FangSong_GB2312" w:cs="Times New Roman"/>
          <w:snapToGrid w:val="0"/>
          <w:color w:val="auto"/>
          <w:spacing w:val="20"/>
          <w:kern w:val="0"/>
          <w:sz w:val="31"/>
          <w:szCs w:val="31"/>
          <w:lang w:eastAsia="en-US"/>
        </w:rPr>
        <w:t>2.本合同标准文本为政府采购货物买卖合同编制提供</w:t>
      </w:r>
      <w:r>
        <w:rPr>
          <w:rFonts w:hint="default" w:ascii="Times New Roman" w:hAnsi="Times New Roman" w:eastAsia="FangSong_GB2312" w:cs="Times New Roman"/>
          <w:snapToGrid w:val="0"/>
          <w:color w:val="auto"/>
          <w:spacing w:val="8"/>
          <w:kern w:val="0"/>
          <w:sz w:val="31"/>
          <w:szCs w:val="31"/>
          <w:lang w:eastAsia="en-US"/>
        </w:rPr>
        <w:t>参考，可以结合采购项目具体情况，对文本作必要的调整修</w:t>
      </w:r>
      <w:r>
        <w:rPr>
          <w:rFonts w:hint="default" w:ascii="Times New Roman" w:hAnsi="Times New Roman" w:eastAsia="FangSong_GB2312" w:cs="Times New Roman"/>
          <w:snapToGrid w:val="0"/>
          <w:color w:val="auto"/>
          <w:spacing w:val="-5"/>
          <w:kern w:val="0"/>
          <w:sz w:val="31"/>
          <w:szCs w:val="31"/>
          <w:lang w:eastAsia="en-US"/>
        </w:rPr>
        <w:t>订后使用。</w:t>
      </w:r>
    </w:p>
    <w:p w14:paraId="1D964DD9">
      <w:pPr>
        <w:keepNext w:val="0"/>
        <w:keepLines w:val="0"/>
        <w:pageBreakBefore w:val="0"/>
        <w:widowControl/>
        <w:kinsoku w:val="0"/>
        <w:wordWrap/>
        <w:overflowPunct/>
        <w:topLinePunct w:val="0"/>
        <w:autoSpaceDE w:val="0"/>
        <w:autoSpaceDN w:val="0"/>
        <w:bidi w:val="0"/>
        <w:adjustRightInd w:val="0"/>
        <w:snapToGrid w:val="0"/>
        <w:spacing w:line="560" w:lineRule="exact"/>
        <w:ind w:left="31" w:right="16" w:firstLine="660"/>
        <w:jc w:val="both"/>
        <w:textAlignment w:val="baseline"/>
        <w:rPr>
          <w:rFonts w:hint="default" w:ascii="Times New Roman" w:hAnsi="Times New Roman" w:eastAsia="FangSong_GB2312" w:cs="Times New Roman"/>
          <w:snapToGrid w:val="0"/>
          <w:color w:val="auto"/>
          <w:kern w:val="0"/>
          <w:sz w:val="31"/>
          <w:szCs w:val="31"/>
          <w:lang w:eastAsia="en-US"/>
        </w:rPr>
      </w:pPr>
      <w:r>
        <w:rPr>
          <w:rFonts w:hint="default" w:ascii="Times New Roman" w:hAnsi="Times New Roman" w:eastAsia="FangSong_GB2312" w:cs="Times New Roman"/>
          <w:snapToGrid w:val="0"/>
          <w:color w:val="auto"/>
          <w:spacing w:val="7"/>
          <w:kern w:val="0"/>
          <w:sz w:val="31"/>
          <w:szCs w:val="31"/>
          <w:lang w:eastAsia="en-US"/>
        </w:rPr>
        <w:t>3.本合同标准文本各条款中，如涉及填写多家供应商、</w:t>
      </w:r>
      <w:r>
        <w:rPr>
          <w:rFonts w:hint="default" w:ascii="Times New Roman" w:hAnsi="Times New Roman" w:eastAsia="FangSong_GB2312" w:cs="Times New Roman"/>
          <w:snapToGrid w:val="0"/>
          <w:color w:val="auto"/>
          <w:spacing w:val="8"/>
          <w:kern w:val="0"/>
          <w:sz w:val="31"/>
          <w:szCs w:val="31"/>
          <w:lang w:eastAsia="en-US"/>
        </w:rPr>
        <w:t>制造商，多种采购标的、分包主要内容等信息的，可根据采</w:t>
      </w:r>
      <w:r>
        <w:rPr>
          <w:rFonts w:hint="default" w:ascii="Times New Roman" w:hAnsi="Times New Roman" w:eastAsia="FangSong_GB2312" w:cs="Times New Roman"/>
          <w:snapToGrid w:val="0"/>
          <w:color w:val="auto"/>
          <w:spacing w:val="5"/>
          <w:kern w:val="0"/>
          <w:sz w:val="31"/>
          <w:szCs w:val="31"/>
          <w:lang w:eastAsia="en-US"/>
        </w:rPr>
        <w:t>购项目具体情况添加信息项。</w:t>
      </w:r>
    </w:p>
    <w:p w14:paraId="5FCA26B8">
      <w:pPr>
        <w:widowControl/>
        <w:kinsoku w:val="0"/>
        <w:autoSpaceDE w:val="0"/>
        <w:autoSpaceDN w:val="0"/>
        <w:adjustRightInd w:val="0"/>
        <w:snapToGrid w:val="0"/>
        <w:spacing w:line="361" w:lineRule="auto"/>
        <w:jc w:val="left"/>
        <w:textAlignment w:val="baseline"/>
        <w:rPr>
          <w:rFonts w:hint="default" w:ascii="Times New Roman" w:hAnsi="Times New Roman" w:eastAsia="FangSong_GB2312" w:cs="Times New Roman"/>
          <w:snapToGrid w:val="0"/>
          <w:color w:val="auto"/>
          <w:kern w:val="0"/>
          <w:sz w:val="31"/>
          <w:szCs w:val="31"/>
          <w:u w:val="none"/>
          <w:lang w:eastAsia="en-US"/>
        </w:rPr>
      </w:pPr>
    </w:p>
    <w:p w14:paraId="6A9BFB60">
      <w:pPr>
        <w:kinsoku w:val="0"/>
        <w:autoSpaceDE w:val="0"/>
        <w:autoSpaceDN w:val="0"/>
        <w:adjustRightInd w:val="0"/>
        <w:snapToGrid w:val="0"/>
        <w:spacing w:line="260" w:lineRule="auto"/>
        <w:jc w:val="left"/>
        <w:textAlignment w:val="baseline"/>
        <w:rPr>
          <w:rFonts w:hint="default" w:ascii="Times New Roman" w:hAnsi="Times New Roman" w:eastAsia="Arial" w:cs="Times New Roman"/>
          <w:snapToGrid w:val="0"/>
          <w:color w:val="auto"/>
          <w:kern w:val="0"/>
          <w:sz w:val="21"/>
          <w:szCs w:val="21"/>
          <w:u w:val="none"/>
          <w:lang w:val="en-US" w:eastAsia="en-US" w:bidi="ar-SA"/>
        </w:rPr>
      </w:pPr>
    </w:p>
    <w:p w14:paraId="4239DC44">
      <w:pPr>
        <w:kinsoku w:val="0"/>
        <w:autoSpaceDE w:val="0"/>
        <w:autoSpaceDN w:val="0"/>
        <w:adjustRightInd w:val="0"/>
        <w:snapToGrid w:val="0"/>
        <w:spacing w:line="260" w:lineRule="auto"/>
        <w:jc w:val="left"/>
        <w:textAlignment w:val="baseline"/>
        <w:rPr>
          <w:rFonts w:hint="default" w:ascii="Times New Roman" w:hAnsi="Times New Roman" w:eastAsia="Arial" w:cs="Times New Roman"/>
          <w:snapToGrid w:val="0"/>
          <w:color w:val="auto"/>
          <w:kern w:val="0"/>
          <w:sz w:val="21"/>
          <w:szCs w:val="21"/>
          <w:u w:val="none"/>
          <w:lang w:val="en-US" w:eastAsia="en-US" w:bidi="ar-SA"/>
        </w:rPr>
      </w:pPr>
    </w:p>
    <w:p w14:paraId="18B750E8">
      <w:pPr>
        <w:kinsoku w:val="0"/>
        <w:autoSpaceDE w:val="0"/>
        <w:autoSpaceDN w:val="0"/>
        <w:adjustRightInd w:val="0"/>
        <w:snapToGrid w:val="0"/>
        <w:spacing w:line="260" w:lineRule="auto"/>
        <w:jc w:val="left"/>
        <w:textAlignment w:val="baseline"/>
        <w:rPr>
          <w:rFonts w:hint="default" w:ascii="Times New Roman" w:hAnsi="Times New Roman" w:eastAsia="Arial" w:cs="Times New Roman"/>
          <w:snapToGrid w:val="0"/>
          <w:color w:val="auto"/>
          <w:kern w:val="0"/>
          <w:sz w:val="21"/>
          <w:szCs w:val="21"/>
          <w:u w:val="none"/>
          <w:lang w:val="en-US" w:eastAsia="en-US" w:bidi="ar-SA"/>
        </w:rPr>
      </w:pPr>
    </w:p>
    <w:p w14:paraId="381C503A">
      <w:pPr>
        <w:kinsoku w:val="0"/>
        <w:autoSpaceDE w:val="0"/>
        <w:autoSpaceDN w:val="0"/>
        <w:adjustRightInd w:val="0"/>
        <w:snapToGrid w:val="0"/>
        <w:spacing w:line="260" w:lineRule="auto"/>
        <w:jc w:val="left"/>
        <w:textAlignment w:val="baseline"/>
        <w:rPr>
          <w:rFonts w:hint="default" w:ascii="Times New Roman" w:hAnsi="Times New Roman" w:eastAsia="Arial" w:cs="Times New Roman"/>
          <w:snapToGrid w:val="0"/>
          <w:color w:val="auto"/>
          <w:kern w:val="0"/>
          <w:sz w:val="21"/>
          <w:szCs w:val="21"/>
          <w:u w:val="none"/>
          <w:lang w:val="en-US" w:eastAsia="en-US" w:bidi="ar-SA"/>
        </w:rPr>
      </w:pPr>
    </w:p>
    <w:p w14:paraId="66CDB435">
      <w:pPr>
        <w:kinsoku w:val="0"/>
        <w:autoSpaceDE w:val="0"/>
        <w:autoSpaceDN w:val="0"/>
        <w:adjustRightInd w:val="0"/>
        <w:snapToGrid w:val="0"/>
        <w:spacing w:line="260" w:lineRule="auto"/>
        <w:jc w:val="left"/>
        <w:textAlignment w:val="baseline"/>
        <w:rPr>
          <w:rFonts w:hint="default" w:ascii="Times New Roman" w:hAnsi="Times New Roman" w:eastAsia="Arial" w:cs="Times New Roman"/>
          <w:snapToGrid w:val="0"/>
          <w:color w:val="auto"/>
          <w:kern w:val="0"/>
          <w:sz w:val="21"/>
          <w:szCs w:val="21"/>
          <w:u w:val="none"/>
          <w:lang w:val="en-US" w:eastAsia="en-US" w:bidi="ar-SA"/>
        </w:rPr>
      </w:pPr>
    </w:p>
    <w:p w14:paraId="32DA18A3">
      <w:pPr>
        <w:kinsoku w:val="0"/>
        <w:autoSpaceDE w:val="0"/>
        <w:autoSpaceDN w:val="0"/>
        <w:adjustRightInd w:val="0"/>
        <w:snapToGrid w:val="0"/>
        <w:spacing w:line="260" w:lineRule="auto"/>
        <w:jc w:val="left"/>
        <w:textAlignment w:val="baseline"/>
        <w:rPr>
          <w:rFonts w:hint="default" w:ascii="Times New Roman" w:hAnsi="Times New Roman" w:eastAsia="Arial" w:cs="Times New Roman"/>
          <w:snapToGrid w:val="0"/>
          <w:color w:val="auto"/>
          <w:kern w:val="0"/>
          <w:sz w:val="21"/>
          <w:szCs w:val="21"/>
          <w:u w:val="none"/>
          <w:lang w:val="en-US" w:eastAsia="en-US" w:bidi="ar-SA"/>
        </w:rPr>
      </w:pPr>
    </w:p>
    <w:p w14:paraId="77511145">
      <w:pPr>
        <w:kinsoku w:val="0"/>
        <w:autoSpaceDE w:val="0"/>
        <w:autoSpaceDN w:val="0"/>
        <w:adjustRightInd w:val="0"/>
        <w:snapToGrid w:val="0"/>
        <w:spacing w:line="260" w:lineRule="auto"/>
        <w:jc w:val="left"/>
        <w:textAlignment w:val="baseline"/>
        <w:rPr>
          <w:rFonts w:hint="default" w:ascii="Times New Roman" w:hAnsi="Times New Roman" w:eastAsia="Arial" w:cs="Times New Roman"/>
          <w:snapToGrid w:val="0"/>
          <w:color w:val="auto"/>
          <w:kern w:val="0"/>
          <w:sz w:val="21"/>
          <w:szCs w:val="21"/>
          <w:u w:val="none"/>
          <w:lang w:val="en-US" w:eastAsia="en-US" w:bidi="ar-SA"/>
        </w:rPr>
      </w:pPr>
    </w:p>
    <w:p w14:paraId="2593496A">
      <w:pPr>
        <w:kinsoku w:val="0"/>
        <w:autoSpaceDE w:val="0"/>
        <w:autoSpaceDN w:val="0"/>
        <w:adjustRightInd w:val="0"/>
        <w:snapToGrid w:val="0"/>
        <w:spacing w:line="260" w:lineRule="auto"/>
        <w:jc w:val="left"/>
        <w:textAlignment w:val="baseline"/>
        <w:rPr>
          <w:rFonts w:hint="default" w:ascii="Times New Roman" w:hAnsi="Times New Roman" w:eastAsia="Arial" w:cs="Times New Roman"/>
          <w:snapToGrid w:val="0"/>
          <w:color w:val="auto"/>
          <w:kern w:val="0"/>
          <w:sz w:val="21"/>
          <w:szCs w:val="21"/>
          <w:u w:val="none"/>
          <w:lang w:val="en-US" w:eastAsia="en-US" w:bidi="ar-SA"/>
        </w:rPr>
      </w:pPr>
    </w:p>
    <w:p w14:paraId="4102A1A7">
      <w:pPr>
        <w:kinsoku w:val="0"/>
        <w:autoSpaceDE w:val="0"/>
        <w:autoSpaceDN w:val="0"/>
        <w:adjustRightInd w:val="0"/>
        <w:snapToGrid w:val="0"/>
        <w:spacing w:line="260" w:lineRule="auto"/>
        <w:jc w:val="left"/>
        <w:textAlignment w:val="baseline"/>
        <w:rPr>
          <w:rFonts w:hint="default" w:ascii="Times New Roman" w:hAnsi="Times New Roman" w:eastAsia="Arial" w:cs="Times New Roman"/>
          <w:snapToGrid w:val="0"/>
          <w:color w:val="auto"/>
          <w:kern w:val="0"/>
          <w:sz w:val="21"/>
          <w:szCs w:val="21"/>
          <w:u w:val="none"/>
          <w:lang w:val="en-US" w:eastAsia="en-US" w:bidi="ar-SA"/>
        </w:rPr>
      </w:pPr>
    </w:p>
    <w:p w14:paraId="410E7922">
      <w:pPr>
        <w:kinsoku w:val="0"/>
        <w:autoSpaceDE w:val="0"/>
        <w:autoSpaceDN w:val="0"/>
        <w:adjustRightInd w:val="0"/>
        <w:snapToGrid w:val="0"/>
        <w:spacing w:line="260" w:lineRule="auto"/>
        <w:jc w:val="left"/>
        <w:textAlignment w:val="baseline"/>
        <w:rPr>
          <w:rFonts w:hint="default" w:ascii="Times New Roman" w:hAnsi="Times New Roman" w:eastAsia="Arial" w:cs="Times New Roman"/>
          <w:snapToGrid w:val="0"/>
          <w:color w:val="auto"/>
          <w:kern w:val="0"/>
          <w:sz w:val="21"/>
          <w:szCs w:val="21"/>
          <w:u w:val="none"/>
          <w:lang w:val="en-US" w:eastAsia="en-US" w:bidi="ar-SA"/>
        </w:rPr>
      </w:pPr>
    </w:p>
    <w:p w14:paraId="35365145">
      <w:pPr>
        <w:kinsoku w:val="0"/>
        <w:autoSpaceDE w:val="0"/>
        <w:autoSpaceDN w:val="0"/>
        <w:adjustRightInd w:val="0"/>
        <w:snapToGrid w:val="0"/>
        <w:spacing w:line="260" w:lineRule="auto"/>
        <w:jc w:val="left"/>
        <w:textAlignment w:val="baseline"/>
        <w:rPr>
          <w:rFonts w:hint="default" w:ascii="Times New Roman" w:hAnsi="Times New Roman" w:eastAsia="Arial" w:cs="Times New Roman"/>
          <w:snapToGrid w:val="0"/>
          <w:color w:val="auto"/>
          <w:kern w:val="0"/>
          <w:sz w:val="21"/>
          <w:szCs w:val="21"/>
          <w:u w:val="none"/>
          <w:lang w:val="en-US" w:eastAsia="en-US" w:bidi="ar-SA"/>
        </w:rPr>
      </w:pPr>
    </w:p>
    <w:p w14:paraId="4F4C37B8">
      <w:pPr>
        <w:kinsoku w:val="0"/>
        <w:autoSpaceDE w:val="0"/>
        <w:autoSpaceDN w:val="0"/>
        <w:adjustRightInd w:val="0"/>
        <w:snapToGrid w:val="0"/>
        <w:spacing w:line="260" w:lineRule="auto"/>
        <w:jc w:val="left"/>
        <w:textAlignment w:val="baseline"/>
        <w:rPr>
          <w:rFonts w:hint="default" w:ascii="Times New Roman" w:hAnsi="Times New Roman" w:eastAsia="Arial" w:cs="Times New Roman"/>
          <w:snapToGrid w:val="0"/>
          <w:color w:val="auto"/>
          <w:kern w:val="0"/>
          <w:sz w:val="21"/>
          <w:szCs w:val="21"/>
          <w:u w:val="none"/>
          <w:lang w:val="en-US" w:eastAsia="en-US" w:bidi="ar-SA"/>
        </w:rPr>
      </w:pPr>
    </w:p>
    <w:p w14:paraId="0F3B74ED">
      <w:pPr>
        <w:kinsoku w:val="0"/>
        <w:autoSpaceDE w:val="0"/>
        <w:autoSpaceDN w:val="0"/>
        <w:adjustRightInd w:val="0"/>
        <w:snapToGrid w:val="0"/>
        <w:spacing w:line="260" w:lineRule="auto"/>
        <w:jc w:val="left"/>
        <w:textAlignment w:val="baseline"/>
        <w:rPr>
          <w:rFonts w:hint="default" w:ascii="Times New Roman" w:hAnsi="Times New Roman" w:eastAsia="Arial" w:cs="Times New Roman"/>
          <w:snapToGrid w:val="0"/>
          <w:color w:val="auto"/>
          <w:kern w:val="0"/>
          <w:sz w:val="21"/>
          <w:szCs w:val="21"/>
          <w:u w:val="none"/>
          <w:lang w:val="en-US" w:eastAsia="en-US" w:bidi="ar-SA"/>
        </w:rPr>
      </w:pPr>
    </w:p>
    <w:p w14:paraId="5A3E513B">
      <w:pPr>
        <w:kinsoku w:val="0"/>
        <w:autoSpaceDE w:val="0"/>
        <w:autoSpaceDN w:val="0"/>
        <w:adjustRightInd w:val="0"/>
        <w:snapToGrid w:val="0"/>
        <w:spacing w:line="260" w:lineRule="auto"/>
        <w:jc w:val="left"/>
        <w:textAlignment w:val="baseline"/>
        <w:rPr>
          <w:rFonts w:hint="default" w:ascii="Times New Roman" w:hAnsi="Times New Roman" w:eastAsia="Arial" w:cs="Times New Roman"/>
          <w:snapToGrid w:val="0"/>
          <w:color w:val="auto"/>
          <w:kern w:val="0"/>
          <w:sz w:val="21"/>
          <w:szCs w:val="21"/>
          <w:u w:val="none"/>
          <w:lang w:val="en-US" w:eastAsia="en-US" w:bidi="ar-SA"/>
        </w:rPr>
      </w:pPr>
    </w:p>
    <w:p w14:paraId="54CE7FDA">
      <w:pPr>
        <w:kinsoku w:val="0"/>
        <w:autoSpaceDE w:val="0"/>
        <w:autoSpaceDN w:val="0"/>
        <w:adjustRightInd w:val="0"/>
        <w:snapToGrid w:val="0"/>
        <w:spacing w:line="260" w:lineRule="auto"/>
        <w:jc w:val="left"/>
        <w:textAlignment w:val="baseline"/>
        <w:rPr>
          <w:rFonts w:hint="default" w:ascii="Times New Roman" w:hAnsi="Times New Roman" w:eastAsia="Arial" w:cs="Times New Roman"/>
          <w:snapToGrid w:val="0"/>
          <w:color w:val="auto"/>
          <w:kern w:val="0"/>
          <w:sz w:val="21"/>
          <w:szCs w:val="21"/>
          <w:u w:val="none"/>
          <w:lang w:val="en-US" w:eastAsia="en-US" w:bidi="ar-SA"/>
        </w:rPr>
      </w:pPr>
    </w:p>
    <w:p w14:paraId="6215A5A0">
      <w:pPr>
        <w:kinsoku w:val="0"/>
        <w:autoSpaceDE w:val="0"/>
        <w:autoSpaceDN w:val="0"/>
        <w:adjustRightInd w:val="0"/>
        <w:snapToGrid w:val="0"/>
        <w:spacing w:line="260" w:lineRule="auto"/>
        <w:jc w:val="left"/>
        <w:textAlignment w:val="baseline"/>
        <w:rPr>
          <w:rFonts w:hint="default" w:ascii="Times New Roman" w:hAnsi="Times New Roman" w:eastAsia="Arial" w:cs="Times New Roman"/>
          <w:snapToGrid w:val="0"/>
          <w:color w:val="auto"/>
          <w:kern w:val="0"/>
          <w:sz w:val="21"/>
          <w:szCs w:val="21"/>
          <w:u w:val="none"/>
          <w:lang w:val="en-US" w:eastAsia="en-US" w:bidi="ar-SA"/>
        </w:rPr>
      </w:pPr>
    </w:p>
    <w:p w14:paraId="58FD26EC">
      <w:pPr>
        <w:kinsoku w:val="0"/>
        <w:autoSpaceDE w:val="0"/>
        <w:autoSpaceDN w:val="0"/>
        <w:adjustRightInd w:val="0"/>
        <w:snapToGrid w:val="0"/>
        <w:spacing w:line="260" w:lineRule="auto"/>
        <w:jc w:val="left"/>
        <w:textAlignment w:val="baseline"/>
        <w:rPr>
          <w:rFonts w:hint="default" w:ascii="Times New Roman" w:hAnsi="Times New Roman" w:eastAsia="Arial" w:cs="Times New Roman"/>
          <w:snapToGrid w:val="0"/>
          <w:color w:val="auto"/>
          <w:kern w:val="0"/>
          <w:sz w:val="21"/>
          <w:szCs w:val="21"/>
          <w:u w:val="none"/>
          <w:lang w:val="en-US" w:eastAsia="en-US" w:bidi="ar-SA"/>
        </w:rPr>
      </w:pPr>
    </w:p>
    <w:p w14:paraId="5CDDF68D">
      <w:pPr>
        <w:kinsoku w:val="0"/>
        <w:autoSpaceDE w:val="0"/>
        <w:autoSpaceDN w:val="0"/>
        <w:adjustRightInd w:val="0"/>
        <w:snapToGrid w:val="0"/>
        <w:spacing w:line="260" w:lineRule="auto"/>
        <w:jc w:val="left"/>
        <w:textAlignment w:val="baseline"/>
        <w:rPr>
          <w:rFonts w:hint="default" w:ascii="Times New Roman" w:hAnsi="Times New Roman" w:eastAsia="Arial" w:cs="Times New Roman"/>
          <w:snapToGrid w:val="0"/>
          <w:color w:val="auto"/>
          <w:kern w:val="0"/>
          <w:sz w:val="21"/>
          <w:szCs w:val="21"/>
          <w:u w:val="none"/>
          <w:lang w:val="en-US" w:eastAsia="en-US" w:bidi="ar-SA"/>
        </w:rPr>
      </w:pPr>
    </w:p>
    <w:p w14:paraId="08C0F94D">
      <w:pPr>
        <w:kinsoku w:val="0"/>
        <w:autoSpaceDE w:val="0"/>
        <w:autoSpaceDN w:val="0"/>
        <w:adjustRightInd w:val="0"/>
        <w:snapToGrid w:val="0"/>
        <w:spacing w:line="260" w:lineRule="auto"/>
        <w:jc w:val="left"/>
        <w:textAlignment w:val="baseline"/>
        <w:rPr>
          <w:rFonts w:hint="default" w:ascii="Times New Roman" w:hAnsi="Times New Roman" w:eastAsia="Arial" w:cs="Times New Roman"/>
          <w:snapToGrid w:val="0"/>
          <w:color w:val="auto"/>
          <w:kern w:val="0"/>
          <w:sz w:val="21"/>
          <w:szCs w:val="21"/>
          <w:u w:val="none"/>
          <w:lang w:val="en-US" w:eastAsia="en-US" w:bidi="ar-SA"/>
        </w:rPr>
      </w:pPr>
    </w:p>
    <w:p w14:paraId="0C593985">
      <w:pPr>
        <w:kinsoku w:val="0"/>
        <w:autoSpaceDE w:val="0"/>
        <w:autoSpaceDN w:val="0"/>
        <w:adjustRightInd w:val="0"/>
        <w:snapToGrid w:val="0"/>
        <w:spacing w:line="260" w:lineRule="auto"/>
        <w:jc w:val="left"/>
        <w:textAlignment w:val="baseline"/>
        <w:rPr>
          <w:rFonts w:hint="default" w:ascii="Times New Roman" w:hAnsi="Times New Roman" w:eastAsia="Arial" w:cs="Times New Roman"/>
          <w:snapToGrid w:val="0"/>
          <w:color w:val="auto"/>
          <w:kern w:val="0"/>
          <w:sz w:val="21"/>
          <w:szCs w:val="21"/>
          <w:u w:val="none"/>
          <w:lang w:val="en-US" w:eastAsia="en-US" w:bidi="ar-SA"/>
        </w:rPr>
      </w:pPr>
    </w:p>
    <w:p w14:paraId="5AF3C961">
      <w:pPr>
        <w:kinsoku w:val="0"/>
        <w:autoSpaceDE w:val="0"/>
        <w:autoSpaceDN w:val="0"/>
        <w:adjustRightInd w:val="0"/>
        <w:snapToGrid w:val="0"/>
        <w:spacing w:line="260" w:lineRule="auto"/>
        <w:jc w:val="left"/>
        <w:textAlignment w:val="baseline"/>
        <w:rPr>
          <w:rFonts w:hint="default" w:ascii="Times New Roman" w:hAnsi="Times New Roman" w:eastAsia="Arial" w:cs="Times New Roman"/>
          <w:snapToGrid w:val="0"/>
          <w:color w:val="auto"/>
          <w:kern w:val="0"/>
          <w:sz w:val="21"/>
          <w:szCs w:val="21"/>
          <w:u w:val="none"/>
          <w:lang w:val="en-US" w:eastAsia="en-US" w:bidi="ar-SA"/>
        </w:rPr>
      </w:pPr>
    </w:p>
    <w:p w14:paraId="132E4BFB">
      <w:pPr>
        <w:kinsoku w:val="0"/>
        <w:autoSpaceDE w:val="0"/>
        <w:autoSpaceDN w:val="0"/>
        <w:adjustRightInd w:val="0"/>
        <w:snapToGrid w:val="0"/>
        <w:spacing w:line="260" w:lineRule="auto"/>
        <w:jc w:val="left"/>
        <w:textAlignment w:val="baseline"/>
        <w:rPr>
          <w:rFonts w:hint="default" w:ascii="Times New Roman" w:hAnsi="Times New Roman" w:eastAsia="Arial" w:cs="Times New Roman"/>
          <w:snapToGrid w:val="0"/>
          <w:color w:val="auto"/>
          <w:kern w:val="0"/>
          <w:sz w:val="21"/>
          <w:szCs w:val="21"/>
          <w:u w:val="none"/>
          <w:lang w:val="en-US" w:eastAsia="en-US" w:bidi="ar-SA"/>
        </w:rPr>
      </w:pPr>
    </w:p>
    <w:p w14:paraId="4F62A97F">
      <w:pPr>
        <w:kinsoku w:val="0"/>
        <w:autoSpaceDE w:val="0"/>
        <w:autoSpaceDN w:val="0"/>
        <w:adjustRightInd w:val="0"/>
        <w:snapToGrid w:val="0"/>
        <w:spacing w:line="260" w:lineRule="auto"/>
        <w:jc w:val="left"/>
        <w:textAlignment w:val="baseline"/>
        <w:rPr>
          <w:rFonts w:hint="default" w:ascii="Times New Roman" w:hAnsi="Times New Roman" w:eastAsia="Arial" w:cs="Times New Roman"/>
          <w:snapToGrid w:val="0"/>
          <w:color w:val="auto"/>
          <w:kern w:val="0"/>
          <w:sz w:val="21"/>
          <w:szCs w:val="21"/>
          <w:u w:val="none"/>
          <w:lang w:val="en-US" w:eastAsia="en-US" w:bidi="ar-SA"/>
        </w:rPr>
      </w:pPr>
    </w:p>
    <w:p w14:paraId="40757DB4">
      <w:pPr>
        <w:kinsoku w:val="0"/>
        <w:autoSpaceDE w:val="0"/>
        <w:autoSpaceDN w:val="0"/>
        <w:adjustRightInd w:val="0"/>
        <w:snapToGrid w:val="0"/>
        <w:spacing w:line="260" w:lineRule="auto"/>
        <w:jc w:val="left"/>
        <w:textAlignment w:val="baseline"/>
        <w:rPr>
          <w:rFonts w:hint="default" w:ascii="Times New Roman" w:hAnsi="Times New Roman" w:eastAsia="Arial" w:cs="Times New Roman"/>
          <w:snapToGrid w:val="0"/>
          <w:color w:val="auto"/>
          <w:kern w:val="0"/>
          <w:sz w:val="21"/>
          <w:szCs w:val="21"/>
          <w:u w:val="none"/>
          <w:lang w:val="en-US" w:eastAsia="en-US" w:bidi="ar-SA"/>
        </w:rPr>
      </w:pPr>
    </w:p>
    <w:p w14:paraId="486B8BDE">
      <w:pPr>
        <w:kinsoku w:val="0"/>
        <w:autoSpaceDE w:val="0"/>
        <w:autoSpaceDN w:val="0"/>
        <w:adjustRightInd w:val="0"/>
        <w:snapToGrid w:val="0"/>
        <w:spacing w:line="260" w:lineRule="auto"/>
        <w:jc w:val="left"/>
        <w:textAlignment w:val="baseline"/>
        <w:rPr>
          <w:rFonts w:hint="default" w:ascii="Times New Roman" w:hAnsi="Times New Roman" w:eastAsia="Arial" w:cs="Times New Roman"/>
          <w:snapToGrid w:val="0"/>
          <w:color w:val="auto"/>
          <w:kern w:val="0"/>
          <w:sz w:val="21"/>
          <w:szCs w:val="21"/>
          <w:u w:val="none"/>
          <w:lang w:val="en-US" w:eastAsia="en-US" w:bidi="ar-SA"/>
        </w:rPr>
      </w:pPr>
    </w:p>
    <w:p w14:paraId="3F099ECC">
      <w:pPr>
        <w:kinsoku w:val="0"/>
        <w:autoSpaceDE w:val="0"/>
        <w:autoSpaceDN w:val="0"/>
        <w:adjustRightInd w:val="0"/>
        <w:snapToGrid w:val="0"/>
        <w:spacing w:line="260" w:lineRule="auto"/>
        <w:jc w:val="left"/>
        <w:textAlignment w:val="baseline"/>
        <w:rPr>
          <w:rFonts w:hint="default" w:ascii="Times New Roman" w:hAnsi="Times New Roman" w:eastAsia="Arial" w:cs="Times New Roman"/>
          <w:snapToGrid w:val="0"/>
          <w:color w:val="auto"/>
          <w:kern w:val="0"/>
          <w:sz w:val="21"/>
          <w:szCs w:val="21"/>
          <w:lang w:val="en-US" w:eastAsia="en-US" w:bidi="ar-SA"/>
        </w:rPr>
      </w:pPr>
    </w:p>
    <w:p w14:paraId="1591A61F">
      <w:pPr>
        <w:kinsoku w:val="0"/>
        <w:autoSpaceDE w:val="0"/>
        <w:autoSpaceDN w:val="0"/>
        <w:adjustRightInd w:val="0"/>
        <w:snapToGrid w:val="0"/>
        <w:spacing w:line="260" w:lineRule="auto"/>
        <w:jc w:val="left"/>
        <w:textAlignment w:val="baseline"/>
        <w:rPr>
          <w:rFonts w:hint="default" w:ascii="Times New Roman" w:hAnsi="Times New Roman" w:eastAsia="Arial" w:cs="Times New Roman"/>
          <w:snapToGrid w:val="0"/>
          <w:color w:val="auto"/>
          <w:kern w:val="0"/>
          <w:sz w:val="21"/>
          <w:szCs w:val="21"/>
          <w:lang w:val="en-US" w:eastAsia="en-US" w:bidi="ar-SA"/>
        </w:rPr>
      </w:pPr>
    </w:p>
    <w:p w14:paraId="264EDF82">
      <w:pPr>
        <w:kinsoku w:val="0"/>
        <w:autoSpaceDE w:val="0"/>
        <w:autoSpaceDN w:val="0"/>
        <w:adjustRightInd w:val="0"/>
        <w:snapToGrid w:val="0"/>
        <w:spacing w:line="260" w:lineRule="auto"/>
        <w:jc w:val="left"/>
        <w:textAlignment w:val="baseline"/>
        <w:rPr>
          <w:rFonts w:hint="default" w:ascii="Times New Roman" w:hAnsi="Times New Roman" w:eastAsia="Arial" w:cs="Times New Roman"/>
          <w:snapToGrid w:val="0"/>
          <w:color w:val="auto"/>
          <w:kern w:val="0"/>
          <w:sz w:val="21"/>
          <w:szCs w:val="21"/>
          <w:lang w:val="en-US" w:eastAsia="en-US" w:bidi="ar-SA"/>
        </w:rPr>
      </w:pPr>
    </w:p>
    <w:p w14:paraId="0324F7C6">
      <w:pPr>
        <w:kinsoku w:val="0"/>
        <w:autoSpaceDE w:val="0"/>
        <w:autoSpaceDN w:val="0"/>
        <w:adjustRightInd w:val="0"/>
        <w:snapToGrid w:val="0"/>
        <w:spacing w:line="260" w:lineRule="auto"/>
        <w:jc w:val="left"/>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p w14:paraId="1D52CBA2">
      <w:pPr>
        <w:kinsoku w:val="0"/>
        <w:autoSpaceDE w:val="0"/>
        <w:autoSpaceDN w:val="0"/>
        <w:adjustRightInd w:val="0"/>
        <w:snapToGrid w:val="0"/>
        <w:spacing w:line="260" w:lineRule="auto"/>
        <w:jc w:val="left"/>
        <w:textAlignment w:val="baseline"/>
        <w:rPr>
          <w:rFonts w:hint="eastAsia" w:ascii="Times New Roman" w:hAnsi="Times New Roman" w:eastAsia="宋体" w:cs="Times New Roman"/>
          <w:snapToGrid w:val="0"/>
          <w:color w:val="auto"/>
          <w:kern w:val="0"/>
          <w:sz w:val="21"/>
          <w:szCs w:val="21"/>
          <w:lang w:val="en-US" w:eastAsia="zh-CN" w:bidi="ar-SA"/>
        </w:rPr>
      </w:pPr>
    </w:p>
    <w:p w14:paraId="00693964">
      <w:pPr>
        <w:keepNext w:val="0"/>
        <w:keepLines w:val="0"/>
        <w:pageBreakBefore w:val="0"/>
        <w:widowControl/>
        <w:kinsoku w:val="0"/>
        <w:wordWrap/>
        <w:overflowPunct/>
        <w:topLinePunct w:val="0"/>
        <w:autoSpaceDE w:val="0"/>
        <w:autoSpaceDN w:val="0"/>
        <w:bidi w:val="0"/>
        <w:adjustRightInd w:val="0"/>
        <w:snapToGrid w:val="0"/>
        <w:spacing w:line="440" w:lineRule="exact"/>
        <w:jc w:val="center"/>
        <w:textAlignment w:val="baseline"/>
        <w:outlineLvl w:val="1"/>
        <w:rPr>
          <w:rFonts w:hint="eastAsia" w:ascii="方正小标宋简体" w:hAnsi="方正小标宋简体" w:eastAsia="方正小标宋简体" w:cs="方正小标宋简体"/>
          <w:snapToGrid w:val="0"/>
          <w:color w:val="auto"/>
          <w:kern w:val="0"/>
          <w:sz w:val="28"/>
          <w:szCs w:val="28"/>
          <w:lang w:eastAsia="en-US"/>
        </w:rPr>
      </w:pPr>
      <w:r>
        <w:rPr>
          <w:rFonts w:hint="eastAsia" w:ascii="方正小标宋简体" w:hAnsi="方正小标宋简体" w:eastAsia="方正小标宋简体" w:cs="方正小标宋简体"/>
          <w:snapToGrid w:val="0"/>
          <w:color w:val="auto"/>
          <w:spacing w:val="-1"/>
          <w:kern w:val="0"/>
          <w:sz w:val="28"/>
          <w:szCs w:val="28"/>
          <w:lang w:eastAsia="en-US"/>
        </w:rPr>
        <w:t>第一节</w:t>
      </w:r>
      <w:r>
        <w:rPr>
          <w:rFonts w:hint="eastAsia" w:ascii="方正小标宋简体" w:hAnsi="方正小标宋简体" w:eastAsia="方正小标宋简体" w:cs="方正小标宋简体"/>
          <w:snapToGrid w:val="0"/>
          <w:color w:val="auto"/>
          <w:spacing w:val="-1"/>
          <w:kern w:val="0"/>
          <w:sz w:val="28"/>
          <w:szCs w:val="28"/>
          <w:lang w:val="en-US" w:eastAsia="en-US"/>
        </w:rPr>
        <w:t xml:space="preserve"> </w:t>
      </w:r>
      <w:r>
        <w:rPr>
          <w:rFonts w:hint="eastAsia" w:ascii="方正小标宋简体" w:hAnsi="方正小标宋简体" w:eastAsia="方正小标宋简体" w:cs="方正小标宋简体"/>
          <w:snapToGrid w:val="0"/>
          <w:color w:val="auto"/>
          <w:spacing w:val="-1"/>
          <w:kern w:val="0"/>
          <w:sz w:val="28"/>
          <w:szCs w:val="28"/>
          <w:lang w:eastAsia="en-US"/>
        </w:rPr>
        <w:t>政府采购合同协议书</w:t>
      </w:r>
    </w:p>
    <w:p w14:paraId="7581C157">
      <w:pPr>
        <w:keepNext w:val="0"/>
        <w:keepLines w:val="0"/>
        <w:pageBreakBefore w:val="0"/>
        <w:widowControl/>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Arial" w:cs="Times New Roman"/>
          <w:snapToGrid w:val="0"/>
          <w:color w:val="auto"/>
          <w:kern w:val="0"/>
          <w:sz w:val="21"/>
          <w:szCs w:val="21"/>
          <w:lang w:val="en-US" w:eastAsia="en-US" w:bidi="ar-SA"/>
        </w:rPr>
      </w:pPr>
    </w:p>
    <w:p w14:paraId="2FD263C3">
      <w:pPr>
        <w:keepNext w:val="0"/>
        <w:keepLines w:val="0"/>
        <w:pageBreakBefore w:val="0"/>
        <w:widowControl/>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Arial" w:cs="Times New Roman"/>
          <w:snapToGrid w:val="0"/>
          <w:color w:val="auto"/>
          <w:kern w:val="0"/>
          <w:sz w:val="21"/>
          <w:szCs w:val="21"/>
          <w:lang w:val="en-US" w:eastAsia="en-US" w:bidi="ar-SA"/>
        </w:rPr>
      </w:pPr>
    </w:p>
    <w:p w14:paraId="18FD9A3F">
      <w:pPr>
        <w:keepNext w:val="0"/>
        <w:keepLines w:val="0"/>
        <w:pageBreakBefore w:val="0"/>
        <w:widowControl/>
        <w:kinsoku w:val="0"/>
        <w:wordWrap/>
        <w:overflowPunct/>
        <w:topLinePunct w:val="0"/>
        <w:autoSpaceDE w:val="0"/>
        <w:autoSpaceDN w:val="0"/>
        <w:bidi w:val="0"/>
        <w:adjustRightInd w:val="0"/>
        <w:snapToGrid w:val="0"/>
        <w:spacing w:line="440" w:lineRule="exact"/>
        <w:ind w:left="4658" w:leftChars="24" w:hanging="4608" w:hangingChars="1800"/>
        <w:jc w:val="both"/>
        <w:textAlignment w:val="baseline"/>
        <w:rPr>
          <w:rFonts w:hint="default" w:ascii="Times New Roman" w:hAnsi="Times New Roman" w:eastAsia="仿宋_GB2312" w:cs="Times New Roman"/>
          <w:snapToGrid w:val="0"/>
          <w:color w:val="auto"/>
          <w:spacing w:val="8"/>
          <w:kern w:val="0"/>
          <w:sz w:val="24"/>
          <w:szCs w:val="24"/>
          <w:lang w:eastAsia="en-US"/>
        </w:rPr>
      </w:pPr>
      <w:r>
        <w:rPr>
          <w:rFonts w:hint="default" w:ascii="Times New Roman" w:hAnsi="Times New Roman" w:eastAsia="仿宋_GB2312" w:cs="Times New Roman"/>
          <w:snapToGrid w:val="0"/>
          <w:color w:val="auto"/>
          <w:spacing w:val="8"/>
          <w:kern w:val="0"/>
          <w:sz w:val="24"/>
          <w:szCs w:val="24"/>
          <w:lang w:eastAsia="en-US"/>
        </w:rPr>
        <w:t>甲方</w:t>
      </w:r>
      <w:r>
        <w:rPr>
          <w:rFonts w:hint="default" w:ascii="Times New Roman" w:hAnsi="Times New Roman" w:eastAsia="仿宋_GB2312" w:cs="Times New Roman"/>
          <w:snapToGrid w:val="0"/>
          <w:color w:val="auto"/>
          <w:spacing w:val="8"/>
          <w:kern w:val="0"/>
          <w:sz w:val="24"/>
          <w:szCs w:val="24"/>
          <w:lang w:eastAsia="zh-CN"/>
        </w:rPr>
        <w:t>（</w:t>
      </w:r>
      <w:r>
        <w:rPr>
          <w:rFonts w:hint="default" w:ascii="Times New Roman" w:hAnsi="Times New Roman" w:eastAsia="仿宋_GB2312" w:cs="Times New Roman"/>
          <w:snapToGrid w:val="0"/>
          <w:color w:val="auto"/>
          <w:spacing w:val="8"/>
          <w:kern w:val="0"/>
          <w:sz w:val="24"/>
          <w:szCs w:val="24"/>
          <w:lang w:eastAsia="en-US"/>
        </w:rPr>
        <w:t>全称</w:t>
      </w:r>
      <w:r>
        <w:rPr>
          <w:rFonts w:hint="default" w:ascii="Times New Roman" w:hAnsi="Times New Roman" w:eastAsia="仿宋_GB2312" w:cs="Times New Roman"/>
          <w:snapToGrid w:val="0"/>
          <w:color w:val="auto"/>
          <w:spacing w:val="8"/>
          <w:kern w:val="0"/>
          <w:sz w:val="24"/>
          <w:szCs w:val="24"/>
          <w:lang w:eastAsia="zh-CN"/>
        </w:rPr>
        <w:t>）</w:t>
      </w:r>
      <w:r>
        <w:rPr>
          <w:rFonts w:hint="default" w:ascii="Times New Roman" w:hAnsi="Times New Roman" w:eastAsia="仿宋_GB2312" w:cs="Times New Roman"/>
          <w:snapToGrid w:val="0"/>
          <w:color w:val="auto"/>
          <w:spacing w:val="-19"/>
          <w:kern w:val="0"/>
          <w:sz w:val="24"/>
          <w:szCs w:val="24"/>
          <w:lang w:eastAsia="zh-CN"/>
        </w:rPr>
        <w:t>：</w:t>
      </w:r>
      <w:r>
        <w:rPr>
          <w:rFonts w:hint="default" w:ascii="Times New Roman" w:hAnsi="Times New Roman" w:eastAsia="仿宋_GB2312" w:cs="Times New Roman"/>
          <w:snapToGrid w:val="0"/>
          <w:color w:val="auto"/>
          <w:spacing w:val="1"/>
          <w:kern w:val="0"/>
          <w:sz w:val="24"/>
          <w:szCs w:val="24"/>
          <w:u w:val="single" w:color="auto"/>
          <w:lang w:val="en-US" w:eastAsia="zh-CN"/>
        </w:rPr>
        <w:t xml:space="preserve">                </w:t>
      </w:r>
      <w:r>
        <w:rPr>
          <w:rFonts w:hint="default" w:ascii="Times New Roman" w:hAnsi="Times New Roman" w:eastAsia="仿宋_GB2312" w:cs="Times New Roman"/>
          <w:snapToGrid w:val="0"/>
          <w:color w:val="auto"/>
          <w:spacing w:val="-19"/>
          <w:kern w:val="0"/>
          <w:sz w:val="24"/>
          <w:szCs w:val="24"/>
          <w:lang w:eastAsia="en-US"/>
        </w:rPr>
        <w:t>（</w:t>
      </w:r>
      <w:r>
        <w:rPr>
          <w:rFonts w:hint="default" w:ascii="Times New Roman" w:hAnsi="Times New Roman" w:eastAsia="仿宋_GB2312" w:cs="Times New Roman"/>
          <w:snapToGrid w:val="0"/>
          <w:color w:val="auto"/>
          <w:spacing w:val="8"/>
          <w:kern w:val="0"/>
          <w:sz w:val="24"/>
          <w:szCs w:val="24"/>
          <w:lang w:eastAsia="en-US"/>
        </w:rPr>
        <w:t>采购人、受采购人委托签订合同的单位或采购</w:t>
      </w:r>
    </w:p>
    <w:p w14:paraId="07618E17">
      <w:pPr>
        <w:keepNext w:val="0"/>
        <w:keepLines w:val="0"/>
        <w:pageBreakBefore w:val="0"/>
        <w:widowControl/>
        <w:kinsoku w:val="0"/>
        <w:wordWrap/>
        <w:overflowPunct/>
        <w:topLinePunct w:val="0"/>
        <w:autoSpaceDE w:val="0"/>
        <w:autoSpaceDN w:val="0"/>
        <w:bidi w:val="0"/>
        <w:adjustRightInd w:val="0"/>
        <w:snapToGrid w:val="0"/>
        <w:spacing w:line="440" w:lineRule="exact"/>
        <w:ind w:left="4622" w:leftChars="24" w:hanging="4572" w:hangingChars="1800"/>
        <w:jc w:val="both"/>
        <w:textAlignment w:val="baseline"/>
        <w:rPr>
          <w:rFonts w:hint="default" w:ascii="Times New Roman" w:hAnsi="Times New Roman" w:eastAsia="仿宋_GB2312" w:cs="Times New Roman"/>
          <w:snapToGrid w:val="0"/>
          <w:color w:val="auto"/>
          <w:kern w:val="0"/>
          <w:sz w:val="24"/>
          <w:szCs w:val="24"/>
          <w:lang w:eastAsia="zh-CN"/>
        </w:rPr>
      </w:pPr>
      <w:r>
        <w:rPr>
          <w:rFonts w:hint="default" w:ascii="Times New Roman" w:hAnsi="Times New Roman" w:eastAsia="仿宋_GB2312" w:cs="Times New Roman"/>
          <w:snapToGrid w:val="0"/>
          <w:color w:val="auto"/>
          <w:spacing w:val="7"/>
          <w:kern w:val="0"/>
          <w:sz w:val="24"/>
          <w:szCs w:val="24"/>
          <w:lang w:eastAsia="en-US"/>
        </w:rPr>
        <w:t>文件约定的合同甲方）</w:t>
      </w:r>
    </w:p>
    <w:p w14:paraId="603D320A">
      <w:pPr>
        <w:keepNext w:val="0"/>
        <w:keepLines w:val="0"/>
        <w:pageBreakBefore w:val="0"/>
        <w:widowControl/>
        <w:kinsoku w:val="0"/>
        <w:wordWrap/>
        <w:overflowPunct/>
        <w:topLinePunct w:val="0"/>
        <w:autoSpaceDE w:val="0"/>
        <w:autoSpaceDN w:val="0"/>
        <w:bidi w:val="0"/>
        <w:adjustRightInd w:val="0"/>
        <w:snapToGrid w:val="0"/>
        <w:spacing w:line="440" w:lineRule="exact"/>
        <w:ind w:left="51"/>
        <w:jc w:val="both"/>
        <w:textAlignment w:val="baseline"/>
        <w:rPr>
          <w:rFonts w:hint="default" w:ascii="Times New Roman" w:hAnsi="Times New Roman" w:eastAsia="仿宋_GB2312" w:cs="Times New Roman"/>
          <w:snapToGrid w:val="0"/>
          <w:color w:val="auto"/>
          <w:kern w:val="0"/>
          <w:sz w:val="24"/>
          <w:szCs w:val="24"/>
          <w:lang w:eastAsia="en-US"/>
        </w:rPr>
      </w:pPr>
      <w:r>
        <w:rPr>
          <w:rFonts w:hint="default" w:ascii="Times New Roman" w:hAnsi="Times New Roman" w:eastAsia="仿宋_GB2312" w:cs="Times New Roman"/>
          <w:snapToGrid w:val="0"/>
          <w:color w:val="auto"/>
          <w:spacing w:val="1"/>
          <w:kern w:val="0"/>
          <w:sz w:val="24"/>
          <w:szCs w:val="24"/>
          <w:lang w:eastAsia="en-US"/>
        </w:rPr>
        <w:t>乙方（全称</w:t>
      </w:r>
      <w:r>
        <w:rPr>
          <w:rFonts w:hint="default" w:ascii="Times New Roman" w:hAnsi="Times New Roman" w:eastAsia="仿宋_GB2312" w:cs="Times New Roman"/>
          <w:snapToGrid w:val="0"/>
          <w:color w:val="auto"/>
          <w:spacing w:val="-4"/>
          <w:kern w:val="0"/>
          <w:sz w:val="24"/>
          <w:szCs w:val="24"/>
          <w:lang w:eastAsia="en-US"/>
        </w:rPr>
        <w:t>）</w:t>
      </w:r>
      <w:r>
        <w:rPr>
          <w:rFonts w:hint="default" w:ascii="Times New Roman" w:hAnsi="Times New Roman" w:eastAsia="仿宋_GB2312" w:cs="Times New Roman"/>
          <w:snapToGrid w:val="0"/>
          <w:color w:val="auto"/>
          <w:spacing w:val="-4"/>
          <w:kern w:val="0"/>
          <w:sz w:val="24"/>
          <w:szCs w:val="24"/>
          <w:lang w:eastAsia="zh-CN"/>
        </w:rPr>
        <w:t>：</w:t>
      </w:r>
      <w:r>
        <w:rPr>
          <w:rFonts w:hint="default" w:ascii="Times New Roman" w:hAnsi="Times New Roman" w:eastAsia="仿宋_GB2312" w:cs="Times New Roman"/>
          <w:snapToGrid w:val="0"/>
          <w:color w:val="auto"/>
          <w:kern w:val="0"/>
          <w:sz w:val="24"/>
          <w:szCs w:val="24"/>
          <w:u w:val="single" w:color="auto"/>
          <w:lang w:val="en-US" w:eastAsia="zh-CN"/>
        </w:rPr>
        <w:t xml:space="preserve">                 </w:t>
      </w:r>
      <w:r>
        <w:rPr>
          <w:rFonts w:hint="default" w:ascii="Times New Roman" w:hAnsi="Times New Roman" w:eastAsia="仿宋_GB2312" w:cs="Times New Roman"/>
          <w:snapToGrid w:val="0"/>
          <w:color w:val="auto"/>
          <w:spacing w:val="-4"/>
          <w:kern w:val="0"/>
          <w:sz w:val="24"/>
          <w:szCs w:val="24"/>
          <w:lang w:eastAsia="en-US"/>
        </w:rPr>
        <w:t>（</w:t>
      </w:r>
      <w:r>
        <w:rPr>
          <w:rFonts w:hint="default" w:ascii="Times New Roman" w:hAnsi="Times New Roman" w:eastAsia="仿宋_GB2312" w:cs="Times New Roman"/>
          <w:snapToGrid w:val="0"/>
          <w:color w:val="auto"/>
          <w:spacing w:val="1"/>
          <w:kern w:val="0"/>
          <w:sz w:val="24"/>
          <w:szCs w:val="24"/>
          <w:lang w:eastAsia="en-US"/>
        </w:rPr>
        <w:t>供应商）</w:t>
      </w:r>
    </w:p>
    <w:p w14:paraId="6B8EE6FB">
      <w:pPr>
        <w:keepNext w:val="0"/>
        <w:keepLines w:val="0"/>
        <w:pageBreakBefore w:val="0"/>
        <w:widowControl/>
        <w:kinsoku w:val="0"/>
        <w:wordWrap/>
        <w:overflowPunct/>
        <w:topLinePunct w:val="0"/>
        <w:autoSpaceDE w:val="0"/>
        <w:autoSpaceDN w:val="0"/>
        <w:bidi w:val="0"/>
        <w:adjustRightInd w:val="0"/>
        <w:snapToGrid w:val="0"/>
        <w:spacing w:line="440" w:lineRule="exact"/>
        <w:ind w:left="0" w:leftChars="0" w:right="0"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依据《中华人民共和国民法典》、《中华人民共和国政府采购法》等有关的法律法规，以及本采购项目的招标/谈判文件等采购文件、乙方的《投标（响应）文件》及《中标（成交）通知书》，甲乙双方同意签订本合同。具体情况及要求如下：</w:t>
      </w:r>
    </w:p>
    <w:p w14:paraId="749B9D27">
      <w:pPr>
        <w:keepNext w:val="0"/>
        <w:keepLines w:val="0"/>
        <w:pageBreakBefore w:val="0"/>
        <w:widowControl/>
        <w:kinsoku w:val="0"/>
        <w:wordWrap/>
        <w:overflowPunct/>
        <w:topLinePunct w:val="0"/>
        <w:autoSpaceDE w:val="0"/>
        <w:autoSpaceDN w:val="0"/>
        <w:bidi w:val="0"/>
        <w:adjustRightInd w:val="0"/>
        <w:snapToGrid w:val="0"/>
        <w:spacing w:line="440" w:lineRule="exact"/>
        <w:ind w:left="0" w:leftChars="0" w:right="0" w:firstLine="482" w:firstLineChars="200"/>
        <w:jc w:val="both"/>
        <w:textAlignment w:val="baseline"/>
        <w:rPr>
          <w:rFonts w:hint="default" w:ascii="Times New Roman" w:hAnsi="Times New Roman" w:eastAsia="楷体_GB2312" w:cs="Times New Roman"/>
          <w:b/>
          <w:bCs/>
          <w:snapToGrid w:val="0"/>
          <w:color w:val="auto"/>
          <w:spacing w:val="7"/>
          <w:kern w:val="0"/>
          <w:sz w:val="24"/>
          <w:szCs w:val="24"/>
          <w:lang w:eastAsia="en-US"/>
        </w:rPr>
      </w:pPr>
      <w:r>
        <w:rPr>
          <w:rFonts w:hint="default" w:ascii="Times New Roman" w:hAnsi="Times New Roman" w:eastAsia="楷体_GB2312" w:cs="Times New Roman"/>
          <w:b/>
          <w:bCs/>
          <w:snapToGrid w:val="0"/>
          <w:color w:val="auto"/>
          <w:kern w:val="0"/>
          <w:sz w:val="24"/>
          <w:szCs w:val="24"/>
          <w:lang w:eastAsia="en-US"/>
        </w:rPr>
        <w:t>1</w:t>
      </w:r>
      <w:r>
        <w:rPr>
          <w:rFonts w:hint="default" w:ascii="Times New Roman" w:hAnsi="Times New Roman" w:eastAsia="楷体_GB2312" w:cs="Times New Roman"/>
          <w:b/>
          <w:bCs/>
          <w:snapToGrid w:val="0"/>
          <w:color w:val="auto"/>
          <w:spacing w:val="7"/>
          <w:kern w:val="0"/>
          <w:sz w:val="24"/>
          <w:szCs w:val="24"/>
          <w:lang w:eastAsia="en-US"/>
        </w:rPr>
        <w:t>.项目信息</w:t>
      </w:r>
    </w:p>
    <w:p w14:paraId="1512C4B4">
      <w:pPr>
        <w:keepNext w:val="0"/>
        <w:keepLines w:val="0"/>
        <w:pageBreakBefore w:val="0"/>
        <w:widowControl/>
        <w:kinsoku w:val="0"/>
        <w:wordWrap/>
        <w:overflowPunct/>
        <w:topLinePunct w:val="0"/>
        <w:autoSpaceDE w:val="0"/>
        <w:autoSpaceDN w:val="0"/>
        <w:bidi w:val="0"/>
        <w:adjustRightInd w:val="0"/>
        <w:snapToGrid w:val="0"/>
        <w:spacing w:line="440" w:lineRule="exact"/>
        <w:ind w:left="0" w:leftChars="0" w:right="0" w:firstLine="480" w:firstLineChars="200"/>
        <w:jc w:val="both"/>
        <w:textAlignment w:val="baseline"/>
        <w:rPr>
          <w:rFonts w:hint="default" w:ascii="Times New Roman" w:hAnsi="Times New Roman" w:eastAsia="仿宋_GB2312" w:cs="Times New Roman"/>
          <w:snapToGrid w:val="0"/>
          <w:color w:val="auto"/>
          <w:spacing w:val="0"/>
          <w:kern w:val="0"/>
          <w:sz w:val="24"/>
          <w:szCs w:val="24"/>
          <w:u w:val="single"/>
          <w:lang w:val="en-US" w:eastAsia="en-US"/>
        </w:rPr>
      </w:pPr>
      <w:r>
        <w:rPr>
          <w:rFonts w:hint="default" w:ascii="Times New Roman" w:hAnsi="Times New Roman" w:eastAsia="仿宋_GB2312" w:cs="Times New Roman"/>
          <w:snapToGrid w:val="0"/>
          <w:color w:val="auto"/>
          <w:spacing w:val="0"/>
          <w:kern w:val="0"/>
          <w:sz w:val="24"/>
          <w:szCs w:val="24"/>
          <w:lang w:val="en-US" w:eastAsia="zh-CN"/>
        </w:rPr>
        <w:t>（1）</w:t>
      </w:r>
      <w:r>
        <w:rPr>
          <w:rFonts w:hint="default" w:ascii="Times New Roman" w:hAnsi="Times New Roman" w:eastAsia="仿宋_GB2312" w:cs="Times New Roman"/>
          <w:snapToGrid w:val="0"/>
          <w:color w:val="auto"/>
          <w:spacing w:val="0"/>
          <w:kern w:val="0"/>
          <w:sz w:val="24"/>
          <w:szCs w:val="24"/>
          <w:lang w:eastAsia="en-US"/>
        </w:rPr>
        <w:t>采购项目名称：</w:t>
      </w:r>
      <w:r>
        <w:rPr>
          <w:rFonts w:hint="default" w:ascii="Times New Roman" w:hAnsi="Times New Roman" w:eastAsia="仿宋_GB2312" w:cs="Times New Roman"/>
          <w:snapToGrid w:val="0"/>
          <w:color w:val="auto"/>
          <w:spacing w:val="0"/>
          <w:kern w:val="0"/>
          <w:sz w:val="24"/>
          <w:szCs w:val="24"/>
          <w:u w:val="single"/>
          <w:lang w:val="en-US" w:eastAsia="en-US"/>
        </w:rPr>
        <w:t xml:space="preserve">                     </w:t>
      </w:r>
    </w:p>
    <w:p w14:paraId="1990B7B2">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960" w:firstLineChars="400"/>
        <w:jc w:val="both"/>
        <w:textAlignment w:val="baseline"/>
        <w:rPr>
          <w:rFonts w:hint="default" w:ascii="Times New Roman" w:hAnsi="Times New Roman" w:eastAsia="仿宋_GB2312" w:cs="Times New Roman"/>
          <w:snapToGrid w:val="0"/>
          <w:color w:val="auto"/>
          <w:spacing w:val="0"/>
          <w:kern w:val="0"/>
          <w:sz w:val="24"/>
          <w:szCs w:val="24"/>
          <w:u w:val="single"/>
          <w:lang w:val="en-US" w:eastAsia="en-US"/>
        </w:rPr>
      </w:pPr>
      <w:r>
        <w:rPr>
          <w:rFonts w:hint="default" w:ascii="Times New Roman" w:hAnsi="Times New Roman" w:eastAsia="仿宋_GB2312" w:cs="Times New Roman"/>
          <w:snapToGrid w:val="0"/>
          <w:color w:val="auto"/>
          <w:spacing w:val="0"/>
          <w:kern w:val="0"/>
          <w:sz w:val="24"/>
          <w:szCs w:val="24"/>
          <w:lang w:eastAsia="en-US"/>
        </w:rPr>
        <w:t>采购项目编号：</w:t>
      </w:r>
      <w:r>
        <w:rPr>
          <w:rFonts w:hint="default" w:ascii="Times New Roman" w:hAnsi="Times New Roman" w:eastAsia="仿宋_GB2312" w:cs="Times New Roman"/>
          <w:snapToGrid w:val="0"/>
          <w:color w:val="auto"/>
          <w:spacing w:val="0"/>
          <w:kern w:val="0"/>
          <w:sz w:val="24"/>
          <w:szCs w:val="24"/>
          <w:u w:val="single"/>
          <w:lang w:val="en-US" w:eastAsia="en-US"/>
        </w:rPr>
        <w:t xml:space="preserve">                     </w:t>
      </w:r>
    </w:p>
    <w:p w14:paraId="342A5DB8">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480" w:firstLineChars="200"/>
        <w:jc w:val="both"/>
        <w:textAlignment w:val="baseline"/>
        <w:rPr>
          <w:rFonts w:hint="default" w:ascii="Times New Roman" w:hAnsi="Times New Roman" w:eastAsia="仿宋_GB2312" w:cs="Times New Roman"/>
          <w:snapToGrid w:val="0"/>
          <w:color w:val="auto"/>
          <w:spacing w:val="0"/>
          <w:kern w:val="0"/>
          <w:sz w:val="24"/>
          <w:szCs w:val="24"/>
          <w:lang w:val="en-US" w:eastAsia="zh-CN"/>
        </w:rPr>
      </w:pPr>
      <w:r>
        <w:rPr>
          <w:rFonts w:hint="default" w:ascii="Times New Roman" w:hAnsi="Times New Roman" w:eastAsia="仿宋_GB2312" w:cs="Times New Roman"/>
          <w:snapToGrid w:val="0"/>
          <w:color w:val="auto"/>
          <w:spacing w:val="0"/>
          <w:kern w:val="0"/>
          <w:sz w:val="24"/>
          <w:szCs w:val="24"/>
          <w:lang w:eastAsia="zh-CN"/>
        </w:rPr>
        <w:t>（</w:t>
      </w:r>
      <w:r>
        <w:rPr>
          <w:rFonts w:hint="default" w:ascii="Times New Roman" w:hAnsi="Times New Roman" w:eastAsia="仿宋_GB2312" w:cs="Times New Roman"/>
          <w:snapToGrid w:val="0"/>
          <w:color w:val="auto"/>
          <w:spacing w:val="0"/>
          <w:kern w:val="0"/>
          <w:sz w:val="24"/>
          <w:szCs w:val="24"/>
          <w:lang w:val="en-US" w:eastAsia="zh-CN"/>
        </w:rPr>
        <w:t>2</w:t>
      </w:r>
      <w:r>
        <w:rPr>
          <w:rFonts w:hint="default" w:ascii="Times New Roman" w:hAnsi="Times New Roman" w:eastAsia="仿宋_GB2312" w:cs="Times New Roman"/>
          <w:snapToGrid w:val="0"/>
          <w:color w:val="auto"/>
          <w:spacing w:val="0"/>
          <w:kern w:val="0"/>
          <w:sz w:val="24"/>
          <w:szCs w:val="24"/>
          <w:lang w:eastAsia="zh-CN"/>
        </w:rPr>
        <w:t>）</w:t>
      </w:r>
      <w:r>
        <w:rPr>
          <w:rFonts w:hint="default" w:ascii="Times New Roman" w:hAnsi="Times New Roman" w:eastAsia="仿宋_GB2312" w:cs="Times New Roman"/>
          <w:snapToGrid w:val="0"/>
          <w:color w:val="auto"/>
          <w:spacing w:val="0"/>
          <w:kern w:val="0"/>
          <w:sz w:val="24"/>
          <w:szCs w:val="24"/>
          <w:highlight w:val="none"/>
          <w:lang w:eastAsia="en-US"/>
        </w:rPr>
        <w:t>采购计划编号：</w:t>
      </w:r>
      <w:r>
        <w:rPr>
          <w:rFonts w:hint="default" w:ascii="Times New Roman" w:hAnsi="Times New Roman" w:eastAsia="仿宋_GB2312" w:cs="Times New Roman"/>
          <w:snapToGrid w:val="0"/>
          <w:color w:val="auto"/>
          <w:spacing w:val="0"/>
          <w:kern w:val="0"/>
          <w:sz w:val="24"/>
          <w:szCs w:val="24"/>
          <w:highlight w:val="none"/>
          <w:u w:val="single"/>
          <w:lang w:val="en-US" w:eastAsia="en-US"/>
        </w:rPr>
        <w:t xml:space="preserve">                     </w:t>
      </w:r>
      <w:r>
        <w:rPr>
          <w:rFonts w:hint="default" w:ascii="Times New Roman" w:hAnsi="Times New Roman" w:eastAsia="仿宋_GB2312" w:cs="Times New Roman"/>
          <w:snapToGrid w:val="0"/>
          <w:color w:val="auto"/>
          <w:spacing w:val="0"/>
          <w:kern w:val="0"/>
          <w:sz w:val="24"/>
          <w:szCs w:val="24"/>
          <w:highlight w:val="none"/>
          <w:lang w:val="en-US" w:eastAsia="zh-CN"/>
        </w:rPr>
        <w:t xml:space="preserve"> </w:t>
      </w:r>
    </w:p>
    <w:p w14:paraId="6C3B1520">
      <w:pPr>
        <w:keepNext w:val="0"/>
        <w:keepLines w:val="0"/>
        <w:pageBreakBefore w:val="0"/>
        <w:widowControl/>
        <w:kinsoku w:val="0"/>
        <w:wordWrap/>
        <w:overflowPunct/>
        <w:topLinePunct w:val="0"/>
        <w:autoSpaceDE w:val="0"/>
        <w:autoSpaceDN w:val="0"/>
        <w:bidi w:val="0"/>
        <w:adjustRightInd w:val="0"/>
        <w:snapToGrid w:val="0"/>
        <w:spacing w:line="440" w:lineRule="exact"/>
        <w:ind w:left="0" w:leftChars="0" w:right="0" w:firstLine="480" w:firstLineChars="200"/>
        <w:jc w:val="both"/>
        <w:textAlignment w:val="baseline"/>
        <w:rPr>
          <w:rFonts w:hint="default" w:ascii="Times New Roman" w:hAnsi="Times New Roman" w:eastAsia="仿宋_GB2312" w:cs="Times New Roman"/>
          <w:snapToGrid w:val="0"/>
          <w:color w:val="auto"/>
          <w:spacing w:val="0"/>
          <w:kern w:val="0"/>
          <w:sz w:val="24"/>
          <w:szCs w:val="24"/>
          <w:lang w:val="en-US" w:eastAsia="zh-CN"/>
        </w:rPr>
      </w:pPr>
      <w:r>
        <w:rPr>
          <w:rFonts w:hint="default" w:ascii="Times New Roman" w:hAnsi="Times New Roman" w:eastAsia="仿宋_GB2312" w:cs="Times New Roman"/>
          <w:snapToGrid w:val="0"/>
          <w:color w:val="auto"/>
          <w:spacing w:val="0"/>
          <w:kern w:val="0"/>
          <w:position w:val="0"/>
          <w:sz w:val="24"/>
          <w:szCs w:val="24"/>
          <w:lang w:eastAsia="zh-CN"/>
        </w:rPr>
        <w:t>（</w:t>
      </w:r>
      <w:r>
        <w:rPr>
          <w:rFonts w:hint="default" w:ascii="Times New Roman" w:hAnsi="Times New Roman" w:eastAsia="仿宋_GB2312" w:cs="Times New Roman"/>
          <w:snapToGrid w:val="0"/>
          <w:color w:val="auto"/>
          <w:spacing w:val="0"/>
          <w:kern w:val="0"/>
          <w:position w:val="0"/>
          <w:sz w:val="24"/>
          <w:szCs w:val="24"/>
          <w:lang w:val="en-US" w:eastAsia="zh-CN"/>
        </w:rPr>
        <w:t>3</w:t>
      </w:r>
      <w:r>
        <w:rPr>
          <w:rFonts w:hint="default" w:ascii="Times New Roman" w:hAnsi="Times New Roman" w:eastAsia="仿宋_GB2312" w:cs="Times New Roman"/>
          <w:snapToGrid w:val="0"/>
          <w:color w:val="auto"/>
          <w:spacing w:val="0"/>
          <w:kern w:val="0"/>
          <w:position w:val="0"/>
          <w:sz w:val="24"/>
          <w:szCs w:val="24"/>
          <w:lang w:eastAsia="zh-CN"/>
        </w:rPr>
        <w:t>）</w:t>
      </w:r>
      <w:r>
        <w:rPr>
          <w:rFonts w:hint="default" w:ascii="Times New Roman" w:hAnsi="Times New Roman" w:eastAsia="仿宋_GB2312" w:cs="Times New Roman"/>
          <w:snapToGrid w:val="0"/>
          <w:color w:val="auto"/>
          <w:spacing w:val="0"/>
          <w:kern w:val="0"/>
          <w:position w:val="0"/>
          <w:sz w:val="24"/>
          <w:szCs w:val="24"/>
          <w:lang w:eastAsia="en-US"/>
        </w:rPr>
        <w:t>项目内容</w:t>
      </w:r>
      <w:r>
        <w:rPr>
          <w:rFonts w:hint="default" w:ascii="Times New Roman" w:hAnsi="Times New Roman" w:eastAsia="仿宋_GB2312" w:cs="Times New Roman"/>
          <w:snapToGrid w:val="0"/>
          <w:color w:val="auto"/>
          <w:spacing w:val="0"/>
          <w:kern w:val="0"/>
          <w:position w:val="0"/>
          <w:sz w:val="24"/>
          <w:szCs w:val="24"/>
          <w:lang w:val="en-US" w:eastAsia="zh-CN"/>
        </w:rPr>
        <w:t>如下：</w:t>
      </w:r>
    </w:p>
    <w:tbl>
      <w:tblPr>
        <w:tblStyle w:val="15"/>
        <w:tblpPr w:leftFromText="180" w:rightFromText="180" w:vertAnchor="text" w:horzAnchor="page" w:tblpX="1793" w:tblpY="133"/>
        <w:tblOverlap w:val="never"/>
        <w:tblW w:w="8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273"/>
        <w:gridCol w:w="1158"/>
        <w:gridCol w:w="1591"/>
        <w:gridCol w:w="776"/>
        <w:gridCol w:w="1211"/>
        <w:gridCol w:w="1342"/>
        <w:gridCol w:w="905"/>
      </w:tblGrid>
      <w:tr w14:paraId="6CE8A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706" w:type="dxa"/>
            <w:noWrap w:val="0"/>
            <w:vAlign w:val="center"/>
          </w:tcPr>
          <w:p w14:paraId="16262AB4">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黑体" w:cs="Times New Roman"/>
                <w:snapToGrid w:val="0"/>
                <w:color w:val="auto"/>
                <w:kern w:val="0"/>
                <w:sz w:val="21"/>
                <w:szCs w:val="21"/>
                <w:highlight w:val="none"/>
                <w:lang w:eastAsia="en-US"/>
              </w:rPr>
            </w:pPr>
            <w:r>
              <w:rPr>
                <w:rFonts w:hint="default" w:ascii="Times New Roman" w:hAnsi="Times New Roman" w:eastAsia="黑体" w:cs="Times New Roman"/>
                <w:snapToGrid w:val="0"/>
                <w:color w:val="auto"/>
                <w:kern w:val="0"/>
                <w:sz w:val="21"/>
                <w:szCs w:val="21"/>
                <w:highlight w:val="none"/>
                <w:lang w:eastAsia="en-US"/>
              </w:rPr>
              <w:t>序号</w:t>
            </w:r>
          </w:p>
        </w:tc>
        <w:tc>
          <w:tcPr>
            <w:tcW w:w="1273" w:type="dxa"/>
            <w:noWrap w:val="0"/>
            <w:vAlign w:val="center"/>
          </w:tcPr>
          <w:p w14:paraId="050A4AA7">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黑体" w:cs="Times New Roman"/>
                <w:snapToGrid w:val="0"/>
                <w:color w:val="auto"/>
                <w:kern w:val="0"/>
                <w:sz w:val="21"/>
                <w:szCs w:val="21"/>
                <w:highlight w:val="none"/>
                <w:lang w:eastAsia="en-US"/>
              </w:rPr>
            </w:pPr>
            <w:r>
              <w:rPr>
                <w:rFonts w:hint="default" w:ascii="Times New Roman" w:hAnsi="Times New Roman" w:eastAsia="黑体" w:cs="Times New Roman"/>
                <w:snapToGrid w:val="0"/>
                <w:color w:val="auto"/>
                <w:kern w:val="0"/>
                <w:sz w:val="21"/>
                <w:szCs w:val="21"/>
                <w:highlight w:val="none"/>
                <w:lang w:eastAsia="zh-CN"/>
              </w:rPr>
              <w:t>货物</w:t>
            </w:r>
            <w:r>
              <w:rPr>
                <w:rFonts w:hint="default" w:ascii="Times New Roman" w:hAnsi="Times New Roman" w:eastAsia="黑体" w:cs="Times New Roman"/>
                <w:snapToGrid w:val="0"/>
                <w:color w:val="auto"/>
                <w:kern w:val="0"/>
                <w:sz w:val="21"/>
                <w:szCs w:val="21"/>
                <w:highlight w:val="none"/>
                <w:lang w:eastAsia="en-US"/>
              </w:rPr>
              <w:t>名称</w:t>
            </w:r>
          </w:p>
        </w:tc>
        <w:tc>
          <w:tcPr>
            <w:tcW w:w="1158" w:type="dxa"/>
            <w:noWrap w:val="0"/>
            <w:vAlign w:val="center"/>
          </w:tcPr>
          <w:p w14:paraId="6282CEF5">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黑体" w:cs="Times New Roman"/>
                <w:snapToGrid w:val="0"/>
                <w:color w:val="auto"/>
                <w:kern w:val="0"/>
                <w:sz w:val="21"/>
                <w:szCs w:val="21"/>
                <w:highlight w:val="none"/>
                <w:lang w:eastAsia="en-US"/>
              </w:rPr>
            </w:pPr>
            <w:r>
              <w:rPr>
                <w:rFonts w:hint="default" w:ascii="Times New Roman" w:hAnsi="Times New Roman" w:eastAsia="黑体" w:cs="Times New Roman"/>
                <w:snapToGrid w:val="0"/>
                <w:color w:val="auto"/>
                <w:kern w:val="0"/>
                <w:sz w:val="21"/>
                <w:szCs w:val="21"/>
                <w:highlight w:val="none"/>
                <w:lang w:eastAsia="en-US"/>
              </w:rPr>
              <w:t>品牌</w:t>
            </w:r>
          </w:p>
        </w:tc>
        <w:tc>
          <w:tcPr>
            <w:tcW w:w="1591" w:type="dxa"/>
            <w:noWrap w:val="0"/>
            <w:vAlign w:val="center"/>
          </w:tcPr>
          <w:p w14:paraId="66226660">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黑体" w:cs="Times New Roman"/>
                <w:snapToGrid w:val="0"/>
                <w:color w:val="auto"/>
                <w:kern w:val="0"/>
                <w:sz w:val="21"/>
                <w:szCs w:val="21"/>
                <w:highlight w:val="none"/>
                <w:lang w:eastAsia="en-US"/>
              </w:rPr>
            </w:pPr>
            <w:r>
              <w:rPr>
                <w:rFonts w:hint="default" w:ascii="Times New Roman" w:hAnsi="Times New Roman" w:eastAsia="黑体" w:cs="Times New Roman"/>
                <w:snapToGrid w:val="0"/>
                <w:color w:val="auto"/>
                <w:kern w:val="0"/>
                <w:sz w:val="21"/>
                <w:szCs w:val="21"/>
                <w:highlight w:val="none"/>
                <w:lang w:eastAsia="en-US"/>
              </w:rPr>
              <w:t>规格型号</w:t>
            </w:r>
          </w:p>
          <w:p w14:paraId="51BE32F1">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黑体" w:cs="Times New Roman"/>
                <w:snapToGrid w:val="0"/>
                <w:color w:val="auto"/>
                <w:kern w:val="0"/>
                <w:sz w:val="21"/>
                <w:szCs w:val="21"/>
                <w:highlight w:val="none"/>
                <w:lang w:eastAsia="zh-CN"/>
              </w:rPr>
            </w:pPr>
            <w:r>
              <w:rPr>
                <w:rFonts w:hint="default" w:ascii="Times New Roman" w:hAnsi="Times New Roman" w:eastAsia="黑体" w:cs="Times New Roman"/>
                <w:snapToGrid w:val="0"/>
                <w:color w:val="auto"/>
                <w:kern w:val="0"/>
                <w:sz w:val="21"/>
                <w:szCs w:val="21"/>
                <w:highlight w:val="none"/>
                <w:lang w:eastAsia="zh-CN"/>
              </w:rPr>
              <w:t>（技术参数）</w:t>
            </w:r>
          </w:p>
        </w:tc>
        <w:tc>
          <w:tcPr>
            <w:tcW w:w="776" w:type="dxa"/>
            <w:noWrap w:val="0"/>
            <w:vAlign w:val="center"/>
          </w:tcPr>
          <w:p w14:paraId="57EF00E4">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黑体" w:cs="Times New Roman"/>
                <w:snapToGrid w:val="0"/>
                <w:color w:val="auto"/>
                <w:kern w:val="0"/>
                <w:sz w:val="21"/>
                <w:szCs w:val="21"/>
                <w:highlight w:val="none"/>
                <w:lang w:eastAsia="en-US"/>
              </w:rPr>
            </w:pPr>
            <w:r>
              <w:rPr>
                <w:rFonts w:hint="default" w:ascii="Times New Roman" w:hAnsi="Times New Roman" w:eastAsia="黑体" w:cs="Times New Roman"/>
                <w:snapToGrid w:val="0"/>
                <w:color w:val="auto"/>
                <w:kern w:val="0"/>
                <w:sz w:val="21"/>
                <w:szCs w:val="21"/>
                <w:highlight w:val="none"/>
                <w:lang w:eastAsia="en-US"/>
              </w:rPr>
              <w:t>数量</w:t>
            </w:r>
          </w:p>
        </w:tc>
        <w:tc>
          <w:tcPr>
            <w:tcW w:w="1211" w:type="dxa"/>
            <w:noWrap w:val="0"/>
            <w:vAlign w:val="center"/>
          </w:tcPr>
          <w:p w14:paraId="591F3E07">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黑体" w:cs="Times New Roman"/>
                <w:snapToGrid w:val="0"/>
                <w:color w:val="auto"/>
                <w:kern w:val="0"/>
                <w:sz w:val="21"/>
                <w:szCs w:val="21"/>
                <w:highlight w:val="none"/>
                <w:lang w:eastAsia="en-US"/>
              </w:rPr>
            </w:pPr>
            <w:r>
              <w:rPr>
                <w:rFonts w:hint="default" w:ascii="Times New Roman" w:hAnsi="Times New Roman" w:eastAsia="黑体" w:cs="Times New Roman"/>
                <w:snapToGrid w:val="0"/>
                <w:color w:val="auto"/>
                <w:kern w:val="0"/>
                <w:sz w:val="21"/>
                <w:szCs w:val="21"/>
                <w:highlight w:val="none"/>
                <w:lang w:eastAsia="en-US"/>
              </w:rPr>
              <w:t>单价（元）</w:t>
            </w:r>
          </w:p>
        </w:tc>
        <w:tc>
          <w:tcPr>
            <w:tcW w:w="1342" w:type="dxa"/>
            <w:noWrap w:val="0"/>
            <w:vAlign w:val="center"/>
          </w:tcPr>
          <w:p w14:paraId="6FF13018">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黑体" w:cs="Times New Roman"/>
                <w:snapToGrid w:val="0"/>
                <w:color w:val="auto"/>
                <w:kern w:val="0"/>
                <w:sz w:val="21"/>
                <w:szCs w:val="21"/>
                <w:highlight w:val="none"/>
                <w:lang w:eastAsia="en-US"/>
              </w:rPr>
            </w:pPr>
            <w:r>
              <w:rPr>
                <w:rFonts w:hint="default" w:ascii="Times New Roman" w:hAnsi="Times New Roman" w:eastAsia="黑体" w:cs="Times New Roman"/>
                <w:snapToGrid w:val="0"/>
                <w:color w:val="auto"/>
                <w:kern w:val="0"/>
                <w:sz w:val="21"/>
                <w:szCs w:val="21"/>
                <w:highlight w:val="none"/>
                <w:lang w:eastAsia="en-US"/>
              </w:rPr>
              <w:t>合计（元）</w:t>
            </w:r>
          </w:p>
        </w:tc>
        <w:tc>
          <w:tcPr>
            <w:tcW w:w="905" w:type="dxa"/>
            <w:noWrap w:val="0"/>
            <w:vAlign w:val="center"/>
          </w:tcPr>
          <w:p w14:paraId="089F749B">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黑体" w:cs="Times New Roman"/>
                <w:snapToGrid w:val="0"/>
                <w:color w:val="auto"/>
                <w:kern w:val="0"/>
                <w:sz w:val="21"/>
                <w:szCs w:val="21"/>
                <w:highlight w:val="none"/>
                <w:lang w:eastAsia="en-US"/>
              </w:rPr>
            </w:pPr>
            <w:r>
              <w:rPr>
                <w:rFonts w:hint="default" w:ascii="Times New Roman" w:hAnsi="Times New Roman" w:eastAsia="黑体" w:cs="Times New Roman"/>
                <w:snapToGrid w:val="0"/>
                <w:color w:val="auto"/>
                <w:kern w:val="0"/>
                <w:sz w:val="21"/>
                <w:szCs w:val="21"/>
                <w:highlight w:val="none"/>
                <w:lang w:eastAsia="en-US"/>
              </w:rPr>
              <w:t>备注</w:t>
            </w:r>
          </w:p>
        </w:tc>
      </w:tr>
      <w:tr w14:paraId="45129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06" w:type="dxa"/>
            <w:noWrap w:val="0"/>
            <w:vAlign w:val="center"/>
          </w:tcPr>
          <w:p w14:paraId="2C0B7B1D">
            <w:pPr>
              <w:widowControl/>
              <w:kinsoku w:val="0"/>
              <w:autoSpaceDE w:val="0"/>
              <w:autoSpaceDN w:val="0"/>
              <w:adjustRightInd w:val="0"/>
              <w:snapToGrid w:val="0"/>
              <w:spacing w:line="400" w:lineRule="exact"/>
              <w:jc w:val="center"/>
              <w:textAlignment w:val="baseline"/>
              <w:rPr>
                <w:rFonts w:hint="default" w:ascii="Times New Roman" w:hAnsi="Times New Roman" w:eastAsia="仿宋_GB2312" w:cs="Times New Roman"/>
                <w:snapToGrid w:val="0"/>
                <w:color w:val="auto"/>
                <w:kern w:val="0"/>
                <w:sz w:val="21"/>
                <w:szCs w:val="21"/>
                <w:highlight w:val="none"/>
                <w:lang w:val="en-US" w:eastAsia="zh-CN"/>
              </w:rPr>
            </w:pPr>
            <w:r>
              <w:rPr>
                <w:rFonts w:hint="default" w:ascii="Times New Roman" w:hAnsi="Times New Roman" w:eastAsia="仿宋_GB2312" w:cs="Times New Roman"/>
                <w:snapToGrid w:val="0"/>
                <w:color w:val="auto"/>
                <w:kern w:val="0"/>
                <w:sz w:val="21"/>
                <w:szCs w:val="21"/>
                <w:highlight w:val="none"/>
                <w:lang w:val="en-US" w:eastAsia="zh-CN"/>
              </w:rPr>
              <w:t>1</w:t>
            </w:r>
          </w:p>
        </w:tc>
        <w:tc>
          <w:tcPr>
            <w:tcW w:w="1273" w:type="dxa"/>
            <w:noWrap w:val="0"/>
            <w:vAlign w:val="center"/>
          </w:tcPr>
          <w:p w14:paraId="52C889E1">
            <w:pPr>
              <w:widowControl/>
              <w:kinsoku w:val="0"/>
              <w:autoSpaceDE w:val="0"/>
              <w:autoSpaceDN w:val="0"/>
              <w:adjustRightInd w:val="0"/>
              <w:snapToGrid w:val="0"/>
              <w:spacing w:line="400" w:lineRule="exact"/>
              <w:jc w:val="center"/>
              <w:textAlignment w:val="baseline"/>
              <w:rPr>
                <w:rFonts w:hint="default" w:ascii="Times New Roman" w:hAnsi="Times New Roman" w:eastAsia="仿宋_GB2312" w:cs="Times New Roman"/>
                <w:snapToGrid w:val="0"/>
                <w:color w:val="auto"/>
                <w:kern w:val="0"/>
                <w:sz w:val="21"/>
                <w:szCs w:val="21"/>
                <w:highlight w:val="none"/>
                <w:lang w:eastAsia="en-US"/>
              </w:rPr>
            </w:pPr>
          </w:p>
        </w:tc>
        <w:tc>
          <w:tcPr>
            <w:tcW w:w="1158" w:type="dxa"/>
            <w:noWrap w:val="0"/>
            <w:vAlign w:val="center"/>
          </w:tcPr>
          <w:p w14:paraId="020CDB0F">
            <w:pPr>
              <w:widowControl/>
              <w:kinsoku w:val="0"/>
              <w:autoSpaceDE w:val="0"/>
              <w:autoSpaceDN w:val="0"/>
              <w:adjustRightInd w:val="0"/>
              <w:snapToGrid w:val="0"/>
              <w:spacing w:line="400" w:lineRule="exact"/>
              <w:jc w:val="center"/>
              <w:textAlignment w:val="baseline"/>
              <w:rPr>
                <w:rFonts w:hint="default" w:ascii="Times New Roman" w:hAnsi="Times New Roman" w:eastAsia="仿宋_GB2312" w:cs="Times New Roman"/>
                <w:snapToGrid w:val="0"/>
                <w:color w:val="auto"/>
                <w:kern w:val="0"/>
                <w:sz w:val="21"/>
                <w:szCs w:val="21"/>
                <w:highlight w:val="none"/>
                <w:lang w:val="en-US" w:eastAsia="zh-CN"/>
              </w:rPr>
            </w:pPr>
          </w:p>
        </w:tc>
        <w:tc>
          <w:tcPr>
            <w:tcW w:w="1591" w:type="dxa"/>
            <w:noWrap w:val="0"/>
            <w:vAlign w:val="center"/>
          </w:tcPr>
          <w:p w14:paraId="11D1D1AB">
            <w:pPr>
              <w:widowControl/>
              <w:kinsoku w:val="0"/>
              <w:autoSpaceDE w:val="0"/>
              <w:autoSpaceDN w:val="0"/>
              <w:adjustRightInd w:val="0"/>
              <w:snapToGrid w:val="0"/>
              <w:spacing w:line="400" w:lineRule="exact"/>
              <w:jc w:val="center"/>
              <w:textAlignment w:val="baseline"/>
              <w:rPr>
                <w:rFonts w:hint="default" w:ascii="Times New Roman" w:hAnsi="Times New Roman" w:eastAsia="仿宋_GB2312" w:cs="Times New Roman"/>
                <w:snapToGrid w:val="0"/>
                <w:color w:val="auto"/>
                <w:kern w:val="0"/>
                <w:sz w:val="21"/>
                <w:szCs w:val="21"/>
                <w:highlight w:val="none"/>
                <w:lang w:eastAsia="en-US"/>
              </w:rPr>
            </w:pPr>
          </w:p>
        </w:tc>
        <w:tc>
          <w:tcPr>
            <w:tcW w:w="776" w:type="dxa"/>
            <w:noWrap w:val="0"/>
            <w:vAlign w:val="center"/>
          </w:tcPr>
          <w:p w14:paraId="784828D3">
            <w:pPr>
              <w:keepNext w:val="0"/>
              <w:keepLines w:val="0"/>
              <w:widowControl/>
              <w:suppressLineNumbers w:val="0"/>
              <w:kinsoku w:val="0"/>
              <w:autoSpaceDE w:val="0"/>
              <w:autoSpaceDN w:val="0"/>
              <w:adjustRightInd w:val="0"/>
              <w:snapToGrid w:val="0"/>
              <w:spacing w:line="240" w:lineRule="auto"/>
              <w:jc w:val="center"/>
              <w:textAlignment w:val="center"/>
              <w:rPr>
                <w:rFonts w:hint="default" w:ascii="Times New Roman" w:hAnsi="Times New Roman" w:eastAsia="仿宋_GB2312" w:cs="Times New Roman"/>
                <w:snapToGrid w:val="0"/>
                <w:color w:val="auto"/>
                <w:kern w:val="0"/>
                <w:sz w:val="21"/>
                <w:szCs w:val="21"/>
                <w:highlight w:val="none"/>
                <w:lang w:val="en-US" w:eastAsia="zh-CN"/>
              </w:rPr>
            </w:pPr>
          </w:p>
        </w:tc>
        <w:tc>
          <w:tcPr>
            <w:tcW w:w="1211" w:type="dxa"/>
            <w:noWrap w:val="0"/>
            <w:vAlign w:val="center"/>
          </w:tcPr>
          <w:p w14:paraId="7DD6BC73">
            <w:pPr>
              <w:keepNext w:val="0"/>
              <w:keepLines w:val="0"/>
              <w:widowControl/>
              <w:suppressLineNumbers w:val="0"/>
              <w:kinsoku w:val="0"/>
              <w:autoSpaceDE w:val="0"/>
              <w:autoSpaceDN w:val="0"/>
              <w:adjustRightInd w:val="0"/>
              <w:snapToGrid w:val="0"/>
              <w:spacing w:line="240" w:lineRule="auto"/>
              <w:jc w:val="center"/>
              <w:textAlignment w:val="center"/>
              <w:rPr>
                <w:rFonts w:hint="default" w:ascii="Times New Roman" w:hAnsi="Times New Roman" w:eastAsia="仿宋_GB2312" w:cs="Times New Roman"/>
                <w:snapToGrid w:val="0"/>
                <w:color w:val="auto"/>
                <w:kern w:val="0"/>
                <w:sz w:val="21"/>
                <w:szCs w:val="21"/>
                <w:highlight w:val="none"/>
                <w:lang w:eastAsia="en-US"/>
              </w:rPr>
            </w:pPr>
          </w:p>
        </w:tc>
        <w:tc>
          <w:tcPr>
            <w:tcW w:w="1342" w:type="dxa"/>
            <w:noWrap w:val="0"/>
            <w:vAlign w:val="center"/>
          </w:tcPr>
          <w:p w14:paraId="19DA7481">
            <w:pPr>
              <w:keepNext w:val="0"/>
              <w:keepLines w:val="0"/>
              <w:widowControl/>
              <w:suppressLineNumbers w:val="0"/>
              <w:kinsoku w:val="0"/>
              <w:autoSpaceDE w:val="0"/>
              <w:autoSpaceDN w:val="0"/>
              <w:adjustRightInd w:val="0"/>
              <w:snapToGrid w:val="0"/>
              <w:spacing w:line="240" w:lineRule="auto"/>
              <w:jc w:val="center"/>
              <w:textAlignment w:val="center"/>
              <w:rPr>
                <w:rFonts w:hint="default" w:ascii="Times New Roman" w:hAnsi="Times New Roman" w:eastAsia="仿宋_GB2312" w:cs="Times New Roman"/>
                <w:snapToGrid w:val="0"/>
                <w:color w:val="auto"/>
                <w:kern w:val="0"/>
                <w:sz w:val="21"/>
                <w:szCs w:val="21"/>
                <w:highlight w:val="none"/>
                <w:lang w:eastAsia="en-US"/>
              </w:rPr>
            </w:pPr>
          </w:p>
        </w:tc>
        <w:tc>
          <w:tcPr>
            <w:tcW w:w="905" w:type="dxa"/>
            <w:noWrap w:val="0"/>
            <w:vAlign w:val="center"/>
          </w:tcPr>
          <w:p w14:paraId="33E6A436">
            <w:pPr>
              <w:widowControl/>
              <w:kinsoku w:val="0"/>
              <w:autoSpaceDE w:val="0"/>
              <w:autoSpaceDN w:val="0"/>
              <w:adjustRightInd w:val="0"/>
              <w:snapToGrid w:val="0"/>
              <w:spacing w:line="400" w:lineRule="exact"/>
              <w:jc w:val="center"/>
              <w:textAlignment w:val="baseline"/>
              <w:rPr>
                <w:rFonts w:hint="default" w:ascii="Times New Roman" w:hAnsi="Times New Roman" w:eastAsia="仿宋_GB2312" w:cs="Times New Roman"/>
                <w:snapToGrid w:val="0"/>
                <w:color w:val="auto"/>
                <w:kern w:val="0"/>
                <w:sz w:val="21"/>
                <w:szCs w:val="21"/>
                <w:highlight w:val="none"/>
                <w:lang w:eastAsia="en-US"/>
              </w:rPr>
            </w:pPr>
          </w:p>
        </w:tc>
      </w:tr>
      <w:tr w14:paraId="4474D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706" w:type="dxa"/>
            <w:noWrap w:val="0"/>
            <w:vAlign w:val="center"/>
          </w:tcPr>
          <w:p w14:paraId="600A987F">
            <w:pPr>
              <w:widowControl/>
              <w:kinsoku w:val="0"/>
              <w:autoSpaceDE w:val="0"/>
              <w:autoSpaceDN w:val="0"/>
              <w:adjustRightInd w:val="0"/>
              <w:snapToGrid w:val="0"/>
              <w:spacing w:line="400" w:lineRule="exact"/>
              <w:jc w:val="center"/>
              <w:textAlignment w:val="baseline"/>
              <w:rPr>
                <w:rFonts w:hint="default" w:ascii="Times New Roman" w:hAnsi="Times New Roman" w:eastAsia="仿宋_GB2312" w:cs="Times New Roman"/>
                <w:snapToGrid w:val="0"/>
                <w:color w:val="auto"/>
                <w:kern w:val="0"/>
                <w:sz w:val="21"/>
                <w:szCs w:val="21"/>
                <w:highlight w:val="none"/>
                <w:lang w:val="en-US" w:eastAsia="zh-CN"/>
              </w:rPr>
            </w:pPr>
            <w:r>
              <w:rPr>
                <w:rFonts w:hint="default" w:ascii="Times New Roman" w:hAnsi="Times New Roman" w:eastAsia="仿宋_GB2312" w:cs="Times New Roman"/>
                <w:snapToGrid w:val="0"/>
                <w:color w:val="auto"/>
                <w:kern w:val="0"/>
                <w:sz w:val="21"/>
                <w:szCs w:val="21"/>
                <w:highlight w:val="none"/>
                <w:lang w:val="en-US" w:eastAsia="zh-CN"/>
              </w:rPr>
              <w:t>2</w:t>
            </w:r>
          </w:p>
        </w:tc>
        <w:tc>
          <w:tcPr>
            <w:tcW w:w="1273" w:type="dxa"/>
            <w:noWrap w:val="0"/>
            <w:vAlign w:val="center"/>
          </w:tcPr>
          <w:p w14:paraId="03EEA7A1">
            <w:pPr>
              <w:widowControl/>
              <w:kinsoku w:val="0"/>
              <w:autoSpaceDE w:val="0"/>
              <w:autoSpaceDN w:val="0"/>
              <w:adjustRightInd w:val="0"/>
              <w:snapToGrid w:val="0"/>
              <w:spacing w:line="400" w:lineRule="exact"/>
              <w:jc w:val="center"/>
              <w:textAlignment w:val="baseline"/>
              <w:rPr>
                <w:rFonts w:hint="default" w:ascii="Times New Roman" w:hAnsi="Times New Roman" w:eastAsia="仿宋_GB2312" w:cs="Times New Roman"/>
                <w:snapToGrid w:val="0"/>
                <w:color w:val="auto"/>
                <w:kern w:val="0"/>
                <w:sz w:val="21"/>
                <w:szCs w:val="21"/>
                <w:highlight w:val="none"/>
                <w:lang w:eastAsia="en-US"/>
              </w:rPr>
            </w:pPr>
          </w:p>
        </w:tc>
        <w:tc>
          <w:tcPr>
            <w:tcW w:w="1158" w:type="dxa"/>
            <w:noWrap w:val="0"/>
            <w:vAlign w:val="center"/>
          </w:tcPr>
          <w:p w14:paraId="2A4EEED4">
            <w:pPr>
              <w:widowControl/>
              <w:kinsoku w:val="0"/>
              <w:autoSpaceDE w:val="0"/>
              <w:autoSpaceDN w:val="0"/>
              <w:adjustRightInd w:val="0"/>
              <w:snapToGrid w:val="0"/>
              <w:spacing w:line="400" w:lineRule="exact"/>
              <w:jc w:val="center"/>
              <w:textAlignment w:val="baseline"/>
              <w:rPr>
                <w:rFonts w:hint="default" w:ascii="Times New Roman" w:hAnsi="Times New Roman" w:eastAsia="仿宋_GB2312" w:cs="Times New Roman"/>
                <w:snapToGrid w:val="0"/>
                <w:color w:val="auto"/>
                <w:kern w:val="0"/>
                <w:sz w:val="21"/>
                <w:szCs w:val="21"/>
                <w:highlight w:val="none"/>
                <w:lang w:eastAsia="en-US"/>
              </w:rPr>
            </w:pPr>
          </w:p>
        </w:tc>
        <w:tc>
          <w:tcPr>
            <w:tcW w:w="1591" w:type="dxa"/>
            <w:noWrap w:val="0"/>
            <w:vAlign w:val="center"/>
          </w:tcPr>
          <w:p w14:paraId="551D3225">
            <w:pPr>
              <w:widowControl/>
              <w:kinsoku w:val="0"/>
              <w:autoSpaceDE w:val="0"/>
              <w:autoSpaceDN w:val="0"/>
              <w:adjustRightInd w:val="0"/>
              <w:snapToGrid w:val="0"/>
              <w:spacing w:line="400" w:lineRule="exact"/>
              <w:jc w:val="center"/>
              <w:textAlignment w:val="baseline"/>
              <w:rPr>
                <w:rFonts w:hint="default" w:ascii="Times New Roman" w:hAnsi="Times New Roman" w:eastAsia="仿宋_GB2312" w:cs="Times New Roman"/>
                <w:snapToGrid w:val="0"/>
                <w:color w:val="auto"/>
                <w:kern w:val="0"/>
                <w:sz w:val="21"/>
                <w:szCs w:val="21"/>
                <w:highlight w:val="none"/>
                <w:lang w:eastAsia="en-US"/>
              </w:rPr>
            </w:pPr>
          </w:p>
        </w:tc>
        <w:tc>
          <w:tcPr>
            <w:tcW w:w="776" w:type="dxa"/>
            <w:noWrap w:val="0"/>
            <w:vAlign w:val="center"/>
          </w:tcPr>
          <w:p w14:paraId="2D656F12">
            <w:pPr>
              <w:keepNext w:val="0"/>
              <w:keepLines w:val="0"/>
              <w:widowControl/>
              <w:suppressLineNumbers w:val="0"/>
              <w:kinsoku w:val="0"/>
              <w:autoSpaceDE w:val="0"/>
              <w:autoSpaceDN w:val="0"/>
              <w:adjustRightInd w:val="0"/>
              <w:snapToGrid w:val="0"/>
              <w:spacing w:line="240" w:lineRule="auto"/>
              <w:jc w:val="center"/>
              <w:textAlignment w:val="center"/>
              <w:rPr>
                <w:rFonts w:hint="default" w:ascii="Times New Roman" w:hAnsi="Times New Roman" w:eastAsia="仿宋_GB2312" w:cs="Times New Roman"/>
                <w:snapToGrid w:val="0"/>
                <w:color w:val="auto"/>
                <w:kern w:val="0"/>
                <w:sz w:val="21"/>
                <w:szCs w:val="21"/>
                <w:highlight w:val="none"/>
                <w:lang w:eastAsia="en-US"/>
              </w:rPr>
            </w:pPr>
          </w:p>
        </w:tc>
        <w:tc>
          <w:tcPr>
            <w:tcW w:w="1211" w:type="dxa"/>
            <w:noWrap w:val="0"/>
            <w:vAlign w:val="center"/>
          </w:tcPr>
          <w:p w14:paraId="682CF8BC">
            <w:pPr>
              <w:keepNext w:val="0"/>
              <w:keepLines w:val="0"/>
              <w:widowControl/>
              <w:suppressLineNumbers w:val="0"/>
              <w:kinsoku w:val="0"/>
              <w:autoSpaceDE w:val="0"/>
              <w:autoSpaceDN w:val="0"/>
              <w:adjustRightInd w:val="0"/>
              <w:snapToGrid w:val="0"/>
              <w:spacing w:line="240" w:lineRule="auto"/>
              <w:jc w:val="center"/>
              <w:textAlignment w:val="center"/>
              <w:rPr>
                <w:rFonts w:hint="default" w:ascii="Times New Roman" w:hAnsi="Times New Roman" w:eastAsia="仿宋_GB2312" w:cs="Times New Roman"/>
                <w:snapToGrid w:val="0"/>
                <w:color w:val="auto"/>
                <w:kern w:val="0"/>
                <w:sz w:val="21"/>
                <w:szCs w:val="21"/>
                <w:highlight w:val="none"/>
                <w:lang w:eastAsia="en-US"/>
              </w:rPr>
            </w:pPr>
          </w:p>
        </w:tc>
        <w:tc>
          <w:tcPr>
            <w:tcW w:w="1342" w:type="dxa"/>
            <w:noWrap w:val="0"/>
            <w:vAlign w:val="center"/>
          </w:tcPr>
          <w:p w14:paraId="11CC3AA2">
            <w:pPr>
              <w:keepNext w:val="0"/>
              <w:keepLines w:val="0"/>
              <w:widowControl/>
              <w:suppressLineNumbers w:val="0"/>
              <w:kinsoku w:val="0"/>
              <w:autoSpaceDE w:val="0"/>
              <w:autoSpaceDN w:val="0"/>
              <w:adjustRightInd w:val="0"/>
              <w:snapToGrid w:val="0"/>
              <w:spacing w:line="240" w:lineRule="auto"/>
              <w:jc w:val="center"/>
              <w:textAlignment w:val="center"/>
              <w:rPr>
                <w:rFonts w:hint="default" w:ascii="Times New Roman" w:hAnsi="Times New Roman" w:eastAsia="仿宋_GB2312" w:cs="Times New Roman"/>
                <w:snapToGrid w:val="0"/>
                <w:color w:val="auto"/>
                <w:kern w:val="0"/>
                <w:sz w:val="21"/>
                <w:szCs w:val="21"/>
                <w:highlight w:val="none"/>
                <w:lang w:eastAsia="en-US"/>
              </w:rPr>
            </w:pPr>
          </w:p>
        </w:tc>
        <w:tc>
          <w:tcPr>
            <w:tcW w:w="905" w:type="dxa"/>
            <w:noWrap w:val="0"/>
            <w:vAlign w:val="center"/>
          </w:tcPr>
          <w:p w14:paraId="0FE4EFCD">
            <w:pPr>
              <w:widowControl/>
              <w:kinsoku w:val="0"/>
              <w:autoSpaceDE w:val="0"/>
              <w:autoSpaceDN w:val="0"/>
              <w:adjustRightInd w:val="0"/>
              <w:snapToGrid w:val="0"/>
              <w:spacing w:line="400" w:lineRule="exact"/>
              <w:jc w:val="center"/>
              <w:textAlignment w:val="baseline"/>
              <w:rPr>
                <w:rFonts w:hint="default" w:ascii="Times New Roman" w:hAnsi="Times New Roman" w:eastAsia="仿宋_GB2312" w:cs="Times New Roman"/>
                <w:snapToGrid w:val="0"/>
                <w:color w:val="auto"/>
                <w:kern w:val="0"/>
                <w:sz w:val="21"/>
                <w:szCs w:val="21"/>
                <w:highlight w:val="none"/>
                <w:lang w:eastAsia="en-US"/>
              </w:rPr>
            </w:pPr>
          </w:p>
        </w:tc>
      </w:tr>
      <w:tr w14:paraId="4588F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706" w:type="dxa"/>
            <w:noWrap w:val="0"/>
            <w:vAlign w:val="center"/>
          </w:tcPr>
          <w:p w14:paraId="541E26D0">
            <w:pPr>
              <w:widowControl/>
              <w:kinsoku w:val="0"/>
              <w:autoSpaceDE w:val="0"/>
              <w:autoSpaceDN w:val="0"/>
              <w:adjustRightInd w:val="0"/>
              <w:snapToGrid w:val="0"/>
              <w:spacing w:line="400" w:lineRule="exact"/>
              <w:jc w:val="center"/>
              <w:textAlignment w:val="baseline"/>
              <w:rPr>
                <w:rFonts w:hint="default" w:ascii="Times New Roman" w:hAnsi="Times New Roman" w:eastAsia="仿宋_GB2312" w:cs="Times New Roman"/>
                <w:snapToGrid w:val="0"/>
                <w:color w:val="auto"/>
                <w:kern w:val="0"/>
                <w:sz w:val="21"/>
                <w:szCs w:val="21"/>
                <w:highlight w:val="none"/>
                <w:lang w:val="en-US" w:eastAsia="zh-CN"/>
              </w:rPr>
            </w:pPr>
            <w:r>
              <w:rPr>
                <w:rFonts w:hint="default" w:ascii="Times New Roman" w:hAnsi="Times New Roman" w:eastAsia="仿宋_GB2312" w:cs="Times New Roman"/>
                <w:snapToGrid w:val="0"/>
                <w:color w:val="auto"/>
                <w:kern w:val="0"/>
                <w:sz w:val="21"/>
                <w:szCs w:val="21"/>
                <w:highlight w:val="none"/>
                <w:lang w:val="en-US" w:eastAsia="zh-CN"/>
              </w:rPr>
              <w:t>3</w:t>
            </w:r>
          </w:p>
        </w:tc>
        <w:tc>
          <w:tcPr>
            <w:tcW w:w="1273" w:type="dxa"/>
            <w:noWrap w:val="0"/>
            <w:vAlign w:val="center"/>
          </w:tcPr>
          <w:p w14:paraId="6AF20095">
            <w:pPr>
              <w:widowControl/>
              <w:kinsoku w:val="0"/>
              <w:autoSpaceDE w:val="0"/>
              <w:autoSpaceDN w:val="0"/>
              <w:adjustRightInd w:val="0"/>
              <w:snapToGrid w:val="0"/>
              <w:spacing w:line="400" w:lineRule="exact"/>
              <w:jc w:val="center"/>
              <w:textAlignment w:val="baseline"/>
              <w:rPr>
                <w:rFonts w:hint="default" w:ascii="Times New Roman" w:hAnsi="Times New Roman" w:eastAsia="仿宋_GB2312" w:cs="Times New Roman"/>
                <w:snapToGrid w:val="0"/>
                <w:color w:val="auto"/>
                <w:kern w:val="0"/>
                <w:sz w:val="21"/>
                <w:szCs w:val="21"/>
                <w:highlight w:val="none"/>
                <w:lang w:val="en-US" w:eastAsia="zh-CN"/>
              </w:rPr>
            </w:pPr>
          </w:p>
        </w:tc>
        <w:tc>
          <w:tcPr>
            <w:tcW w:w="1158" w:type="dxa"/>
            <w:noWrap w:val="0"/>
            <w:vAlign w:val="center"/>
          </w:tcPr>
          <w:p w14:paraId="243D994F">
            <w:pPr>
              <w:widowControl/>
              <w:kinsoku w:val="0"/>
              <w:autoSpaceDE w:val="0"/>
              <w:autoSpaceDN w:val="0"/>
              <w:adjustRightInd w:val="0"/>
              <w:snapToGrid w:val="0"/>
              <w:spacing w:line="400" w:lineRule="exact"/>
              <w:jc w:val="center"/>
              <w:textAlignment w:val="baseline"/>
              <w:rPr>
                <w:rFonts w:hint="default" w:ascii="Times New Roman" w:hAnsi="Times New Roman" w:eastAsia="仿宋_GB2312" w:cs="Times New Roman"/>
                <w:snapToGrid w:val="0"/>
                <w:color w:val="auto"/>
                <w:kern w:val="0"/>
                <w:sz w:val="21"/>
                <w:szCs w:val="21"/>
                <w:highlight w:val="none"/>
                <w:lang w:val="en-US" w:eastAsia="zh-CN"/>
              </w:rPr>
            </w:pPr>
          </w:p>
        </w:tc>
        <w:tc>
          <w:tcPr>
            <w:tcW w:w="1591" w:type="dxa"/>
            <w:noWrap w:val="0"/>
            <w:vAlign w:val="center"/>
          </w:tcPr>
          <w:p w14:paraId="28EFEC61">
            <w:pPr>
              <w:widowControl/>
              <w:kinsoku w:val="0"/>
              <w:autoSpaceDE w:val="0"/>
              <w:autoSpaceDN w:val="0"/>
              <w:adjustRightInd w:val="0"/>
              <w:snapToGrid w:val="0"/>
              <w:spacing w:line="400" w:lineRule="exact"/>
              <w:jc w:val="center"/>
              <w:textAlignment w:val="baseline"/>
              <w:rPr>
                <w:rFonts w:hint="default" w:ascii="Times New Roman" w:hAnsi="Times New Roman" w:eastAsia="仿宋_GB2312" w:cs="Times New Roman"/>
                <w:snapToGrid w:val="0"/>
                <w:color w:val="auto"/>
                <w:kern w:val="0"/>
                <w:sz w:val="21"/>
                <w:szCs w:val="21"/>
                <w:highlight w:val="none"/>
                <w:lang w:eastAsia="en-US"/>
              </w:rPr>
            </w:pPr>
          </w:p>
        </w:tc>
        <w:tc>
          <w:tcPr>
            <w:tcW w:w="776" w:type="dxa"/>
            <w:noWrap w:val="0"/>
            <w:vAlign w:val="center"/>
          </w:tcPr>
          <w:p w14:paraId="6C409951">
            <w:pPr>
              <w:keepNext w:val="0"/>
              <w:keepLines w:val="0"/>
              <w:widowControl/>
              <w:suppressLineNumbers w:val="0"/>
              <w:kinsoku w:val="0"/>
              <w:autoSpaceDE w:val="0"/>
              <w:autoSpaceDN w:val="0"/>
              <w:adjustRightInd w:val="0"/>
              <w:snapToGrid w:val="0"/>
              <w:spacing w:line="240" w:lineRule="auto"/>
              <w:jc w:val="center"/>
              <w:textAlignment w:val="center"/>
              <w:rPr>
                <w:rFonts w:hint="default" w:ascii="Times New Roman" w:hAnsi="Times New Roman" w:eastAsia="仿宋_GB2312" w:cs="Times New Roman"/>
                <w:snapToGrid w:val="0"/>
                <w:color w:val="auto"/>
                <w:kern w:val="0"/>
                <w:sz w:val="21"/>
                <w:szCs w:val="21"/>
                <w:highlight w:val="none"/>
                <w:lang w:val="en-US" w:eastAsia="zh-CN"/>
              </w:rPr>
            </w:pPr>
          </w:p>
        </w:tc>
        <w:tc>
          <w:tcPr>
            <w:tcW w:w="1211" w:type="dxa"/>
            <w:noWrap w:val="0"/>
            <w:vAlign w:val="center"/>
          </w:tcPr>
          <w:p w14:paraId="7BA950FF">
            <w:pPr>
              <w:keepNext w:val="0"/>
              <w:keepLines w:val="0"/>
              <w:widowControl/>
              <w:suppressLineNumbers w:val="0"/>
              <w:kinsoku w:val="0"/>
              <w:autoSpaceDE w:val="0"/>
              <w:autoSpaceDN w:val="0"/>
              <w:adjustRightInd w:val="0"/>
              <w:snapToGrid w:val="0"/>
              <w:spacing w:line="240" w:lineRule="auto"/>
              <w:jc w:val="center"/>
              <w:textAlignment w:val="center"/>
              <w:rPr>
                <w:rFonts w:hint="default" w:ascii="Times New Roman" w:hAnsi="Times New Roman" w:eastAsia="仿宋_GB2312" w:cs="Times New Roman"/>
                <w:snapToGrid w:val="0"/>
                <w:color w:val="auto"/>
                <w:kern w:val="0"/>
                <w:sz w:val="21"/>
                <w:szCs w:val="21"/>
                <w:highlight w:val="none"/>
                <w:lang w:eastAsia="en-US"/>
              </w:rPr>
            </w:pPr>
          </w:p>
        </w:tc>
        <w:tc>
          <w:tcPr>
            <w:tcW w:w="1342" w:type="dxa"/>
            <w:noWrap w:val="0"/>
            <w:vAlign w:val="center"/>
          </w:tcPr>
          <w:p w14:paraId="653EC678">
            <w:pPr>
              <w:keepNext w:val="0"/>
              <w:keepLines w:val="0"/>
              <w:widowControl/>
              <w:suppressLineNumbers w:val="0"/>
              <w:kinsoku w:val="0"/>
              <w:autoSpaceDE w:val="0"/>
              <w:autoSpaceDN w:val="0"/>
              <w:adjustRightInd w:val="0"/>
              <w:snapToGrid w:val="0"/>
              <w:spacing w:line="240" w:lineRule="auto"/>
              <w:jc w:val="center"/>
              <w:textAlignment w:val="center"/>
              <w:rPr>
                <w:rFonts w:hint="default" w:ascii="Times New Roman" w:hAnsi="Times New Roman" w:eastAsia="仿宋_GB2312" w:cs="Times New Roman"/>
                <w:snapToGrid w:val="0"/>
                <w:color w:val="auto"/>
                <w:kern w:val="0"/>
                <w:sz w:val="21"/>
                <w:szCs w:val="21"/>
                <w:highlight w:val="none"/>
                <w:lang w:eastAsia="en-US"/>
              </w:rPr>
            </w:pPr>
          </w:p>
        </w:tc>
        <w:tc>
          <w:tcPr>
            <w:tcW w:w="905" w:type="dxa"/>
            <w:noWrap w:val="0"/>
            <w:vAlign w:val="center"/>
          </w:tcPr>
          <w:p w14:paraId="7D8E40A3">
            <w:pPr>
              <w:widowControl/>
              <w:kinsoku w:val="0"/>
              <w:autoSpaceDE w:val="0"/>
              <w:autoSpaceDN w:val="0"/>
              <w:adjustRightInd w:val="0"/>
              <w:snapToGrid w:val="0"/>
              <w:spacing w:line="400" w:lineRule="exact"/>
              <w:jc w:val="center"/>
              <w:textAlignment w:val="baseline"/>
              <w:rPr>
                <w:rFonts w:hint="default" w:ascii="Times New Roman" w:hAnsi="Times New Roman" w:eastAsia="仿宋_GB2312" w:cs="Times New Roman"/>
                <w:snapToGrid w:val="0"/>
                <w:color w:val="auto"/>
                <w:kern w:val="0"/>
                <w:sz w:val="21"/>
                <w:szCs w:val="21"/>
                <w:highlight w:val="none"/>
                <w:lang w:eastAsia="en-US"/>
              </w:rPr>
            </w:pPr>
          </w:p>
        </w:tc>
      </w:tr>
      <w:tr w14:paraId="4AC97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706" w:type="dxa"/>
            <w:noWrap w:val="0"/>
            <w:vAlign w:val="center"/>
          </w:tcPr>
          <w:p w14:paraId="5DA6FFEB">
            <w:pPr>
              <w:widowControl/>
              <w:kinsoku w:val="0"/>
              <w:autoSpaceDE w:val="0"/>
              <w:autoSpaceDN w:val="0"/>
              <w:adjustRightInd w:val="0"/>
              <w:snapToGrid w:val="0"/>
              <w:spacing w:line="400" w:lineRule="exact"/>
              <w:jc w:val="center"/>
              <w:textAlignment w:val="baseline"/>
              <w:rPr>
                <w:rFonts w:hint="default" w:ascii="Times New Roman" w:hAnsi="Times New Roman" w:eastAsia="仿宋_GB2312" w:cs="Times New Roman"/>
                <w:snapToGrid w:val="0"/>
                <w:color w:val="auto"/>
                <w:kern w:val="0"/>
                <w:sz w:val="21"/>
                <w:szCs w:val="21"/>
                <w:highlight w:val="none"/>
                <w:lang w:val="en-US" w:eastAsia="zh-CN"/>
              </w:rPr>
            </w:pPr>
            <w:r>
              <w:rPr>
                <w:rFonts w:hint="default" w:ascii="Times New Roman" w:hAnsi="Times New Roman" w:eastAsia="仿宋_GB2312" w:cs="Times New Roman"/>
                <w:snapToGrid w:val="0"/>
                <w:color w:val="auto"/>
                <w:kern w:val="0"/>
                <w:sz w:val="21"/>
                <w:szCs w:val="21"/>
                <w:highlight w:val="none"/>
                <w:lang w:val="en-US" w:eastAsia="zh-CN"/>
              </w:rPr>
              <w:t>...</w:t>
            </w:r>
          </w:p>
        </w:tc>
        <w:tc>
          <w:tcPr>
            <w:tcW w:w="1273" w:type="dxa"/>
            <w:noWrap w:val="0"/>
            <w:vAlign w:val="center"/>
          </w:tcPr>
          <w:p w14:paraId="29275BA7">
            <w:pPr>
              <w:widowControl/>
              <w:kinsoku w:val="0"/>
              <w:autoSpaceDE w:val="0"/>
              <w:autoSpaceDN w:val="0"/>
              <w:adjustRightInd w:val="0"/>
              <w:snapToGrid w:val="0"/>
              <w:spacing w:line="400" w:lineRule="exact"/>
              <w:jc w:val="center"/>
              <w:textAlignment w:val="baseline"/>
              <w:rPr>
                <w:rFonts w:hint="default" w:ascii="Times New Roman" w:hAnsi="Times New Roman" w:eastAsia="仿宋_GB2312" w:cs="Times New Roman"/>
                <w:snapToGrid w:val="0"/>
                <w:color w:val="auto"/>
                <w:kern w:val="0"/>
                <w:sz w:val="21"/>
                <w:szCs w:val="21"/>
                <w:highlight w:val="none"/>
                <w:lang w:val="en-US" w:eastAsia="zh-CN"/>
              </w:rPr>
            </w:pPr>
          </w:p>
        </w:tc>
        <w:tc>
          <w:tcPr>
            <w:tcW w:w="1158" w:type="dxa"/>
            <w:noWrap w:val="0"/>
            <w:vAlign w:val="center"/>
          </w:tcPr>
          <w:p w14:paraId="5EF80FEC">
            <w:pPr>
              <w:widowControl/>
              <w:kinsoku w:val="0"/>
              <w:autoSpaceDE w:val="0"/>
              <w:autoSpaceDN w:val="0"/>
              <w:adjustRightInd w:val="0"/>
              <w:snapToGrid w:val="0"/>
              <w:spacing w:line="400" w:lineRule="exact"/>
              <w:jc w:val="center"/>
              <w:textAlignment w:val="baseline"/>
              <w:rPr>
                <w:rFonts w:hint="default" w:ascii="Times New Roman" w:hAnsi="Times New Roman" w:eastAsia="仿宋_GB2312" w:cs="Times New Roman"/>
                <w:snapToGrid w:val="0"/>
                <w:color w:val="auto"/>
                <w:kern w:val="2"/>
                <w:sz w:val="21"/>
                <w:szCs w:val="21"/>
                <w:highlight w:val="none"/>
                <w:lang w:val="en-US" w:eastAsia="zh-CN" w:bidi="ar-SA"/>
              </w:rPr>
            </w:pPr>
          </w:p>
        </w:tc>
        <w:tc>
          <w:tcPr>
            <w:tcW w:w="1591" w:type="dxa"/>
            <w:noWrap w:val="0"/>
            <w:vAlign w:val="center"/>
          </w:tcPr>
          <w:p w14:paraId="0C26D07F">
            <w:pPr>
              <w:widowControl/>
              <w:kinsoku w:val="0"/>
              <w:autoSpaceDE w:val="0"/>
              <w:autoSpaceDN w:val="0"/>
              <w:adjustRightInd w:val="0"/>
              <w:snapToGrid w:val="0"/>
              <w:spacing w:line="400" w:lineRule="exact"/>
              <w:jc w:val="center"/>
              <w:textAlignment w:val="baseline"/>
              <w:rPr>
                <w:rFonts w:hint="default" w:ascii="Times New Roman" w:hAnsi="Times New Roman" w:eastAsia="仿宋_GB2312" w:cs="Times New Roman"/>
                <w:snapToGrid w:val="0"/>
                <w:color w:val="auto"/>
                <w:kern w:val="0"/>
                <w:sz w:val="21"/>
                <w:szCs w:val="21"/>
                <w:highlight w:val="none"/>
                <w:lang w:val="en-US" w:eastAsia="zh-CN"/>
              </w:rPr>
            </w:pPr>
          </w:p>
        </w:tc>
        <w:tc>
          <w:tcPr>
            <w:tcW w:w="776" w:type="dxa"/>
            <w:noWrap w:val="0"/>
            <w:vAlign w:val="center"/>
          </w:tcPr>
          <w:p w14:paraId="775AAD7E">
            <w:pPr>
              <w:keepNext w:val="0"/>
              <w:keepLines w:val="0"/>
              <w:widowControl/>
              <w:suppressLineNumbers w:val="0"/>
              <w:kinsoku w:val="0"/>
              <w:autoSpaceDE w:val="0"/>
              <w:autoSpaceDN w:val="0"/>
              <w:adjustRightInd w:val="0"/>
              <w:snapToGrid w:val="0"/>
              <w:spacing w:line="240" w:lineRule="auto"/>
              <w:jc w:val="center"/>
              <w:textAlignment w:val="center"/>
              <w:rPr>
                <w:rFonts w:hint="default" w:ascii="Times New Roman" w:hAnsi="Times New Roman" w:eastAsia="仿宋_GB2312" w:cs="Times New Roman"/>
                <w:snapToGrid w:val="0"/>
                <w:color w:val="auto"/>
                <w:kern w:val="0"/>
                <w:sz w:val="21"/>
                <w:szCs w:val="21"/>
                <w:highlight w:val="none"/>
                <w:lang w:eastAsia="en-US"/>
              </w:rPr>
            </w:pPr>
          </w:p>
        </w:tc>
        <w:tc>
          <w:tcPr>
            <w:tcW w:w="1211" w:type="dxa"/>
            <w:noWrap w:val="0"/>
            <w:vAlign w:val="center"/>
          </w:tcPr>
          <w:p w14:paraId="638DE5F7">
            <w:pPr>
              <w:keepNext w:val="0"/>
              <w:keepLines w:val="0"/>
              <w:widowControl/>
              <w:suppressLineNumbers w:val="0"/>
              <w:kinsoku w:val="0"/>
              <w:autoSpaceDE w:val="0"/>
              <w:autoSpaceDN w:val="0"/>
              <w:adjustRightInd w:val="0"/>
              <w:snapToGrid w:val="0"/>
              <w:spacing w:line="240" w:lineRule="auto"/>
              <w:jc w:val="center"/>
              <w:textAlignment w:val="center"/>
              <w:rPr>
                <w:rFonts w:hint="default" w:ascii="Times New Roman" w:hAnsi="Times New Roman" w:eastAsia="仿宋_GB2312" w:cs="Times New Roman"/>
                <w:snapToGrid w:val="0"/>
                <w:color w:val="auto"/>
                <w:kern w:val="0"/>
                <w:sz w:val="21"/>
                <w:szCs w:val="21"/>
                <w:highlight w:val="none"/>
                <w:lang w:eastAsia="en-US"/>
              </w:rPr>
            </w:pPr>
          </w:p>
        </w:tc>
        <w:tc>
          <w:tcPr>
            <w:tcW w:w="1342" w:type="dxa"/>
            <w:noWrap w:val="0"/>
            <w:vAlign w:val="center"/>
          </w:tcPr>
          <w:p w14:paraId="2C7F7A0A">
            <w:pPr>
              <w:keepNext w:val="0"/>
              <w:keepLines w:val="0"/>
              <w:widowControl/>
              <w:suppressLineNumbers w:val="0"/>
              <w:kinsoku w:val="0"/>
              <w:autoSpaceDE w:val="0"/>
              <w:autoSpaceDN w:val="0"/>
              <w:adjustRightInd w:val="0"/>
              <w:snapToGrid w:val="0"/>
              <w:spacing w:line="240" w:lineRule="auto"/>
              <w:jc w:val="center"/>
              <w:textAlignment w:val="center"/>
              <w:rPr>
                <w:rFonts w:hint="default" w:ascii="Times New Roman" w:hAnsi="Times New Roman" w:eastAsia="仿宋_GB2312" w:cs="Times New Roman"/>
                <w:snapToGrid w:val="0"/>
                <w:color w:val="auto"/>
                <w:kern w:val="0"/>
                <w:sz w:val="21"/>
                <w:szCs w:val="21"/>
                <w:highlight w:val="none"/>
                <w:lang w:eastAsia="en-US"/>
              </w:rPr>
            </w:pPr>
          </w:p>
        </w:tc>
        <w:tc>
          <w:tcPr>
            <w:tcW w:w="905" w:type="dxa"/>
            <w:noWrap w:val="0"/>
            <w:vAlign w:val="center"/>
          </w:tcPr>
          <w:p w14:paraId="1F247CA2">
            <w:pPr>
              <w:widowControl/>
              <w:kinsoku w:val="0"/>
              <w:autoSpaceDE w:val="0"/>
              <w:autoSpaceDN w:val="0"/>
              <w:adjustRightInd w:val="0"/>
              <w:snapToGrid w:val="0"/>
              <w:spacing w:line="400" w:lineRule="exact"/>
              <w:jc w:val="center"/>
              <w:textAlignment w:val="baseline"/>
              <w:rPr>
                <w:rFonts w:hint="default" w:ascii="Times New Roman" w:hAnsi="Times New Roman" w:eastAsia="仿宋_GB2312" w:cs="Times New Roman"/>
                <w:snapToGrid w:val="0"/>
                <w:color w:val="auto"/>
                <w:kern w:val="0"/>
                <w:sz w:val="21"/>
                <w:szCs w:val="21"/>
                <w:highlight w:val="none"/>
                <w:lang w:eastAsia="en-US"/>
              </w:rPr>
            </w:pPr>
          </w:p>
        </w:tc>
      </w:tr>
      <w:tr w14:paraId="0AA95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1979" w:type="dxa"/>
            <w:gridSpan w:val="2"/>
            <w:noWrap w:val="0"/>
            <w:vAlign w:val="center"/>
          </w:tcPr>
          <w:p w14:paraId="26EFAF43">
            <w:pPr>
              <w:widowControl/>
              <w:kinsoku w:val="0"/>
              <w:autoSpaceDE w:val="0"/>
              <w:autoSpaceDN w:val="0"/>
              <w:adjustRightInd w:val="0"/>
              <w:snapToGrid w:val="0"/>
              <w:spacing w:line="400" w:lineRule="exact"/>
              <w:jc w:val="center"/>
              <w:textAlignment w:val="baseline"/>
              <w:rPr>
                <w:rFonts w:hint="default" w:ascii="Times New Roman" w:hAnsi="Times New Roman" w:eastAsia="仿宋_GB2312" w:cs="Times New Roman"/>
                <w:i w:val="0"/>
                <w:iCs w:val="0"/>
                <w:snapToGrid w:val="0"/>
                <w:color w:val="auto"/>
                <w:kern w:val="0"/>
                <w:sz w:val="21"/>
                <w:szCs w:val="21"/>
                <w:u w:val="none"/>
                <w:lang w:val="en-US" w:eastAsia="zh-CN" w:bidi="ar"/>
              </w:rPr>
            </w:pPr>
            <w:r>
              <w:rPr>
                <w:rFonts w:hint="default" w:ascii="Times New Roman" w:hAnsi="Times New Roman" w:eastAsia="仿宋_GB2312" w:cs="Times New Roman"/>
                <w:snapToGrid w:val="0"/>
                <w:color w:val="auto"/>
                <w:kern w:val="0"/>
                <w:sz w:val="21"/>
                <w:szCs w:val="21"/>
                <w:highlight w:val="none"/>
                <w:lang w:eastAsia="en-US"/>
              </w:rPr>
              <w:t>投标总价（元）</w:t>
            </w:r>
          </w:p>
        </w:tc>
        <w:tc>
          <w:tcPr>
            <w:tcW w:w="6983" w:type="dxa"/>
            <w:gridSpan w:val="6"/>
            <w:noWrap w:val="0"/>
            <w:vAlign w:val="center"/>
          </w:tcPr>
          <w:p w14:paraId="7215C8DE">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default" w:ascii="Times New Roman" w:hAnsi="Times New Roman" w:eastAsia="仿宋_GB2312" w:cs="Times New Roman"/>
                <w:snapToGrid w:val="0"/>
                <w:color w:val="auto"/>
                <w:kern w:val="0"/>
                <w:sz w:val="21"/>
                <w:szCs w:val="21"/>
                <w:highlight w:val="none"/>
                <w:lang w:val="en-US" w:eastAsia="zh-CN"/>
              </w:rPr>
            </w:pPr>
            <w:r>
              <w:rPr>
                <w:rFonts w:hint="default" w:ascii="Times New Roman" w:hAnsi="Times New Roman" w:eastAsia="仿宋_GB2312" w:cs="Times New Roman"/>
                <w:snapToGrid w:val="0"/>
                <w:color w:val="auto"/>
                <w:kern w:val="0"/>
                <w:sz w:val="21"/>
                <w:szCs w:val="21"/>
                <w:highlight w:val="none"/>
                <w:lang w:eastAsia="en-US"/>
              </w:rPr>
              <w:t>合计金额大写：</w:t>
            </w:r>
            <w:r>
              <w:rPr>
                <w:rFonts w:hint="default" w:ascii="Times New Roman" w:hAnsi="Times New Roman" w:eastAsia="仿宋_GB2312" w:cs="Times New Roman"/>
                <w:snapToGrid w:val="0"/>
                <w:color w:val="auto"/>
                <w:kern w:val="0"/>
                <w:sz w:val="21"/>
                <w:szCs w:val="21"/>
                <w:highlight w:val="none"/>
                <w:lang w:val="en-US" w:eastAsia="zh-CN"/>
              </w:rPr>
              <w:t xml:space="preserve"> </w:t>
            </w:r>
          </w:p>
          <w:p w14:paraId="6BDE325C">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default" w:ascii="Times New Roman" w:hAnsi="Times New Roman" w:eastAsia="仿宋_GB2312" w:cs="Times New Roman"/>
                <w:snapToGrid w:val="0"/>
                <w:color w:val="auto"/>
                <w:kern w:val="0"/>
                <w:sz w:val="21"/>
                <w:szCs w:val="21"/>
                <w:highlight w:val="none"/>
                <w:lang w:eastAsia="en-US"/>
              </w:rPr>
            </w:pPr>
            <w:r>
              <w:rPr>
                <w:rFonts w:hint="default" w:ascii="Times New Roman" w:hAnsi="Times New Roman" w:eastAsia="仿宋_GB2312" w:cs="Times New Roman"/>
                <w:snapToGrid w:val="0"/>
                <w:color w:val="auto"/>
                <w:kern w:val="0"/>
                <w:sz w:val="21"/>
                <w:szCs w:val="21"/>
                <w:highlight w:val="none"/>
                <w:lang w:eastAsia="en-US"/>
              </w:rPr>
              <w:t>小写：</w:t>
            </w:r>
            <w:r>
              <w:rPr>
                <w:rFonts w:hint="default" w:ascii="Times New Roman" w:hAnsi="Times New Roman" w:eastAsia="仿宋_GB2312" w:cs="Times New Roman"/>
                <w:snapToGrid w:val="0"/>
                <w:color w:val="auto"/>
                <w:kern w:val="0"/>
                <w:sz w:val="21"/>
                <w:szCs w:val="21"/>
                <w:highlight w:val="none"/>
                <w:lang w:val="en-US" w:eastAsia="en-US"/>
              </w:rPr>
              <w:t xml:space="preserve"> </w:t>
            </w:r>
          </w:p>
        </w:tc>
      </w:tr>
      <w:tr w14:paraId="1351A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1979" w:type="dxa"/>
            <w:gridSpan w:val="2"/>
            <w:noWrap w:val="0"/>
            <w:vAlign w:val="center"/>
          </w:tcPr>
          <w:p w14:paraId="29C5B09B">
            <w:pPr>
              <w:widowControl/>
              <w:kinsoku w:val="0"/>
              <w:autoSpaceDE w:val="0"/>
              <w:autoSpaceDN w:val="0"/>
              <w:adjustRightInd w:val="0"/>
              <w:snapToGrid w:val="0"/>
              <w:spacing w:line="400" w:lineRule="exact"/>
              <w:jc w:val="center"/>
              <w:textAlignment w:val="baseline"/>
              <w:rPr>
                <w:rFonts w:hint="default" w:ascii="Times New Roman" w:hAnsi="Times New Roman" w:eastAsia="仿宋_GB2312" w:cs="Times New Roman"/>
                <w:i w:val="0"/>
                <w:iCs w:val="0"/>
                <w:snapToGrid w:val="0"/>
                <w:color w:val="auto"/>
                <w:kern w:val="0"/>
                <w:sz w:val="21"/>
                <w:szCs w:val="21"/>
                <w:highlight w:val="none"/>
                <w:u w:val="none"/>
                <w:lang w:val="en-US" w:eastAsia="zh-CN" w:bidi="ar"/>
              </w:rPr>
            </w:pPr>
            <w:r>
              <w:rPr>
                <w:rFonts w:hint="default" w:ascii="Times New Roman" w:hAnsi="Times New Roman" w:eastAsia="仿宋_GB2312" w:cs="Times New Roman"/>
                <w:snapToGrid w:val="0"/>
                <w:color w:val="auto"/>
                <w:kern w:val="0"/>
                <w:sz w:val="21"/>
                <w:szCs w:val="21"/>
                <w:highlight w:val="none"/>
                <w:lang w:val="en-US" w:eastAsia="zh-CN"/>
              </w:rPr>
              <w:t>合同履约期限</w:t>
            </w:r>
          </w:p>
        </w:tc>
        <w:tc>
          <w:tcPr>
            <w:tcW w:w="6983" w:type="dxa"/>
            <w:gridSpan w:val="6"/>
            <w:noWrap w:val="0"/>
            <w:vAlign w:val="center"/>
          </w:tcPr>
          <w:p w14:paraId="380E7CEE">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default" w:ascii="Times New Roman" w:hAnsi="Times New Roman" w:eastAsia="仿宋_GB2312" w:cs="Times New Roman"/>
                <w:snapToGrid w:val="0"/>
                <w:color w:val="auto"/>
                <w:kern w:val="0"/>
                <w:sz w:val="21"/>
                <w:szCs w:val="21"/>
                <w:highlight w:val="none"/>
                <w:lang w:eastAsia="en-US"/>
              </w:rPr>
            </w:pPr>
            <w:r>
              <w:rPr>
                <w:rFonts w:hint="default" w:ascii="Times New Roman" w:hAnsi="Times New Roman" w:eastAsia="仿宋_GB2312" w:cs="Times New Roman"/>
                <w:snapToGrid w:val="0"/>
                <w:color w:val="auto"/>
                <w:kern w:val="0"/>
                <w:sz w:val="21"/>
                <w:szCs w:val="21"/>
                <w:highlight w:val="none"/>
                <w:lang w:eastAsia="en-US"/>
              </w:rPr>
              <w:t>签订合同后</w:t>
            </w:r>
            <w:r>
              <w:rPr>
                <w:rFonts w:hint="default" w:ascii="Times New Roman" w:hAnsi="Times New Roman" w:eastAsia="仿宋_GB2312" w:cs="Times New Roman"/>
                <w:snapToGrid w:val="0"/>
                <w:color w:val="auto"/>
                <w:kern w:val="0"/>
                <w:sz w:val="21"/>
                <w:szCs w:val="21"/>
                <w:highlight w:val="none"/>
                <w:u w:val="single"/>
                <w:lang w:val="en-US" w:eastAsia="en-US"/>
              </w:rPr>
              <w:t xml:space="preserve"> </w:t>
            </w:r>
            <w:r>
              <w:rPr>
                <w:rFonts w:hint="eastAsia" w:ascii="Times New Roman" w:hAnsi="Times New Roman" w:eastAsia="仿宋_GB2312" w:cs="Times New Roman"/>
                <w:snapToGrid w:val="0"/>
                <w:color w:val="auto"/>
                <w:kern w:val="0"/>
                <w:sz w:val="21"/>
                <w:szCs w:val="21"/>
                <w:highlight w:val="none"/>
                <w:u w:val="single"/>
                <w:lang w:val="en-US" w:eastAsia="zh-CN"/>
              </w:rPr>
              <w:t xml:space="preserve">  </w:t>
            </w:r>
            <w:r>
              <w:rPr>
                <w:rFonts w:hint="default" w:ascii="Times New Roman" w:hAnsi="Times New Roman" w:eastAsia="仿宋_GB2312" w:cs="Times New Roman"/>
                <w:snapToGrid w:val="0"/>
                <w:color w:val="auto"/>
                <w:kern w:val="0"/>
                <w:sz w:val="21"/>
                <w:szCs w:val="21"/>
                <w:highlight w:val="none"/>
                <w:u w:val="single"/>
                <w:lang w:val="en-US" w:eastAsia="en-US"/>
              </w:rPr>
              <w:t xml:space="preserve"> </w:t>
            </w:r>
            <w:r>
              <w:rPr>
                <w:rFonts w:hint="default" w:ascii="Times New Roman" w:hAnsi="Times New Roman" w:eastAsia="仿宋_GB2312" w:cs="Times New Roman"/>
                <w:snapToGrid w:val="0"/>
                <w:color w:val="auto"/>
                <w:kern w:val="0"/>
                <w:sz w:val="21"/>
                <w:szCs w:val="21"/>
                <w:highlight w:val="none"/>
                <w:lang w:eastAsia="en-US"/>
              </w:rPr>
              <w:t>日内交付货物、安装并完成调试，采购人</w:t>
            </w:r>
            <w:r>
              <w:rPr>
                <w:rFonts w:hint="default" w:ascii="Times New Roman" w:hAnsi="Times New Roman" w:eastAsia="仿宋_GB2312" w:cs="Times New Roman"/>
                <w:snapToGrid w:val="0"/>
                <w:color w:val="auto"/>
                <w:kern w:val="0"/>
                <w:sz w:val="21"/>
                <w:szCs w:val="21"/>
                <w:highlight w:val="none"/>
                <w:u w:val="single"/>
                <w:lang w:val="en-US" w:eastAsia="en-US"/>
              </w:rPr>
              <w:t xml:space="preserve"> </w:t>
            </w:r>
            <w:r>
              <w:rPr>
                <w:rFonts w:hint="eastAsia" w:ascii="Times New Roman" w:hAnsi="Times New Roman" w:eastAsia="仿宋_GB2312" w:cs="Times New Roman"/>
                <w:snapToGrid w:val="0"/>
                <w:color w:val="auto"/>
                <w:kern w:val="0"/>
                <w:sz w:val="21"/>
                <w:szCs w:val="21"/>
                <w:highlight w:val="none"/>
                <w:u w:val="single"/>
                <w:lang w:val="en-US" w:eastAsia="zh-CN"/>
              </w:rPr>
              <w:t xml:space="preserve"> </w:t>
            </w:r>
            <w:r>
              <w:rPr>
                <w:rFonts w:hint="default" w:ascii="Times New Roman" w:hAnsi="Times New Roman" w:eastAsia="仿宋_GB2312" w:cs="Times New Roman"/>
                <w:snapToGrid w:val="0"/>
                <w:color w:val="auto"/>
                <w:kern w:val="0"/>
                <w:sz w:val="21"/>
                <w:szCs w:val="21"/>
                <w:highlight w:val="none"/>
                <w:u w:val="single"/>
                <w:lang w:val="en-US" w:eastAsia="en-US"/>
              </w:rPr>
              <w:t xml:space="preserve"> </w:t>
            </w:r>
            <w:r>
              <w:rPr>
                <w:rFonts w:hint="default" w:ascii="Times New Roman" w:hAnsi="Times New Roman" w:eastAsia="仿宋_GB2312" w:cs="Times New Roman"/>
                <w:snapToGrid w:val="0"/>
                <w:color w:val="auto"/>
                <w:kern w:val="0"/>
                <w:sz w:val="21"/>
                <w:szCs w:val="21"/>
                <w:highlight w:val="none"/>
                <w:lang w:eastAsia="en-US"/>
              </w:rPr>
              <w:t>日内组织初验，通过采购人初验后，试运行</w:t>
            </w:r>
            <w:r>
              <w:rPr>
                <w:rFonts w:hint="default" w:ascii="Times New Roman" w:hAnsi="Times New Roman" w:eastAsia="仿宋_GB2312" w:cs="Times New Roman"/>
                <w:snapToGrid w:val="0"/>
                <w:color w:val="auto"/>
                <w:kern w:val="0"/>
                <w:sz w:val="21"/>
                <w:szCs w:val="21"/>
                <w:highlight w:val="none"/>
                <w:u w:val="single"/>
                <w:lang w:val="en-US" w:eastAsia="en-US"/>
              </w:rPr>
              <w:t xml:space="preserve">   </w:t>
            </w:r>
            <w:r>
              <w:rPr>
                <w:rFonts w:hint="default" w:ascii="Times New Roman" w:hAnsi="Times New Roman" w:eastAsia="仿宋_GB2312" w:cs="Times New Roman"/>
                <w:snapToGrid w:val="0"/>
                <w:color w:val="auto"/>
                <w:kern w:val="0"/>
                <w:sz w:val="21"/>
                <w:szCs w:val="21"/>
                <w:highlight w:val="none"/>
                <w:lang w:eastAsia="en-US"/>
              </w:rPr>
              <w:t>个月，所供货物使用正常，满足采购人需求，采购人</w:t>
            </w:r>
            <w:r>
              <w:rPr>
                <w:rFonts w:hint="default" w:ascii="Times New Roman" w:hAnsi="Times New Roman" w:eastAsia="仿宋_GB2312" w:cs="Times New Roman"/>
                <w:snapToGrid w:val="0"/>
                <w:color w:val="auto"/>
                <w:kern w:val="0"/>
                <w:sz w:val="21"/>
                <w:szCs w:val="21"/>
                <w:highlight w:val="none"/>
                <w:u w:val="single"/>
                <w:lang w:val="en-US" w:eastAsia="en-US"/>
              </w:rPr>
              <w:t xml:space="preserve"> </w:t>
            </w:r>
            <w:r>
              <w:rPr>
                <w:rFonts w:hint="eastAsia" w:ascii="Times New Roman" w:hAnsi="Times New Roman" w:eastAsia="仿宋_GB2312" w:cs="Times New Roman"/>
                <w:snapToGrid w:val="0"/>
                <w:color w:val="auto"/>
                <w:kern w:val="0"/>
                <w:sz w:val="21"/>
                <w:szCs w:val="21"/>
                <w:highlight w:val="none"/>
                <w:u w:val="single"/>
                <w:lang w:val="en-US" w:eastAsia="zh-CN"/>
              </w:rPr>
              <w:t xml:space="preserve"> </w:t>
            </w:r>
            <w:r>
              <w:rPr>
                <w:rFonts w:hint="default" w:ascii="Times New Roman" w:hAnsi="Times New Roman" w:eastAsia="仿宋_GB2312" w:cs="Times New Roman"/>
                <w:snapToGrid w:val="0"/>
                <w:color w:val="auto"/>
                <w:kern w:val="0"/>
                <w:sz w:val="21"/>
                <w:szCs w:val="21"/>
                <w:highlight w:val="none"/>
                <w:u w:val="single"/>
                <w:lang w:val="en-US" w:eastAsia="en-US"/>
              </w:rPr>
              <w:t xml:space="preserve">  </w:t>
            </w:r>
            <w:r>
              <w:rPr>
                <w:rFonts w:hint="default" w:ascii="Times New Roman" w:hAnsi="Times New Roman" w:eastAsia="仿宋_GB2312" w:cs="Times New Roman"/>
                <w:snapToGrid w:val="0"/>
                <w:color w:val="auto"/>
                <w:kern w:val="0"/>
                <w:sz w:val="21"/>
                <w:szCs w:val="21"/>
                <w:highlight w:val="none"/>
                <w:lang w:eastAsia="en-US"/>
              </w:rPr>
              <w:t>日内出具最终验收意见。</w:t>
            </w:r>
          </w:p>
        </w:tc>
      </w:tr>
      <w:tr w14:paraId="65DB0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1979" w:type="dxa"/>
            <w:gridSpan w:val="2"/>
            <w:noWrap w:val="0"/>
            <w:vAlign w:val="center"/>
          </w:tcPr>
          <w:p w14:paraId="787A71F4">
            <w:pPr>
              <w:widowControl/>
              <w:kinsoku w:val="0"/>
              <w:autoSpaceDE w:val="0"/>
              <w:autoSpaceDN w:val="0"/>
              <w:adjustRightInd w:val="0"/>
              <w:snapToGrid w:val="0"/>
              <w:spacing w:line="400" w:lineRule="exact"/>
              <w:jc w:val="center"/>
              <w:textAlignment w:val="baseline"/>
              <w:rPr>
                <w:rFonts w:hint="default" w:ascii="Times New Roman" w:hAnsi="Times New Roman" w:eastAsia="仿宋_GB2312" w:cs="Times New Roman"/>
                <w:i w:val="0"/>
                <w:iCs w:val="0"/>
                <w:snapToGrid w:val="0"/>
                <w:color w:val="auto"/>
                <w:kern w:val="0"/>
                <w:sz w:val="21"/>
                <w:szCs w:val="21"/>
                <w:highlight w:val="none"/>
                <w:u w:val="none"/>
                <w:lang w:val="en-US" w:eastAsia="zh-CN" w:bidi="ar"/>
              </w:rPr>
            </w:pPr>
            <w:r>
              <w:rPr>
                <w:rFonts w:hint="default" w:ascii="Times New Roman" w:hAnsi="Times New Roman" w:eastAsia="仿宋_GB2312" w:cs="Times New Roman"/>
                <w:snapToGrid w:val="0"/>
                <w:color w:val="auto"/>
                <w:kern w:val="0"/>
                <w:sz w:val="21"/>
                <w:szCs w:val="21"/>
                <w:highlight w:val="none"/>
                <w:lang w:val="en-US" w:eastAsia="zh-CN"/>
              </w:rPr>
              <w:t>质量保修期</w:t>
            </w:r>
          </w:p>
        </w:tc>
        <w:tc>
          <w:tcPr>
            <w:tcW w:w="6983" w:type="dxa"/>
            <w:gridSpan w:val="6"/>
            <w:noWrap w:val="0"/>
            <w:vAlign w:val="center"/>
          </w:tcPr>
          <w:p w14:paraId="32BC2E3F">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default" w:ascii="Times New Roman" w:hAnsi="Times New Roman" w:eastAsia="仿宋_GB2312" w:cs="Times New Roman"/>
                <w:snapToGrid w:val="0"/>
                <w:color w:val="auto"/>
                <w:kern w:val="0"/>
                <w:sz w:val="21"/>
                <w:szCs w:val="21"/>
                <w:highlight w:val="none"/>
                <w:lang w:eastAsia="zh-CN"/>
              </w:rPr>
            </w:pPr>
            <w:r>
              <w:rPr>
                <w:rFonts w:hint="default" w:ascii="Times New Roman" w:hAnsi="Times New Roman" w:eastAsia="仿宋_GB2312" w:cs="Times New Roman"/>
                <w:snapToGrid w:val="0"/>
                <w:color w:val="auto"/>
                <w:kern w:val="0"/>
                <w:sz w:val="21"/>
                <w:szCs w:val="21"/>
                <w:highlight w:val="none"/>
                <w:lang w:eastAsia="en-US"/>
              </w:rPr>
              <w:t>所有设备类自验收合格之日起</w:t>
            </w:r>
            <w:r>
              <w:rPr>
                <w:rFonts w:hint="eastAsia" w:ascii="Times New Roman" w:hAnsi="Times New Roman" w:eastAsia="仿宋_GB2312" w:cs="Times New Roman"/>
                <w:snapToGrid w:val="0"/>
                <w:color w:val="auto"/>
                <w:kern w:val="0"/>
                <w:sz w:val="21"/>
                <w:szCs w:val="21"/>
                <w:highlight w:val="none"/>
                <w:u w:val="single"/>
                <w:lang w:val="en-US" w:eastAsia="zh-CN"/>
              </w:rPr>
              <w:t xml:space="preserve"> 3 </w:t>
            </w:r>
            <w:r>
              <w:rPr>
                <w:rFonts w:hint="default" w:ascii="Times New Roman" w:hAnsi="Times New Roman" w:eastAsia="仿宋_GB2312" w:cs="Times New Roman"/>
                <w:snapToGrid w:val="0"/>
                <w:color w:val="auto"/>
                <w:kern w:val="0"/>
                <w:sz w:val="21"/>
                <w:szCs w:val="21"/>
                <w:highlight w:val="none"/>
                <w:lang w:eastAsia="en-US"/>
              </w:rPr>
              <w:t>年，质保期内免费维修更换相关配件。</w:t>
            </w:r>
          </w:p>
        </w:tc>
      </w:tr>
    </w:tbl>
    <w:p w14:paraId="4121FC4F">
      <w:pPr>
        <w:keepNext w:val="0"/>
        <w:keepLines w:val="0"/>
        <w:pageBreakBefore w:val="0"/>
        <w:widowControl/>
        <w:kinsoku w:val="0"/>
        <w:wordWrap/>
        <w:overflowPunct/>
        <w:topLinePunct w:val="0"/>
        <w:autoSpaceDE w:val="0"/>
        <w:autoSpaceDN w:val="0"/>
        <w:bidi w:val="0"/>
        <w:adjustRightInd w:val="0"/>
        <w:snapToGrid w:val="0"/>
        <w:spacing w:line="440" w:lineRule="exact"/>
        <w:ind w:left="0" w:leftChars="0" w:right="0" w:firstLine="456"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val="en-US" w:eastAsia="zh-CN"/>
        </w:rPr>
      </w:pPr>
      <w:r>
        <w:rPr>
          <w:rFonts w:hint="eastAsia" w:ascii="Times New Roman" w:hAnsi="Times New Roman" w:eastAsia="仿宋_GB2312" w:cs="Times New Roman"/>
          <w:snapToGrid w:val="0"/>
          <w:color w:val="auto"/>
          <w:spacing w:val="-6"/>
          <w:kern w:val="0"/>
          <w:position w:val="0"/>
          <w:sz w:val="24"/>
          <w:szCs w:val="24"/>
          <w:lang w:val="en-US" w:eastAsia="zh-CN"/>
        </w:rPr>
        <w:t>注：如上述表格不适用相关货物的，具体信息以附件形式列明，作为本合同组成部分。</w:t>
      </w:r>
    </w:p>
    <w:p w14:paraId="68FD0FAC">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eastAsia="en-US"/>
        </w:rPr>
      </w:pPr>
      <w:r>
        <w:rPr>
          <w:rFonts w:hint="default"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val="en-US" w:eastAsia="zh-CN"/>
        </w:rPr>
        <w:t>4</w:t>
      </w:r>
      <w:r>
        <w:rPr>
          <w:rFonts w:hint="default"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政府采购组织形式：</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政府集中采购</w:t>
      </w:r>
      <w:r>
        <w:rPr>
          <w:rFonts w:hint="default" w:ascii="Times New Roman" w:hAnsi="Times New Roman" w:eastAsia="仿宋_GB2312" w:cs="Times New Roman"/>
          <w:snapToGrid w:val="0"/>
          <w:color w:val="auto"/>
          <w:spacing w:val="6"/>
          <w:kern w:val="0"/>
          <w:position w:val="0"/>
          <w:sz w:val="24"/>
          <w:szCs w:val="24"/>
          <w:lang w:val="en-US" w:eastAsia="zh-CN"/>
        </w:rPr>
        <w:t xml:space="preserve">  </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部门集中采购</w:t>
      </w:r>
      <w:r>
        <w:rPr>
          <w:rFonts w:hint="default" w:ascii="Times New Roman" w:hAnsi="Times New Roman" w:eastAsia="仿宋_GB2312" w:cs="Times New Roman"/>
          <w:snapToGrid w:val="0"/>
          <w:color w:val="auto"/>
          <w:spacing w:val="6"/>
          <w:kern w:val="0"/>
          <w:position w:val="0"/>
          <w:sz w:val="24"/>
          <w:szCs w:val="24"/>
          <w:lang w:val="en-US" w:eastAsia="zh-CN"/>
        </w:rPr>
        <w:t xml:space="preserve">   </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分散采购</w:t>
      </w:r>
    </w:p>
    <w:p w14:paraId="27DDDF5B">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eastAsia="zh-CN"/>
        </w:rPr>
      </w:pPr>
      <w:r>
        <w:rPr>
          <w:rFonts w:hint="default" w:ascii="Times New Roman" w:hAnsi="Times New Roman" w:eastAsia="仿宋_GB2312" w:cs="Times New Roman"/>
          <w:snapToGrid w:val="0"/>
          <w:color w:val="auto"/>
          <w:spacing w:val="6"/>
          <w:kern w:val="0"/>
          <w:position w:val="0"/>
          <w:sz w:val="24"/>
          <w:szCs w:val="24"/>
          <w:lang w:val="en-US" w:eastAsia="zh-CN"/>
        </w:rPr>
        <w:t>（5）政府采购方式：</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zh-CN"/>
        </w:rPr>
        <w:t>公开招标</w:t>
      </w:r>
      <w:r>
        <w:rPr>
          <w:rFonts w:hint="default" w:ascii="Times New Roman" w:hAnsi="Times New Roman" w:eastAsia="仿宋_GB2312" w:cs="Times New Roman"/>
          <w:snapToGrid w:val="0"/>
          <w:color w:val="auto"/>
          <w:spacing w:val="6"/>
          <w:kern w:val="0"/>
          <w:position w:val="0"/>
          <w:sz w:val="24"/>
          <w:szCs w:val="24"/>
          <w:lang w:val="en-US" w:eastAsia="zh-CN"/>
        </w:rPr>
        <w:t xml:space="preserve"> </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zh-CN"/>
        </w:rPr>
        <w:t>邀请招标</w:t>
      </w:r>
      <w:r>
        <w:rPr>
          <w:rFonts w:hint="default" w:ascii="Times New Roman" w:hAnsi="Times New Roman" w:eastAsia="仿宋_GB2312" w:cs="Times New Roman"/>
          <w:snapToGrid w:val="0"/>
          <w:color w:val="auto"/>
          <w:spacing w:val="6"/>
          <w:kern w:val="0"/>
          <w:position w:val="0"/>
          <w:sz w:val="24"/>
          <w:szCs w:val="24"/>
          <w:lang w:val="en-US" w:eastAsia="zh-CN"/>
        </w:rPr>
        <w:t xml:space="preserve"> </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zh-CN"/>
        </w:rPr>
        <w:t>竞争性谈判</w:t>
      </w:r>
      <w:r>
        <w:rPr>
          <w:rFonts w:hint="default" w:ascii="Times New Roman" w:hAnsi="Times New Roman" w:eastAsia="仿宋_GB2312" w:cs="Times New Roman"/>
          <w:snapToGrid w:val="0"/>
          <w:color w:val="auto"/>
          <w:spacing w:val="6"/>
          <w:kern w:val="0"/>
          <w:position w:val="0"/>
          <w:sz w:val="24"/>
          <w:szCs w:val="24"/>
          <w:lang w:val="en-US" w:eastAsia="zh-CN"/>
        </w:rPr>
        <w:t xml:space="preserve"> </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zh-CN"/>
        </w:rPr>
        <w:t>竞争性磋商</w:t>
      </w:r>
    </w:p>
    <w:p w14:paraId="6D4F4320">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u w:val="single"/>
          <w:lang w:val="en-US" w:eastAsia="zh-CN"/>
        </w:rPr>
      </w:pP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zh-CN"/>
        </w:rPr>
        <w:t>询价</w:t>
      </w:r>
      <w:r>
        <w:rPr>
          <w:rFonts w:hint="default" w:ascii="Times New Roman" w:hAnsi="Times New Roman" w:eastAsia="仿宋_GB2312" w:cs="Times New Roman"/>
          <w:snapToGrid w:val="0"/>
          <w:color w:val="auto"/>
          <w:spacing w:val="6"/>
          <w:kern w:val="0"/>
          <w:position w:val="0"/>
          <w:sz w:val="24"/>
          <w:szCs w:val="24"/>
          <w:lang w:val="en-US" w:eastAsia="zh-CN"/>
        </w:rPr>
        <w:t xml:space="preserve"> </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zh-CN"/>
        </w:rPr>
        <w:t>单一来源</w:t>
      </w:r>
      <w:r>
        <w:rPr>
          <w:rFonts w:hint="default" w:ascii="Times New Roman" w:hAnsi="Times New Roman" w:eastAsia="仿宋_GB2312" w:cs="Times New Roman"/>
          <w:snapToGrid w:val="0"/>
          <w:color w:val="auto"/>
          <w:spacing w:val="6"/>
          <w:kern w:val="0"/>
          <w:position w:val="0"/>
          <w:sz w:val="24"/>
          <w:szCs w:val="24"/>
          <w:lang w:val="en-US" w:eastAsia="zh-CN"/>
        </w:rPr>
        <w:t xml:space="preserve">  </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zh-CN"/>
        </w:rPr>
        <w:t>框架协议</w:t>
      </w:r>
      <w:r>
        <w:rPr>
          <w:rFonts w:hint="default" w:ascii="Times New Roman" w:hAnsi="Times New Roman" w:eastAsia="仿宋_GB2312" w:cs="Times New Roman"/>
          <w:snapToGrid w:val="0"/>
          <w:color w:val="auto"/>
          <w:spacing w:val="6"/>
          <w:kern w:val="0"/>
          <w:position w:val="0"/>
          <w:sz w:val="24"/>
          <w:szCs w:val="24"/>
          <w:lang w:val="en-US" w:eastAsia="zh-CN"/>
        </w:rPr>
        <w:t xml:space="preserve">   </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zh-CN"/>
        </w:rPr>
        <w:t>其他：</w:t>
      </w:r>
      <w:r>
        <w:rPr>
          <w:rFonts w:hint="default" w:ascii="Times New Roman" w:hAnsi="Times New Roman" w:eastAsia="仿宋_GB2312" w:cs="Times New Roman"/>
          <w:snapToGrid w:val="0"/>
          <w:color w:val="auto"/>
          <w:spacing w:val="6"/>
          <w:kern w:val="0"/>
          <w:position w:val="0"/>
          <w:sz w:val="24"/>
          <w:szCs w:val="24"/>
          <w:u w:val="single"/>
          <w:lang w:val="en-US" w:eastAsia="zh-CN"/>
        </w:rPr>
        <w:t xml:space="preserve">       </w:t>
      </w:r>
    </w:p>
    <w:p w14:paraId="4C3ACA9D">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eastAsia="en-US"/>
        </w:rPr>
      </w:pPr>
      <w:r>
        <w:rPr>
          <w:rFonts w:hint="default"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val="en-US" w:eastAsia="zh-CN"/>
        </w:rPr>
        <w:t>6</w:t>
      </w:r>
      <w:r>
        <w:rPr>
          <w:rFonts w:hint="default"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中标（成交）采购标的制造商是否为中小企业：</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是</w:t>
      </w:r>
      <w:r>
        <w:rPr>
          <w:rFonts w:hint="default" w:ascii="Times New Roman" w:hAnsi="Times New Roman" w:eastAsia="仿宋_GB2312" w:cs="Times New Roman"/>
          <w:snapToGrid w:val="0"/>
          <w:color w:val="auto"/>
          <w:spacing w:val="6"/>
          <w:kern w:val="0"/>
          <w:position w:val="0"/>
          <w:sz w:val="24"/>
          <w:szCs w:val="24"/>
          <w:lang w:val="en-US" w:eastAsia="zh-CN"/>
        </w:rPr>
        <w:t xml:space="preserve">   </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否</w:t>
      </w:r>
    </w:p>
    <w:p w14:paraId="181CC509">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eastAsia="en-US"/>
        </w:rPr>
      </w:pPr>
      <w:r>
        <w:rPr>
          <w:rFonts w:hint="default" w:ascii="Times New Roman" w:hAnsi="Times New Roman" w:eastAsia="仿宋_GB2312" w:cs="Times New Roman"/>
          <w:snapToGrid w:val="0"/>
          <w:color w:val="auto"/>
          <w:spacing w:val="6"/>
          <w:kern w:val="0"/>
          <w:position w:val="0"/>
          <w:sz w:val="24"/>
          <w:szCs w:val="24"/>
          <w:lang w:eastAsia="en-US"/>
        </w:rPr>
        <w:t>本合同是否为专门面向中小企业的采购合同（中小企业预留合同）：</w:t>
      </w:r>
    </w:p>
    <w:p w14:paraId="23CAC08A">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eastAsia="en-US"/>
        </w:rPr>
      </w:pP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是</w:t>
      </w:r>
      <w:r>
        <w:rPr>
          <w:rFonts w:hint="default" w:ascii="Times New Roman" w:hAnsi="Times New Roman" w:eastAsia="仿宋_GB2312" w:cs="Times New Roman"/>
          <w:snapToGrid w:val="0"/>
          <w:color w:val="auto"/>
          <w:spacing w:val="6"/>
          <w:kern w:val="0"/>
          <w:position w:val="0"/>
          <w:sz w:val="24"/>
          <w:szCs w:val="24"/>
          <w:lang w:val="en-US" w:eastAsia="zh-CN"/>
        </w:rPr>
        <w:t xml:space="preserve">   </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否</w:t>
      </w:r>
    </w:p>
    <w:p w14:paraId="2ED2AAC9">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eastAsia="en-US"/>
        </w:rPr>
      </w:pPr>
      <w:r>
        <w:rPr>
          <w:rFonts w:hint="default" w:ascii="Times New Roman" w:hAnsi="Times New Roman" w:eastAsia="仿宋_GB2312" w:cs="Times New Roman"/>
          <w:snapToGrid w:val="0"/>
          <w:color w:val="auto"/>
          <w:spacing w:val="6"/>
          <w:kern w:val="0"/>
          <w:position w:val="0"/>
          <w:sz w:val="24"/>
          <w:szCs w:val="24"/>
          <w:lang w:eastAsia="en-US"/>
        </w:rPr>
        <w:t>若本项目不专门面向中小企业采购，是否给予小微企业评审优惠：</w:t>
      </w:r>
    </w:p>
    <w:p w14:paraId="6FE50F4C">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eastAsia="en-US"/>
        </w:rPr>
      </w:pP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是</w:t>
      </w:r>
      <w:r>
        <w:rPr>
          <w:rFonts w:hint="default" w:ascii="Times New Roman" w:hAnsi="Times New Roman" w:eastAsia="仿宋_GB2312" w:cs="Times New Roman"/>
          <w:snapToGrid w:val="0"/>
          <w:color w:val="auto"/>
          <w:spacing w:val="6"/>
          <w:kern w:val="0"/>
          <w:position w:val="0"/>
          <w:sz w:val="24"/>
          <w:szCs w:val="24"/>
          <w:lang w:val="en-US" w:eastAsia="zh-CN"/>
        </w:rPr>
        <w:t xml:space="preserve">   </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否</w:t>
      </w:r>
    </w:p>
    <w:p w14:paraId="04584EDC">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eastAsia="en-US"/>
        </w:rPr>
      </w:pPr>
      <w:r>
        <w:rPr>
          <w:rFonts w:hint="default" w:ascii="Times New Roman" w:hAnsi="Times New Roman" w:eastAsia="仿宋_GB2312" w:cs="Times New Roman"/>
          <w:snapToGrid w:val="0"/>
          <w:color w:val="auto"/>
          <w:spacing w:val="6"/>
          <w:kern w:val="0"/>
          <w:position w:val="0"/>
          <w:sz w:val="24"/>
          <w:szCs w:val="24"/>
          <w:lang w:eastAsia="en-US"/>
        </w:rPr>
        <w:t>中标（成交）采购标的制造商是否为残疾人福利性单位：</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是</w:t>
      </w:r>
      <w:r>
        <w:rPr>
          <w:rFonts w:hint="default" w:ascii="Times New Roman" w:hAnsi="Times New Roman" w:eastAsia="仿宋_GB2312" w:cs="Times New Roman"/>
          <w:snapToGrid w:val="0"/>
          <w:color w:val="auto"/>
          <w:spacing w:val="6"/>
          <w:kern w:val="0"/>
          <w:position w:val="0"/>
          <w:sz w:val="24"/>
          <w:szCs w:val="24"/>
          <w:lang w:val="en-US" w:eastAsia="zh-CN"/>
        </w:rPr>
        <w:t xml:space="preserve">   </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否</w:t>
      </w:r>
    </w:p>
    <w:p w14:paraId="7AA6E11A">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eastAsia="en-US"/>
        </w:rPr>
      </w:pPr>
      <w:r>
        <w:rPr>
          <w:rFonts w:hint="default" w:ascii="Times New Roman" w:hAnsi="Times New Roman" w:eastAsia="仿宋_GB2312" w:cs="Times New Roman"/>
          <w:snapToGrid w:val="0"/>
          <w:color w:val="auto"/>
          <w:spacing w:val="6"/>
          <w:kern w:val="0"/>
          <w:position w:val="0"/>
          <w:sz w:val="24"/>
          <w:szCs w:val="24"/>
          <w:lang w:eastAsia="en-US"/>
        </w:rPr>
        <w:t>中标（成交）采购标的制造商是否为监狱企业：</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是</w:t>
      </w:r>
      <w:r>
        <w:rPr>
          <w:rFonts w:hint="default" w:ascii="Times New Roman" w:hAnsi="Times New Roman" w:eastAsia="仿宋_GB2312" w:cs="Times New Roman"/>
          <w:snapToGrid w:val="0"/>
          <w:color w:val="auto"/>
          <w:spacing w:val="6"/>
          <w:kern w:val="0"/>
          <w:position w:val="0"/>
          <w:sz w:val="24"/>
          <w:szCs w:val="24"/>
          <w:lang w:val="en-US" w:eastAsia="zh-CN"/>
        </w:rPr>
        <w:t xml:space="preserve">   </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否</w:t>
      </w:r>
    </w:p>
    <w:p w14:paraId="4667AFAC">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eastAsia="en-US"/>
        </w:rPr>
      </w:pPr>
      <w:r>
        <w:rPr>
          <w:rFonts w:hint="default"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val="en-US" w:eastAsia="zh-CN"/>
        </w:rPr>
        <w:t>7</w:t>
      </w:r>
      <w:r>
        <w:rPr>
          <w:rFonts w:hint="default"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合同是否分包：</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是</w:t>
      </w:r>
      <w:r>
        <w:rPr>
          <w:rFonts w:hint="default" w:ascii="Times New Roman" w:hAnsi="Times New Roman" w:eastAsia="仿宋_GB2312" w:cs="Times New Roman"/>
          <w:snapToGrid w:val="0"/>
          <w:color w:val="auto"/>
          <w:spacing w:val="6"/>
          <w:kern w:val="0"/>
          <w:position w:val="0"/>
          <w:sz w:val="24"/>
          <w:szCs w:val="24"/>
          <w:lang w:val="en-US" w:eastAsia="zh-CN"/>
        </w:rPr>
        <w:t xml:space="preserve">   </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否</w:t>
      </w:r>
    </w:p>
    <w:p w14:paraId="3743FE52">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eastAsia="en-US"/>
        </w:rPr>
      </w:pPr>
      <w:r>
        <w:rPr>
          <w:rFonts w:hint="default" w:ascii="Times New Roman" w:hAnsi="Times New Roman" w:eastAsia="仿宋_GB2312" w:cs="Times New Roman"/>
          <w:snapToGrid w:val="0"/>
          <w:color w:val="auto"/>
          <w:spacing w:val="6"/>
          <w:kern w:val="0"/>
          <w:position w:val="0"/>
          <w:sz w:val="24"/>
          <w:szCs w:val="24"/>
          <w:lang w:eastAsia="en-US"/>
        </w:rPr>
        <w:t>分包主要内容：</w:t>
      </w:r>
    </w:p>
    <w:p w14:paraId="46CA3186">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u w:val="single"/>
          <w:lang w:val="en-US" w:eastAsia="zh-CN"/>
        </w:rPr>
      </w:pPr>
      <w:r>
        <w:rPr>
          <w:rFonts w:hint="default" w:ascii="Times New Roman" w:hAnsi="Times New Roman" w:eastAsia="仿宋_GB2312" w:cs="Times New Roman"/>
          <w:snapToGrid w:val="0"/>
          <w:color w:val="auto"/>
          <w:spacing w:val="6"/>
          <w:kern w:val="0"/>
          <w:position w:val="0"/>
          <w:sz w:val="24"/>
          <w:szCs w:val="24"/>
          <w:lang w:eastAsia="en-US"/>
        </w:rPr>
        <w:t>分包供应商/制造商名称（如供应商和制造商不同，请分别填写）：</w:t>
      </w:r>
      <w:r>
        <w:rPr>
          <w:rFonts w:hint="default" w:ascii="Times New Roman" w:hAnsi="Times New Roman" w:eastAsia="仿宋_GB2312" w:cs="Times New Roman"/>
          <w:snapToGrid w:val="0"/>
          <w:color w:val="auto"/>
          <w:spacing w:val="6"/>
          <w:kern w:val="0"/>
          <w:position w:val="0"/>
          <w:sz w:val="24"/>
          <w:szCs w:val="24"/>
          <w:u w:val="single"/>
          <w:lang w:val="en-US" w:eastAsia="zh-CN"/>
        </w:rPr>
        <w:t xml:space="preserve">    </w:t>
      </w:r>
    </w:p>
    <w:p w14:paraId="5226C1DE">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val="en-US" w:eastAsia="zh-CN"/>
        </w:rPr>
      </w:pP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大型企业</w:t>
      </w:r>
      <w:r>
        <w:rPr>
          <w:rFonts w:hint="default" w:ascii="Times New Roman" w:hAnsi="Times New Roman" w:eastAsia="仿宋_GB2312" w:cs="Times New Roman"/>
          <w:snapToGrid w:val="0"/>
          <w:color w:val="auto"/>
          <w:spacing w:val="6"/>
          <w:kern w:val="0"/>
          <w:position w:val="0"/>
          <w:sz w:val="24"/>
          <w:szCs w:val="24"/>
          <w:lang w:val="en-US" w:eastAsia="zh-CN"/>
        </w:rPr>
        <w:t xml:space="preserve">   </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中型企业</w:t>
      </w:r>
      <w:r>
        <w:rPr>
          <w:rFonts w:hint="default" w:ascii="Times New Roman" w:hAnsi="Times New Roman" w:eastAsia="仿宋_GB2312" w:cs="Times New Roman"/>
          <w:snapToGrid w:val="0"/>
          <w:color w:val="auto"/>
          <w:spacing w:val="6"/>
          <w:kern w:val="0"/>
          <w:position w:val="0"/>
          <w:sz w:val="24"/>
          <w:szCs w:val="24"/>
          <w:lang w:val="en-US" w:eastAsia="zh-CN"/>
        </w:rPr>
        <w:t xml:space="preserve">  </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小微型企业</w:t>
      </w:r>
    </w:p>
    <w:p w14:paraId="43639AF8">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eastAsia="en-US"/>
        </w:rPr>
      </w:pP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残疾人福利性单位</w:t>
      </w:r>
      <w:r>
        <w:rPr>
          <w:rFonts w:hint="default" w:ascii="Times New Roman" w:hAnsi="Times New Roman" w:eastAsia="仿宋_GB2312" w:cs="Times New Roman"/>
          <w:snapToGrid w:val="0"/>
          <w:color w:val="auto"/>
          <w:spacing w:val="6"/>
          <w:kern w:val="0"/>
          <w:position w:val="0"/>
          <w:sz w:val="24"/>
          <w:szCs w:val="24"/>
          <w:lang w:val="en-US" w:eastAsia="zh-CN"/>
        </w:rPr>
        <w:t xml:space="preserve">       </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监狱企业</w:t>
      </w:r>
      <w:r>
        <w:rPr>
          <w:rFonts w:hint="default"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其他</w:t>
      </w:r>
    </w:p>
    <w:p w14:paraId="7197FA30">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eastAsia="en-US"/>
        </w:rPr>
      </w:pPr>
      <w:r>
        <w:rPr>
          <w:rFonts w:hint="default"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val="en-US" w:eastAsia="zh-CN"/>
        </w:rPr>
        <w:t>8</w:t>
      </w:r>
      <w:r>
        <w:rPr>
          <w:rFonts w:hint="default"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中标（成交）供应商是否为外商投资企业：</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是</w:t>
      </w:r>
      <w:r>
        <w:rPr>
          <w:rFonts w:hint="default" w:ascii="Times New Roman" w:hAnsi="Times New Roman" w:eastAsia="仿宋_GB2312" w:cs="Times New Roman"/>
          <w:snapToGrid w:val="0"/>
          <w:color w:val="auto"/>
          <w:spacing w:val="6"/>
          <w:kern w:val="0"/>
          <w:position w:val="0"/>
          <w:sz w:val="24"/>
          <w:szCs w:val="24"/>
          <w:lang w:val="en-US" w:eastAsia="zh-CN"/>
        </w:rPr>
        <w:t xml:space="preserve">   </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否</w:t>
      </w:r>
    </w:p>
    <w:p w14:paraId="56472843">
      <w:pPr>
        <w:keepNext w:val="0"/>
        <w:keepLines w:val="0"/>
        <w:pageBreakBefore w:val="0"/>
        <w:widowControl w:val="0"/>
        <w:tabs>
          <w:tab w:val="left" w:pos="8400"/>
        </w:tabs>
        <w:kinsoku w:val="0"/>
        <w:wordWrap/>
        <w:overflowPunct/>
        <w:topLinePunct w:val="0"/>
        <w:autoSpaceDE w:val="0"/>
        <w:autoSpaceDN w:val="0"/>
        <w:bidi w:val="0"/>
        <w:adjustRightInd w:val="0"/>
        <w:snapToGrid w:val="0"/>
        <w:spacing w:line="440" w:lineRule="exact"/>
        <w:ind w:left="0" w:leftChars="0" w:right="0" w:rightChars="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eastAsia="en-US"/>
        </w:rPr>
      </w:pPr>
      <w:r>
        <w:rPr>
          <w:rFonts w:hint="default" w:ascii="Times New Roman" w:hAnsi="Times New Roman" w:eastAsia="仿宋_GB2312" w:cs="Times New Roman"/>
          <w:snapToGrid w:val="0"/>
          <w:color w:val="auto"/>
          <w:spacing w:val="6"/>
          <w:kern w:val="0"/>
          <w:position w:val="0"/>
          <w:sz w:val="24"/>
          <w:szCs w:val="24"/>
          <w:lang w:eastAsia="en-US"/>
        </w:rPr>
        <w:t>外商投资企业类型：</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全部由外国投资者投资</w:t>
      </w:r>
      <w:r>
        <w:rPr>
          <w:rFonts w:hint="default" w:ascii="Times New Roman" w:hAnsi="Times New Roman" w:eastAsia="仿宋_GB2312" w:cs="Times New Roman"/>
          <w:snapToGrid w:val="0"/>
          <w:color w:val="auto"/>
          <w:spacing w:val="6"/>
          <w:kern w:val="0"/>
          <w:position w:val="0"/>
          <w:sz w:val="24"/>
          <w:szCs w:val="24"/>
          <w:lang w:eastAsia="zh-CN"/>
        </w:rPr>
        <w:t>；</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部分由外国投资者投资</w:t>
      </w:r>
    </w:p>
    <w:p w14:paraId="0F9C17A9">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eastAsia="en-US"/>
        </w:rPr>
      </w:pPr>
      <w:r>
        <w:rPr>
          <w:rFonts w:hint="default"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val="en-US" w:eastAsia="zh-CN"/>
        </w:rPr>
        <w:t>9</w:t>
      </w:r>
      <w:r>
        <w:rPr>
          <w:rFonts w:hint="default"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是否涉及进口产品：</w:t>
      </w:r>
    </w:p>
    <w:p w14:paraId="3D0E7154">
      <w:pPr>
        <w:keepNext w:val="0"/>
        <w:keepLines w:val="0"/>
        <w:pageBreakBefore w:val="0"/>
        <w:widowControl w:val="0"/>
        <w:tabs>
          <w:tab w:val="left" w:pos="8400"/>
        </w:tabs>
        <w:kinsoku w:val="0"/>
        <w:wordWrap/>
        <w:overflowPunct/>
        <w:topLinePunct w:val="0"/>
        <w:autoSpaceDE w:val="0"/>
        <w:autoSpaceDN w:val="0"/>
        <w:bidi w:val="0"/>
        <w:adjustRightInd w:val="0"/>
        <w:snapToGrid w:val="0"/>
        <w:spacing w:line="440" w:lineRule="exact"/>
        <w:ind w:left="0" w:leftChars="0" w:right="0" w:rightChars="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u w:val="single"/>
          <w:lang w:val="en-US" w:eastAsia="zh-CN"/>
        </w:rPr>
      </w:pP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是，《政府采购品目分类目录》底级品目名称：</w:t>
      </w:r>
      <w:r>
        <w:rPr>
          <w:rFonts w:hint="default" w:ascii="Times New Roman" w:hAnsi="Times New Roman" w:eastAsia="仿宋_GB2312" w:cs="Times New Roman"/>
          <w:snapToGrid w:val="0"/>
          <w:color w:val="auto"/>
          <w:spacing w:val="6"/>
          <w:kern w:val="0"/>
          <w:position w:val="0"/>
          <w:sz w:val="24"/>
          <w:szCs w:val="24"/>
          <w:u w:val="single"/>
          <w:lang w:val="en-US" w:eastAsia="zh-CN"/>
        </w:rPr>
        <w:t xml:space="preserve">         </w:t>
      </w:r>
    </w:p>
    <w:p w14:paraId="58377617">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u w:val="single"/>
          <w:lang w:val="en-US" w:eastAsia="zh-CN"/>
        </w:rPr>
      </w:pPr>
      <w:r>
        <w:rPr>
          <w:rFonts w:hint="default" w:ascii="Times New Roman" w:hAnsi="Times New Roman" w:eastAsia="仿宋_GB2312" w:cs="Times New Roman"/>
          <w:snapToGrid w:val="0"/>
          <w:color w:val="auto"/>
          <w:spacing w:val="6"/>
          <w:kern w:val="0"/>
          <w:position w:val="0"/>
          <w:sz w:val="24"/>
          <w:szCs w:val="24"/>
          <w:lang w:eastAsia="en-US"/>
        </w:rPr>
        <w:t>金额：</w:t>
      </w:r>
      <w:r>
        <w:rPr>
          <w:rFonts w:hint="default" w:ascii="Times New Roman" w:hAnsi="Times New Roman" w:eastAsia="仿宋_GB2312" w:cs="Times New Roman"/>
          <w:snapToGrid w:val="0"/>
          <w:color w:val="auto"/>
          <w:spacing w:val="6"/>
          <w:kern w:val="0"/>
          <w:position w:val="0"/>
          <w:sz w:val="24"/>
          <w:szCs w:val="24"/>
          <w:u w:val="single"/>
          <w:lang w:val="en-US" w:eastAsia="zh-CN"/>
        </w:rPr>
        <w:t xml:space="preserve">      </w:t>
      </w:r>
      <w:r>
        <w:rPr>
          <w:rFonts w:hint="default" w:ascii="Times New Roman" w:hAnsi="Times New Roman" w:eastAsia="仿宋_GB2312" w:cs="Times New Roman"/>
          <w:snapToGrid w:val="0"/>
          <w:color w:val="auto"/>
          <w:spacing w:val="6"/>
          <w:kern w:val="0"/>
          <w:position w:val="0"/>
          <w:sz w:val="24"/>
          <w:szCs w:val="24"/>
          <w:u w:val="none"/>
          <w:lang w:val="en-US" w:eastAsia="zh-CN"/>
        </w:rPr>
        <w:t>；</w:t>
      </w:r>
      <w:r>
        <w:rPr>
          <w:rFonts w:hint="default" w:ascii="Times New Roman" w:hAnsi="Times New Roman" w:eastAsia="仿宋_GB2312" w:cs="Times New Roman"/>
          <w:snapToGrid w:val="0"/>
          <w:color w:val="auto"/>
          <w:spacing w:val="6"/>
          <w:kern w:val="0"/>
          <w:position w:val="0"/>
          <w:sz w:val="24"/>
          <w:szCs w:val="24"/>
          <w:lang w:eastAsia="en-US"/>
        </w:rPr>
        <w:t>国别：</w:t>
      </w:r>
      <w:r>
        <w:rPr>
          <w:rFonts w:hint="default" w:ascii="Times New Roman" w:hAnsi="Times New Roman" w:eastAsia="仿宋_GB2312" w:cs="Times New Roman"/>
          <w:snapToGrid w:val="0"/>
          <w:color w:val="auto"/>
          <w:spacing w:val="6"/>
          <w:kern w:val="0"/>
          <w:position w:val="0"/>
          <w:sz w:val="24"/>
          <w:szCs w:val="24"/>
          <w:u w:val="single"/>
          <w:lang w:val="en-US" w:eastAsia="zh-CN"/>
        </w:rPr>
        <w:t xml:space="preserve">       </w:t>
      </w:r>
      <w:r>
        <w:rPr>
          <w:rFonts w:hint="default" w:ascii="Times New Roman" w:hAnsi="Times New Roman" w:eastAsia="仿宋_GB2312" w:cs="Times New Roman"/>
          <w:snapToGrid w:val="0"/>
          <w:color w:val="auto"/>
          <w:spacing w:val="6"/>
          <w:kern w:val="0"/>
          <w:position w:val="0"/>
          <w:sz w:val="24"/>
          <w:szCs w:val="24"/>
          <w:u w:val="none"/>
          <w:lang w:val="en-US" w:eastAsia="zh-CN"/>
        </w:rPr>
        <w:t>；</w:t>
      </w:r>
      <w:r>
        <w:rPr>
          <w:rFonts w:hint="default" w:ascii="Times New Roman" w:hAnsi="Times New Roman" w:eastAsia="仿宋_GB2312" w:cs="Times New Roman"/>
          <w:snapToGrid w:val="0"/>
          <w:color w:val="auto"/>
          <w:spacing w:val="6"/>
          <w:kern w:val="0"/>
          <w:position w:val="0"/>
          <w:sz w:val="24"/>
          <w:szCs w:val="24"/>
          <w:lang w:eastAsia="en-US"/>
        </w:rPr>
        <w:t>品牌：</w:t>
      </w:r>
      <w:r>
        <w:rPr>
          <w:rFonts w:hint="default" w:ascii="Times New Roman" w:hAnsi="Times New Roman" w:eastAsia="仿宋_GB2312" w:cs="Times New Roman"/>
          <w:snapToGrid w:val="0"/>
          <w:color w:val="auto"/>
          <w:spacing w:val="6"/>
          <w:kern w:val="0"/>
          <w:position w:val="0"/>
          <w:sz w:val="24"/>
          <w:szCs w:val="24"/>
          <w:u w:val="single"/>
          <w:lang w:val="en-US" w:eastAsia="zh-CN"/>
        </w:rPr>
        <w:t xml:space="preserve">       </w:t>
      </w:r>
      <w:r>
        <w:rPr>
          <w:rFonts w:hint="default" w:ascii="Times New Roman" w:hAnsi="Times New Roman" w:eastAsia="仿宋_GB2312" w:cs="Times New Roman"/>
          <w:snapToGrid w:val="0"/>
          <w:color w:val="auto"/>
          <w:spacing w:val="6"/>
          <w:kern w:val="0"/>
          <w:position w:val="0"/>
          <w:sz w:val="24"/>
          <w:szCs w:val="24"/>
          <w:u w:val="none"/>
          <w:lang w:val="en-US" w:eastAsia="zh-CN"/>
        </w:rPr>
        <w:t>；</w:t>
      </w:r>
      <w:r>
        <w:rPr>
          <w:rFonts w:hint="default" w:ascii="Times New Roman" w:hAnsi="Times New Roman" w:eastAsia="仿宋_GB2312" w:cs="Times New Roman"/>
          <w:snapToGrid w:val="0"/>
          <w:color w:val="auto"/>
          <w:spacing w:val="6"/>
          <w:kern w:val="0"/>
          <w:position w:val="0"/>
          <w:sz w:val="24"/>
          <w:szCs w:val="24"/>
          <w:lang w:eastAsia="en-US"/>
        </w:rPr>
        <w:t>规格型号</w:t>
      </w:r>
      <w:r>
        <w:rPr>
          <w:rFonts w:hint="default"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u w:val="single"/>
          <w:lang w:val="en-US" w:eastAsia="zh-CN"/>
        </w:rPr>
        <w:t xml:space="preserve">     </w:t>
      </w:r>
      <w:r>
        <w:rPr>
          <w:rFonts w:hint="default" w:ascii="Times New Roman" w:hAnsi="Times New Roman" w:eastAsia="仿宋_GB2312" w:cs="Times New Roman"/>
          <w:snapToGrid w:val="0"/>
          <w:color w:val="auto"/>
          <w:spacing w:val="6"/>
          <w:kern w:val="0"/>
          <w:position w:val="0"/>
          <w:sz w:val="24"/>
          <w:szCs w:val="24"/>
          <w:u w:val="none"/>
          <w:lang w:val="en-US" w:eastAsia="zh-CN"/>
        </w:rPr>
        <w:t>；</w:t>
      </w:r>
    </w:p>
    <w:p w14:paraId="4C1C1156">
      <w:pPr>
        <w:keepNext w:val="0"/>
        <w:keepLines w:val="0"/>
        <w:pageBreakBefore w:val="0"/>
        <w:widowControl w:val="0"/>
        <w:tabs>
          <w:tab w:val="left" w:pos="8400"/>
        </w:tabs>
        <w:kinsoku w:val="0"/>
        <w:wordWrap/>
        <w:overflowPunct/>
        <w:topLinePunct w:val="0"/>
        <w:autoSpaceDE w:val="0"/>
        <w:autoSpaceDN w:val="0"/>
        <w:bidi w:val="0"/>
        <w:adjustRightInd w:val="0"/>
        <w:snapToGrid w:val="0"/>
        <w:spacing w:line="440" w:lineRule="exact"/>
        <w:ind w:left="0" w:leftChars="0" w:right="0" w:rightChars="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eastAsia="en-US"/>
        </w:rPr>
      </w:pP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否</w:t>
      </w:r>
    </w:p>
    <w:p w14:paraId="000A2B66">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eastAsia="en-US"/>
        </w:rPr>
      </w:pPr>
      <w:r>
        <w:rPr>
          <w:rFonts w:hint="default"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val="en-US" w:eastAsia="zh-CN"/>
        </w:rPr>
        <w:t>10</w:t>
      </w:r>
      <w:r>
        <w:rPr>
          <w:rFonts w:hint="default"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是否涉及节能产品：</w:t>
      </w:r>
    </w:p>
    <w:p w14:paraId="093A2B26">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u w:val="single"/>
          <w:lang w:val="en-US" w:eastAsia="zh-CN"/>
        </w:rPr>
      </w:pP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是，《节能产品政府采购品目清单》的底级品目名称：</w:t>
      </w:r>
      <w:r>
        <w:rPr>
          <w:rFonts w:hint="default" w:ascii="Times New Roman" w:hAnsi="Times New Roman" w:eastAsia="仿宋_GB2312" w:cs="Times New Roman"/>
          <w:snapToGrid w:val="0"/>
          <w:color w:val="auto"/>
          <w:spacing w:val="6"/>
          <w:kern w:val="0"/>
          <w:position w:val="0"/>
          <w:sz w:val="24"/>
          <w:szCs w:val="24"/>
          <w:u w:val="single"/>
          <w:lang w:val="en-US" w:eastAsia="zh-CN"/>
        </w:rPr>
        <w:t xml:space="preserve">         </w:t>
      </w:r>
    </w:p>
    <w:p w14:paraId="192CD991">
      <w:pPr>
        <w:keepNext w:val="0"/>
        <w:keepLines w:val="0"/>
        <w:pageBreakBefore w:val="0"/>
        <w:widowControl w:val="0"/>
        <w:tabs>
          <w:tab w:val="left" w:pos="8400"/>
        </w:tabs>
        <w:kinsoku w:val="0"/>
        <w:wordWrap/>
        <w:overflowPunct/>
        <w:topLinePunct w:val="0"/>
        <w:autoSpaceDE w:val="0"/>
        <w:autoSpaceDN w:val="0"/>
        <w:bidi w:val="0"/>
        <w:adjustRightInd w:val="0"/>
        <w:snapToGrid w:val="0"/>
        <w:spacing w:line="440" w:lineRule="exact"/>
        <w:ind w:left="0" w:leftChars="0" w:right="0" w:rightChars="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eastAsia="zh-CN"/>
        </w:rPr>
      </w:pP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强制采购</w:t>
      </w:r>
      <w:r>
        <w:rPr>
          <w:rFonts w:hint="default" w:ascii="Times New Roman" w:hAnsi="Times New Roman" w:eastAsia="仿宋_GB2312" w:cs="Times New Roman"/>
          <w:snapToGrid w:val="0"/>
          <w:color w:val="auto"/>
          <w:spacing w:val="6"/>
          <w:kern w:val="0"/>
          <w:position w:val="0"/>
          <w:sz w:val="24"/>
          <w:szCs w:val="24"/>
          <w:lang w:val="en-US" w:eastAsia="zh-CN"/>
        </w:rPr>
        <w:t xml:space="preserve">  </w:t>
      </w:r>
      <w:r>
        <w:rPr>
          <w:rFonts w:hint="default"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优先采购</w:t>
      </w:r>
    </w:p>
    <w:p w14:paraId="5CDDD459">
      <w:pPr>
        <w:keepNext w:val="0"/>
        <w:keepLines w:val="0"/>
        <w:pageBreakBefore w:val="0"/>
        <w:widowControl w:val="0"/>
        <w:tabs>
          <w:tab w:val="left" w:pos="8400"/>
        </w:tabs>
        <w:kinsoku w:val="0"/>
        <w:wordWrap/>
        <w:overflowPunct/>
        <w:topLinePunct w:val="0"/>
        <w:autoSpaceDE w:val="0"/>
        <w:autoSpaceDN w:val="0"/>
        <w:bidi w:val="0"/>
        <w:adjustRightInd w:val="0"/>
        <w:snapToGrid w:val="0"/>
        <w:spacing w:line="440" w:lineRule="exact"/>
        <w:ind w:left="0" w:leftChars="0" w:right="0" w:rightChars="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eastAsia="en-US"/>
        </w:rPr>
      </w:pP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否</w:t>
      </w:r>
    </w:p>
    <w:p w14:paraId="560F53F5">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eastAsia="en-US"/>
        </w:rPr>
      </w:pPr>
      <w:r>
        <w:rPr>
          <w:rFonts w:hint="default" w:ascii="Times New Roman" w:hAnsi="Times New Roman" w:eastAsia="仿宋_GB2312" w:cs="Times New Roman"/>
          <w:snapToGrid w:val="0"/>
          <w:color w:val="auto"/>
          <w:spacing w:val="6"/>
          <w:kern w:val="0"/>
          <w:position w:val="0"/>
          <w:sz w:val="24"/>
          <w:szCs w:val="24"/>
          <w:lang w:eastAsia="en-US"/>
        </w:rPr>
        <w:t>是否涉及环境标志产品：</w:t>
      </w:r>
    </w:p>
    <w:p w14:paraId="7F3EABE4">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u w:val="single"/>
          <w:lang w:val="en-US" w:eastAsia="zh-CN"/>
        </w:rPr>
      </w:pP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是，《环境标志产品政府采购品目清单》的底级品目名称：</w:t>
      </w:r>
      <w:r>
        <w:rPr>
          <w:rFonts w:hint="default" w:ascii="Times New Roman" w:hAnsi="Times New Roman" w:eastAsia="仿宋_GB2312" w:cs="Times New Roman"/>
          <w:snapToGrid w:val="0"/>
          <w:color w:val="auto"/>
          <w:spacing w:val="6"/>
          <w:kern w:val="0"/>
          <w:position w:val="0"/>
          <w:sz w:val="24"/>
          <w:szCs w:val="24"/>
          <w:u w:val="single"/>
          <w:lang w:val="en-US" w:eastAsia="zh-CN"/>
        </w:rPr>
        <w:t xml:space="preserve">          </w:t>
      </w:r>
    </w:p>
    <w:p w14:paraId="40909DB3">
      <w:pPr>
        <w:keepNext w:val="0"/>
        <w:keepLines w:val="0"/>
        <w:pageBreakBefore w:val="0"/>
        <w:widowControl w:val="0"/>
        <w:tabs>
          <w:tab w:val="left" w:pos="8400"/>
        </w:tabs>
        <w:kinsoku w:val="0"/>
        <w:wordWrap/>
        <w:overflowPunct/>
        <w:topLinePunct w:val="0"/>
        <w:autoSpaceDE w:val="0"/>
        <w:autoSpaceDN w:val="0"/>
        <w:bidi w:val="0"/>
        <w:adjustRightInd w:val="0"/>
        <w:snapToGrid w:val="0"/>
        <w:spacing w:line="440" w:lineRule="exact"/>
        <w:ind w:left="0" w:leftChars="0" w:right="0" w:rightChars="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eastAsia="zh-CN"/>
        </w:rPr>
      </w:pP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强制采购</w:t>
      </w:r>
      <w:r>
        <w:rPr>
          <w:rFonts w:hint="default" w:ascii="Times New Roman" w:hAnsi="Times New Roman" w:eastAsia="仿宋_GB2312" w:cs="Times New Roman"/>
          <w:snapToGrid w:val="0"/>
          <w:color w:val="auto"/>
          <w:spacing w:val="6"/>
          <w:kern w:val="0"/>
          <w:position w:val="0"/>
          <w:sz w:val="24"/>
          <w:szCs w:val="24"/>
          <w:lang w:val="en-US" w:eastAsia="zh-CN"/>
        </w:rPr>
        <w:t xml:space="preserve">  </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优先采购</w:t>
      </w:r>
    </w:p>
    <w:p w14:paraId="47222FF9">
      <w:pPr>
        <w:keepNext w:val="0"/>
        <w:keepLines w:val="0"/>
        <w:pageBreakBefore w:val="0"/>
        <w:widowControl w:val="0"/>
        <w:tabs>
          <w:tab w:val="left" w:pos="8400"/>
        </w:tabs>
        <w:kinsoku w:val="0"/>
        <w:wordWrap/>
        <w:overflowPunct/>
        <w:topLinePunct w:val="0"/>
        <w:autoSpaceDE w:val="0"/>
        <w:autoSpaceDN w:val="0"/>
        <w:bidi w:val="0"/>
        <w:adjustRightInd w:val="0"/>
        <w:snapToGrid w:val="0"/>
        <w:spacing w:line="440" w:lineRule="exact"/>
        <w:ind w:left="0" w:leftChars="0" w:right="0" w:rightChars="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eastAsia="en-US"/>
        </w:rPr>
      </w:pP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否</w:t>
      </w:r>
    </w:p>
    <w:p w14:paraId="2EF28907">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eastAsia="en-US"/>
        </w:rPr>
      </w:pPr>
      <w:r>
        <w:rPr>
          <w:rFonts w:hint="default" w:ascii="Times New Roman" w:hAnsi="Times New Roman" w:eastAsia="仿宋_GB2312" w:cs="Times New Roman"/>
          <w:snapToGrid w:val="0"/>
          <w:color w:val="auto"/>
          <w:spacing w:val="6"/>
          <w:kern w:val="0"/>
          <w:position w:val="0"/>
          <w:sz w:val="24"/>
          <w:szCs w:val="24"/>
          <w:lang w:eastAsia="en-US"/>
        </w:rPr>
        <w:t>是否涉及绿色产品：</w:t>
      </w:r>
    </w:p>
    <w:p w14:paraId="31DFB286">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u w:val="single"/>
          <w:lang w:val="en-US" w:eastAsia="zh-CN"/>
        </w:rPr>
      </w:pP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是，绿色产品政府采购相关政策确定的底级品目名称：</w:t>
      </w:r>
      <w:r>
        <w:rPr>
          <w:rFonts w:hint="default" w:ascii="Times New Roman" w:hAnsi="Times New Roman" w:eastAsia="仿宋_GB2312" w:cs="Times New Roman"/>
          <w:snapToGrid w:val="0"/>
          <w:color w:val="auto"/>
          <w:spacing w:val="6"/>
          <w:kern w:val="0"/>
          <w:position w:val="0"/>
          <w:sz w:val="24"/>
          <w:szCs w:val="24"/>
          <w:u w:val="single"/>
          <w:lang w:val="en-US" w:eastAsia="zh-CN"/>
        </w:rPr>
        <w:t xml:space="preserve">   </w:t>
      </w:r>
      <w:r>
        <w:rPr>
          <w:rFonts w:hint="eastAsia" w:ascii="Times New Roman" w:hAnsi="Times New Roman" w:eastAsia="仿宋_GB2312" w:cs="Times New Roman"/>
          <w:snapToGrid w:val="0"/>
          <w:color w:val="auto"/>
          <w:spacing w:val="6"/>
          <w:kern w:val="0"/>
          <w:position w:val="0"/>
          <w:sz w:val="24"/>
          <w:szCs w:val="24"/>
          <w:u w:val="single"/>
          <w:lang w:val="en-US" w:eastAsia="zh-CN"/>
        </w:rPr>
        <w:t xml:space="preserve"> </w:t>
      </w:r>
      <w:r>
        <w:rPr>
          <w:rFonts w:hint="default" w:ascii="Times New Roman" w:hAnsi="Times New Roman" w:eastAsia="仿宋_GB2312" w:cs="Times New Roman"/>
          <w:snapToGrid w:val="0"/>
          <w:color w:val="auto"/>
          <w:spacing w:val="6"/>
          <w:kern w:val="0"/>
          <w:position w:val="0"/>
          <w:sz w:val="24"/>
          <w:szCs w:val="24"/>
          <w:u w:val="single"/>
          <w:lang w:val="en-US" w:eastAsia="zh-CN"/>
        </w:rPr>
        <w:t xml:space="preserve">       </w:t>
      </w:r>
    </w:p>
    <w:p w14:paraId="5F0CBACD">
      <w:pPr>
        <w:keepNext w:val="0"/>
        <w:keepLines w:val="0"/>
        <w:pageBreakBefore w:val="0"/>
        <w:widowControl w:val="0"/>
        <w:tabs>
          <w:tab w:val="left" w:pos="8400"/>
        </w:tabs>
        <w:kinsoku w:val="0"/>
        <w:wordWrap/>
        <w:overflowPunct/>
        <w:topLinePunct w:val="0"/>
        <w:autoSpaceDE w:val="0"/>
        <w:autoSpaceDN w:val="0"/>
        <w:bidi w:val="0"/>
        <w:adjustRightInd w:val="0"/>
        <w:snapToGrid w:val="0"/>
        <w:spacing w:line="440" w:lineRule="exact"/>
        <w:ind w:left="0" w:leftChars="0" w:right="0" w:rightChars="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eastAsia="zh-CN"/>
        </w:rPr>
      </w:pP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强制采购</w:t>
      </w:r>
      <w:r>
        <w:rPr>
          <w:rFonts w:hint="default" w:ascii="Times New Roman" w:hAnsi="Times New Roman" w:eastAsia="仿宋_GB2312" w:cs="Times New Roman"/>
          <w:snapToGrid w:val="0"/>
          <w:color w:val="auto"/>
          <w:spacing w:val="6"/>
          <w:kern w:val="0"/>
          <w:position w:val="0"/>
          <w:sz w:val="24"/>
          <w:szCs w:val="24"/>
          <w:lang w:val="en-US" w:eastAsia="zh-CN"/>
        </w:rPr>
        <w:t xml:space="preserve">  </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优先采购</w:t>
      </w:r>
    </w:p>
    <w:p w14:paraId="2BE5CA82">
      <w:pPr>
        <w:keepNext w:val="0"/>
        <w:keepLines w:val="0"/>
        <w:pageBreakBefore w:val="0"/>
        <w:widowControl w:val="0"/>
        <w:tabs>
          <w:tab w:val="left" w:pos="8400"/>
        </w:tabs>
        <w:kinsoku w:val="0"/>
        <w:wordWrap/>
        <w:overflowPunct/>
        <w:topLinePunct w:val="0"/>
        <w:autoSpaceDE w:val="0"/>
        <w:autoSpaceDN w:val="0"/>
        <w:bidi w:val="0"/>
        <w:adjustRightInd w:val="0"/>
        <w:snapToGrid w:val="0"/>
        <w:spacing w:line="440" w:lineRule="exact"/>
        <w:ind w:left="0" w:leftChars="0" w:right="0" w:rightChars="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eastAsia="en-US"/>
        </w:rPr>
      </w:pP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否</w:t>
      </w:r>
    </w:p>
    <w:p w14:paraId="0C46B7F4">
      <w:pPr>
        <w:keepNext w:val="0"/>
        <w:keepLines w:val="0"/>
        <w:pageBreakBefore w:val="0"/>
        <w:widowControl w:val="0"/>
        <w:kinsoku w:val="0"/>
        <w:wordWrap/>
        <w:overflowPunct/>
        <w:topLinePunct w:val="0"/>
        <w:autoSpaceDE w:val="0"/>
        <w:autoSpaceDN w:val="0"/>
        <w:bidi w:val="0"/>
        <w:adjustRightInd w:val="0"/>
        <w:snapToGrid w:val="0"/>
        <w:spacing w:line="440" w:lineRule="exact"/>
        <w:ind w:right="0" w:firstLine="524" w:firstLineChars="200"/>
        <w:jc w:val="both"/>
        <w:textAlignment w:val="baseline"/>
        <w:rPr>
          <w:rFonts w:hint="default" w:ascii="Times New Roman" w:hAnsi="Times New Roman" w:eastAsia="仿宋_GB2312" w:cs="Times New Roman"/>
          <w:snapToGrid w:val="0"/>
          <w:color w:val="auto"/>
          <w:spacing w:val="11"/>
          <w:kern w:val="0"/>
          <w:position w:val="0"/>
          <w:sz w:val="24"/>
          <w:szCs w:val="24"/>
          <w:u w:val="none" w:color="auto"/>
          <w:lang w:val="en-US" w:eastAsia="zh-CN"/>
        </w:rPr>
      </w:pPr>
      <w:r>
        <w:rPr>
          <w:rFonts w:hint="default" w:ascii="Times New Roman" w:hAnsi="Times New Roman" w:eastAsia="仿宋_GB2312" w:cs="Times New Roman"/>
          <w:snapToGrid w:val="0"/>
          <w:color w:val="auto"/>
          <w:spacing w:val="11"/>
          <w:kern w:val="0"/>
          <w:position w:val="0"/>
          <w:sz w:val="24"/>
          <w:szCs w:val="24"/>
          <w:u w:val="none" w:color="auto"/>
          <w:lang w:eastAsia="zh-CN"/>
        </w:rPr>
        <w:t>（</w:t>
      </w:r>
      <w:r>
        <w:rPr>
          <w:rFonts w:hint="default" w:ascii="Times New Roman" w:hAnsi="Times New Roman" w:eastAsia="仿宋_GB2312" w:cs="Times New Roman"/>
          <w:snapToGrid w:val="0"/>
          <w:color w:val="auto"/>
          <w:spacing w:val="11"/>
          <w:kern w:val="0"/>
          <w:position w:val="0"/>
          <w:sz w:val="24"/>
          <w:szCs w:val="24"/>
          <w:u w:val="none" w:color="auto"/>
          <w:lang w:val="en-US" w:eastAsia="zh-CN"/>
        </w:rPr>
        <w:t>11）涉及商品包装和快递包装的，是否参考《商品包装政府采购需求标准（试行）》、《快递包装政府采购需求标准（试行）》明确产品及相关快递服务的具体包装要求：</w:t>
      </w:r>
    </w:p>
    <w:p w14:paraId="6C30A4A4">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eastAsia="en-US"/>
        </w:rPr>
      </w:pP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是</w:t>
      </w:r>
      <w:r>
        <w:rPr>
          <w:rFonts w:hint="default" w:ascii="Times New Roman" w:hAnsi="Times New Roman" w:eastAsia="仿宋_GB2312" w:cs="Times New Roman"/>
          <w:snapToGrid w:val="0"/>
          <w:color w:val="auto"/>
          <w:spacing w:val="6"/>
          <w:kern w:val="0"/>
          <w:position w:val="0"/>
          <w:sz w:val="24"/>
          <w:szCs w:val="24"/>
          <w:lang w:val="en-US" w:eastAsia="zh-CN"/>
        </w:rPr>
        <w:t xml:space="preserve">   </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否</w:t>
      </w:r>
      <w:r>
        <w:rPr>
          <w:rFonts w:hint="default" w:ascii="Times New Roman" w:hAnsi="Times New Roman" w:eastAsia="仿宋_GB2312" w:cs="Times New Roman"/>
          <w:snapToGrid w:val="0"/>
          <w:color w:val="auto"/>
          <w:spacing w:val="6"/>
          <w:kern w:val="0"/>
          <w:position w:val="0"/>
          <w:sz w:val="24"/>
          <w:szCs w:val="24"/>
          <w:lang w:val="en-US" w:eastAsia="zh-CN"/>
        </w:rPr>
        <w:t xml:space="preserve">   </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不涉及</w:t>
      </w:r>
    </w:p>
    <w:p w14:paraId="703832D0">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6" w:firstLineChars="200"/>
        <w:jc w:val="both"/>
        <w:textAlignment w:val="baseline"/>
        <w:rPr>
          <w:rFonts w:hint="default" w:ascii="Times New Roman" w:hAnsi="Times New Roman" w:eastAsia="楷体_GB2312" w:cs="Times New Roman"/>
          <w:b/>
          <w:bCs/>
          <w:snapToGrid w:val="0"/>
          <w:color w:val="auto"/>
          <w:spacing w:val="6"/>
          <w:kern w:val="0"/>
          <w:position w:val="0"/>
          <w:sz w:val="24"/>
          <w:szCs w:val="24"/>
          <w:lang w:eastAsia="en-US"/>
        </w:rPr>
      </w:pPr>
      <w:r>
        <w:rPr>
          <w:rFonts w:hint="default" w:ascii="Times New Roman" w:hAnsi="Times New Roman" w:eastAsia="楷体_GB2312" w:cs="Times New Roman"/>
          <w:b/>
          <w:bCs/>
          <w:snapToGrid w:val="0"/>
          <w:color w:val="auto"/>
          <w:spacing w:val="6"/>
          <w:kern w:val="0"/>
          <w:position w:val="0"/>
          <w:sz w:val="24"/>
          <w:szCs w:val="24"/>
          <w:lang w:eastAsia="en-US"/>
        </w:rPr>
        <w:t>2.合同金额</w:t>
      </w:r>
    </w:p>
    <w:p w14:paraId="2FBD703A">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 w:cs="Times New Roman"/>
          <w:snapToGrid w:val="0"/>
          <w:color w:val="auto"/>
          <w:spacing w:val="6"/>
          <w:kern w:val="0"/>
          <w:position w:val="0"/>
          <w:sz w:val="24"/>
          <w:szCs w:val="24"/>
          <w:highlight w:val="none"/>
          <w:u w:val="single"/>
          <w:lang w:val="en-US" w:eastAsia="zh-CN"/>
        </w:rPr>
      </w:pPr>
      <w:r>
        <w:rPr>
          <w:rFonts w:hint="default" w:ascii="Times New Roman" w:hAnsi="Times New Roman" w:eastAsia="仿宋_GB2312" w:cs="Times New Roman"/>
          <w:snapToGrid w:val="0"/>
          <w:color w:val="auto"/>
          <w:spacing w:val="6"/>
          <w:kern w:val="0"/>
          <w:position w:val="0"/>
          <w:sz w:val="24"/>
          <w:szCs w:val="24"/>
          <w:lang w:eastAsia="en-US"/>
        </w:rPr>
        <w:t>（1）合同金额小写：</w:t>
      </w:r>
      <w:r>
        <w:rPr>
          <w:rFonts w:hint="default" w:ascii="Times New Roman" w:hAnsi="Times New Roman" w:eastAsia="仿宋" w:cs="Times New Roman"/>
          <w:snapToGrid w:val="0"/>
          <w:color w:val="auto"/>
          <w:spacing w:val="6"/>
          <w:kern w:val="0"/>
          <w:position w:val="0"/>
          <w:sz w:val="24"/>
          <w:szCs w:val="24"/>
          <w:highlight w:val="none"/>
          <w:u w:val="single"/>
          <w:lang w:val="en-US" w:eastAsia="zh-CN"/>
        </w:rPr>
        <w:t xml:space="preserve">           </w:t>
      </w:r>
    </w:p>
    <w:p w14:paraId="3333E3D9">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val="en-US" w:eastAsia="en-US"/>
        </w:rPr>
      </w:pPr>
      <w:r>
        <w:rPr>
          <w:rFonts w:hint="default" w:ascii="Times New Roman" w:hAnsi="Times New Roman" w:eastAsia="仿宋_GB2312" w:cs="Times New Roman"/>
          <w:snapToGrid w:val="0"/>
          <w:color w:val="auto"/>
          <w:spacing w:val="6"/>
          <w:kern w:val="0"/>
          <w:position w:val="0"/>
          <w:sz w:val="24"/>
          <w:szCs w:val="24"/>
          <w:lang w:eastAsia="en-US"/>
        </w:rPr>
        <w:t>大写：</w:t>
      </w:r>
      <w:r>
        <w:rPr>
          <w:rFonts w:hint="default" w:ascii="Times New Roman" w:hAnsi="Times New Roman" w:eastAsia="仿宋" w:cs="Times New Roman"/>
          <w:snapToGrid w:val="0"/>
          <w:color w:val="auto"/>
          <w:spacing w:val="6"/>
          <w:kern w:val="0"/>
          <w:position w:val="0"/>
          <w:sz w:val="24"/>
          <w:szCs w:val="24"/>
          <w:highlight w:val="none"/>
          <w:u w:val="single"/>
          <w:lang w:val="en-US" w:eastAsia="zh-CN"/>
        </w:rPr>
        <w:t xml:space="preserve">               </w:t>
      </w:r>
    </w:p>
    <w:p w14:paraId="1CC44671">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val="en-US" w:eastAsia="zh-CN"/>
        </w:rPr>
      </w:pPr>
      <w:r>
        <w:rPr>
          <w:rFonts w:hint="default" w:ascii="Times New Roman" w:hAnsi="Times New Roman" w:eastAsia="仿宋_GB2312" w:cs="Times New Roman"/>
          <w:snapToGrid w:val="0"/>
          <w:color w:val="auto"/>
          <w:spacing w:val="6"/>
          <w:kern w:val="0"/>
          <w:position w:val="0"/>
          <w:sz w:val="24"/>
          <w:szCs w:val="24"/>
          <w:lang w:eastAsia="en-US"/>
        </w:rPr>
        <w:t>分包金额（如有）小写：</w:t>
      </w:r>
      <w:r>
        <w:rPr>
          <w:rFonts w:hint="default" w:ascii="Times New Roman" w:hAnsi="Times New Roman" w:eastAsia="仿宋_GB2312" w:cs="Times New Roman"/>
          <w:snapToGrid w:val="0"/>
          <w:color w:val="auto"/>
          <w:spacing w:val="6"/>
          <w:kern w:val="0"/>
          <w:position w:val="0"/>
          <w:sz w:val="24"/>
          <w:szCs w:val="24"/>
          <w:lang w:val="en-US" w:eastAsia="zh-CN"/>
        </w:rPr>
        <w:t>/</w:t>
      </w:r>
    </w:p>
    <w:p w14:paraId="567815E6">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val="en-US" w:eastAsia="zh-CN"/>
        </w:rPr>
      </w:pPr>
      <w:r>
        <w:rPr>
          <w:rFonts w:hint="default" w:ascii="Times New Roman" w:hAnsi="Times New Roman" w:eastAsia="仿宋_GB2312" w:cs="Times New Roman"/>
          <w:snapToGrid w:val="0"/>
          <w:color w:val="auto"/>
          <w:spacing w:val="6"/>
          <w:kern w:val="0"/>
          <w:position w:val="0"/>
          <w:sz w:val="24"/>
          <w:szCs w:val="24"/>
          <w:lang w:eastAsia="en-US"/>
        </w:rPr>
        <w:t>大写：</w:t>
      </w:r>
      <w:r>
        <w:rPr>
          <w:rFonts w:hint="default" w:ascii="Times New Roman" w:hAnsi="Times New Roman" w:eastAsia="仿宋_GB2312" w:cs="Times New Roman"/>
          <w:snapToGrid w:val="0"/>
          <w:color w:val="auto"/>
          <w:spacing w:val="6"/>
          <w:kern w:val="0"/>
          <w:position w:val="0"/>
          <w:sz w:val="24"/>
          <w:szCs w:val="24"/>
          <w:lang w:val="en-US" w:eastAsia="zh-CN"/>
        </w:rPr>
        <w:t>/</w:t>
      </w:r>
    </w:p>
    <w:p w14:paraId="29B2BFED">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eastAsia="en-US"/>
        </w:rPr>
      </w:pPr>
      <w:r>
        <w:rPr>
          <w:rFonts w:hint="default" w:ascii="Times New Roman" w:hAnsi="Times New Roman" w:eastAsia="仿宋_GB2312" w:cs="Times New Roman"/>
          <w:snapToGrid w:val="0"/>
          <w:color w:val="auto"/>
          <w:spacing w:val="6"/>
          <w:kern w:val="0"/>
          <w:position w:val="0"/>
          <w:sz w:val="24"/>
          <w:szCs w:val="24"/>
          <w:lang w:eastAsia="en-US"/>
        </w:rPr>
        <w:t>（注：固定单价合同应填写单价和最高限价）</w:t>
      </w:r>
    </w:p>
    <w:p w14:paraId="6191F570">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eastAsia="en-US"/>
        </w:rPr>
      </w:pPr>
      <w:r>
        <w:rPr>
          <w:rFonts w:hint="default" w:ascii="Times New Roman" w:hAnsi="Times New Roman" w:eastAsia="仿宋_GB2312" w:cs="Times New Roman"/>
          <w:snapToGrid w:val="0"/>
          <w:color w:val="auto"/>
          <w:spacing w:val="6"/>
          <w:kern w:val="0"/>
          <w:position w:val="0"/>
          <w:sz w:val="24"/>
          <w:szCs w:val="24"/>
          <w:lang w:eastAsia="en-US"/>
        </w:rPr>
        <w:t>（2）合同定价方式（采用组合定价方式的，可以勾选多项）：</w:t>
      </w:r>
    </w:p>
    <w:p w14:paraId="1AA36F31">
      <w:pPr>
        <w:keepNext w:val="0"/>
        <w:keepLines w:val="0"/>
        <w:pageBreakBefore w:val="0"/>
        <w:widowControl w:val="0"/>
        <w:kinsoku w:val="0"/>
        <w:wordWrap/>
        <w:overflowPunct/>
        <w:topLinePunct w:val="0"/>
        <w:autoSpaceDE w:val="0"/>
        <w:autoSpaceDN w:val="0"/>
        <w:bidi w:val="0"/>
        <w:adjustRightInd w:val="0"/>
        <w:snapToGrid w:val="0"/>
        <w:spacing w:line="440" w:lineRule="exact"/>
        <w:ind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eastAsia="en-US"/>
        </w:rPr>
      </w:pP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固定总价</w:t>
      </w:r>
      <w:r>
        <w:rPr>
          <w:rFonts w:hint="eastAsia" w:ascii="Times New Roman" w:hAnsi="Times New Roman" w:eastAsia="仿宋_GB2312" w:cs="Times New Roman"/>
          <w:snapToGrid w:val="0"/>
          <w:color w:val="auto"/>
          <w:spacing w:val="6"/>
          <w:kern w:val="0"/>
          <w:position w:val="0"/>
          <w:sz w:val="24"/>
          <w:szCs w:val="24"/>
          <w:lang w:val="en-US" w:eastAsia="zh-CN"/>
        </w:rPr>
        <w:t xml:space="preserve"> </w:t>
      </w:r>
      <w:r>
        <w:rPr>
          <w:rFonts w:hint="default" w:ascii="Times New Roman" w:hAnsi="Times New Roman" w:eastAsia="仿宋_GB2312" w:cs="Times New Roman"/>
          <w:snapToGrid w:val="0"/>
          <w:color w:val="auto"/>
          <w:spacing w:val="6"/>
          <w:kern w:val="0"/>
          <w:position w:val="0"/>
          <w:sz w:val="24"/>
          <w:szCs w:val="24"/>
          <w:lang w:val="en-US" w:eastAsia="zh-CN"/>
        </w:rPr>
        <w:t xml:space="preserve"> </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固定单价</w:t>
      </w:r>
      <w:r>
        <w:rPr>
          <w:rFonts w:hint="default" w:ascii="Times New Roman" w:hAnsi="Times New Roman" w:eastAsia="仿宋_GB2312" w:cs="Times New Roman"/>
          <w:snapToGrid w:val="0"/>
          <w:color w:val="auto"/>
          <w:spacing w:val="6"/>
          <w:kern w:val="0"/>
          <w:position w:val="0"/>
          <w:sz w:val="24"/>
          <w:szCs w:val="24"/>
          <w:lang w:val="en-US" w:eastAsia="zh-CN"/>
        </w:rPr>
        <w:t xml:space="preserve"> </w:t>
      </w:r>
      <w:r>
        <w:rPr>
          <w:rFonts w:hint="eastAsia" w:ascii="Times New Roman" w:hAnsi="Times New Roman" w:eastAsia="仿宋_GB2312" w:cs="Times New Roman"/>
          <w:snapToGrid w:val="0"/>
          <w:color w:val="auto"/>
          <w:spacing w:val="6"/>
          <w:kern w:val="0"/>
          <w:position w:val="0"/>
          <w:sz w:val="24"/>
          <w:szCs w:val="24"/>
          <w:lang w:val="en-US" w:eastAsia="zh-CN"/>
        </w:rPr>
        <w:t xml:space="preserve"> </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固定费率</w:t>
      </w:r>
      <w:r>
        <w:rPr>
          <w:rFonts w:hint="eastAsia" w:ascii="Times New Roman" w:hAnsi="Times New Roman" w:eastAsia="仿宋_GB2312" w:cs="Times New Roman"/>
          <w:snapToGrid w:val="0"/>
          <w:color w:val="auto"/>
          <w:spacing w:val="6"/>
          <w:kern w:val="0"/>
          <w:position w:val="0"/>
          <w:sz w:val="24"/>
          <w:szCs w:val="24"/>
          <w:lang w:val="en-US" w:eastAsia="zh-CN"/>
        </w:rPr>
        <w:t xml:space="preserve"> </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成本补偿</w:t>
      </w:r>
      <w:r>
        <w:rPr>
          <w:rFonts w:hint="default" w:ascii="Times New Roman" w:hAnsi="Times New Roman" w:eastAsia="仿宋_GB2312" w:cs="Times New Roman"/>
          <w:snapToGrid w:val="0"/>
          <w:color w:val="auto"/>
          <w:spacing w:val="6"/>
          <w:kern w:val="0"/>
          <w:position w:val="0"/>
          <w:sz w:val="24"/>
          <w:szCs w:val="24"/>
          <w:lang w:val="en-US" w:eastAsia="zh-CN"/>
        </w:rPr>
        <w:t xml:space="preserve"> </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绩效激励</w:t>
      </w:r>
      <w:r>
        <w:rPr>
          <w:rFonts w:hint="default" w:ascii="Times New Roman" w:hAnsi="Times New Roman" w:eastAsia="仿宋_GB2312" w:cs="Times New Roman"/>
          <w:snapToGrid w:val="0"/>
          <w:color w:val="auto"/>
          <w:spacing w:val="6"/>
          <w:kern w:val="0"/>
          <w:position w:val="0"/>
          <w:sz w:val="24"/>
          <w:szCs w:val="24"/>
          <w:lang w:val="en-US" w:eastAsia="zh-CN"/>
        </w:rPr>
        <w:t xml:space="preserve"> </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其他</w:t>
      </w:r>
    </w:p>
    <w:p w14:paraId="474B153D">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eastAsia="en-US"/>
        </w:rPr>
      </w:pPr>
      <w:r>
        <w:rPr>
          <w:rFonts w:hint="default"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val="en-US" w:eastAsia="zh-CN"/>
        </w:rPr>
        <w:t>3</w:t>
      </w:r>
      <w:r>
        <w:rPr>
          <w:rFonts w:hint="default"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付款方式（按项目实际勾选填写）：</w:t>
      </w:r>
    </w:p>
    <w:p w14:paraId="376210A0">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u w:val="single" w:color="auto"/>
          <w:lang w:val="en-US" w:eastAsia="zh-CN"/>
        </w:rPr>
      </w:pP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u w:val="single" w:color="auto"/>
          <w:lang w:val="en-US" w:eastAsia="zh-CN"/>
        </w:rPr>
        <w:t>全额付款：（应</w:t>
      </w:r>
      <w:r>
        <w:rPr>
          <w:rFonts w:hint="eastAsia" w:ascii="Times New Roman" w:hAnsi="Times New Roman" w:eastAsia="仿宋_GB2312" w:cs="Times New Roman"/>
          <w:snapToGrid w:val="0"/>
          <w:color w:val="auto"/>
          <w:spacing w:val="6"/>
          <w:kern w:val="0"/>
          <w:position w:val="0"/>
          <w:sz w:val="24"/>
          <w:szCs w:val="24"/>
          <w:u w:val="single" w:color="auto"/>
          <w:lang w:val="en-US" w:eastAsia="zh-CN"/>
        </w:rPr>
        <w:t xml:space="preserve"> </w:t>
      </w:r>
      <w:r>
        <w:rPr>
          <w:rFonts w:hint="default" w:ascii="Times New Roman" w:hAnsi="Times New Roman" w:eastAsia="仿宋_GB2312" w:cs="Times New Roman"/>
          <w:snapToGrid w:val="0"/>
          <w:color w:val="auto"/>
          <w:spacing w:val="6"/>
          <w:kern w:val="0"/>
          <w:position w:val="0"/>
          <w:sz w:val="24"/>
          <w:szCs w:val="24"/>
          <w:u w:val="single" w:color="auto"/>
          <w:lang w:val="en-US" w:eastAsia="zh-CN"/>
        </w:rPr>
        <w:t>明确一次性支付合同款项的条件）</w:t>
      </w:r>
    </w:p>
    <w:p w14:paraId="1C426AD1">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u w:val="none" w:color="auto"/>
          <w:lang w:eastAsia="en-US"/>
        </w:rPr>
      </w:pP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u w:val="single" w:color="auto"/>
          <w:lang w:val="en-US" w:eastAsia="zh-CN"/>
        </w:rPr>
        <w:t>分期付款：</w:t>
      </w:r>
      <w:r>
        <w:rPr>
          <w:rFonts w:hint="default" w:ascii="Times New Roman" w:hAnsi="Times New Roman" w:eastAsia="仿宋_GB2312" w:cs="Times New Roman"/>
          <w:snapToGrid w:val="0"/>
          <w:color w:val="auto"/>
          <w:spacing w:val="6"/>
          <w:kern w:val="0"/>
          <w:position w:val="0"/>
          <w:sz w:val="24"/>
          <w:szCs w:val="24"/>
          <w:u w:val="none" w:color="auto"/>
          <w:lang w:val="en-US" w:eastAsia="zh-CN"/>
        </w:rPr>
        <w:t>合同签订后，甲方向乙方支付本合同金额的</w:t>
      </w:r>
      <w:r>
        <w:rPr>
          <w:rFonts w:hint="eastAsia" w:ascii="Times New Roman" w:hAnsi="Times New Roman" w:eastAsia="仿宋_GB2312" w:cs="Times New Roman"/>
          <w:snapToGrid w:val="0"/>
          <w:color w:val="auto"/>
          <w:spacing w:val="6"/>
          <w:kern w:val="0"/>
          <w:position w:val="0"/>
          <w:sz w:val="24"/>
          <w:szCs w:val="24"/>
          <w:u w:val="single" w:color="auto"/>
          <w:lang w:val="en-US" w:eastAsia="zh-CN"/>
        </w:rPr>
        <w:t xml:space="preserve">   </w:t>
      </w:r>
      <w:r>
        <w:rPr>
          <w:rFonts w:hint="default" w:ascii="Times New Roman" w:hAnsi="Times New Roman" w:eastAsia="仿宋_GB2312" w:cs="Times New Roman"/>
          <w:snapToGrid w:val="0"/>
          <w:color w:val="auto"/>
          <w:spacing w:val="6"/>
          <w:kern w:val="0"/>
          <w:position w:val="0"/>
          <w:sz w:val="24"/>
          <w:szCs w:val="24"/>
          <w:u w:val="none" w:color="auto"/>
          <w:lang w:val="en-US" w:eastAsia="zh-CN"/>
        </w:rPr>
        <w:t>%；设备到货、安装调试完毕、验收合格后，并经过结算审计后</w:t>
      </w:r>
      <w:r>
        <w:rPr>
          <w:rFonts w:hint="eastAsia" w:ascii="Times New Roman" w:hAnsi="Times New Roman" w:eastAsia="仿宋_GB2312" w:cs="Times New Roman"/>
          <w:snapToGrid w:val="0"/>
          <w:color w:val="auto"/>
          <w:spacing w:val="6"/>
          <w:kern w:val="0"/>
          <w:position w:val="0"/>
          <w:sz w:val="24"/>
          <w:szCs w:val="24"/>
          <w:u w:val="single" w:color="auto"/>
          <w:lang w:val="en-US" w:eastAsia="zh-CN"/>
        </w:rPr>
        <w:t xml:space="preserve">    </w:t>
      </w:r>
      <w:r>
        <w:rPr>
          <w:rFonts w:hint="default" w:ascii="Times New Roman" w:hAnsi="Times New Roman" w:eastAsia="仿宋_GB2312" w:cs="Times New Roman"/>
          <w:snapToGrid w:val="0"/>
          <w:color w:val="auto"/>
          <w:spacing w:val="6"/>
          <w:kern w:val="0"/>
          <w:position w:val="0"/>
          <w:sz w:val="24"/>
          <w:szCs w:val="24"/>
          <w:u w:val="none" w:color="auto"/>
          <w:lang w:val="en-US" w:eastAsia="zh-CN"/>
        </w:rPr>
        <w:t>日内，采购人按验收报告、结算审计、合同相关条款支付货款</w:t>
      </w:r>
      <w:r>
        <w:rPr>
          <w:rFonts w:hint="eastAsia" w:ascii="Times New Roman" w:hAnsi="Times New Roman" w:eastAsia="仿宋_GB2312" w:cs="Times New Roman"/>
          <w:snapToGrid w:val="0"/>
          <w:color w:val="auto"/>
          <w:spacing w:val="6"/>
          <w:kern w:val="0"/>
          <w:position w:val="0"/>
          <w:sz w:val="24"/>
          <w:szCs w:val="24"/>
          <w:u w:val="single" w:color="auto"/>
          <w:lang w:val="en-US" w:eastAsia="zh-CN"/>
        </w:rPr>
        <w:t xml:space="preserve">    </w:t>
      </w:r>
      <w:r>
        <w:rPr>
          <w:rFonts w:hint="default" w:ascii="Times New Roman" w:hAnsi="Times New Roman" w:eastAsia="仿宋_GB2312" w:cs="Times New Roman"/>
          <w:snapToGrid w:val="0"/>
          <w:color w:val="auto"/>
          <w:spacing w:val="6"/>
          <w:kern w:val="0"/>
          <w:position w:val="0"/>
          <w:sz w:val="24"/>
          <w:szCs w:val="24"/>
          <w:u w:val="none" w:color="auto"/>
          <w:lang w:val="en-US" w:eastAsia="zh-CN"/>
        </w:rPr>
        <w:t>%；如结算审计有审减，按照结算审计结果支付货款；如验收不合格、未完成安装调试，参照违约责任执行。</w:t>
      </w:r>
    </w:p>
    <w:p w14:paraId="734C789B">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highlight w:val="none"/>
          <w:lang w:eastAsia="en-US"/>
        </w:rPr>
      </w:pPr>
      <w:r>
        <w:rPr>
          <w:rFonts w:hint="eastAsia" w:ascii="Times New Roman" w:hAnsi="Times New Roman" w:eastAsia="仿宋_GB2312" w:cs="Times New Roman"/>
          <w:snapToGrid w:val="0"/>
          <w:color w:val="auto"/>
          <w:spacing w:val="6"/>
          <w:kern w:val="0"/>
          <w:position w:val="0"/>
          <w:sz w:val="24"/>
          <w:szCs w:val="24"/>
          <w:highlight w:val="none"/>
          <w:lang w:eastAsia="zh-CN"/>
        </w:rPr>
        <w:t>□</w:t>
      </w:r>
      <w:r>
        <w:rPr>
          <w:rFonts w:hint="default" w:ascii="Times New Roman" w:hAnsi="Times New Roman" w:eastAsia="仿宋_GB2312" w:cs="Times New Roman"/>
          <w:snapToGrid w:val="0"/>
          <w:color w:val="auto"/>
          <w:spacing w:val="6"/>
          <w:kern w:val="0"/>
          <w:position w:val="0"/>
          <w:sz w:val="24"/>
          <w:szCs w:val="24"/>
          <w:highlight w:val="none"/>
          <w:lang w:eastAsia="en-US"/>
        </w:rPr>
        <w:t>成本补偿：</w:t>
      </w:r>
      <w:r>
        <w:rPr>
          <w:rFonts w:hint="default" w:ascii="Times New Roman" w:hAnsi="Times New Roman" w:eastAsia="仿宋_GB2312" w:cs="Times New Roman"/>
          <w:snapToGrid w:val="0"/>
          <w:color w:val="auto"/>
          <w:spacing w:val="6"/>
          <w:kern w:val="0"/>
          <w:position w:val="0"/>
          <w:sz w:val="24"/>
          <w:szCs w:val="24"/>
          <w:highlight w:val="none"/>
          <w:u w:val="single" w:color="auto"/>
          <w:lang w:eastAsia="en-US"/>
        </w:rPr>
        <w:t>（应明确按照成本补偿方式的支付方式和支付条件）</w:t>
      </w:r>
    </w:p>
    <w:p w14:paraId="5D8AF19F">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highlight w:val="none"/>
          <w:lang w:eastAsia="en-US"/>
        </w:rPr>
      </w:pPr>
      <w:r>
        <w:rPr>
          <w:rFonts w:hint="eastAsia" w:ascii="Times New Roman" w:hAnsi="Times New Roman" w:eastAsia="仿宋_GB2312" w:cs="Times New Roman"/>
          <w:snapToGrid w:val="0"/>
          <w:color w:val="auto"/>
          <w:spacing w:val="6"/>
          <w:kern w:val="0"/>
          <w:position w:val="0"/>
          <w:sz w:val="24"/>
          <w:szCs w:val="24"/>
          <w:highlight w:val="none"/>
          <w:lang w:eastAsia="zh-CN"/>
        </w:rPr>
        <w:t>□</w:t>
      </w:r>
      <w:r>
        <w:rPr>
          <w:rFonts w:hint="default" w:ascii="Times New Roman" w:hAnsi="Times New Roman" w:eastAsia="仿宋_GB2312" w:cs="Times New Roman"/>
          <w:snapToGrid w:val="0"/>
          <w:color w:val="auto"/>
          <w:spacing w:val="6"/>
          <w:kern w:val="0"/>
          <w:position w:val="0"/>
          <w:sz w:val="24"/>
          <w:szCs w:val="24"/>
          <w:highlight w:val="none"/>
          <w:lang w:eastAsia="en-US"/>
        </w:rPr>
        <w:t>绩效激励：</w:t>
      </w:r>
      <w:r>
        <w:rPr>
          <w:rFonts w:hint="default" w:ascii="Times New Roman" w:hAnsi="Times New Roman" w:eastAsia="仿宋_GB2312" w:cs="Times New Roman"/>
          <w:snapToGrid w:val="0"/>
          <w:color w:val="auto"/>
          <w:spacing w:val="6"/>
          <w:kern w:val="0"/>
          <w:position w:val="0"/>
          <w:sz w:val="24"/>
          <w:szCs w:val="24"/>
          <w:highlight w:val="none"/>
          <w:u w:val="single" w:color="auto"/>
          <w:lang w:eastAsia="en-US"/>
        </w:rPr>
        <w:t>（应明确按照绩效激励方式的支付方式和支付条件）</w:t>
      </w:r>
    </w:p>
    <w:p w14:paraId="2293C38D">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6" w:firstLineChars="200"/>
        <w:jc w:val="both"/>
        <w:textAlignment w:val="baseline"/>
        <w:rPr>
          <w:rFonts w:hint="default" w:ascii="Times New Roman" w:hAnsi="Times New Roman" w:eastAsia="楷体_GB2312" w:cs="Times New Roman"/>
          <w:b/>
          <w:bCs/>
          <w:snapToGrid w:val="0"/>
          <w:color w:val="auto"/>
          <w:spacing w:val="6"/>
          <w:kern w:val="0"/>
          <w:position w:val="0"/>
          <w:sz w:val="24"/>
          <w:szCs w:val="24"/>
          <w:lang w:eastAsia="en-US"/>
        </w:rPr>
      </w:pPr>
      <w:r>
        <w:rPr>
          <w:rFonts w:hint="default" w:ascii="Times New Roman" w:hAnsi="Times New Roman" w:eastAsia="楷体_GB2312" w:cs="Times New Roman"/>
          <w:b/>
          <w:bCs/>
          <w:snapToGrid w:val="0"/>
          <w:color w:val="auto"/>
          <w:spacing w:val="6"/>
          <w:kern w:val="0"/>
          <w:position w:val="0"/>
          <w:sz w:val="24"/>
          <w:szCs w:val="24"/>
          <w:lang w:eastAsia="en-US"/>
        </w:rPr>
        <w:t>3.合同履行</w:t>
      </w:r>
    </w:p>
    <w:p w14:paraId="6C69E1AF">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u w:val="none"/>
          <w:lang w:eastAsia="en-US"/>
        </w:rPr>
      </w:pPr>
      <w:r>
        <w:rPr>
          <w:rFonts w:hint="default" w:ascii="Times New Roman" w:hAnsi="Times New Roman" w:eastAsia="仿宋_GB2312" w:cs="Times New Roman"/>
          <w:snapToGrid w:val="0"/>
          <w:color w:val="auto"/>
          <w:spacing w:val="6"/>
          <w:kern w:val="0"/>
          <w:position w:val="0"/>
          <w:sz w:val="24"/>
          <w:szCs w:val="24"/>
          <w:lang w:eastAsia="en-US"/>
        </w:rPr>
        <w:t>（1）起始日期：</w:t>
      </w:r>
      <w:r>
        <w:rPr>
          <w:rFonts w:hint="eastAsia" w:ascii="Times New Roman" w:hAnsi="Times New Roman" w:eastAsia="仿宋_GB2312" w:cs="Times New Roman"/>
          <w:snapToGrid w:val="0"/>
          <w:color w:val="auto"/>
          <w:spacing w:val="6"/>
          <w:kern w:val="0"/>
          <w:position w:val="0"/>
          <w:sz w:val="24"/>
          <w:szCs w:val="24"/>
          <w:u w:val="single"/>
          <w:lang w:val="en-US" w:eastAsia="zh-CN"/>
        </w:rPr>
        <w:t xml:space="preserve">   年  月  日</w:t>
      </w:r>
      <w:r>
        <w:rPr>
          <w:rFonts w:hint="default" w:ascii="Times New Roman" w:hAnsi="Times New Roman" w:eastAsia="仿宋_GB2312" w:cs="Times New Roman"/>
          <w:snapToGrid w:val="0"/>
          <w:color w:val="auto"/>
          <w:spacing w:val="6"/>
          <w:kern w:val="0"/>
          <w:position w:val="0"/>
          <w:sz w:val="24"/>
          <w:szCs w:val="24"/>
          <w:u w:val="none"/>
          <w:lang w:eastAsia="en-US"/>
        </w:rPr>
        <w:t>，</w:t>
      </w:r>
      <w:r>
        <w:rPr>
          <w:rFonts w:hint="default" w:ascii="Times New Roman" w:hAnsi="Times New Roman" w:eastAsia="仿宋_GB2312" w:cs="Times New Roman"/>
          <w:snapToGrid w:val="0"/>
          <w:color w:val="auto"/>
          <w:spacing w:val="6"/>
          <w:kern w:val="0"/>
          <w:position w:val="0"/>
          <w:sz w:val="24"/>
          <w:szCs w:val="24"/>
          <w:u w:val="single"/>
          <w:lang w:eastAsia="en-US"/>
        </w:rPr>
        <w:t>完成日期：</w:t>
      </w:r>
      <w:r>
        <w:rPr>
          <w:rFonts w:hint="eastAsia" w:ascii="Times New Roman" w:hAnsi="Times New Roman" w:eastAsia="仿宋_GB2312" w:cs="Times New Roman"/>
          <w:snapToGrid w:val="0"/>
          <w:color w:val="auto"/>
          <w:spacing w:val="6"/>
          <w:kern w:val="0"/>
          <w:position w:val="0"/>
          <w:sz w:val="24"/>
          <w:szCs w:val="24"/>
          <w:u w:val="single"/>
          <w:lang w:val="en-US" w:eastAsia="zh-CN"/>
        </w:rPr>
        <w:t xml:space="preserve">   </w:t>
      </w:r>
      <w:r>
        <w:rPr>
          <w:rFonts w:hint="default" w:ascii="Times New Roman" w:hAnsi="Times New Roman" w:eastAsia="仿宋_GB2312" w:cs="Times New Roman"/>
          <w:snapToGrid w:val="0"/>
          <w:color w:val="auto"/>
          <w:spacing w:val="6"/>
          <w:kern w:val="0"/>
          <w:position w:val="0"/>
          <w:sz w:val="24"/>
          <w:szCs w:val="24"/>
          <w:u w:val="single"/>
          <w:lang w:eastAsia="en-US"/>
        </w:rPr>
        <w:t>年</w:t>
      </w:r>
      <w:r>
        <w:rPr>
          <w:rFonts w:hint="eastAsia" w:ascii="Times New Roman" w:hAnsi="Times New Roman" w:eastAsia="仿宋_GB2312" w:cs="Times New Roman"/>
          <w:snapToGrid w:val="0"/>
          <w:color w:val="auto"/>
          <w:spacing w:val="6"/>
          <w:kern w:val="0"/>
          <w:position w:val="0"/>
          <w:sz w:val="24"/>
          <w:szCs w:val="24"/>
          <w:u w:val="single"/>
          <w:lang w:val="en-US" w:eastAsia="zh-CN"/>
        </w:rPr>
        <w:t xml:space="preserve">   </w:t>
      </w:r>
      <w:r>
        <w:rPr>
          <w:rFonts w:hint="default" w:ascii="Times New Roman" w:hAnsi="Times New Roman" w:eastAsia="仿宋_GB2312" w:cs="Times New Roman"/>
          <w:snapToGrid w:val="0"/>
          <w:color w:val="auto"/>
          <w:spacing w:val="6"/>
          <w:kern w:val="0"/>
          <w:position w:val="0"/>
          <w:sz w:val="24"/>
          <w:szCs w:val="24"/>
          <w:u w:val="single"/>
          <w:lang w:eastAsia="en-US"/>
        </w:rPr>
        <w:t>月</w:t>
      </w:r>
      <w:r>
        <w:rPr>
          <w:rFonts w:hint="eastAsia" w:ascii="Times New Roman" w:hAnsi="Times New Roman" w:eastAsia="仿宋_GB2312" w:cs="Times New Roman"/>
          <w:snapToGrid w:val="0"/>
          <w:color w:val="auto"/>
          <w:spacing w:val="6"/>
          <w:kern w:val="0"/>
          <w:position w:val="0"/>
          <w:sz w:val="24"/>
          <w:szCs w:val="24"/>
          <w:u w:val="single"/>
          <w:lang w:val="en-US" w:eastAsia="zh-CN"/>
        </w:rPr>
        <w:t xml:space="preserve">   </w:t>
      </w:r>
      <w:r>
        <w:rPr>
          <w:rFonts w:hint="default" w:ascii="Times New Roman" w:hAnsi="Times New Roman" w:eastAsia="仿宋_GB2312" w:cs="Times New Roman"/>
          <w:snapToGrid w:val="0"/>
          <w:color w:val="auto"/>
          <w:spacing w:val="6"/>
          <w:kern w:val="0"/>
          <w:position w:val="0"/>
          <w:sz w:val="24"/>
          <w:szCs w:val="24"/>
          <w:u w:val="single"/>
          <w:lang w:eastAsia="en-US"/>
        </w:rPr>
        <w:t>日</w:t>
      </w:r>
      <w:r>
        <w:rPr>
          <w:rFonts w:hint="default" w:ascii="Times New Roman" w:hAnsi="Times New Roman" w:eastAsia="仿宋_GB2312" w:cs="Times New Roman"/>
          <w:snapToGrid w:val="0"/>
          <w:color w:val="auto"/>
          <w:spacing w:val="6"/>
          <w:kern w:val="0"/>
          <w:position w:val="0"/>
          <w:sz w:val="24"/>
          <w:szCs w:val="24"/>
          <w:u w:val="single"/>
          <w:lang w:eastAsia="zh-CN"/>
        </w:rPr>
        <w:t>，</w:t>
      </w:r>
      <w:r>
        <w:rPr>
          <w:rFonts w:hint="default" w:ascii="Times New Roman" w:hAnsi="Times New Roman" w:eastAsia="仿宋_GB2312" w:cs="Times New Roman"/>
          <w:snapToGrid w:val="0"/>
          <w:color w:val="auto"/>
          <w:spacing w:val="6"/>
          <w:kern w:val="0"/>
          <w:position w:val="0"/>
          <w:sz w:val="24"/>
          <w:szCs w:val="24"/>
          <w:u w:val="single"/>
          <w:lang w:val="en-US" w:eastAsia="zh-CN"/>
        </w:rPr>
        <w:t>共计</w:t>
      </w:r>
      <w:r>
        <w:rPr>
          <w:rFonts w:hint="eastAsia" w:ascii="Times New Roman" w:hAnsi="Times New Roman" w:eastAsia="仿宋_GB2312" w:cs="Times New Roman"/>
          <w:snapToGrid w:val="0"/>
          <w:color w:val="auto"/>
          <w:spacing w:val="6"/>
          <w:kern w:val="0"/>
          <w:position w:val="0"/>
          <w:sz w:val="24"/>
          <w:szCs w:val="24"/>
          <w:u w:val="single"/>
          <w:lang w:val="en-US" w:eastAsia="zh-CN"/>
        </w:rPr>
        <w:t xml:space="preserve">  </w:t>
      </w:r>
      <w:r>
        <w:rPr>
          <w:rFonts w:hint="default" w:ascii="Times New Roman" w:hAnsi="Times New Roman" w:eastAsia="仿宋_GB2312" w:cs="Times New Roman"/>
          <w:snapToGrid w:val="0"/>
          <w:color w:val="auto"/>
          <w:spacing w:val="6"/>
          <w:kern w:val="0"/>
          <w:position w:val="0"/>
          <w:sz w:val="24"/>
          <w:szCs w:val="24"/>
          <w:u w:val="single"/>
          <w:lang w:val="en-US" w:eastAsia="zh-CN"/>
        </w:rPr>
        <w:t>天</w:t>
      </w:r>
      <w:r>
        <w:rPr>
          <w:rFonts w:hint="default" w:ascii="Times New Roman" w:hAnsi="Times New Roman" w:eastAsia="仿宋_GB2312" w:cs="Times New Roman"/>
          <w:snapToGrid w:val="0"/>
          <w:color w:val="auto"/>
          <w:spacing w:val="6"/>
          <w:kern w:val="0"/>
          <w:position w:val="0"/>
          <w:sz w:val="24"/>
          <w:szCs w:val="24"/>
          <w:u w:val="single"/>
          <w:lang w:eastAsia="en-US"/>
        </w:rPr>
        <w:t>。</w:t>
      </w:r>
    </w:p>
    <w:p w14:paraId="7B54B691">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u w:val="single"/>
          <w:lang w:val="en-US" w:eastAsia="zh-CN"/>
        </w:rPr>
      </w:pPr>
      <w:r>
        <w:rPr>
          <w:rFonts w:hint="default" w:ascii="Times New Roman" w:hAnsi="Times New Roman" w:eastAsia="仿宋_GB2312" w:cs="Times New Roman"/>
          <w:snapToGrid w:val="0"/>
          <w:color w:val="auto"/>
          <w:spacing w:val="6"/>
          <w:kern w:val="0"/>
          <w:position w:val="0"/>
          <w:sz w:val="24"/>
          <w:szCs w:val="24"/>
          <w:lang w:eastAsia="en-US"/>
        </w:rPr>
        <w:t>（2）履约地点：</w:t>
      </w:r>
      <w:r>
        <w:rPr>
          <w:rFonts w:hint="eastAsia" w:ascii="Times New Roman" w:hAnsi="Times New Roman" w:eastAsia="仿宋_GB2312" w:cs="Times New Roman"/>
          <w:snapToGrid w:val="0"/>
          <w:color w:val="auto"/>
          <w:spacing w:val="6"/>
          <w:kern w:val="0"/>
          <w:position w:val="0"/>
          <w:sz w:val="24"/>
          <w:szCs w:val="24"/>
          <w:u w:val="single"/>
          <w:lang w:val="en-US" w:eastAsia="zh-CN"/>
        </w:rPr>
        <w:t xml:space="preserve">               </w:t>
      </w:r>
    </w:p>
    <w:p w14:paraId="5ADDE122">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rightChars="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eastAsia="en-US"/>
        </w:rPr>
      </w:pPr>
      <w:r>
        <w:rPr>
          <w:rFonts w:hint="default" w:ascii="Times New Roman" w:hAnsi="Times New Roman" w:eastAsia="仿宋_GB2312" w:cs="Times New Roman"/>
          <w:snapToGrid w:val="0"/>
          <w:color w:val="auto"/>
          <w:spacing w:val="6"/>
          <w:kern w:val="0"/>
          <w:position w:val="0"/>
          <w:sz w:val="24"/>
          <w:szCs w:val="24"/>
          <w:lang w:eastAsia="en-US"/>
        </w:rPr>
        <w:t>（3）履约担保：是否收取履约保证金：</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是</w:t>
      </w:r>
      <w:r>
        <w:rPr>
          <w:rFonts w:hint="default" w:ascii="Times New Roman" w:hAnsi="Times New Roman" w:eastAsia="仿宋_GB2312" w:cs="Times New Roman"/>
          <w:snapToGrid w:val="0"/>
          <w:color w:val="auto"/>
          <w:spacing w:val="6"/>
          <w:kern w:val="0"/>
          <w:position w:val="0"/>
          <w:sz w:val="24"/>
          <w:szCs w:val="24"/>
          <w:lang w:val="en-US" w:eastAsia="zh-CN"/>
        </w:rPr>
        <w:t xml:space="preserve">   </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否</w:t>
      </w:r>
    </w:p>
    <w:p w14:paraId="404F5257">
      <w:pPr>
        <w:keepNext w:val="0"/>
        <w:keepLines w:val="0"/>
        <w:pageBreakBefore w:val="0"/>
        <w:widowControl w:val="0"/>
        <w:kinsoku w:val="0"/>
        <w:wordWrap/>
        <w:overflowPunct/>
        <w:topLinePunct w:val="0"/>
        <w:autoSpaceDE w:val="0"/>
        <w:autoSpaceDN w:val="0"/>
        <w:bidi w:val="0"/>
        <w:adjustRightInd w:val="0"/>
        <w:snapToGrid w:val="0"/>
        <w:spacing w:line="440" w:lineRule="exact"/>
        <w:ind w:right="0" w:rightChars="0" w:firstLine="524" w:firstLineChars="200"/>
        <w:jc w:val="both"/>
        <w:textAlignment w:val="baseline"/>
        <w:rPr>
          <w:rFonts w:hint="default" w:ascii="Times New Roman" w:hAnsi="Times New Roman" w:eastAsia="仿宋_GB2312" w:cs="Times New Roman"/>
          <w:snapToGrid w:val="0"/>
          <w:color w:val="auto"/>
          <w:spacing w:val="11"/>
          <w:kern w:val="0"/>
          <w:position w:val="0"/>
          <w:sz w:val="24"/>
          <w:szCs w:val="24"/>
          <w:u w:val="none"/>
          <w:lang w:eastAsia="en-US"/>
        </w:rPr>
      </w:pPr>
      <w:r>
        <w:rPr>
          <w:rFonts w:hint="default" w:ascii="Times New Roman" w:hAnsi="Times New Roman" w:eastAsia="仿宋_GB2312" w:cs="Times New Roman"/>
          <w:snapToGrid w:val="0"/>
          <w:color w:val="auto"/>
          <w:spacing w:val="11"/>
          <w:kern w:val="0"/>
          <w:position w:val="0"/>
          <w:sz w:val="24"/>
          <w:szCs w:val="24"/>
          <w:lang w:eastAsia="en-US"/>
        </w:rPr>
        <w:t>收取履约保证金形式：</w:t>
      </w:r>
      <w:r>
        <w:rPr>
          <w:rFonts w:hint="default" w:ascii="Times New Roman" w:hAnsi="Times New Roman" w:eastAsia="仿宋_GB2312" w:cs="Times New Roman"/>
          <w:snapToGrid w:val="0"/>
          <w:color w:val="auto"/>
          <w:spacing w:val="11"/>
          <w:kern w:val="0"/>
          <w:position w:val="0"/>
          <w:sz w:val="24"/>
          <w:szCs w:val="24"/>
          <w:u w:val="none"/>
          <w:lang w:eastAsia="en-US"/>
        </w:rPr>
        <w:t>合同签订前，</w:t>
      </w:r>
      <w:r>
        <w:rPr>
          <w:rFonts w:hint="default" w:ascii="Times New Roman" w:hAnsi="Times New Roman" w:eastAsia="仿宋_GB2312" w:cs="Times New Roman"/>
          <w:snapToGrid w:val="0"/>
          <w:color w:val="auto"/>
          <w:spacing w:val="11"/>
          <w:kern w:val="0"/>
          <w:position w:val="0"/>
          <w:sz w:val="24"/>
          <w:szCs w:val="24"/>
          <w:u w:val="none"/>
          <w:lang w:val="en-US" w:eastAsia="zh-CN"/>
        </w:rPr>
        <w:t>乙方</w:t>
      </w:r>
      <w:r>
        <w:rPr>
          <w:rFonts w:hint="default" w:ascii="Times New Roman" w:hAnsi="Times New Roman" w:eastAsia="仿宋_GB2312" w:cs="Times New Roman"/>
          <w:snapToGrid w:val="0"/>
          <w:color w:val="auto"/>
          <w:spacing w:val="11"/>
          <w:kern w:val="0"/>
          <w:position w:val="0"/>
          <w:sz w:val="24"/>
          <w:szCs w:val="24"/>
          <w:u w:val="none"/>
          <w:lang w:eastAsia="en-US"/>
        </w:rPr>
        <w:t>按照</w:t>
      </w:r>
      <w:r>
        <w:rPr>
          <w:rFonts w:hint="default" w:ascii="Times New Roman" w:hAnsi="Times New Roman" w:eastAsia="仿宋_GB2312" w:cs="Times New Roman"/>
          <w:snapToGrid w:val="0"/>
          <w:color w:val="auto"/>
          <w:spacing w:val="11"/>
          <w:kern w:val="0"/>
          <w:position w:val="0"/>
          <w:sz w:val="24"/>
          <w:szCs w:val="24"/>
          <w:u w:val="none"/>
          <w:lang w:val="en-US" w:eastAsia="zh-CN"/>
        </w:rPr>
        <w:t>合同</w:t>
      </w:r>
      <w:r>
        <w:rPr>
          <w:rFonts w:hint="default" w:ascii="Times New Roman" w:hAnsi="Times New Roman" w:eastAsia="仿宋_GB2312" w:cs="Times New Roman"/>
          <w:snapToGrid w:val="0"/>
          <w:color w:val="auto"/>
          <w:spacing w:val="11"/>
          <w:kern w:val="0"/>
          <w:position w:val="0"/>
          <w:sz w:val="24"/>
          <w:szCs w:val="24"/>
          <w:u w:val="none"/>
          <w:lang w:eastAsia="en-US"/>
        </w:rPr>
        <w:t>金额的</w:t>
      </w:r>
      <w:r>
        <w:rPr>
          <w:rFonts w:hint="eastAsia" w:ascii="Times New Roman" w:hAnsi="Times New Roman" w:eastAsia="仿宋_GB2312" w:cs="Times New Roman"/>
          <w:snapToGrid w:val="0"/>
          <w:color w:val="auto"/>
          <w:spacing w:val="11"/>
          <w:kern w:val="0"/>
          <w:position w:val="0"/>
          <w:sz w:val="24"/>
          <w:szCs w:val="24"/>
          <w:u w:val="single"/>
          <w:lang w:val="en-US" w:eastAsia="zh-CN"/>
        </w:rPr>
        <w:t xml:space="preserve">  6 %</w:t>
      </w:r>
      <w:r>
        <w:rPr>
          <w:rFonts w:hint="default" w:ascii="Times New Roman" w:hAnsi="Times New Roman" w:eastAsia="仿宋_GB2312" w:cs="Times New Roman"/>
          <w:snapToGrid w:val="0"/>
          <w:color w:val="auto"/>
          <w:spacing w:val="11"/>
          <w:kern w:val="0"/>
          <w:position w:val="0"/>
          <w:sz w:val="24"/>
          <w:szCs w:val="24"/>
          <w:u w:val="none"/>
          <w:lang w:eastAsia="en-US"/>
        </w:rPr>
        <w:t>缴纳履约保证金，</w:t>
      </w:r>
      <w:r>
        <w:rPr>
          <w:rFonts w:hint="default" w:ascii="Times New Roman" w:hAnsi="Times New Roman" w:eastAsia="仿宋_GB2312" w:cs="Times New Roman"/>
          <w:snapToGrid w:val="0"/>
          <w:color w:val="auto"/>
          <w:spacing w:val="11"/>
          <w:kern w:val="0"/>
          <w:position w:val="0"/>
          <w:sz w:val="24"/>
          <w:szCs w:val="24"/>
          <w:u w:val="none"/>
          <w:lang w:val="en-US" w:eastAsia="zh-CN"/>
        </w:rPr>
        <w:t>乙方</w:t>
      </w:r>
      <w:r>
        <w:rPr>
          <w:rFonts w:hint="default" w:ascii="Times New Roman" w:hAnsi="Times New Roman" w:eastAsia="仿宋_GB2312" w:cs="Times New Roman"/>
          <w:snapToGrid w:val="0"/>
          <w:color w:val="auto"/>
          <w:spacing w:val="11"/>
          <w:kern w:val="0"/>
          <w:position w:val="0"/>
          <w:sz w:val="24"/>
          <w:szCs w:val="24"/>
          <w:u w:val="none"/>
          <w:lang w:eastAsia="en-US"/>
        </w:rPr>
        <w:t>按合同约定交付全部产品，安装调试完毕，书面验收合格</w:t>
      </w:r>
      <w:r>
        <w:rPr>
          <w:rFonts w:hint="eastAsia" w:ascii="Times New Roman" w:hAnsi="Times New Roman" w:eastAsia="仿宋_GB2312" w:cs="Times New Roman"/>
          <w:snapToGrid w:val="0"/>
          <w:color w:val="auto"/>
          <w:spacing w:val="11"/>
          <w:kern w:val="0"/>
          <w:position w:val="0"/>
          <w:sz w:val="24"/>
          <w:szCs w:val="24"/>
          <w:u w:val="single"/>
          <w:lang w:val="en-US" w:eastAsia="zh-CN"/>
        </w:rPr>
        <w:t xml:space="preserve">   </w:t>
      </w:r>
      <w:r>
        <w:rPr>
          <w:rFonts w:hint="eastAsia" w:ascii="Times New Roman" w:hAnsi="Times New Roman" w:eastAsia="仿宋_GB2312" w:cs="Times New Roman"/>
          <w:snapToGrid w:val="0"/>
          <w:color w:val="auto"/>
          <w:spacing w:val="11"/>
          <w:kern w:val="0"/>
          <w:position w:val="0"/>
          <w:sz w:val="24"/>
          <w:szCs w:val="24"/>
          <w:u w:val="none"/>
          <w:lang w:eastAsia="zh-CN"/>
        </w:rPr>
        <w:t>月后</w:t>
      </w:r>
      <w:r>
        <w:rPr>
          <w:rFonts w:hint="default" w:ascii="Times New Roman" w:hAnsi="Times New Roman" w:eastAsia="仿宋_GB2312" w:cs="Times New Roman"/>
          <w:snapToGrid w:val="0"/>
          <w:color w:val="auto"/>
          <w:spacing w:val="11"/>
          <w:kern w:val="0"/>
          <w:position w:val="0"/>
          <w:sz w:val="24"/>
          <w:szCs w:val="24"/>
          <w:u w:val="none"/>
          <w:lang w:eastAsia="en-US"/>
        </w:rPr>
        <w:t>，</w:t>
      </w:r>
      <w:r>
        <w:rPr>
          <w:rFonts w:hint="default" w:ascii="Times New Roman" w:hAnsi="Times New Roman" w:eastAsia="仿宋_GB2312" w:cs="Times New Roman"/>
          <w:snapToGrid w:val="0"/>
          <w:color w:val="auto"/>
          <w:spacing w:val="11"/>
          <w:kern w:val="0"/>
          <w:position w:val="0"/>
          <w:sz w:val="24"/>
          <w:szCs w:val="24"/>
          <w:u w:val="none"/>
          <w:lang w:val="en-US" w:eastAsia="zh-CN"/>
        </w:rPr>
        <w:t>甲方</w:t>
      </w:r>
      <w:r>
        <w:rPr>
          <w:rFonts w:hint="default" w:ascii="Times New Roman" w:hAnsi="Times New Roman" w:eastAsia="仿宋_GB2312" w:cs="Times New Roman"/>
          <w:snapToGrid w:val="0"/>
          <w:color w:val="auto"/>
          <w:spacing w:val="11"/>
          <w:kern w:val="0"/>
          <w:position w:val="0"/>
          <w:sz w:val="24"/>
          <w:szCs w:val="24"/>
          <w:u w:val="none"/>
          <w:lang w:eastAsia="en-US"/>
        </w:rPr>
        <w:t>无息退还全部履约保证金。</w:t>
      </w:r>
    </w:p>
    <w:p w14:paraId="3E1E6EAE">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rightChars="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u w:val="single"/>
          <w:lang w:val="en-US" w:eastAsia="en-US"/>
        </w:rPr>
      </w:pPr>
      <w:r>
        <w:rPr>
          <w:rFonts w:hint="default" w:ascii="Times New Roman" w:hAnsi="Times New Roman" w:eastAsia="仿宋_GB2312" w:cs="Times New Roman"/>
          <w:snapToGrid w:val="0"/>
          <w:color w:val="auto"/>
          <w:spacing w:val="6"/>
          <w:kern w:val="0"/>
          <w:position w:val="0"/>
          <w:sz w:val="24"/>
          <w:szCs w:val="24"/>
          <w:lang w:eastAsia="en-US"/>
        </w:rPr>
        <w:t>收取履约保证金金额：</w:t>
      </w:r>
      <w:r>
        <w:rPr>
          <w:rFonts w:hint="eastAsia" w:ascii="Times New Roman" w:hAnsi="Times New Roman" w:eastAsia="仿宋" w:cs="Times New Roman"/>
          <w:snapToGrid w:val="0"/>
          <w:color w:val="auto"/>
          <w:spacing w:val="6"/>
          <w:kern w:val="0"/>
          <w:position w:val="0"/>
          <w:sz w:val="24"/>
          <w:szCs w:val="24"/>
          <w:highlight w:val="none"/>
          <w:u w:val="single"/>
          <w:lang w:val="en-US" w:eastAsia="zh-CN"/>
        </w:rPr>
        <w:t xml:space="preserve">              </w:t>
      </w:r>
    </w:p>
    <w:p w14:paraId="33ECF752">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rightChars="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val="en-US" w:eastAsia="zh-CN"/>
        </w:rPr>
      </w:pPr>
      <w:r>
        <w:rPr>
          <w:rFonts w:hint="default" w:ascii="Times New Roman" w:hAnsi="Times New Roman" w:eastAsia="仿宋_GB2312" w:cs="Times New Roman"/>
          <w:snapToGrid w:val="0"/>
          <w:color w:val="auto"/>
          <w:spacing w:val="6"/>
          <w:kern w:val="0"/>
          <w:position w:val="0"/>
          <w:sz w:val="24"/>
          <w:szCs w:val="24"/>
          <w:lang w:eastAsia="en-US"/>
        </w:rPr>
        <w:t>履约担保期限：</w:t>
      </w:r>
      <w:r>
        <w:rPr>
          <w:rFonts w:hint="eastAsia" w:ascii="Times New Roman" w:hAnsi="Times New Roman" w:eastAsia="仿宋_GB2312" w:cs="Times New Roman"/>
          <w:snapToGrid w:val="0"/>
          <w:color w:val="auto"/>
          <w:spacing w:val="6"/>
          <w:kern w:val="0"/>
          <w:position w:val="0"/>
          <w:sz w:val="24"/>
          <w:szCs w:val="24"/>
          <w:highlight w:val="none"/>
          <w:u w:val="single"/>
          <w:lang w:val="en-US" w:eastAsia="zh-CN"/>
        </w:rPr>
        <w:t xml:space="preserve">书面验收 合格一年后 </w:t>
      </w:r>
    </w:p>
    <w:p w14:paraId="212CB78D">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rightChars="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val="en-US" w:eastAsia="zh-CN"/>
        </w:rPr>
      </w:pPr>
      <w:r>
        <w:rPr>
          <w:rFonts w:hint="default" w:ascii="Times New Roman" w:hAnsi="Times New Roman" w:eastAsia="仿宋_GB2312" w:cs="Times New Roman"/>
          <w:snapToGrid w:val="0"/>
          <w:color w:val="auto"/>
          <w:spacing w:val="6"/>
          <w:kern w:val="0"/>
          <w:position w:val="0"/>
          <w:sz w:val="24"/>
          <w:szCs w:val="24"/>
          <w:lang w:eastAsia="en-US"/>
        </w:rPr>
        <w:t>（4）分期履行要求：</w:t>
      </w:r>
      <w:r>
        <w:rPr>
          <w:rFonts w:hint="default" w:ascii="Times New Roman" w:hAnsi="Times New Roman" w:eastAsia="仿宋_GB2312" w:cs="Times New Roman"/>
          <w:snapToGrid w:val="0"/>
          <w:color w:val="auto"/>
          <w:spacing w:val="6"/>
          <w:kern w:val="0"/>
          <w:position w:val="0"/>
          <w:sz w:val="24"/>
          <w:szCs w:val="24"/>
          <w:u w:val="single"/>
          <w:lang w:val="en-US" w:eastAsia="zh-CN"/>
        </w:rPr>
        <w:t xml:space="preserve">                                </w:t>
      </w:r>
    </w:p>
    <w:p w14:paraId="2140FDB2">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rightChars="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val="en-US" w:eastAsia="zh-CN"/>
        </w:rPr>
      </w:pPr>
      <w:r>
        <w:rPr>
          <w:rFonts w:hint="default" w:ascii="Times New Roman" w:hAnsi="Times New Roman" w:eastAsia="仿宋_GB2312" w:cs="Times New Roman"/>
          <w:snapToGrid w:val="0"/>
          <w:color w:val="auto"/>
          <w:spacing w:val="6"/>
          <w:kern w:val="0"/>
          <w:position w:val="0"/>
          <w:sz w:val="24"/>
          <w:szCs w:val="24"/>
          <w:lang w:eastAsia="en-US"/>
        </w:rPr>
        <w:t>（5）风险处置措施和替代方案：</w:t>
      </w:r>
      <w:r>
        <w:rPr>
          <w:rFonts w:hint="default" w:ascii="Times New Roman" w:hAnsi="Times New Roman" w:eastAsia="仿宋_GB2312" w:cs="Times New Roman"/>
          <w:snapToGrid w:val="0"/>
          <w:color w:val="auto"/>
          <w:spacing w:val="6"/>
          <w:kern w:val="0"/>
          <w:position w:val="0"/>
          <w:sz w:val="24"/>
          <w:szCs w:val="24"/>
          <w:u w:val="single"/>
          <w:lang w:val="en-US" w:eastAsia="zh-CN"/>
        </w:rPr>
        <w:t xml:space="preserve">                                </w:t>
      </w:r>
    </w:p>
    <w:p w14:paraId="7694ACBF">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6" w:firstLineChars="200"/>
        <w:jc w:val="both"/>
        <w:textAlignment w:val="baseline"/>
        <w:rPr>
          <w:rFonts w:hint="default" w:ascii="Times New Roman" w:hAnsi="Times New Roman" w:eastAsia="楷体_GB2312" w:cs="Times New Roman"/>
          <w:snapToGrid w:val="0"/>
          <w:color w:val="auto"/>
          <w:spacing w:val="6"/>
          <w:kern w:val="0"/>
          <w:position w:val="0"/>
          <w:sz w:val="24"/>
          <w:szCs w:val="24"/>
          <w:lang w:eastAsia="en-US"/>
        </w:rPr>
      </w:pPr>
      <w:r>
        <w:rPr>
          <w:rFonts w:hint="default" w:ascii="Times New Roman" w:hAnsi="Times New Roman" w:eastAsia="楷体_GB2312" w:cs="Times New Roman"/>
          <w:b/>
          <w:bCs/>
          <w:snapToGrid w:val="0"/>
          <w:color w:val="auto"/>
          <w:spacing w:val="6"/>
          <w:kern w:val="0"/>
          <w:position w:val="0"/>
          <w:sz w:val="24"/>
          <w:szCs w:val="24"/>
          <w:lang w:eastAsia="en-US"/>
        </w:rPr>
        <w:t>4.合同验收</w:t>
      </w:r>
    </w:p>
    <w:p w14:paraId="41002E18">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rightChars="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eastAsia="en-US"/>
        </w:rPr>
      </w:pPr>
      <w:r>
        <w:rPr>
          <w:rFonts w:hint="default" w:ascii="Times New Roman" w:hAnsi="Times New Roman" w:eastAsia="仿宋_GB2312" w:cs="Times New Roman"/>
          <w:snapToGrid w:val="0"/>
          <w:color w:val="auto"/>
          <w:spacing w:val="6"/>
          <w:kern w:val="0"/>
          <w:position w:val="0"/>
          <w:sz w:val="24"/>
          <w:szCs w:val="24"/>
          <w:lang w:eastAsia="en-US"/>
        </w:rPr>
        <w:t>（1）验收组织方式：</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自行组织</w:t>
      </w:r>
      <w:r>
        <w:rPr>
          <w:rFonts w:hint="default"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val="en-US" w:eastAsia="zh-CN"/>
        </w:rPr>
        <w:t xml:space="preserve"> </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委托第三方组织验收主体：</w:t>
      </w:r>
    </w:p>
    <w:p w14:paraId="76573C65">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rightChars="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eastAsia="en-US"/>
        </w:rPr>
      </w:pPr>
      <w:r>
        <w:rPr>
          <w:rFonts w:hint="default" w:ascii="Times New Roman" w:hAnsi="Times New Roman" w:eastAsia="仿宋_GB2312" w:cs="Times New Roman"/>
          <w:snapToGrid w:val="0"/>
          <w:color w:val="auto"/>
          <w:spacing w:val="6"/>
          <w:kern w:val="0"/>
          <w:position w:val="0"/>
          <w:sz w:val="24"/>
          <w:szCs w:val="24"/>
          <w:lang w:eastAsia="en-US"/>
        </w:rPr>
        <w:t>是否邀请本项目的其他供应商参加验收：</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是</w:t>
      </w:r>
      <w:r>
        <w:rPr>
          <w:rFonts w:hint="default" w:ascii="Times New Roman" w:hAnsi="Times New Roman" w:eastAsia="仿宋_GB2312" w:cs="Times New Roman"/>
          <w:snapToGrid w:val="0"/>
          <w:color w:val="auto"/>
          <w:spacing w:val="6"/>
          <w:kern w:val="0"/>
          <w:position w:val="0"/>
          <w:sz w:val="24"/>
          <w:szCs w:val="24"/>
          <w:lang w:val="en-US" w:eastAsia="zh-CN"/>
        </w:rPr>
        <w:t xml:space="preserve">   </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否</w:t>
      </w:r>
    </w:p>
    <w:p w14:paraId="259C6714">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rightChars="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eastAsia="en-US"/>
        </w:rPr>
      </w:pPr>
      <w:r>
        <w:rPr>
          <w:rFonts w:hint="default" w:ascii="Times New Roman" w:hAnsi="Times New Roman" w:eastAsia="仿宋_GB2312" w:cs="Times New Roman"/>
          <w:snapToGrid w:val="0"/>
          <w:color w:val="auto"/>
          <w:spacing w:val="6"/>
          <w:kern w:val="0"/>
          <w:position w:val="0"/>
          <w:sz w:val="24"/>
          <w:szCs w:val="24"/>
          <w:lang w:eastAsia="en-US"/>
        </w:rPr>
        <w:t>是否邀请专家参加验收：</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是</w:t>
      </w:r>
      <w:r>
        <w:rPr>
          <w:rFonts w:hint="default" w:ascii="Times New Roman" w:hAnsi="Times New Roman" w:eastAsia="仿宋_GB2312" w:cs="Times New Roman"/>
          <w:snapToGrid w:val="0"/>
          <w:color w:val="auto"/>
          <w:spacing w:val="6"/>
          <w:kern w:val="0"/>
          <w:position w:val="0"/>
          <w:sz w:val="24"/>
          <w:szCs w:val="24"/>
          <w:lang w:val="en-US" w:eastAsia="zh-CN"/>
        </w:rPr>
        <w:t xml:space="preserve">   </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否</w:t>
      </w:r>
    </w:p>
    <w:p w14:paraId="41DCD4F8">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eastAsia="en-US"/>
        </w:rPr>
      </w:pPr>
      <w:r>
        <w:rPr>
          <w:rFonts w:hint="default" w:ascii="Times New Roman" w:hAnsi="Times New Roman" w:eastAsia="仿宋_GB2312" w:cs="Times New Roman"/>
          <w:snapToGrid w:val="0"/>
          <w:color w:val="auto"/>
          <w:spacing w:val="6"/>
          <w:kern w:val="0"/>
          <w:position w:val="0"/>
          <w:sz w:val="24"/>
          <w:szCs w:val="24"/>
          <w:lang w:eastAsia="en-US"/>
        </w:rPr>
        <w:t>是否邀请服务对象参加验收：</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是</w:t>
      </w:r>
      <w:r>
        <w:rPr>
          <w:rFonts w:hint="default" w:ascii="Times New Roman" w:hAnsi="Times New Roman" w:eastAsia="仿宋_GB2312" w:cs="Times New Roman"/>
          <w:snapToGrid w:val="0"/>
          <w:color w:val="auto"/>
          <w:spacing w:val="6"/>
          <w:kern w:val="0"/>
          <w:position w:val="0"/>
          <w:sz w:val="24"/>
          <w:szCs w:val="24"/>
          <w:lang w:val="en-US" w:eastAsia="zh-CN"/>
        </w:rPr>
        <w:t xml:space="preserve">   </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否</w:t>
      </w:r>
    </w:p>
    <w:p w14:paraId="6D41210A">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eastAsia="en-US"/>
        </w:rPr>
      </w:pPr>
      <w:r>
        <w:rPr>
          <w:rFonts w:hint="default" w:ascii="Times New Roman" w:hAnsi="Times New Roman" w:eastAsia="仿宋_GB2312" w:cs="Times New Roman"/>
          <w:snapToGrid w:val="0"/>
          <w:color w:val="auto"/>
          <w:spacing w:val="6"/>
          <w:kern w:val="0"/>
          <w:position w:val="0"/>
          <w:sz w:val="24"/>
          <w:szCs w:val="24"/>
          <w:lang w:eastAsia="en-US"/>
        </w:rPr>
        <w:t>是否邀请第三方检测机构参加验收：</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是</w:t>
      </w:r>
      <w:r>
        <w:rPr>
          <w:rFonts w:hint="default" w:ascii="Times New Roman" w:hAnsi="Times New Roman" w:eastAsia="仿宋_GB2312" w:cs="Times New Roman"/>
          <w:snapToGrid w:val="0"/>
          <w:color w:val="auto"/>
          <w:spacing w:val="6"/>
          <w:kern w:val="0"/>
          <w:position w:val="0"/>
          <w:sz w:val="24"/>
          <w:szCs w:val="24"/>
          <w:lang w:val="en-US" w:eastAsia="zh-CN"/>
        </w:rPr>
        <w:t xml:space="preserve">   </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否</w:t>
      </w:r>
    </w:p>
    <w:p w14:paraId="7E2BB5C1">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eastAsia="en-US"/>
        </w:rPr>
      </w:pPr>
      <w:r>
        <w:rPr>
          <w:rFonts w:hint="default" w:ascii="Times New Roman" w:hAnsi="Times New Roman" w:eastAsia="仿宋_GB2312" w:cs="Times New Roman"/>
          <w:snapToGrid w:val="0"/>
          <w:color w:val="auto"/>
          <w:spacing w:val="6"/>
          <w:kern w:val="0"/>
          <w:position w:val="0"/>
          <w:sz w:val="24"/>
          <w:szCs w:val="24"/>
          <w:lang w:eastAsia="en-US"/>
        </w:rPr>
        <w:t>是否进行抽查检测：</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是</w:t>
      </w:r>
      <w:r>
        <w:rPr>
          <w:rFonts w:hint="default" w:ascii="Times New Roman" w:hAnsi="Times New Roman" w:eastAsia="仿宋_GB2312" w:cs="Times New Roman"/>
          <w:snapToGrid w:val="0"/>
          <w:color w:val="auto"/>
          <w:spacing w:val="6"/>
          <w:kern w:val="0"/>
          <w:position w:val="0"/>
          <w:sz w:val="24"/>
          <w:szCs w:val="24"/>
          <w:lang w:val="en-US" w:eastAsia="zh-CN"/>
        </w:rPr>
        <w:t xml:space="preserve">   </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否，抽查比例：</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是</w:t>
      </w:r>
      <w:r>
        <w:rPr>
          <w:rFonts w:hint="default" w:ascii="Times New Roman" w:hAnsi="Times New Roman" w:eastAsia="仿宋_GB2312" w:cs="Times New Roman"/>
          <w:snapToGrid w:val="0"/>
          <w:color w:val="auto"/>
          <w:spacing w:val="6"/>
          <w:kern w:val="0"/>
          <w:position w:val="0"/>
          <w:sz w:val="24"/>
          <w:szCs w:val="24"/>
          <w:lang w:val="en-US" w:eastAsia="zh-CN"/>
        </w:rPr>
        <w:t xml:space="preserve">   </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否</w:t>
      </w:r>
    </w:p>
    <w:p w14:paraId="22D9C7D9">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rightChars="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u w:val="single" w:color="auto"/>
          <w:lang w:eastAsia="en-US"/>
        </w:rPr>
      </w:pPr>
      <w:r>
        <w:rPr>
          <w:rFonts w:hint="default" w:ascii="Times New Roman" w:hAnsi="Times New Roman" w:eastAsia="仿宋_GB2312" w:cs="Times New Roman"/>
          <w:snapToGrid w:val="0"/>
          <w:color w:val="auto"/>
          <w:spacing w:val="6"/>
          <w:kern w:val="0"/>
          <w:position w:val="0"/>
          <w:sz w:val="24"/>
          <w:szCs w:val="24"/>
          <w:lang w:eastAsia="en-US"/>
        </w:rPr>
        <w:t>是否存在破坏性检测：</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是，</w:t>
      </w:r>
      <w:r>
        <w:rPr>
          <w:rFonts w:hint="default" w:ascii="Times New Roman" w:hAnsi="Times New Roman" w:eastAsia="仿宋_GB2312" w:cs="Times New Roman"/>
          <w:snapToGrid w:val="0"/>
          <w:color w:val="auto"/>
          <w:spacing w:val="6"/>
          <w:kern w:val="0"/>
          <w:position w:val="0"/>
          <w:sz w:val="24"/>
          <w:szCs w:val="24"/>
          <w:u w:val="single" w:color="auto"/>
          <w:lang w:val="en-US" w:eastAsia="zh-CN"/>
        </w:rPr>
        <w:t xml:space="preserve">  （</w:t>
      </w:r>
      <w:r>
        <w:rPr>
          <w:rFonts w:hint="default" w:ascii="Times New Roman" w:hAnsi="Times New Roman" w:eastAsia="仿宋_GB2312" w:cs="Times New Roman"/>
          <w:snapToGrid w:val="0"/>
          <w:color w:val="auto"/>
          <w:spacing w:val="6"/>
          <w:kern w:val="0"/>
          <w:position w:val="0"/>
          <w:sz w:val="24"/>
          <w:szCs w:val="24"/>
          <w:u w:val="single" w:color="auto"/>
          <w:lang w:eastAsia="en-US"/>
        </w:rPr>
        <w:t>应明确对被破坏的检测产品的处理方式）</w:t>
      </w:r>
    </w:p>
    <w:p w14:paraId="59686601">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3024" w:firstLineChars="1200"/>
        <w:jc w:val="both"/>
        <w:textAlignment w:val="baseline"/>
        <w:rPr>
          <w:rFonts w:hint="default" w:ascii="Times New Roman" w:hAnsi="Times New Roman" w:eastAsia="仿宋_GB2312" w:cs="Times New Roman"/>
          <w:snapToGrid w:val="0"/>
          <w:color w:val="auto"/>
          <w:spacing w:val="6"/>
          <w:kern w:val="0"/>
          <w:position w:val="0"/>
          <w:sz w:val="24"/>
          <w:szCs w:val="24"/>
          <w:lang w:eastAsia="en-US"/>
        </w:rPr>
      </w:pP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否</w:t>
      </w:r>
    </w:p>
    <w:p w14:paraId="55458483">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u w:val="single"/>
          <w:lang w:val="en-US" w:eastAsia="zh-CN"/>
        </w:rPr>
      </w:pPr>
      <w:r>
        <w:rPr>
          <w:rFonts w:hint="default" w:ascii="Times New Roman" w:hAnsi="Times New Roman" w:eastAsia="仿宋_GB2312" w:cs="Times New Roman"/>
          <w:snapToGrid w:val="0"/>
          <w:color w:val="auto"/>
          <w:spacing w:val="6"/>
          <w:kern w:val="0"/>
          <w:position w:val="0"/>
          <w:sz w:val="24"/>
          <w:szCs w:val="24"/>
          <w:lang w:eastAsia="en-US"/>
        </w:rPr>
        <w:t>验收组织的其他事项：</w:t>
      </w:r>
      <w:r>
        <w:rPr>
          <w:rFonts w:hint="eastAsia" w:ascii="Times New Roman" w:hAnsi="Times New Roman" w:eastAsia="仿宋_GB2312" w:cs="Times New Roman"/>
          <w:snapToGrid w:val="0"/>
          <w:color w:val="auto"/>
          <w:spacing w:val="6"/>
          <w:kern w:val="0"/>
          <w:position w:val="0"/>
          <w:sz w:val="24"/>
          <w:szCs w:val="24"/>
          <w:u w:val="single"/>
          <w:lang w:val="en-US" w:eastAsia="zh-CN"/>
        </w:rPr>
        <w:t xml:space="preserve">                                 </w:t>
      </w:r>
      <w:r>
        <w:rPr>
          <w:rFonts w:hint="eastAsia" w:ascii="Times New Roman" w:hAnsi="Times New Roman" w:eastAsia="仿宋_GB2312" w:cs="Times New Roman"/>
          <w:snapToGrid w:val="0"/>
          <w:color w:val="auto"/>
          <w:spacing w:val="6"/>
          <w:kern w:val="0"/>
          <w:position w:val="0"/>
          <w:sz w:val="24"/>
          <w:szCs w:val="24"/>
          <w:u w:val="none"/>
          <w:lang w:val="en-US" w:eastAsia="zh-CN"/>
        </w:rPr>
        <w:t>。</w:t>
      </w:r>
    </w:p>
    <w:p w14:paraId="55FAC3B0">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highlight w:val="none"/>
          <w:u w:val="single"/>
          <w:lang w:eastAsia="zh-CN"/>
        </w:rPr>
      </w:pPr>
      <w:r>
        <w:rPr>
          <w:rFonts w:hint="default" w:ascii="Times New Roman" w:hAnsi="Times New Roman" w:eastAsia="仿宋_GB2312" w:cs="Times New Roman"/>
          <w:snapToGrid w:val="0"/>
          <w:color w:val="auto"/>
          <w:spacing w:val="6"/>
          <w:kern w:val="0"/>
          <w:position w:val="0"/>
          <w:sz w:val="24"/>
          <w:szCs w:val="24"/>
          <w:u w:val="none"/>
          <w:lang w:eastAsia="zh-CN"/>
        </w:rPr>
        <w:t>（2）履约验收时间：</w:t>
      </w:r>
      <w:r>
        <w:rPr>
          <w:rFonts w:hint="default" w:ascii="Times New Roman" w:hAnsi="Times New Roman" w:eastAsia="仿宋_GB2312" w:cs="Times New Roman"/>
          <w:snapToGrid w:val="0"/>
          <w:color w:val="auto"/>
          <w:spacing w:val="6"/>
          <w:kern w:val="0"/>
          <w:position w:val="0"/>
          <w:sz w:val="24"/>
          <w:szCs w:val="24"/>
          <w:highlight w:val="none"/>
          <w:u w:val="single"/>
          <w:lang w:val="en-US" w:eastAsia="zh-CN"/>
        </w:rPr>
        <w:t>乙方</w:t>
      </w:r>
      <w:r>
        <w:rPr>
          <w:rFonts w:hint="default" w:ascii="Times New Roman" w:hAnsi="Times New Roman" w:eastAsia="仿宋_GB2312" w:cs="Times New Roman"/>
          <w:snapToGrid w:val="0"/>
          <w:color w:val="auto"/>
          <w:spacing w:val="6"/>
          <w:kern w:val="0"/>
          <w:position w:val="0"/>
          <w:sz w:val="24"/>
          <w:szCs w:val="24"/>
          <w:highlight w:val="none"/>
          <w:u w:val="single"/>
          <w:lang w:eastAsia="zh-CN"/>
        </w:rPr>
        <w:t>提出验收申请之日起</w:t>
      </w:r>
      <w:r>
        <w:rPr>
          <w:rFonts w:hint="default" w:ascii="Times New Roman" w:hAnsi="Times New Roman" w:eastAsia="仿宋_GB2312" w:cs="Times New Roman"/>
          <w:snapToGrid w:val="0"/>
          <w:color w:val="auto"/>
          <w:spacing w:val="6"/>
          <w:kern w:val="0"/>
          <w:position w:val="0"/>
          <w:sz w:val="24"/>
          <w:szCs w:val="24"/>
          <w:highlight w:val="none"/>
          <w:u w:val="single"/>
          <w:lang w:val="en-US" w:eastAsia="zh-CN"/>
        </w:rPr>
        <w:t>7</w:t>
      </w:r>
      <w:r>
        <w:rPr>
          <w:rFonts w:hint="default" w:ascii="Times New Roman" w:hAnsi="Times New Roman" w:eastAsia="仿宋_GB2312" w:cs="Times New Roman"/>
          <w:snapToGrid w:val="0"/>
          <w:color w:val="auto"/>
          <w:spacing w:val="6"/>
          <w:kern w:val="0"/>
          <w:position w:val="0"/>
          <w:sz w:val="24"/>
          <w:szCs w:val="24"/>
          <w:highlight w:val="none"/>
          <w:u w:val="single"/>
          <w:lang w:eastAsia="zh-CN"/>
        </w:rPr>
        <w:t>日内组织验收</w:t>
      </w:r>
      <w:r>
        <w:rPr>
          <w:rFonts w:hint="default" w:ascii="Times New Roman" w:hAnsi="Times New Roman" w:eastAsia="仿宋_GB2312" w:cs="Times New Roman"/>
          <w:snapToGrid w:val="0"/>
          <w:color w:val="auto"/>
          <w:spacing w:val="6"/>
          <w:kern w:val="0"/>
          <w:position w:val="0"/>
          <w:sz w:val="24"/>
          <w:szCs w:val="24"/>
          <w:highlight w:val="none"/>
          <w:u w:val="none"/>
          <w:lang w:eastAsia="zh-CN"/>
        </w:rPr>
        <w:t>。</w:t>
      </w:r>
    </w:p>
    <w:p w14:paraId="575397EF">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highlight w:val="none"/>
          <w:lang w:eastAsia="en-US"/>
        </w:rPr>
      </w:pPr>
      <w:r>
        <w:rPr>
          <w:rFonts w:hint="default" w:ascii="Times New Roman" w:hAnsi="Times New Roman" w:eastAsia="仿宋_GB2312" w:cs="Times New Roman"/>
          <w:snapToGrid w:val="0"/>
          <w:color w:val="auto"/>
          <w:spacing w:val="6"/>
          <w:kern w:val="0"/>
          <w:position w:val="0"/>
          <w:sz w:val="24"/>
          <w:szCs w:val="24"/>
          <w:highlight w:val="none"/>
          <w:lang w:eastAsia="en-US"/>
        </w:rPr>
        <w:t>（3）履约验收方式：</w:t>
      </w:r>
      <w:r>
        <w:rPr>
          <w:rFonts w:hint="eastAsia" w:ascii="Times New Roman" w:hAnsi="Times New Roman" w:eastAsia="仿宋_GB2312" w:cs="Times New Roman"/>
          <w:snapToGrid w:val="0"/>
          <w:color w:val="auto"/>
          <w:spacing w:val="6"/>
          <w:kern w:val="0"/>
          <w:position w:val="0"/>
          <w:sz w:val="24"/>
          <w:szCs w:val="24"/>
          <w:highlight w:val="none"/>
          <w:lang w:eastAsia="zh-CN"/>
        </w:rPr>
        <w:t>□</w:t>
      </w:r>
      <w:r>
        <w:rPr>
          <w:rFonts w:hint="default" w:ascii="Times New Roman" w:hAnsi="Times New Roman" w:eastAsia="仿宋_GB2312" w:cs="Times New Roman"/>
          <w:snapToGrid w:val="0"/>
          <w:color w:val="auto"/>
          <w:spacing w:val="6"/>
          <w:kern w:val="0"/>
          <w:position w:val="0"/>
          <w:sz w:val="24"/>
          <w:szCs w:val="24"/>
          <w:highlight w:val="none"/>
          <w:lang w:eastAsia="en-US"/>
        </w:rPr>
        <w:t>一次性验收</w:t>
      </w:r>
      <w:r>
        <w:rPr>
          <w:rFonts w:hint="eastAsia" w:ascii="Times New Roman" w:hAnsi="Times New Roman" w:eastAsia="仿宋_GB2312" w:cs="Times New Roman"/>
          <w:snapToGrid w:val="0"/>
          <w:color w:val="auto"/>
          <w:spacing w:val="6"/>
          <w:kern w:val="0"/>
          <w:position w:val="0"/>
          <w:sz w:val="24"/>
          <w:szCs w:val="24"/>
          <w:highlight w:val="none"/>
          <w:lang w:eastAsia="zh-CN"/>
        </w:rPr>
        <w:t>；□</w:t>
      </w:r>
      <w:r>
        <w:rPr>
          <w:rFonts w:hint="default" w:ascii="Times New Roman" w:hAnsi="Times New Roman" w:eastAsia="仿宋_GB2312" w:cs="Times New Roman"/>
          <w:snapToGrid w:val="0"/>
          <w:color w:val="auto"/>
          <w:spacing w:val="6"/>
          <w:kern w:val="0"/>
          <w:position w:val="0"/>
          <w:sz w:val="24"/>
          <w:szCs w:val="24"/>
          <w:highlight w:val="none"/>
          <w:lang w:eastAsia="en-US"/>
        </w:rPr>
        <w:t>分期/分项验收：</w:t>
      </w:r>
      <w:r>
        <w:rPr>
          <w:rFonts w:hint="default" w:ascii="Times New Roman" w:hAnsi="Times New Roman" w:eastAsia="仿宋_GB2312" w:cs="Times New Roman"/>
          <w:snapToGrid w:val="0"/>
          <w:color w:val="auto"/>
          <w:spacing w:val="6"/>
          <w:kern w:val="0"/>
          <w:position w:val="0"/>
          <w:sz w:val="24"/>
          <w:szCs w:val="24"/>
          <w:highlight w:val="none"/>
          <w:u w:val="single" w:color="auto"/>
          <w:lang w:eastAsia="en-US"/>
        </w:rPr>
        <w:t>（应明确分期/分项验收的工作安排）</w:t>
      </w:r>
    </w:p>
    <w:p w14:paraId="17B2DF52">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highlight w:val="none"/>
          <w:u w:val="single"/>
          <w:lang w:eastAsia="zh-CN"/>
        </w:rPr>
      </w:pPr>
      <w:r>
        <w:rPr>
          <w:rFonts w:hint="default" w:ascii="Times New Roman" w:hAnsi="Times New Roman" w:eastAsia="仿宋_GB2312" w:cs="Times New Roman"/>
          <w:snapToGrid w:val="0"/>
          <w:color w:val="auto"/>
          <w:spacing w:val="6"/>
          <w:kern w:val="0"/>
          <w:position w:val="0"/>
          <w:sz w:val="24"/>
          <w:szCs w:val="24"/>
          <w:highlight w:val="none"/>
          <w:lang w:eastAsia="en-US"/>
        </w:rPr>
        <w:t>（4）履约验收程序：</w:t>
      </w:r>
      <w:r>
        <w:rPr>
          <w:rFonts w:hint="default" w:ascii="Times New Roman" w:hAnsi="Times New Roman" w:eastAsia="仿宋_GB2312" w:cs="Times New Roman"/>
          <w:snapToGrid w:val="0"/>
          <w:color w:val="auto"/>
          <w:spacing w:val="6"/>
          <w:kern w:val="0"/>
          <w:position w:val="0"/>
          <w:sz w:val="24"/>
          <w:szCs w:val="24"/>
          <w:highlight w:val="none"/>
          <w:u w:val="single"/>
          <w:lang w:val="en-US" w:eastAsia="zh-CN"/>
        </w:rPr>
        <w:t>乙方</w:t>
      </w:r>
      <w:r>
        <w:rPr>
          <w:rFonts w:hint="default" w:ascii="Times New Roman" w:hAnsi="Times New Roman" w:eastAsia="仿宋_GB2312" w:cs="Times New Roman"/>
          <w:snapToGrid w:val="0"/>
          <w:color w:val="auto"/>
          <w:spacing w:val="6"/>
          <w:kern w:val="0"/>
          <w:position w:val="0"/>
          <w:sz w:val="24"/>
          <w:szCs w:val="24"/>
          <w:highlight w:val="none"/>
          <w:u w:val="single"/>
          <w:lang w:val="en-US" w:eastAsia="en-US"/>
        </w:rPr>
        <w:t>提出验收申请之日起</w:t>
      </w:r>
      <w:r>
        <w:rPr>
          <w:rFonts w:hint="default" w:ascii="Times New Roman" w:hAnsi="Times New Roman" w:eastAsia="仿宋_GB2312" w:cs="Times New Roman"/>
          <w:snapToGrid w:val="0"/>
          <w:color w:val="auto"/>
          <w:spacing w:val="6"/>
          <w:kern w:val="0"/>
          <w:position w:val="0"/>
          <w:sz w:val="24"/>
          <w:szCs w:val="24"/>
          <w:highlight w:val="none"/>
          <w:u w:val="single"/>
          <w:lang w:val="en-US" w:eastAsia="zh-CN"/>
        </w:rPr>
        <w:t>7</w:t>
      </w:r>
      <w:r>
        <w:rPr>
          <w:rFonts w:hint="default" w:ascii="Times New Roman" w:hAnsi="Times New Roman" w:eastAsia="仿宋_GB2312" w:cs="Times New Roman"/>
          <w:snapToGrid w:val="0"/>
          <w:color w:val="auto"/>
          <w:spacing w:val="6"/>
          <w:kern w:val="0"/>
          <w:position w:val="0"/>
          <w:sz w:val="24"/>
          <w:szCs w:val="24"/>
          <w:highlight w:val="none"/>
          <w:u w:val="single"/>
          <w:lang w:val="en-US" w:eastAsia="en-US"/>
        </w:rPr>
        <w:t>日内组织验收</w:t>
      </w:r>
      <w:r>
        <w:rPr>
          <w:rFonts w:hint="default" w:ascii="Times New Roman" w:hAnsi="Times New Roman" w:eastAsia="仿宋_GB2312" w:cs="Times New Roman"/>
          <w:snapToGrid w:val="0"/>
          <w:color w:val="auto"/>
          <w:spacing w:val="6"/>
          <w:kern w:val="0"/>
          <w:position w:val="0"/>
          <w:sz w:val="24"/>
          <w:szCs w:val="24"/>
          <w:highlight w:val="none"/>
          <w:u w:val="single"/>
          <w:lang w:val="en-US" w:eastAsia="zh-CN"/>
        </w:rPr>
        <w:t>，</w:t>
      </w:r>
      <w:r>
        <w:rPr>
          <w:rFonts w:hint="default" w:ascii="Times New Roman" w:hAnsi="Times New Roman" w:eastAsia="仿宋_GB2312" w:cs="Times New Roman"/>
          <w:snapToGrid w:val="0"/>
          <w:color w:val="auto"/>
          <w:spacing w:val="6"/>
          <w:kern w:val="0"/>
          <w:position w:val="0"/>
          <w:sz w:val="24"/>
          <w:szCs w:val="24"/>
          <w:highlight w:val="none"/>
          <w:u w:val="single"/>
          <w:lang w:eastAsia="zh-CN"/>
        </w:rPr>
        <w:t>如甲方在乙方提出单方面验收申请后的7个工作日内未完成验收或未提出书面异议，则视为已经通过验收即验收合格。</w:t>
      </w:r>
    </w:p>
    <w:p w14:paraId="3C0E2D0F">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val="en-US" w:eastAsia="zh-CN"/>
        </w:rPr>
      </w:pPr>
      <w:r>
        <w:rPr>
          <w:rFonts w:hint="default" w:ascii="Times New Roman" w:hAnsi="Times New Roman" w:eastAsia="仿宋_GB2312" w:cs="Times New Roman"/>
          <w:snapToGrid w:val="0"/>
          <w:color w:val="auto"/>
          <w:spacing w:val="6"/>
          <w:kern w:val="0"/>
          <w:position w:val="0"/>
          <w:sz w:val="24"/>
          <w:szCs w:val="24"/>
          <w:lang w:eastAsia="en-US"/>
        </w:rPr>
        <w:t>（5）履约验收的内容：</w:t>
      </w:r>
      <w:r>
        <w:rPr>
          <w:rFonts w:hint="eastAsia" w:ascii="Times New Roman" w:hAnsi="Times New Roman" w:eastAsia="仿宋_GB2312" w:cs="Times New Roman"/>
          <w:snapToGrid w:val="0"/>
          <w:color w:val="auto"/>
          <w:spacing w:val="6"/>
          <w:kern w:val="0"/>
          <w:position w:val="0"/>
          <w:sz w:val="24"/>
          <w:szCs w:val="24"/>
          <w:u w:val="single" w:color="auto"/>
          <w:lang w:val="en-US" w:eastAsia="zh-CN"/>
        </w:rPr>
        <w:t xml:space="preserve"> （应当包括每一项技术和商务要求的履约情况，落实政府采购扶持中小企业政策）</w:t>
      </w:r>
    </w:p>
    <w:p w14:paraId="1C31C746">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val="en-US" w:eastAsia="zh-CN"/>
        </w:rPr>
      </w:pPr>
      <w:r>
        <w:rPr>
          <w:rFonts w:hint="default" w:ascii="Times New Roman" w:hAnsi="Times New Roman" w:eastAsia="仿宋_GB2312" w:cs="Times New Roman"/>
          <w:snapToGrid w:val="0"/>
          <w:color w:val="auto"/>
          <w:spacing w:val="6"/>
          <w:kern w:val="0"/>
          <w:position w:val="0"/>
          <w:sz w:val="24"/>
          <w:szCs w:val="24"/>
          <w:lang w:eastAsia="en-US"/>
        </w:rPr>
        <w:t>（6）履约验收标准：</w:t>
      </w:r>
      <w:r>
        <w:rPr>
          <w:rFonts w:hint="default" w:ascii="Times New Roman" w:hAnsi="Times New Roman" w:eastAsia="仿宋_GB2312" w:cs="Times New Roman"/>
          <w:snapToGrid w:val="0"/>
          <w:color w:val="auto"/>
          <w:spacing w:val="6"/>
          <w:kern w:val="0"/>
          <w:position w:val="0"/>
          <w:sz w:val="24"/>
          <w:szCs w:val="24"/>
          <w:u w:val="single"/>
          <w:lang w:val="en-US" w:eastAsia="zh-CN"/>
        </w:rPr>
        <w:t>合格，符合国家及行业部门规定的标准。</w:t>
      </w:r>
    </w:p>
    <w:p w14:paraId="60ED59CE">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eastAsia="en-US"/>
        </w:rPr>
      </w:pPr>
      <w:r>
        <w:rPr>
          <w:rFonts w:hint="default" w:ascii="Times New Roman" w:hAnsi="Times New Roman" w:eastAsia="仿宋_GB2312" w:cs="Times New Roman"/>
          <w:snapToGrid w:val="0"/>
          <w:color w:val="auto"/>
          <w:spacing w:val="6"/>
          <w:kern w:val="0"/>
          <w:position w:val="0"/>
          <w:sz w:val="24"/>
          <w:szCs w:val="24"/>
          <w:lang w:eastAsia="en-US"/>
        </w:rPr>
        <w:t>（7）是否以采购活动中供应商提供的样品作为参考：</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是</w:t>
      </w:r>
      <w:r>
        <w:rPr>
          <w:rFonts w:hint="default" w:ascii="Times New Roman" w:hAnsi="Times New Roman" w:eastAsia="仿宋_GB2312" w:cs="Times New Roman"/>
          <w:snapToGrid w:val="0"/>
          <w:color w:val="auto"/>
          <w:spacing w:val="6"/>
          <w:kern w:val="0"/>
          <w:position w:val="0"/>
          <w:sz w:val="24"/>
          <w:szCs w:val="24"/>
          <w:lang w:val="en-US" w:eastAsia="zh-CN"/>
        </w:rPr>
        <w:t xml:space="preserve">   </w:t>
      </w:r>
      <w:r>
        <w:rPr>
          <w:rFonts w:hint="eastAsia" w:ascii="Times New Roman" w:hAnsi="Times New Roman" w:eastAsia="仿宋_GB2312" w:cs="Times New Roman"/>
          <w:snapToGrid w:val="0"/>
          <w:color w:val="auto"/>
          <w:spacing w:val="6"/>
          <w:kern w:val="0"/>
          <w:position w:val="0"/>
          <w:sz w:val="24"/>
          <w:szCs w:val="24"/>
          <w:lang w:eastAsia="zh-CN"/>
        </w:rPr>
        <w:t>□</w:t>
      </w:r>
      <w:r>
        <w:rPr>
          <w:rFonts w:hint="default" w:ascii="Times New Roman" w:hAnsi="Times New Roman" w:eastAsia="仿宋_GB2312" w:cs="Times New Roman"/>
          <w:snapToGrid w:val="0"/>
          <w:color w:val="auto"/>
          <w:spacing w:val="6"/>
          <w:kern w:val="0"/>
          <w:position w:val="0"/>
          <w:sz w:val="24"/>
          <w:szCs w:val="24"/>
          <w:lang w:eastAsia="en-US"/>
        </w:rPr>
        <w:t>否</w:t>
      </w:r>
    </w:p>
    <w:p w14:paraId="006A38C3">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eastAsia="en-US"/>
        </w:rPr>
      </w:pPr>
      <w:r>
        <w:rPr>
          <w:rFonts w:hint="default" w:ascii="Times New Roman" w:hAnsi="Times New Roman" w:eastAsia="仿宋_GB2312" w:cs="Times New Roman"/>
          <w:snapToGrid w:val="0"/>
          <w:color w:val="auto"/>
          <w:spacing w:val="6"/>
          <w:kern w:val="0"/>
          <w:position w:val="0"/>
          <w:sz w:val="24"/>
          <w:szCs w:val="24"/>
          <w:lang w:eastAsia="en-US"/>
        </w:rPr>
        <w:t>（8）履约验收其他事项：</w:t>
      </w:r>
      <w:r>
        <w:rPr>
          <w:rFonts w:hint="default" w:ascii="Times New Roman" w:hAnsi="Times New Roman" w:eastAsia="仿宋_GB2312" w:cs="Times New Roman"/>
          <w:snapToGrid w:val="0"/>
          <w:color w:val="auto"/>
          <w:spacing w:val="6"/>
          <w:kern w:val="0"/>
          <w:position w:val="0"/>
          <w:sz w:val="24"/>
          <w:szCs w:val="24"/>
          <w:u w:val="single" w:color="auto"/>
          <w:lang w:eastAsia="en-US"/>
        </w:rPr>
        <w:t>（产权过户登记等）</w:t>
      </w:r>
    </w:p>
    <w:p w14:paraId="4CEFE264">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6" w:firstLineChars="200"/>
        <w:jc w:val="both"/>
        <w:textAlignment w:val="baseline"/>
        <w:rPr>
          <w:rFonts w:hint="default" w:ascii="Times New Roman" w:hAnsi="Times New Roman" w:eastAsia="楷体_GB2312" w:cs="Times New Roman"/>
          <w:snapToGrid w:val="0"/>
          <w:color w:val="auto"/>
          <w:spacing w:val="6"/>
          <w:kern w:val="0"/>
          <w:position w:val="0"/>
          <w:sz w:val="24"/>
          <w:szCs w:val="24"/>
          <w:lang w:eastAsia="en-US"/>
        </w:rPr>
      </w:pPr>
      <w:r>
        <w:rPr>
          <w:rFonts w:hint="default" w:ascii="Times New Roman" w:hAnsi="Times New Roman" w:eastAsia="楷体_GB2312" w:cs="Times New Roman"/>
          <w:b/>
          <w:bCs/>
          <w:snapToGrid w:val="0"/>
          <w:color w:val="auto"/>
          <w:spacing w:val="6"/>
          <w:kern w:val="0"/>
          <w:position w:val="0"/>
          <w:sz w:val="24"/>
          <w:szCs w:val="24"/>
          <w:lang w:eastAsia="en-US"/>
        </w:rPr>
        <w:t>5.组成合同的文件</w:t>
      </w:r>
    </w:p>
    <w:p w14:paraId="6D1EC204">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eastAsia="en-US"/>
        </w:rPr>
      </w:pPr>
      <w:r>
        <w:rPr>
          <w:rFonts w:hint="default" w:ascii="Times New Roman" w:hAnsi="Times New Roman" w:eastAsia="仿宋_GB2312" w:cs="Times New Roman"/>
          <w:snapToGrid w:val="0"/>
          <w:color w:val="auto"/>
          <w:spacing w:val="6"/>
          <w:kern w:val="0"/>
          <w:position w:val="0"/>
          <w:sz w:val="24"/>
          <w:szCs w:val="24"/>
          <w:lang w:eastAsia="en-US"/>
        </w:rPr>
        <w:t>本协议书与下列文件一起构成合同文件，如下述文件之间有任何抵触、矛盾或歧义，应按以下顺序解释：</w:t>
      </w:r>
    </w:p>
    <w:p w14:paraId="1296A7B2">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eastAsia="en-US"/>
        </w:rPr>
      </w:pPr>
      <w:r>
        <w:rPr>
          <w:rFonts w:hint="default" w:ascii="Times New Roman" w:hAnsi="Times New Roman" w:eastAsia="仿宋_GB2312" w:cs="Times New Roman"/>
          <w:snapToGrid w:val="0"/>
          <w:color w:val="auto"/>
          <w:spacing w:val="6"/>
          <w:kern w:val="0"/>
          <w:position w:val="0"/>
          <w:sz w:val="24"/>
          <w:szCs w:val="24"/>
          <w:lang w:eastAsia="en-US"/>
        </w:rPr>
        <w:t>（1）政府采购合同协议书及其变更、补充协议</w:t>
      </w:r>
    </w:p>
    <w:p w14:paraId="4C807967">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eastAsia="en-US"/>
        </w:rPr>
      </w:pPr>
      <w:r>
        <w:rPr>
          <w:rFonts w:hint="default" w:ascii="Times New Roman" w:hAnsi="Times New Roman" w:eastAsia="仿宋_GB2312" w:cs="Times New Roman"/>
          <w:snapToGrid w:val="0"/>
          <w:color w:val="auto"/>
          <w:spacing w:val="6"/>
          <w:kern w:val="0"/>
          <w:position w:val="0"/>
          <w:sz w:val="24"/>
          <w:szCs w:val="24"/>
          <w:lang w:eastAsia="en-US"/>
        </w:rPr>
        <w:t>（2）政府采购合同专用条款</w:t>
      </w:r>
    </w:p>
    <w:p w14:paraId="3236DF5A">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eastAsia="en-US"/>
        </w:rPr>
      </w:pPr>
      <w:r>
        <w:rPr>
          <w:rFonts w:hint="default" w:ascii="Times New Roman" w:hAnsi="Times New Roman" w:eastAsia="仿宋_GB2312" w:cs="Times New Roman"/>
          <w:snapToGrid w:val="0"/>
          <w:color w:val="auto"/>
          <w:spacing w:val="6"/>
          <w:kern w:val="0"/>
          <w:position w:val="0"/>
          <w:sz w:val="24"/>
          <w:szCs w:val="24"/>
          <w:lang w:eastAsia="en-US"/>
        </w:rPr>
        <w:t>（3）政府采购合同通用条款</w:t>
      </w:r>
    </w:p>
    <w:p w14:paraId="6C3E6D3E">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eastAsia="en-US"/>
        </w:rPr>
      </w:pPr>
      <w:r>
        <w:rPr>
          <w:rFonts w:hint="default" w:ascii="Times New Roman" w:hAnsi="Times New Roman" w:eastAsia="仿宋_GB2312" w:cs="Times New Roman"/>
          <w:snapToGrid w:val="0"/>
          <w:color w:val="auto"/>
          <w:spacing w:val="6"/>
          <w:kern w:val="0"/>
          <w:position w:val="0"/>
          <w:sz w:val="24"/>
          <w:szCs w:val="24"/>
          <w:lang w:eastAsia="en-US"/>
        </w:rPr>
        <w:t>（4）中标（成交）通知书</w:t>
      </w:r>
    </w:p>
    <w:p w14:paraId="69336E35">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eastAsia="en-US"/>
        </w:rPr>
      </w:pPr>
      <w:r>
        <w:rPr>
          <w:rFonts w:hint="default" w:ascii="Times New Roman" w:hAnsi="Times New Roman" w:eastAsia="仿宋_GB2312" w:cs="Times New Roman"/>
          <w:snapToGrid w:val="0"/>
          <w:color w:val="auto"/>
          <w:spacing w:val="6"/>
          <w:kern w:val="0"/>
          <w:position w:val="0"/>
          <w:sz w:val="24"/>
          <w:szCs w:val="24"/>
          <w:lang w:eastAsia="en-US"/>
        </w:rPr>
        <w:t>（5）投标（响应）文件</w:t>
      </w:r>
    </w:p>
    <w:p w14:paraId="747DF7AC">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eastAsia="en-US"/>
        </w:rPr>
      </w:pPr>
      <w:r>
        <w:rPr>
          <w:rFonts w:hint="default" w:ascii="Times New Roman" w:hAnsi="Times New Roman" w:eastAsia="仿宋_GB2312" w:cs="Times New Roman"/>
          <w:snapToGrid w:val="0"/>
          <w:color w:val="auto"/>
          <w:spacing w:val="6"/>
          <w:kern w:val="0"/>
          <w:position w:val="0"/>
          <w:sz w:val="24"/>
          <w:szCs w:val="24"/>
          <w:lang w:eastAsia="en-US"/>
        </w:rPr>
        <w:t>（6）采购文件</w:t>
      </w:r>
    </w:p>
    <w:p w14:paraId="6DCCC748">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eastAsia="en-US"/>
        </w:rPr>
      </w:pPr>
      <w:r>
        <w:rPr>
          <w:rFonts w:hint="default" w:ascii="Times New Roman" w:hAnsi="Times New Roman" w:eastAsia="仿宋_GB2312" w:cs="Times New Roman"/>
          <w:snapToGrid w:val="0"/>
          <w:color w:val="auto"/>
          <w:spacing w:val="6"/>
          <w:kern w:val="0"/>
          <w:position w:val="0"/>
          <w:sz w:val="24"/>
          <w:szCs w:val="24"/>
          <w:lang w:eastAsia="en-US"/>
        </w:rPr>
        <w:t>（7）有关技术文件，图纸</w:t>
      </w:r>
    </w:p>
    <w:p w14:paraId="24075770">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eastAsia="en-US"/>
        </w:rPr>
      </w:pPr>
      <w:r>
        <w:rPr>
          <w:rFonts w:hint="default" w:ascii="Times New Roman" w:hAnsi="Times New Roman" w:eastAsia="仿宋_GB2312" w:cs="Times New Roman"/>
          <w:snapToGrid w:val="0"/>
          <w:color w:val="auto"/>
          <w:spacing w:val="6"/>
          <w:kern w:val="0"/>
          <w:position w:val="0"/>
          <w:sz w:val="24"/>
          <w:szCs w:val="24"/>
          <w:lang w:eastAsia="en-US"/>
        </w:rPr>
        <w:t>（8）国家法律、行政法规和规章制度规定或合同约定的作为合同组成部分的其他文件</w:t>
      </w:r>
    </w:p>
    <w:p w14:paraId="23471121">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6" w:firstLineChars="200"/>
        <w:jc w:val="both"/>
        <w:textAlignment w:val="baseline"/>
        <w:rPr>
          <w:rFonts w:hint="default" w:ascii="Times New Roman" w:hAnsi="Times New Roman" w:eastAsia="楷体_GB2312" w:cs="Times New Roman"/>
          <w:b/>
          <w:bCs/>
          <w:snapToGrid w:val="0"/>
          <w:color w:val="auto"/>
          <w:spacing w:val="6"/>
          <w:kern w:val="0"/>
          <w:position w:val="0"/>
          <w:sz w:val="24"/>
          <w:szCs w:val="24"/>
          <w:lang w:eastAsia="en-US"/>
        </w:rPr>
      </w:pPr>
      <w:r>
        <w:rPr>
          <w:rFonts w:hint="default" w:ascii="Times New Roman" w:hAnsi="Times New Roman" w:eastAsia="楷体_GB2312" w:cs="Times New Roman"/>
          <w:b/>
          <w:bCs/>
          <w:snapToGrid w:val="0"/>
          <w:color w:val="auto"/>
          <w:spacing w:val="6"/>
          <w:kern w:val="0"/>
          <w:position w:val="0"/>
          <w:sz w:val="24"/>
          <w:szCs w:val="24"/>
          <w:lang w:eastAsia="en-US"/>
        </w:rPr>
        <w:t>6.合同生效</w:t>
      </w:r>
    </w:p>
    <w:p w14:paraId="6C5446DE">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eastAsia="en-US"/>
        </w:rPr>
      </w:pPr>
      <w:r>
        <w:rPr>
          <w:rFonts w:hint="default" w:ascii="Times New Roman" w:hAnsi="Times New Roman" w:eastAsia="仿宋_GB2312" w:cs="Times New Roman"/>
          <w:snapToGrid w:val="0"/>
          <w:color w:val="auto"/>
          <w:spacing w:val="6"/>
          <w:kern w:val="0"/>
          <w:position w:val="0"/>
          <w:sz w:val="24"/>
          <w:szCs w:val="24"/>
          <w:lang w:eastAsia="en-US"/>
        </w:rPr>
        <w:t>本合同自</w:t>
      </w:r>
      <w:r>
        <w:rPr>
          <w:rFonts w:hint="default" w:ascii="Times New Roman" w:hAnsi="Times New Roman" w:eastAsia="仿宋_GB2312" w:cs="Times New Roman"/>
          <w:snapToGrid w:val="0"/>
          <w:color w:val="auto"/>
          <w:spacing w:val="6"/>
          <w:kern w:val="0"/>
          <w:position w:val="0"/>
          <w:sz w:val="24"/>
          <w:szCs w:val="24"/>
          <w:u w:val="single"/>
          <w:lang w:val="en-US" w:eastAsia="zh-CN"/>
        </w:rPr>
        <w:t>双方签字盖章后</w:t>
      </w:r>
      <w:r>
        <w:rPr>
          <w:rFonts w:hint="default" w:ascii="Times New Roman" w:hAnsi="Times New Roman" w:eastAsia="仿宋_GB2312" w:cs="Times New Roman"/>
          <w:snapToGrid w:val="0"/>
          <w:color w:val="auto"/>
          <w:spacing w:val="6"/>
          <w:kern w:val="0"/>
          <w:position w:val="0"/>
          <w:sz w:val="24"/>
          <w:szCs w:val="24"/>
          <w:lang w:eastAsia="en-US"/>
        </w:rPr>
        <w:t>生效。</w:t>
      </w:r>
    </w:p>
    <w:p w14:paraId="597C6815">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6" w:firstLineChars="200"/>
        <w:jc w:val="both"/>
        <w:textAlignment w:val="baseline"/>
        <w:rPr>
          <w:rFonts w:hint="eastAsia" w:ascii="楷体_GB2312" w:hAnsi="楷体_GB2312" w:eastAsia="楷体_GB2312" w:cs="楷体_GB2312"/>
          <w:b/>
          <w:bCs/>
          <w:snapToGrid w:val="0"/>
          <w:color w:val="auto"/>
          <w:spacing w:val="6"/>
          <w:kern w:val="0"/>
          <w:position w:val="0"/>
          <w:sz w:val="24"/>
          <w:szCs w:val="24"/>
          <w:lang w:eastAsia="en-US"/>
        </w:rPr>
      </w:pPr>
      <w:r>
        <w:rPr>
          <w:rFonts w:hint="eastAsia" w:ascii="楷体_GB2312" w:hAnsi="楷体_GB2312" w:eastAsia="楷体_GB2312" w:cs="楷体_GB2312"/>
          <w:b/>
          <w:bCs/>
          <w:snapToGrid w:val="0"/>
          <w:color w:val="auto"/>
          <w:spacing w:val="6"/>
          <w:kern w:val="0"/>
          <w:position w:val="0"/>
          <w:sz w:val="24"/>
          <w:szCs w:val="24"/>
          <w:lang w:eastAsia="en-US"/>
        </w:rPr>
        <w:t>7.合同份数</w:t>
      </w:r>
    </w:p>
    <w:p w14:paraId="1DBDA40C">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lang w:eastAsia="en-US"/>
        </w:rPr>
      </w:pPr>
      <w:r>
        <w:rPr>
          <w:rFonts w:hint="default" w:ascii="Times New Roman" w:hAnsi="Times New Roman" w:eastAsia="仿宋_GB2312" w:cs="Times New Roman"/>
          <w:snapToGrid w:val="0"/>
          <w:color w:val="auto"/>
          <w:spacing w:val="6"/>
          <w:kern w:val="0"/>
          <w:position w:val="0"/>
          <w:sz w:val="24"/>
          <w:szCs w:val="24"/>
          <w:lang w:eastAsia="en-US"/>
        </w:rPr>
        <w:t>本合同一</w:t>
      </w:r>
      <w:r>
        <w:rPr>
          <w:rFonts w:hint="default" w:ascii="Times New Roman" w:hAnsi="Times New Roman" w:eastAsia="仿宋_GB2312" w:cs="Times New Roman"/>
          <w:snapToGrid w:val="0"/>
          <w:color w:val="auto"/>
          <w:spacing w:val="6"/>
          <w:kern w:val="0"/>
          <w:position w:val="0"/>
          <w:sz w:val="24"/>
          <w:szCs w:val="24"/>
          <w:highlight w:val="none"/>
          <w:lang w:eastAsia="en-US"/>
        </w:rPr>
        <w:t>式</w:t>
      </w:r>
      <w:r>
        <w:rPr>
          <w:rFonts w:hint="default" w:ascii="Times New Roman" w:hAnsi="Times New Roman" w:eastAsia="仿宋_GB2312" w:cs="Times New Roman"/>
          <w:snapToGrid w:val="0"/>
          <w:color w:val="auto"/>
          <w:spacing w:val="6"/>
          <w:kern w:val="0"/>
          <w:position w:val="0"/>
          <w:sz w:val="24"/>
          <w:szCs w:val="24"/>
          <w:highlight w:val="none"/>
          <w:u w:val="single"/>
          <w:lang w:val="en-US" w:eastAsia="zh-CN"/>
        </w:rPr>
        <w:t>陆</w:t>
      </w:r>
      <w:r>
        <w:rPr>
          <w:rFonts w:hint="default" w:ascii="Times New Roman" w:hAnsi="Times New Roman" w:eastAsia="仿宋_GB2312" w:cs="Times New Roman"/>
          <w:snapToGrid w:val="0"/>
          <w:color w:val="auto"/>
          <w:spacing w:val="6"/>
          <w:kern w:val="0"/>
          <w:position w:val="0"/>
          <w:sz w:val="24"/>
          <w:szCs w:val="24"/>
          <w:highlight w:val="none"/>
          <w:lang w:eastAsia="en-US"/>
        </w:rPr>
        <w:t>份</w:t>
      </w:r>
      <w:r>
        <w:rPr>
          <w:rFonts w:hint="default" w:ascii="Times New Roman" w:hAnsi="Times New Roman" w:eastAsia="仿宋_GB2312" w:cs="Times New Roman"/>
          <w:snapToGrid w:val="0"/>
          <w:color w:val="auto"/>
          <w:spacing w:val="6"/>
          <w:kern w:val="0"/>
          <w:position w:val="0"/>
          <w:sz w:val="24"/>
          <w:szCs w:val="24"/>
          <w:lang w:eastAsia="en-US"/>
        </w:rPr>
        <w:t>，甲方执</w:t>
      </w:r>
      <w:r>
        <w:rPr>
          <w:rFonts w:hint="eastAsia" w:ascii="Times New Roman" w:hAnsi="Times New Roman" w:eastAsia="仿宋_GB2312" w:cs="Times New Roman"/>
          <w:snapToGrid w:val="0"/>
          <w:color w:val="auto"/>
          <w:spacing w:val="6"/>
          <w:kern w:val="0"/>
          <w:position w:val="0"/>
          <w:sz w:val="24"/>
          <w:szCs w:val="24"/>
          <w:u w:val="single"/>
          <w:lang w:val="en-US" w:eastAsia="zh-CN"/>
        </w:rPr>
        <w:t>叁</w:t>
      </w:r>
      <w:r>
        <w:rPr>
          <w:rFonts w:hint="default" w:ascii="Times New Roman" w:hAnsi="Times New Roman" w:eastAsia="仿宋_GB2312" w:cs="Times New Roman"/>
          <w:snapToGrid w:val="0"/>
          <w:color w:val="auto"/>
          <w:spacing w:val="6"/>
          <w:kern w:val="0"/>
          <w:position w:val="0"/>
          <w:sz w:val="24"/>
          <w:szCs w:val="24"/>
          <w:lang w:eastAsia="en-US"/>
        </w:rPr>
        <w:t>份，乙方执</w:t>
      </w:r>
      <w:r>
        <w:rPr>
          <w:rFonts w:hint="eastAsia" w:ascii="Times New Roman" w:hAnsi="Times New Roman" w:eastAsia="仿宋_GB2312" w:cs="Times New Roman"/>
          <w:snapToGrid w:val="0"/>
          <w:color w:val="auto"/>
          <w:spacing w:val="6"/>
          <w:kern w:val="0"/>
          <w:position w:val="0"/>
          <w:sz w:val="24"/>
          <w:szCs w:val="24"/>
          <w:u w:val="single"/>
          <w:lang w:val="en-US" w:eastAsia="zh-CN"/>
        </w:rPr>
        <w:t>叁</w:t>
      </w:r>
      <w:r>
        <w:rPr>
          <w:rFonts w:hint="default" w:ascii="Times New Roman" w:hAnsi="Times New Roman" w:eastAsia="仿宋_GB2312" w:cs="Times New Roman"/>
          <w:snapToGrid w:val="0"/>
          <w:color w:val="auto"/>
          <w:spacing w:val="6"/>
          <w:kern w:val="0"/>
          <w:position w:val="0"/>
          <w:sz w:val="24"/>
          <w:szCs w:val="24"/>
          <w:lang w:eastAsia="en-US"/>
        </w:rPr>
        <w:t>份，均具有同等法律效力。</w:t>
      </w:r>
    </w:p>
    <w:p w14:paraId="75F300C2">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u w:val="single"/>
          <w:lang w:val="en-US" w:eastAsia="en-US"/>
        </w:rPr>
      </w:pPr>
      <w:r>
        <w:rPr>
          <w:rFonts w:hint="default" w:ascii="Times New Roman" w:hAnsi="Times New Roman" w:eastAsia="仿宋_GB2312" w:cs="Times New Roman"/>
          <w:snapToGrid w:val="0"/>
          <w:color w:val="auto"/>
          <w:spacing w:val="6"/>
          <w:kern w:val="0"/>
          <w:position w:val="0"/>
          <w:sz w:val="24"/>
          <w:szCs w:val="24"/>
          <w:lang w:eastAsia="en-US"/>
        </w:rPr>
        <w:t>合同订立时间：</w:t>
      </w:r>
      <w:r>
        <w:rPr>
          <w:rFonts w:hint="eastAsia" w:ascii="Times New Roman" w:hAnsi="Times New Roman" w:eastAsia="仿宋_GB2312" w:cs="Times New Roman"/>
          <w:snapToGrid w:val="0"/>
          <w:color w:val="auto"/>
          <w:spacing w:val="6"/>
          <w:kern w:val="0"/>
          <w:position w:val="0"/>
          <w:sz w:val="24"/>
          <w:szCs w:val="24"/>
          <w:u w:val="single"/>
          <w:lang w:val="en-US" w:eastAsia="zh-CN"/>
        </w:rPr>
        <w:t xml:space="preserve">              </w:t>
      </w:r>
    </w:p>
    <w:p w14:paraId="603DE5FC">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04" w:firstLineChars="200"/>
        <w:jc w:val="both"/>
        <w:textAlignment w:val="baseline"/>
        <w:rPr>
          <w:rFonts w:hint="default" w:ascii="Times New Roman" w:hAnsi="Times New Roman" w:eastAsia="仿宋_GB2312" w:cs="Times New Roman"/>
          <w:snapToGrid w:val="0"/>
          <w:color w:val="auto"/>
          <w:spacing w:val="6"/>
          <w:kern w:val="0"/>
          <w:position w:val="0"/>
          <w:sz w:val="24"/>
          <w:szCs w:val="24"/>
          <w:u w:val="single"/>
          <w:lang w:val="en-US" w:eastAsia="zh-CN"/>
        </w:rPr>
      </w:pPr>
      <w:r>
        <w:rPr>
          <w:rFonts w:hint="default" w:ascii="Times New Roman" w:hAnsi="Times New Roman" w:eastAsia="仿宋_GB2312" w:cs="Times New Roman"/>
          <w:snapToGrid w:val="0"/>
          <w:color w:val="auto"/>
          <w:spacing w:val="6"/>
          <w:kern w:val="0"/>
          <w:position w:val="0"/>
          <w:sz w:val="24"/>
          <w:szCs w:val="24"/>
          <w:lang w:eastAsia="en-US"/>
        </w:rPr>
        <w:t>合同订立地点：</w:t>
      </w:r>
      <w:r>
        <w:rPr>
          <w:rFonts w:hint="eastAsia" w:ascii="Times New Roman" w:hAnsi="Times New Roman" w:eastAsia="仿宋_GB2312" w:cs="Times New Roman"/>
          <w:snapToGrid w:val="0"/>
          <w:color w:val="auto"/>
          <w:spacing w:val="6"/>
          <w:kern w:val="0"/>
          <w:position w:val="0"/>
          <w:sz w:val="24"/>
          <w:szCs w:val="24"/>
          <w:u w:val="single"/>
          <w:lang w:val="en-US" w:eastAsia="zh-CN"/>
        </w:rPr>
        <w:t xml:space="preserve">              </w:t>
      </w:r>
    </w:p>
    <w:p w14:paraId="3603D79F">
      <w:pPr>
        <w:keepNext w:val="0"/>
        <w:keepLines w:val="0"/>
        <w:pageBreakBefore w:val="0"/>
        <w:widowControl w:val="0"/>
        <w:tabs>
          <w:tab w:val="left" w:pos="4620"/>
        </w:tabs>
        <w:kinsoku w:val="0"/>
        <w:wordWrap/>
        <w:overflowPunct/>
        <w:topLinePunct w:val="0"/>
        <w:autoSpaceDE w:val="0"/>
        <w:autoSpaceDN w:val="0"/>
        <w:bidi w:val="0"/>
        <w:adjustRightInd w:val="0"/>
        <w:snapToGrid w:val="0"/>
        <w:spacing w:line="440" w:lineRule="exact"/>
        <w:ind w:left="0" w:leftChars="0" w:right="0" w:rightChars="0" w:firstLine="504" w:firstLineChars="200"/>
        <w:jc w:val="both"/>
        <w:textAlignment w:val="baseline"/>
        <w:rPr>
          <w:rFonts w:hint="default" w:ascii="Times New Roman" w:hAnsi="Times New Roman" w:eastAsia="Arial" w:cs="Times New Roman"/>
          <w:snapToGrid w:val="0"/>
          <w:color w:val="auto"/>
          <w:kern w:val="0"/>
          <w:szCs w:val="21"/>
          <w:lang w:eastAsia="en-US"/>
        </w:rPr>
      </w:pPr>
      <w:r>
        <w:rPr>
          <w:rFonts w:hint="default" w:ascii="Times New Roman" w:hAnsi="Times New Roman" w:eastAsia="仿宋_GB2312" w:cs="Times New Roman"/>
          <w:snapToGrid w:val="0"/>
          <w:color w:val="auto"/>
          <w:spacing w:val="6"/>
          <w:kern w:val="0"/>
          <w:position w:val="0"/>
          <w:sz w:val="24"/>
          <w:szCs w:val="24"/>
          <w:lang w:eastAsia="en-US"/>
        </w:rPr>
        <w:t>附件：具体标的及其技术要求和商务要求、联合协议、分包意向协议等。</w:t>
      </w:r>
    </w:p>
    <w:p w14:paraId="321D0622">
      <w:pPr>
        <w:widowControl/>
        <w:kinsoku w:val="0"/>
        <w:autoSpaceDE w:val="0"/>
        <w:autoSpaceDN w:val="0"/>
        <w:adjustRightInd w:val="0"/>
        <w:snapToGrid w:val="0"/>
        <w:spacing w:before="30" w:line="240" w:lineRule="auto"/>
        <w:jc w:val="left"/>
        <w:textAlignment w:val="baseline"/>
        <w:rPr>
          <w:rFonts w:hint="default" w:ascii="Times New Roman" w:hAnsi="Times New Roman" w:eastAsia="Arial" w:cs="Times New Roman"/>
          <w:snapToGrid w:val="0"/>
          <w:color w:val="auto"/>
          <w:kern w:val="0"/>
          <w:szCs w:val="21"/>
          <w:lang w:eastAsia="en-US"/>
        </w:rPr>
      </w:pPr>
    </w:p>
    <w:tbl>
      <w:tblPr>
        <w:tblStyle w:val="33"/>
        <w:tblpPr w:leftFromText="180" w:rightFromText="180" w:vertAnchor="text" w:horzAnchor="page" w:tblpX="1534" w:tblpY="109"/>
        <w:tblOverlap w:val="never"/>
        <w:tblW w:w="931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58"/>
        <w:gridCol w:w="2480"/>
        <w:gridCol w:w="1932"/>
        <w:gridCol w:w="2842"/>
      </w:tblGrid>
      <w:tr w14:paraId="0815F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538" w:type="dxa"/>
            <w:gridSpan w:val="2"/>
            <w:vAlign w:val="center"/>
          </w:tcPr>
          <w:p w14:paraId="6BE8A8DD">
            <w:pPr>
              <w:keepNext w:val="0"/>
              <w:keepLines w:val="0"/>
              <w:pageBreakBefore w:val="0"/>
              <w:widowControl/>
              <w:kinsoku w:val="0"/>
              <w:wordWrap/>
              <w:overflowPunct/>
              <w:topLinePunct w:val="0"/>
              <w:autoSpaceDE w:val="0"/>
              <w:autoSpaceDN w:val="0"/>
              <w:bidi w:val="0"/>
              <w:adjustRightInd w:val="0"/>
              <w:snapToGrid w:val="0"/>
              <w:spacing w:line="360" w:lineRule="exact"/>
              <w:ind w:left="688" w:right="160" w:hanging="498"/>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r>
              <w:rPr>
                <w:rFonts w:hint="default" w:ascii="Times New Roman" w:hAnsi="Times New Roman" w:eastAsia="仿宋_GB2312" w:cs="Times New Roman"/>
                <w:snapToGrid w:val="0"/>
                <w:color w:val="auto"/>
                <w:spacing w:val="6"/>
                <w:kern w:val="0"/>
                <w:position w:val="0"/>
                <w:sz w:val="24"/>
                <w:szCs w:val="24"/>
                <w:lang w:val="en-US" w:eastAsia="en-US" w:bidi="ar-SA"/>
              </w:rPr>
              <w:t>甲方（采购人、受采购人委托签订合同的单位或采购文件约定的合同甲方）</w:t>
            </w:r>
          </w:p>
        </w:tc>
        <w:tc>
          <w:tcPr>
            <w:tcW w:w="4774" w:type="dxa"/>
            <w:gridSpan w:val="2"/>
            <w:vAlign w:val="center"/>
          </w:tcPr>
          <w:p w14:paraId="60CE85F6">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r>
              <w:rPr>
                <w:rFonts w:hint="default" w:ascii="Times New Roman" w:hAnsi="Times New Roman" w:eastAsia="仿宋_GB2312" w:cs="Times New Roman"/>
                <w:snapToGrid w:val="0"/>
                <w:color w:val="auto"/>
                <w:spacing w:val="6"/>
                <w:kern w:val="0"/>
                <w:position w:val="0"/>
                <w:sz w:val="24"/>
                <w:szCs w:val="24"/>
                <w:lang w:val="en-US" w:eastAsia="en-US" w:bidi="ar-SA"/>
              </w:rPr>
              <w:t>乙方（供应商）</w:t>
            </w:r>
          </w:p>
        </w:tc>
      </w:tr>
      <w:tr w14:paraId="262A97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2058" w:type="dxa"/>
            <w:vAlign w:val="center"/>
          </w:tcPr>
          <w:p w14:paraId="2F7F6F19">
            <w:pPr>
              <w:keepNext w:val="0"/>
              <w:keepLines w:val="0"/>
              <w:pageBreakBefore w:val="0"/>
              <w:widowControl/>
              <w:kinsoku w:val="0"/>
              <w:wordWrap/>
              <w:overflowPunct/>
              <w:topLinePunct w:val="0"/>
              <w:autoSpaceDE w:val="0"/>
              <w:autoSpaceDN w:val="0"/>
              <w:bidi w:val="0"/>
              <w:adjustRightInd w:val="0"/>
              <w:snapToGrid w:val="0"/>
              <w:spacing w:line="360" w:lineRule="exact"/>
              <w:ind w:left="533" w:right="108" w:hanging="416"/>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r>
              <w:rPr>
                <w:rFonts w:hint="default" w:ascii="Times New Roman" w:hAnsi="Times New Roman" w:eastAsia="仿宋_GB2312" w:cs="Times New Roman"/>
                <w:snapToGrid w:val="0"/>
                <w:color w:val="auto"/>
                <w:spacing w:val="6"/>
                <w:kern w:val="0"/>
                <w:position w:val="0"/>
                <w:sz w:val="24"/>
                <w:szCs w:val="24"/>
                <w:lang w:val="en-US" w:eastAsia="en-US" w:bidi="ar-SA"/>
              </w:rPr>
              <w:t>单位名称</w:t>
            </w:r>
          </w:p>
          <w:p w14:paraId="0890BDB1">
            <w:pPr>
              <w:keepNext w:val="0"/>
              <w:keepLines w:val="0"/>
              <w:pageBreakBefore w:val="0"/>
              <w:widowControl/>
              <w:kinsoku w:val="0"/>
              <w:wordWrap/>
              <w:overflowPunct/>
              <w:topLinePunct w:val="0"/>
              <w:autoSpaceDE w:val="0"/>
              <w:autoSpaceDN w:val="0"/>
              <w:bidi w:val="0"/>
              <w:adjustRightInd w:val="0"/>
              <w:snapToGrid w:val="0"/>
              <w:spacing w:line="360" w:lineRule="exact"/>
              <w:ind w:left="533" w:right="108" w:hanging="416"/>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r>
              <w:rPr>
                <w:rFonts w:hint="default" w:ascii="Times New Roman" w:hAnsi="Times New Roman" w:eastAsia="仿宋_GB2312" w:cs="Times New Roman"/>
                <w:snapToGrid w:val="0"/>
                <w:color w:val="auto"/>
                <w:spacing w:val="6"/>
                <w:kern w:val="0"/>
                <w:position w:val="0"/>
                <w:sz w:val="24"/>
                <w:szCs w:val="24"/>
                <w:lang w:val="en-US" w:eastAsia="en-US" w:bidi="ar-SA"/>
              </w:rPr>
              <w:t>（公章或合同章）</w:t>
            </w:r>
          </w:p>
        </w:tc>
        <w:tc>
          <w:tcPr>
            <w:tcW w:w="2480" w:type="dxa"/>
            <w:vAlign w:val="center"/>
          </w:tcPr>
          <w:p w14:paraId="18546184">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zh-CN" w:bidi="ar-SA"/>
              </w:rPr>
            </w:pPr>
          </w:p>
        </w:tc>
        <w:tc>
          <w:tcPr>
            <w:tcW w:w="1932" w:type="dxa"/>
            <w:vAlign w:val="center"/>
          </w:tcPr>
          <w:p w14:paraId="2FB4998A">
            <w:pPr>
              <w:keepNext w:val="0"/>
              <w:keepLines w:val="0"/>
              <w:pageBreakBefore w:val="0"/>
              <w:widowControl/>
              <w:kinsoku w:val="0"/>
              <w:wordWrap/>
              <w:overflowPunct/>
              <w:topLinePunct w:val="0"/>
              <w:autoSpaceDE w:val="0"/>
              <w:autoSpaceDN w:val="0"/>
              <w:bidi w:val="0"/>
              <w:adjustRightInd w:val="0"/>
              <w:snapToGrid w:val="0"/>
              <w:spacing w:line="360" w:lineRule="exact"/>
              <w:ind w:left="575" w:right="146" w:hanging="419"/>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r>
              <w:rPr>
                <w:rFonts w:hint="default" w:ascii="Times New Roman" w:hAnsi="Times New Roman" w:eastAsia="仿宋_GB2312" w:cs="Times New Roman"/>
                <w:snapToGrid w:val="0"/>
                <w:color w:val="auto"/>
                <w:spacing w:val="6"/>
                <w:kern w:val="0"/>
                <w:position w:val="0"/>
                <w:sz w:val="24"/>
                <w:szCs w:val="24"/>
                <w:lang w:val="en-US" w:eastAsia="en-US" w:bidi="ar-SA"/>
              </w:rPr>
              <w:t>单位名称</w:t>
            </w:r>
          </w:p>
          <w:p w14:paraId="55D187C8">
            <w:pPr>
              <w:keepNext w:val="0"/>
              <w:keepLines w:val="0"/>
              <w:pageBreakBefore w:val="0"/>
              <w:widowControl/>
              <w:kinsoku w:val="0"/>
              <w:wordWrap/>
              <w:overflowPunct/>
              <w:topLinePunct w:val="0"/>
              <w:autoSpaceDE w:val="0"/>
              <w:autoSpaceDN w:val="0"/>
              <w:bidi w:val="0"/>
              <w:adjustRightInd w:val="0"/>
              <w:snapToGrid w:val="0"/>
              <w:spacing w:line="360" w:lineRule="exact"/>
              <w:ind w:left="575" w:right="146" w:hanging="419"/>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r>
              <w:rPr>
                <w:rFonts w:hint="default" w:ascii="Times New Roman" w:hAnsi="Times New Roman" w:eastAsia="仿宋_GB2312" w:cs="Times New Roman"/>
                <w:snapToGrid w:val="0"/>
                <w:color w:val="auto"/>
                <w:spacing w:val="6"/>
                <w:kern w:val="0"/>
                <w:position w:val="0"/>
                <w:sz w:val="24"/>
                <w:szCs w:val="24"/>
                <w:lang w:val="en-US" w:eastAsia="en-US" w:bidi="ar-SA"/>
              </w:rPr>
              <w:t>（公章或合同章）</w:t>
            </w:r>
          </w:p>
        </w:tc>
        <w:tc>
          <w:tcPr>
            <w:tcW w:w="2842" w:type="dxa"/>
            <w:vAlign w:val="center"/>
          </w:tcPr>
          <w:p w14:paraId="1D99625F">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zh-CN" w:bidi="ar-SA"/>
              </w:rPr>
            </w:pPr>
          </w:p>
        </w:tc>
      </w:tr>
      <w:tr w14:paraId="06654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0" w:hRule="atLeast"/>
        </w:trPr>
        <w:tc>
          <w:tcPr>
            <w:tcW w:w="2058" w:type="dxa"/>
            <w:vMerge w:val="restart"/>
            <w:tcBorders>
              <w:bottom w:val="nil"/>
            </w:tcBorders>
            <w:vAlign w:val="center"/>
          </w:tcPr>
          <w:p w14:paraId="278A5AF4">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outlineLvl w:val="1"/>
              <w:rPr>
                <w:rFonts w:hint="default" w:ascii="Times New Roman" w:hAnsi="Times New Roman" w:eastAsia="仿宋_GB2312" w:cs="Times New Roman"/>
                <w:snapToGrid w:val="0"/>
                <w:color w:val="auto"/>
                <w:spacing w:val="6"/>
                <w:kern w:val="0"/>
                <w:position w:val="0"/>
                <w:sz w:val="24"/>
                <w:szCs w:val="24"/>
                <w:lang w:val="en-US" w:eastAsia="en-US" w:bidi="ar-SA"/>
              </w:rPr>
            </w:pPr>
            <w:r>
              <w:rPr>
                <w:rFonts w:hint="default" w:ascii="Times New Roman" w:hAnsi="Times New Roman" w:eastAsia="仿宋_GB2312" w:cs="Times New Roman"/>
                <w:snapToGrid w:val="0"/>
                <w:color w:val="auto"/>
                <w:spacing w:val="6"/>
                <w:kern w:val="0"/>
                <w:position w:val="0"/>
                <w:sz w:val="24"/>
                <w:szCs w:val="24"/>
                <w:lang w:val="en-US" w:eastAsia="en-US" w:bidi="ar-SA"/>
              </w:rPr>
              <w:t>法定代表人</w:t>
            </w:r>
          </w:p>
          <w:p w14:paraId="7F60BDA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r>
              <w:rPr>
                <w:rFonts w:hint="default" w:ascii="Times New Roman" w:hAnsi="Times New Roman" w:eastAsia="仿宋_GB2312" w:cs="Times New Roman"/>
                <w:snapToGrid w:val="0"/>
                <w:color w:val="auto"/>
                <w:spacing w:val="6"/>
                <w:kern w:val="0"/>
                <w:position w:val="0"/>
                <w:sz w:val="24"/>
                <w:szCs w:val="24"/>
                <w:lang w:val="en-US" w:eastAsia="en-US" w:bidi="ar-SA"/>
              </w:rPr>
              <w:t>或其委托代理人</w:t>
            </w:r>
          </w:p>
          <w:p w14:paraId="5CE17155">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r>
              <w:rPr>
                <w:rFonts w:hint="default" w:ascii="Times New Roman" w:hAnsi="Times New Roman" w:eastAsia="仿宋_GB2312" w:cs="Times New Roman"/>
                <w:snapToGrid w:val="0"/>
                <w:color w:val="auto"/>
                <w:spacing w:val="6"/>
                <w:kern w:val="0"/>
                <w:position w:val="0"/>
                <w:sz w:val="24"/>
                <w:szCs w:val="24"/>
                <w:lang w:val="en-US" w:eastAsia="en-US" w:bidi="ar-SA"/>
              </w:rPr>
              <w:t>（签章）</w:t>
            </w:r>
          </w:p>
        </w:tc>
        <w:tc>
          <w:tcPr>
            <w:tcW w:w="2480" w:type="dxa"/>
            <w:vMerge w:val="restart"/>
            <w:tcBorders>
              <w:bottom w:val="nil"/>
            </w:tcBorders>
            <w:vAlign w:val="center"/>
          </w:tcPr>
          <w:p w14:paraId="4831CD2C">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zh-CN" w:bidi="ar-SA"/>
              </w:rPr>
            </w:pPr>
          </w:p>
        </w:tc>
        <w:tc>
          <w:tcPr>
            <w:tcW w:w="1932" w:type="dxa"/>
            <w:vAlign w:val="center"/>
          </w:tcPr>
          <w:p w14:paraId="6E0961AC">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r>
              <w:rPr>
                <w:rFonts w:hint="default" w:ascii="Times New Roman" w:hAnsi="Times New Roman" w:eastAsia="仿宋_GB2312" w:cs="Times New Roman"/>
                <w:snapToGrid w:val="0"/>
                <w:color w:val="auto"/>
                <w:spacing w:val="6"/>
                <w:kern w:val="0"/>
                <w:position w:val="0"/>
                <w:sz w:val="24"/>
                <w:szCs w:val="24"/>
                <w:lang w:val="en-US" w:eastAsia="en-US" w:bidi="ar-SA"/>
              </w:rPr>
              <w:t>法定代表人</w:t>
            </w:r>
          </w:p>
          <w:p w14:paraId="20F95428">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r>
              <w:rPr>
                <w:rFonts w:hint="default" w:ascii="Times New Roman" w:hAnsi="Times New Roman" w:eastAsia="仿宋_GB2312" w:cs="Times New Roman"/>
                <w:snapToGrid w:val="0"/>
                <w:color w:val="auto"/>
                <w:spacing w:val="6"/>
                <w:kern w:val="0"/>
                <w:position w:val="0"/>
                <w:sz w:val="24"/>
                <w:szCs w:val="24"/>
                <w:lang w:val="en-US" w:eastAsia="en-US" w:bidi="ar-SA"/>
              </w:rPr>
              <w:t>或其委托代理人</w:t>
            </w:r>
          </w:p>
          <w:p w14:paraId="380BD5C6">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r>
              <w:rPr>
                <w:rFonts w:hint="default" w:ascii="Times New Roman" w:hAnsi="Times New Roman" w:eastAsia="仿宋_GB2312" w:cs="Times New Roman"/>
                <w:snapToGrid w:val="0"/>
                <w:color w:val="auto"/>
                <w:spacing w:val="6"/>
                <w:kern w:val="0"/>
                <w:position w:val="0"/>
                <w:sz w:val="24"/>
                <w:szCs w:val="24"/>
                <w:lang w:val="en-US" w:eastAsia="en-US" w:bidi="ar-SA"/>
              </w:rPr>
              <w:t>（签章）</w:t>
            </w:r>
          </w:p>
        </w:tc>
        <w:tc>
          <w:tcPr>
            <w:tcW w:w="2842" w:type="dxa"/>
            <w:vAlign w:val="center"/>
          </w:tcPr>
          <w:p w14:paraId="563B80D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p>
        </w:tc>
      </w:tr>
      <w:tr w14:paraId="687F49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2058" w:type="dxa"/>
            <w:vMerge w:val="continue"/>
            <w:tcBorders>
              <w:top w:val="nil"/>
            </w:tcBorders>
            <w:vAlign w:val="center"/>
          </w:tcPr>
          <w:p w14:paraId="543D22CA">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p>
        </w:tc>
        <w:tc>
          <w:tcPr>
            <w:tcW w:w="2480" w:type="dxa"/>
            <w:vMerge w:val="continue"/>
            <w:tcBorders>
              <w:top w:val="nil"/>
            </w:tcBorders>
            <w:vAlign w:val="center"/>
          </w:tcPr>
          <w:p w14:paraId="0BA49364">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p>
        </w:tc>
        <w:tc>
          <w:tcPr>
            <w:tcW w:w="1932" w:type="dxa"/>
            <w:vAlign w:val="center"/>
          </w:tcPr>
          <w:p w14:paraId="4F72D0DA">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r>
              <w:rPr>
                <w:rFonts w:hint="default" w:ascii="Times New Roman" w:hAnsi="Times New Roman" w:eastAsia="仿宋_GB2312" w:cs="Times New Roman"/>
                <w:snapToGrid w:val="0"/>
                <w:color w:val="auto"/>
                <w:spacing w:val="6"/>
                <w:kern w:val="0"/>
                <w:position w:val="0"/>
                <w:sz w:val="24"/>
                <w:szCs w:val="24"/>
                <w:highlight w:val="none"/>
                <w:lang w:val="en-US" w:eastAsia="en-US" w:bidi="ar-SA"/>
              </w:rPr>
              <w:t>拥有者性别</w:t>
            </w:r>
          </w:p>
        </w:tc>
        <w:tc>
          <w:tcPr>
            <w:tcW w:w="2842" w:type="dxa"/>
            <w:vAlign w:val="center"/>
          </w:tcPr>
          <w:p w14:paraId="4B8B17F6">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p>
        </w:tc>
      </w:tr>
      <w:tr w14:paraId="37C272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2058" w:type="dxa"/>
            <w:vAlign w:val="center"/>
          </w:tcPr>
          <w:p w14:paraId="6AD3E528">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r>
              <w:rPr>
                <w:rFonts w:hint="default" w:ascii="Times New Roman" w:hAnsi="Times New Roman" w:eastAsia="仿宋_GB2312" w:cs="Times New Roman"/>
                <w:snapToGrid w:val="0"/>
                <w:color w:val="auto"/>
                <w:spacing w:val="6"/>
                <w:kern w:val="0"/>
                <w:position w:val="0"/>
                <w:sz w:val="24"/>
                <w:szCs w:val="24"/>
                <w:lang w:val="en-US" w:eastAsia="en-US" w:bidi="ar-SA"/>
              </w:rPr>
              <w:t>住所</w:t>
            </w:r>
          </w:p>
        </w:tc>
        <w:tc>
          <w:tcPr>
            <w:tcW w:w="2480" w:type="dxa"/>
            <w:vAlign w:val="center"/>
          </w:tcPr>
          <w:p w14:paraId="12659F3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p>
        </w:tc>
        <w:tc>
          <w:tcPr>
            <w:tcW w:w="1932" w:type="dxa"/>
            <w:vAlign w:val="center"/>
          </w:tcPr>
          <w:p w14:paraId="3C150BB9">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r>
              <w:rPr>
                <w:rFonts w:hint="default" w:ascii="Times New Roman" w:hAnsi="Times New Roman" w:eastAsia="仿宋_GB2312" w:cs="Times New Roman"/>
                <w:snapToGrid w:val="0"/>
                <w:color w:val="auto"/>
                <w:spacing w:val="6"/>
                <w:kern w:val="0"/>
                <w:position w:val="0"/>
                <w:sz w:val="24"/>
                <w:szCs w:val="24"/>
                <w:lang w:val="en-US" w:eastAsia="en-US" w:bidi="ar-SA"/>
              </w:rPr>
              <w:t>住所</w:t>
            </w:r>
          </w:p>
        </w:tc>
        <w:tc>
          <w:tcPr>
            <w:tcW w:w="2842" w:type="dxa"/>
            <w:vAlign w:val="center"/>
          </w:tcPr>
          <w:p w14:paraId="5B8DDACC">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p>
        </w:tc>
      </w:tr>
      <w:tr w14:paraId="10B7FE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2058" w:type="dxa"/>
            <w:vAlign w:val="center"/>
          </w:tcPr>
          <w:p w14:paraId="443DA0F0">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r>
              <w:rPr>
                <w:rFonts w:hint="default" w:ascii="Times New Roman" w:hAnsi="Times New Roman" w:eastAsia="仿宋_GB2312" w:cs="Times New Roman"/>
                <w:snapToGrid w:val="0"/>
                <w:color w:val="auto"/>
                <w:spacing w:val="6"/>
                <w:kern w:val="0"/>
                <w:position w:val="0"/>
                <w:sz w:val="24"/>
                <w:szCs w:val="24"/>
                <w:lang w:val="en-US" w:eastAsia="en-US" w:bidi="ar-SA"/>
              </w:rPr>
              <w:t>联系人</w:t>
            </w:r>
          </w:p>
        </w:tc>
        <w:tc>
          <w:tcPr>
            <w:tcW w:w="2480" w:type="dxa"/>
            <w:vAlign w:val="center"/>
          </w:tcPr>
          <w:p w14:paraId="61AB2924">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zh-CN" w:bidi="ar-SA"/>
              </w:rPr>
            </w:pPr>
          </w:p>
        </w:tc>
        <w:tc>
          <w:tcPr>
            <w:tcW w:w="1932" w:type="dxa"/>
            <w:vAlign w:val="center"/>
          </w:tcPr>
          <w:p w14:paraId="11601AE0">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r>
              <w:rPr>
                <w:rFonts w:hint="default" w:ascii="Times New Roman" w:hAnsi="Times New Roman" w:eastAsia="仿宋_GB2312" w:cs="Times New Roman"/>
                <w:snapToGrid w:val="0"/>
                <w:color w:val="auto"/>
                <w:spacing w:val="6"/>
                <w:kern w:val="0"/>
                <w:position w:val="0"/>
                <w:sz w:val="24"/>
                <w:szCs w:val="24"/>
                <w:lang w:val="en-US" w:eastAsia="en-US" w:bidi="ar-SA"/>
              </w:rPr>
              <w:t>联系人</w:t>
            </w:r>
          </w:p>
        </w:tc>
        <w:tc>
          <w:tcPr>
            <w:tcW w:w="2842" w:type="dxa"/>
            <w:vAlign w:val="center"/>
          </w:tcPr>
          <w:p w14:paraId="7765B9F2">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zh-CN" w:bidi="ar-SA"/>
              </w:rPr>
            </w:pPr>
          </w:p>
        </w:tc>
      </w:tr>
      <w:tr w14:paraId="323E7F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2058" w:type="dxa"/>
            <w:vAlign w:val="center"/>
          </w:tcPr>
          <w:p w14:paraId="6AC64AE6">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r>
              <w:rPr>
                <w:rFonts w:hint="default" w:ascii="Times New Roman" w:hAnsi="Times New Roman" w:eastAsia="仿宋_GB2312" w:cs="Times New Roman"/>
                <w:snapToGrid w:val="0"/>
                <w:color w:val="auto"/>
                <w:spacing w:val="6"/>
                <w:kern w:val="0"/>
                <w:position w:val="0"/>
                <w:sz w:val="24"/>
                <w:szCs w:val="24"/>
                <w:lang w:val="en-US" w:eastAsia="en-US" w:bidi="ar-SA"/>
              </w:rPr>
              <w:t>联系电话</w:t>
            </w:r>
          </w:p>
        </w:tc>
        <w:tc>
          <w:tcPr>
            <w:tcW w:w="2480" w:type="dxa"/>
            <w:vAlign w:val="center"/>
          </w:tcPr>
          <w:p w14:paraId="757ACC05">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p>
        </w:tc>
        <w:tc>
          <w:tcPr>
            <w:tcW w:w="1932" w:type="dxa"/>
            <w:vAlign w:val="center"/>
          </w:tcPr>
          <w:p w14:paraId="03BB54E9">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r>
              <w:rPr>
                <w:rFonts w:hint="default" w:ascii="Times New Roman" w:hAnsi="Times New Roman" w:eastAsia="仿宋_GB2312" w:cs="Times New Roman"/>
                <w:snapToGrid w:val="0"/>
                <w:color w:val="auto"/>
                <w:spacing w:val="6"/>
                <w:kern w:val="0"/>
                <w:position w:val="0"/>
                <w:sz w:val="24"/>
                <w:szCs w:val="24"/>
                <w:lang w:val="en-US" w:eastAsia="en-US" w:bidi="ar-SA"/>
              </w:rPr>
              <w:t>联系电话</w:t>
            </w:r>
          </w:p>
        </w:tc>
        <w:tc>
          <w:tcPr>
            <w:tcW w:w="2842" w:type="dxa"/>
            <w:vAlign w:val="center"/>
          </w:tcPr>
          <w:p w14:paraId="11DD20BD">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zh-CN" w:bidi="ar-SA"/>
              </w:rPr>
            </w:pPr>
          </w:p>
        </w:tc>
      </w:tr>
      <w:tr w14:paraId="218917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2058" w:type="dxa"/>
            <w:vAlign w:val="center"/>
          </w:tcPr>
          <w:p w14:paraId="28379D0F">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r>
              <w:rPr>
                <w:rFonts w:hint="default" w:ascii="Times New Roman" w:hAnsi="Times New Roman" w:eastAsia="仿宋_GB2312" w:cs="Times New Roman"/>
                <w:snapToGrid w:val="0"/>
                <w:color w:val="auto"/>
                <w:spacing w:val="6"/>
                <w:kern w:val="0"/>
                <w:position w:val="0"/>
                <w:sz w:val="24"/>
                <w:szCs w:val="24"/>
                <w:lang w:val="en-US" w:eastAsia="en-US" w:bidi="ar-SA"/>
              </w:rPr>
              <w:t>通信地址</w:t>
            </w:r>
          </w:p>
        </w:tc>
        <w:tc>
          <w:tcPr>
            <w:tcW w:w="2480" w:type="dxa"/>
            <w:vAlign w:val="center"/>
          </w:tcPr>
          <w:p w14:paraId="56DA15C2">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p>
        </w:tc>
        <w:tc>
          <w:tcPr>
            <w:tcW w:w="1932" w:type="dxa"/>
            <w:vAlign w:val="center"/>
          </w:tcPr>
          <w:p w14:paraId="57D43037">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r>
              <w:rPr>
                <w:rFonts w:hint="default" w:ascii="Times New Roman" w:hAnsi="Times New Roman" w:eastAsia="仿宋_GB2312" w:cs="Times New Roman"/>
                <w:snapToGrid w:val="0"/>
                <w:color w:val="auto"/>
                <w:spacing w:val="6"/>
                <w:kern w:val="0"/>
                <w:position w:val="0"/>
                <w:sz w:val="24"/>
                <w:szCs w:val="24"/>
                <w:lang w:val="en-US" w:eastAsia="en-US" w:bidi="ar-SA"/>
              </w:rPr>
              <w:t>通信地址</w:t>
            </w:r>
          </w:p>
        </w:tc>
        <w:tc>
          <w:tcPr>
            <w:tcW w:w="2842" w:type="dxa"/>
            <w:vAlign w:val="center"/>
          </w:tcPr>
          <w:p w14:paraId="6DDA7214">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p>
        </w:tc>
      </w:tr>
      <w:tr w14:paraId="23201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2058" w:type="dxa"/>
            <w:vAlign w:val="center"/>
          </w:tcPr>
          <w:p w14:paraId="13015D67">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r>
              <w:rPr>
                <w:rFonts w:hint="default" w:ascii="Times New Roman" w:hAnsi="Times New Roman" w:eastAsia="仿宋_GB2312" w:cs="Times New Roman"/>
                <w:snapToGrid w:val="0"/>
                <w:color w:val="auto"/>
                <w:spacing w:val="6"/>
                <w:kern w:val="0"/>
                <w:position w:val="0"/>
                <w:sz w:val="24"/>
                <w:szCs w:val="24"/>
                <w:lang w:val="en-US" w:eastAsia="en-US" w:bidi="ar-SA"/>
              </w:rPr>
              <w:t>邮政编码</w:t>
            </w:r>
          </w:p>
        </w:tc>
        <w:tc>
          <w:tcPr>
            <w:tcW w:w="2480" w:type="dxa"/>
            <w:vAlign w:val="center"/>
          </w:tcPr>
          <w:p w14:paraId="1B7E93E4">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p>
        </w:tc>
        <w:tc>
          <w:tcPr>
            <w:tcW w:w="1932" w:type="dxa"/>
            <w:vAlign w:val="center"/>
          </w:tcPr>
          <w:p w14:paraId="54C50B46">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r>
              <w:rPr>
                <w:rFonts w:hint="default" w:ascii="Times New Roman" w:hAnsi="Times New Roman" w:eastAsia="仿宋_GB2312" w:cs="Times New Roman"/>
                <w:snapToGrid w:val="0"/>
                <w:color w:val="auto"/>
                <w:spacing w:val="6"/>
                <w:kern w:val="0"/>
                <w:position w:val="0"/>
                <w:sz w:val="24"/>
                <w:szCs w:val="24"/>
                <w:lang w:val="en-US" w:eastAsia="en-US" w:bidi="ar-SA"/>
              </w:rPr>
              <w:t>邮政编码</w:t>
            </w:r>
          </w:p>
        </w:tc>
        <w:tc>
          <w:tcPr>
            <w:tcW w:w="2842" w:type="dxa"/>
            <w:vAlign w:val="center"/>
          </w:tcPr>
          <w:p w14:paraId="194CD90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zh-CN" w:bidi="ar-SA"/>
              </w:rPr>
            </w:pPr>
          </w:p>
        </w:tc>
      </w:tr>
      <w:tr w14:paraId="7FBF5F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2058" w:type="dxa"/>
            <w:vAlign w:val="center"/>
          </w:tcPr>
          <w:p w14:paraId="28AB4139">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r>
              <w:rPr>
                <w:rFonts w:hint="default" w:ascii="Times New Roman" w:hAnsi="Times New Roman" w:eastAsia="仿宋_GB2312" w:cs="Times New Roman"/>
                <w:snapToGrid w:val="0"/>
                <w:color w:val="auto"/>
                <w:spacing w:val="6"/>
                <w:kern w:val="0"/>
                <w:position w:val="0"/>
                <w:sz w:val="24"/>
                <w:szCs w:val="24"/>
                <w:lang w:val="en-US" w:eastAsia="en-US" w:bidi="ar-SA"/>
              </w:rPr>
              <w:t>电子邮箱</w:t>
            </w:r>
          </w:p>
        </w:tc>
        <w:tc>
          <w:tcPr>
            <w:tcW w:w="2480" w:type="dxa"/>
            <w:vAlign w:val="center"/>
          </w:tcPr>
          <w:p w14:paraId="75B3DE1C">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p>
        </w:tc>
        <w:tc>
          <w:tcPr>
            <w:tcW w:w="1932" w:type="dxa"/>
            <w:vAlign w:val="center"/>
          </w:tcPr>
          <w:p w14:paraId="24868C08">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r>
              <w:rPr>
                <w:rFonts w:hint="default" w:ascii="Times New Roman" w:hAnsi="Times New Roman" w:eastAsia="仿宋_GB2312" w:cs="Times New Roman"/>
                <w:snapToGrid w:val="0"/>
                <w:color w:val="auto"/>
                <w:spacing w:val="6"/>
                <w:kern w:val="0"/>
                <w:position w:val="0"/>
                <w:sz w:val="24"/>
                <w:szCs w:val="24"/>
                <w:lang w:val="en-US" w:eastAsia="en-US" w:bidi="ar-SA"/>
              </w:rPr>
              <w:t>电子邮箱</w:t>
            </w:r>
          </w:p>
        </w:tc>
        <w:tc>
          <w:tcPr>
            <w:tcW w:w="2842" w:type="dxa"/>
            <w:vAlign w:val="center"/>
          </w:tcPr>
          <w:p w14:paraId="602E3B1C">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p>
        </w:tc>
      </w:tr>
      <w:tr w14:paraId="63E620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2058" w:type="dxa"/>
            <w:vAlign w:val="center"/>
          </w:tcPr>
          <w:p w14:paraId="1EC72BEA">
            <w:pPr>
              <w:keepNext w:val="0"/>
              <w:keepLines w:val="0"/>
              <w:pageBreakBefore w:val="0"/>
              <w:widowControl/>
              <w:kinsoku w:val="0"/>
              <w:wordWrap/>
              <w:overflowPunct/>
              <w:topLinePunct w:val="0"/>
              <w:autoSpaceDE w:val="0"/>
              <w:autoSpaceDN w:val="0"/>
              <w:bidi w:val="0"/>
              <w:adjustRightInd w:val="0"/>
              <w:snapToGrid w:val="0"/>
              <w:spacing w:line="360" w:lineRule="exact"/>
              <w:ind w:right="0" w:firstLine="0" w:firstLineChars="0"/>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r>
              <w:rPr>
                <w:rFonts w:hint="default" w:ascii="Times New Roman" w:hAnsi="Times New Roman" w:eastAsia="仿宋_GB2312" w:cs="Times New Roman"/>
                <w:snapToGrid w:val="0"/>
                <w:color w:val="auto"/>
                <w:spacing w:val="6"/>
                <w:kern w:val="0"/>
                <w:position w:val="0"/>
                <w:sz w:val="24"/>
                <w:szCs w:val="24"/>
                <w:lang w:val="en-US" w:eastAsia="en-US" w:bidi="ar-SA"/>
              </w:rPr>
              <w:t>统一社会信用代码</w:t>
            </w:r>
          </w:p>
        </w:tc>
        <w:tc>
          <w:tcPr>
            <w:tcW w:w="2480" w:type="dxa"/>
            <w:vAlign w:val="center"/>
          </w:tcPr>
          <w:p w14:paraId="76BFFF35">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p>
        </w:tc>
        <w:tc>
          <w:tcPr>
            <w:tcW w:w="1932" w:type="dxa"/>
            <w:vAlign w:val="center"/>
          </w:tcPr>
          <w:p w14:paraId="047C7D2A">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r>
              <w:rPr>
                <w:rFonts w:hint="default" w:ascii="Times New Roman" w:hAnsi="Times New Roman" w:eastAsia="仿宋_GB2312" w:cs="Times New Roman"/>
                <w:snapToGrid w:val="0"/>
                <w:color w:val="auto"/>
                <w:spacing w:val="6"/>
                <w:kern w:val="0"/>
                <w:position w:val="0"/>
                <w:sz w:val="24"/>
                <w:szCs w:val="24"/>
                <w:lang w:val="en-US" w:eastAsia="en-US" w:bidi="ar-SA"/>
              </w:rPr>
              <w:t>统一社会信用代码</w:t>
            </w:r>
          </w:p>
        </w:tc>
        <w:tc>
          <w:tcPr>
            <w:tcW w:w="2842" w:type="dxa"/>
            <w:vAlign w:val="center"/>
          </w:tcPr>
          <w:p w14:paraId="0A14CD3B">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p>
        </w:tc>
      </w:tr>
      <w:tr w14:paraId="7A4F0C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2058" w:type="dxa"/>
            <w:vAlign w:val="center"/>
          </w:tcPr>
          <w:p w14:paraId="3A359BD2">
            <w:pPr>
              <w:keepNext w:val="0"/>
              <w:keepLines w:val="0"/>
              <w:pageBreakBefore w:val="0"/>
              <w:widowControl/>
              <w:kinsoku w:val="0"/>
              <w:wordWrap/>
              <w:overflowPunct/>
              <w:topLinePunct w:val="0"/>
              <w:autoSpaceDE w:val="0"/>
              <w:autoSpaceDN w:val="0"/>
              <w:bidi w:val="0"/>
              <w:adjustRightInd w:val="0"/>
              <w:snapToGrid w:val="0"/>
              <w:spacing w:line="360" w:lineRule="exact"/>
              <w:ind w:right="208"/>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r>
              <w:rPr>
                <w:rFonts w:hint="default" w:ascii="Times New Roman" w:hAnsi="Times New Roman" w:eastAsia="仿宋_GB2312" w:cs="Times New Roman"/>
                <w:snapToGrid w:val="0"/>
                <w:color w:val="auto"/>
                <w:spacing w:val="6"/>
                <w:kern w:val="0"/>
                <w:position w:val="0"/>
                <w:sz w:val="24"/>
                <w:szCs w:val="24"/>
                <w:lang w:val="en-US" w:eastAsia="en-US" w:bidi="ar-SA"/>
              </w:rPr>
              <w:t>项目分管领导</w:t>
            </w:r>
          </w:p>
          <w:p w14:paraId="17A312C4">
            <w:pPr>
              <w:keepNext w:val="0"/>
              <w:keepLines w:val="0"/>
              <w:pageBreakBefore w:val="0"/>
              <w:widowControl/>
              <w:kinsoku w:val="0"/>
              <w:wordWrap/>
              <w:overflowPunct/>
              <w:topLinePunct w:val="0"/>
              <w:autoSpaceDE w:val="0"/>
              <w:autoSpaceDN w:val="0"/>
              <w:bidi w:val="0"/>
              <w:adjustRightInd w:val="0"/>
              <w:snapToGrid w:val="0"/>
              <w:spacing w:line="360" w:lineRule="exact"/>
              <w:ind w:right="208"/>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r>
              <w:rPr>
                <w:rFonts w:hint="default" w:ascii="Times New Roman" w:hAnsi="Times New Roman" w:eastAsia="仿宋_GB2312" w:cs="Times New Roman"/>
                <w:snapToGrid w:val="0"/>
                <w:color w:val="auto"/>
                <w:spacing w:val="6"/>
                <w:kern w:val="0"/>
                <w:position w:val="0"/>
                <w:sz w:val="24"/>
                <w:szCs w:val="24"/>
                <w:lang w:val="en-US" w:eastAsia="zh-CN" w:bidi="ar-SA"/>
              </w:rPr>
              <w:t>（</w:t>
            </w:r>
            <w:r>
              <w:rPr>
                <w:rFonts w:hint="default" w:ascii="Times New Roman" w:hAnsi="Times New Roman" w:eastAsia="仿宋_GB2312" w:cs="Times New Roman"/>
                <w:snapToGrid w:val="0"/>
                <w:color w:val="auto"/>
                <w:spacing w:val="6"/>
                <w:kern w:val="0"/>
                <w:position w:val="0"/>
                <w:sz w:val="24"/>
                <w:szCs w:val="24"/>
                <w:lang w:val="en-US" w:eastAsia="en-US" w:bidi="ar-SA"/>
              </w:rPr>
              <w:t>签字</w:t>
            </w:r>
            <w:r>
              <w:rPr>
                <w:rFonts w:hint="default" w:ascii="Times New Roman" w:hAnsi="Times New Roman" w:eastAsia="仿宋_GB2312" w:cs="Times New Roman"/>
                <w:snapToGrid w:val="0"/>
                <w:color w:val="auto"/>
                <w:spacing w:val="6"/>
                <w:kern w:val="0"/>
                <w:position w:val="0"/>
                <w:sz w:val="24"/>
                <w:szCs w:val="24"/>
                <w:lang w:val="en-US" w:eastAsia="zh-CN" w:bidi="ar-SA"/>
              </w:rPr>
              <w:t>）</w:t>
            </w:r>
          </w:p>
        </w:tc>
        <w:tc>
          <w:tcPr>
            <w:tcW w:w="2480" w:type="dxa"/>
            <w:vAlign w:val="center"/>
          </w:tcPr>
          <w:p w14:paraId="04AEE97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p>
        </w:tc>
        <w:tc>
          <w:tcPr>
            <w:tcW w:w="1932" w:type="dxa"/>
            <w:vAlign w:val="center"/>
          </w:tcPr>
          <w:p w14:paraId="25D935F1">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r>
              <w:rPr>
                <w:rFonts w:hint="default" w:ascii="Times New Roman" w:hAnsi="Times New Roman" w:eastAsia="仿宋_GB2312" w:cs="Times New Roman"/>
                <w:snapToGrid w:val="0"/>
                <w:color w:val="auto"/>
                <w:spacing w:val="6"/>
                <w:kern w:val="0"/>
                <w:position w:val="0"/>
                <w:sz w:val="24"/>
                <w:szCs w:val="24"/>
                <w:lang w:val="en-US" w:eastAsia="en-US" w:bidi="ar-SA"/>
              </w:rPr>
              <w:t>开户名称</w:t>
            </w:r>
          </w:p>
        </w:tc>
        <w:tc>
          <w:tcPr>
            <w:tcW w:w="2842" w:type="dxa"/>
            <w:vAlign w:val="center"/>
          </w:tcPr>
          <w:p w14:paraId="740713E5">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p>
        </w:tc>
      </w:tr>
      <w:tr w14:paraId="706DD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7" w:hRule="atLeast"/>
        </w:trPr>
        <w:tc>
          <w:tcPr>
            <w:tcW w:w="2058" w:type="dxa"/>
            <w:vAlign w:val="center"/>
          </w:tcPr>
          <w:p w14:paraId="6C1278CF">
            <w:pPr>
              <w:keepNext w:val="0"/>
              <w:keepLines w:val="0"/>
              <w:pageBreakBefore w:val="0"/>
              <w:widowControl/>
              <w:kinsoku w:val="0"/>
              <w:wordWrap/>
              <w:overflowPunct/>
              <w:topLinePunct w:val="0"/>
              <w:autoSpaceDE w:val="0"/>
              <w:autoSpaceDN w:val="0"/>
              <w:bidi w:val="0"/>
              <w:adjustRightInd w:val="0"/>
              <w:snapToGrid w:val="0"/>
              <w:spacing w:line="360" w:lineRule="exact"/>
              <w:ind w:right="208"/>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r>
              <w:rPr>
                <w:rFonts w:hint="default" w:ascii="Times New Roman" w:hAnsi="Times New Roman" w:eastAsia="仿宋_GB2312" w:cs="Times New Roman"/>
                <w:snapToGrid w:val="0"/>
                <w:color w:val="auto"/>
                <w:spacing w:val="6"/>
                <w:kern w:val="0"/>
                <w:position w:val="0"/>
                <w:sz w:val="24"/>
                <w:szCs w:val="24"/>
                <w:lang w:val="en-US" w:eastAsia="en-US" w:bidi="ar-SA"/>
              </w:rPr>
              <w:t>项目经办人</w:t>
            </w:r>
          </w:p>
          <w:p w14:paraId="6D391945">
            <w:pPr>
              <w:keepNext w:val="0"/>
              <w:keepLines w:val="0"/>
              <w:pageBreakBefore w:val="0"/>
              <w:widowControl/>
              <w:kinsoku w:val="0"/>
              <w:wordWrap/>
              <w:overflowPunct/>
              <w:topLinePunct w:val="0"/>
              <w:autoSpaceDE w:val="0"/>
              <w:autoSpaceDN w:val="0"/>
              <w:bidi w:val="0"/>
              <w:adjustRightInd w:val="0"/>
              <w:snapToGrid w:val="0"/>
              <w:spacing w:line="360" w:lineRule="exact"/>
              <w:ind w:right="208"/>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r>
              <w:rPr>
                <w:rFonts w:hint="default" w:ascii="Times New Roman" w:hAnsi="Times New Roman" w:eastAsia="仿宋_GB2312" w:cs="Times New Roman"/>
                <w:snapToGrid w:val="0"/>
                <w:color w:val="auto"/>
                <w:spacing w:val="6"/>
                <w:kern w:val="0"/>
                <w:position w:val="0"/>
                <w:sz w:val="24"/>
                <w:szCs w:val="24"/>
                <w:lang w:val="en-US" w:eastAsia="en-US" w:bidi="ar-SA"/>
              </w:rPr>
              <w:t>（签字）</w:t>
            </w:r>
          </w:p>
        </w:tc>
        <w:tc>
          <w:tcPr>
            <w:tcW w:w="2480" w:type="dxa"/>
            <w:vAlign w:val="center"/>
          </w:tcPr>
          <w:p w14:paraId="40C90DE1">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p>
        </w:tc>
        <w:tc>
          <w:tcPr>
            <w:tcW w:w="1932" w:type="dxa"/>
            <w:vAlign w:val="center"/>
          </w:tcPr>
          <w:p w14:paraId="0CD9AC70">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r>
              <w:rPr>
                <w:rFonts w:hint="default" w:ascii="Times New Roman" w:hAnsi="Times New Roman" w:eastAsia="仿宋_GB2312" w:cs="Times New Roman"/>
                <w:snapToGrid w:val="0"/>
                <w:color w:val="auto"/>
                <w:spacing w:val="6"/>
                <w:kern w:val="0"/>
                <w:position w:val="0"/>
                <w:sz w:val="24"/>
                <w:szCs w:val="24"/>
                <w:lang w:val="en-US" w:eastAsia="en-US" w:bidi="ar-SA"/>
              </w:rPr>
              <w:t>开户银行</w:t>
            </w:r>
          </w:p>
        </w:tc>
        <w:tc>
          <w:tcPr>
            <w:tcW w:w="2842" w:type="dxa"/>
            <w:vAlign w:val="center"/>
          </w:tcPr>
          <w:p w14:paraId="18B21E9F">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p>
        </w:tc>
      </w:tr>
      <w:tr w14:paraId="332464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2058" w:type="dxa"/>
            <w:vAlign w:val="center"/>
          </w:tcPr>
          <w:p w14:paraId="32EF28BC">
            <w:pPr>
              <w:keepNext w:val="0"/>
              <w:keepLines w:val="0"/>
              <w:pageBreakBefore w:val="0"/>
              <w:widowControl/>
              <w:kinsoku w:val="0"/>
              <w:wordWrap/>
              <w:overflowPunct/>
              <w:topLinePunct w:val="0"/>
              <w:autoSpaceDE w:val="0"/>
              <w:autoSpaceDN w:val="0"/>
              <w:bidi w:val="0"/>
              <w:adjustRightInd w:val="0"/>
              <w:snapToGrid w:val="0"/>
              <w:spacing w:line="360" w:lineRule="exact"/>
              <w:ind w:right="208"/>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p>
        </w:tc>
        <w:tc>
          <w:tcPr>
            <w:tcW w:w="2480" w:type="dxa"/>
            <w:vAlign w:val="center"/>
          </w:tcPr>
          <w:p w14:paraId="5573EAC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p>
        </w:tc>
        <w:tc>
          <w:tcPr>
            <w:tcW w:w="1932" w:type="dxa"/>
            <w:vAlign w:val="center"/>
          </w:tcPr>
          <w:p w14:paraId="5ABB91BA">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r>
              <w:rPr>
                <w:rFonts w:hint="default" w:ascii="Times New Roman" w:hAnsi="Times New Roman" w:eastAsia="仿宋_GB2312" w:cs="Times New Roman"/>
                <w:snapToGrid w:val="0"/>
                <w:color w:val="auto"/>
                <w:spacing w:val="6"/>
                <w:kern w:val="0"/>
                <w:position w:val="0"/>
                <w:sz w:val="24"/>
                <w:szCs w:val="24"/>
                <w:lang w:val="en-US" w:eastAsia="en-US" w:bidi="ar-SA"/>
              </w:rPr>
              <w:t>银行账号</w:t>
            </w:r>
          </w:p>
        </w:tc>
        <w:tc>
          <w:tcPr>
            <w:tcW w:w="2842" w:type="dxa"/>
            <w:vAlign w:val="center"/>
          </w:tcPr>
          <w:p w14:paraId="17A77E07">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p>
        </w:tc>
      </w:tr>
      <w:tr w14:paraId="20CD28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9312" w:type="dxa"/>
            <w:gridSpan w:val="4"/>
            <w:vAlign w:val="center"/>
          </w:tcPr>
          <w:p w14:paraId="57F7B9F8">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仿宋_GB2312" w:cs="Times New Roman"/>
                <w:snapToGrid w:val="0"/>
                <w:color w:val="auto"/>
                <w:spacing w:val="6"/>
                <w:kern w:val="0"/>
                <w:position w:val="0"/>
                <w:sz w:val="24"/>
                <w:szCs w:val="24"/>
                <w:lang w:val="en-US" w:eastAsia="en-US" w:bidi="ar-SA"/>
              </w:rPr>
            </w:pPr>
            <w:r>
              <w:rPr>
                <w:rFonts w:hint="default" w:ascii="Times New Roman" w:hAnsi="Times New Roman" w:eastAsia="仿宋_GB2312" w:cs="Times New Roman"/>
                <w:snapToGrid w:val="0"/>
                <w:color w:val="auto"/>
                <w:spacing w:val="6"/>
                <w:kern w:val="0"/>
                <w:position w:val="0"/>
                <w:sz w:val="24"/>
                <w:szCs w:val="24"/>
                <w:lang w:val="en-US" w:eastAsia="en-US" w:bidi="ar-SA"/>
              </w:rPr>
              <w:t>注：涉及联合体或其他合同主体的信息应按上表格式加列。</w:t>
            </w:r>
          </w:p>
        </w:tc>
      </w:tr>
    </w:tbl>
    <w:p w14:paraId="4611B7B9">
      <w:pPr>
        <w:widowControl/>
        <w:kinsoku w:val="0"/>
        <w:autoSpaceDE w:val="0"/>
        <w:autoSpaceDN w:val="0"/>
        <w:adjustRightInd w:val="0"/>
        <w:snapToGrid w:val="0"/>
        <w:spacing w:before="30" w:line="240" w:lineRule="auto"/>
        <w:jc w:val="left"/>
        <w:textAlignment w:val="baseline"/>
        <w:rPr>
          <w:rFonts w:hint="default" w:ascii="Times New Roman" w:hAnsi="Times New Roman" w:eastAsia="Arial" w:cs="Times New Roman"/>
          <w:snapToGrid w:val="0"/>
          <w:color w:val="auto"/>
          <w:kern w:val="0"/>
          <w:szCs w:val="21"/>
          <w:lang w:eastAsia="en-US"/>
        </w:rPr>
      </w:pPr>
    </w:p>
    <w:p w14:paraId="58AA9C47">
      <w:pPr>
        <w:widowControl/>
        <w:kinsoku w:val="0"/>
        <w:autoSpaceDE w:val="0"/>
        <w:autoSpaceDN w:val="0"/>
        <w:adjustRightInd w:val="0"/>
        <w:snapToGrid w:val="0"/>
        <w:spacing w:before="30" w:line="240" w:lineRule="auto"/>
        <w:jc w:val="left"/>
        <w:textAlignment w:val="baseline"/>
        <w:rPr>
          <w:rFonts w:hint="default" w:ascii="Times New Roman" w:hAnsi="Times New Roman" w:eastAsia="Arial" w:cs="Times New Roman"/>
          <w:snapToGrid w:val="0"/>
          <w:color w:val="auto"/>
          <w:kern w:val="0"/>
          <w:szCs w:val="21"/>
          <w:lang w:eastAsia="en-US"/>
        </w:rPr>
      </w:pPr>
    </w:p>
    <w:p w14:paraId="6D71808C">
      <w:pPr>
        <w:keepNext w:val="0"/>
        <w:keepLines w:val="0"/>
        <w:pageBreakBefore w:val="0"/>
        <w:widowControl/>
        <w:kinsoku w:val="0"/>
        <w:wordWrap/>
        <w:overflowPunct/>
        <w:topLinePunct w:val="0"/>
        <w:autoSpaceDE w:val="0"/>
        <w:autoSpaceDN w:val="0"/>
        <w:bidi w:val="0"/>
        <w:adjustRightInd w:val="0"/>
        <w:snapToGrid w:val="0"/>
        <w:spacing w:before="30" w:line="400" w:lineRule="exact"/>
        <w:jc w:val="left"/>
        <w:textAlignment w:val="baseline"/>
        <w:rPr>
          <w:rFonts w:hint="default" w:ascii="Times New Roman" w:hAnsi="Times New Roman" w:eastAsia="Arial" w:cs="Times New Roman"/>
          <w:snapToGrid w:val="0"/>
          <w:color w:val="auto"/>
          <w:kern w:val="0"/>
          <w:szCs w:val="21"/>
          <w:lang w:eastAsia="en-US"/>
        </w:rPr>
      </w:pPr>
    </w:p>
    <w:p w14:paraId="299A5AC5">
      <w:pPr>
        <w:kinsoku w:val="0"/>
        <w:autoSpaceDE w:val="0"/>
        <w:autoSpaceDN w:val="0"/>
        <w:adjustRightInd w:val="0"/>
        <w:snapToGrid w:val="0"/>
        <w:spacing w:line="240" w:lineRule="auto"/>
        <w:jc w:val="left"/>
        <w:textAlignment w:val="baseline"/>
        <w:rPr>
          <w:rFonts w:hint="default" w:ascii="Times New Roman" w:hAnsi="Times New Roman" w:eastAsia="Arial" w:cs="Times New Roman"/>
          <w:snapToGrid w:val="0"/>
          <w:color w:val="auto"/>
          <w:kern w:val="0"/>
          <w:sz w:val="21"/>
          <w:szCs w:val="21"/>
          <w:lang w:val="en-US" w:eastAsia="en-US" w:bidi="ar-SA"/>
        </w:rPr>
      </w:pPr>
    </w:p>
    <w:p w14:paraId="62C87036">
      <w:pPr>
        <w:widowControl/>
        <w:kinsoku w:val="0"/>
        <w:autoSpaceDE w:val="0"/>
        <w:autoSpaceDN w:val="0"/>
        <w:adjustRightInd w:val="0"/>
        <w:snapToGrid w:val="0"/>
        <w:spacing w:line="240" w:lineRule="auto"/>
        <w:jc w:val="left"/>
        <w:textAlignment w:val="baseline"/>
        <w:rPr>
          <w:rFonts w:hint="default" w:ascii="Times New Roman" w:hAnsi="Times New Roman" w:eastAsia="Arial" w:cs="Times New Roman"/>
          <w:snapToGrid w:val="0"/>
          <w:color w:val="auto"/>
          <w:kern w:val="0"/>
          <w:szCs w:val="21"/>
          <w:lang w:eastAsia="en-US"/>
        </w:rPr>
      </w:pPr>
    </w:p>
    <w:p w14:paraId="3A4D94CE">
      <w:pPr>
        <w:kinsoku w:val="0"/>
        <w:autoSpaceDE w:val="0"/>
        <w:autoSpaceDN w:val="0"/>
        <w:adjustRightInd w:val="0"/>
        <w:snapToGrid w:val="0"/>
        <w:spacing w:line="285" w:lineRule="auto"/>
        <w:jc w:val="left"/>
        <w:textAlignment w:val="baseline"/>
        <w:rPr>
          <w:rFonts w:hint="default" w:ascii="Times New Roman" w:hAnsi="Times New Roman" w:eastAsia="Arial" w:cs="Times New Roman"/>
          <w:snapToGrid w:val="0"/>
          <w:color w:val="auto"/>
          <w:kern w:val="0"/>
          <w:sz w:val="21"/>
          <w:szCs w:val="21"/>
          <w:lang w:val="en-US" w:eastAsia="en-US" w:bidi="ar-SA"/>
        </w:rPr>
      </w:pPr>
    </w:p>
    <w:p w14:paraId="680D7935">
      <w:pPr>
        <w:kinsoku w:val="0"/>
        <w:autoSpaceDE w:val="0"/>
        <w:autoSpaceDN w:val="0"/>
        <w:adjustRightInd w:val="0"/>
        <w:snapToGrid w:val="0"/>
        <w:spacing w:line="286" w:lineRule="auto"/>
        <w:jc w:val="left"/>
        <w:textAlignment w:val="baseline"/>
        <w:rPr>
          <w:rFonts w:hint="default" w:ascii="Times New Roman" w:hAnsi="Times New Roman" w:eastAsia="Arial" w:cs="Times New Roman"/>
          <w:snapToGrid w:val="0"/>
          <w:color w:val="auto"/>
          <w:kern w:val="0"/>
          <w:sz w:val="21"/>
          <w:szCs w:val="21"/>
          <w:lang w:val="en-US" w:eastAsia="en-US" w:bidi="ar-SA"/>
        </w:rPr>
      </w:pPr>
    </w:p>
    <w:p w14:paraId="1326CB59">
      <w:pPr>
        <w:kinsoku w:val="0"/>
        <w:autoSpaceDE w:val="0"/>
        <w:autoSpaceDN w:val="0"/>
        <w:adjustRightInd w:val="0"/>
        <w:snapToGrid w:val="0"/>
        <w:spacing w:line="286" w:lineRule="auto"/>
        <w:jc w:val="left"/>
        <w:textAlignment w:val="baseline"/>
        <w:rPr>
          <w:rFonts w:hint="default" w:ascii="Times New Roman" w:hAnsi="Times New Roman" w:eastAsia="Arial" w:cs="Times New Roman"/>
          <w:snapToGrid w:val="0"/>
          <w:color w:val="auto"/>
          <w:kern w:val="0"/>
          <w:sz w:val="21"/>
          <w:szCs w:val="21"/>
          <w:lang w:val="en-US" w:eastAsia="en-US" w:bidi="ar-SA"/>
        </w:rPr>
      </w:pPr>
    </w:p>
    <w:p w14:paraId="7E7BD675">
      <w:pPr>
        <w:kinsoku w:val="0"/>
        <w:autoSpaceDE w:val="0"/>
        <w:autoSpaceDN w:val="0"/>
        <w:adjustRightInd w:val="0"/>
        <w:snapToGrid w:val="0"/>
        <w:spacing w:line="286" w:lineRule="auto"/>
        <w:jc w:val="left"/>
        <w:textAlignment w:val="baseline"/>
        <w:rPr>
          <w:rFonts w:hint="default" w:ascii="Times New Roman" w:hAnsi="Times New Roman" w:eastAsia="Arial" w:cs="Times New Roman"/>
          <w:snapToGrid w:val="0"/>
          <w:color w:val="auto"/>
          <w:kern w:val="0"/>
          <w:sz w:val="21"/>
          <w:szCs w:val="21"/>
          <w:lang w:val="en-US" w:eastAsia="en-US" w:bidi="ar-SA"/>
        </w:rPr>
      </w:pPr>
    </w:p>
    <w:p w14:paraId="257F9A1B">
      <w:pPr>
        <w:kinsoku w:val="0"/>
        <w:autoSpaceDE w:val="0"/>
        <w:autoSpaceDN w:val="0"/>
        <w:adjustRightInd w:val="0"/>
        <w:snapToGrid w:val="0"/>
        <w:spacing w:line="286" w:lineRule="auto"/>
        <w:jc w:val="left"/>
        <w:textAlignment w:val="baseline"/>
        <w:rPr>
          <w:rFonts w:hint="default" w:ascii="Times New Roman" w:hAnsi="Times New Roman" w:eastAsia="Arial" w:cs="Times New Roman"/>
          <w:snapToGrid w:val="0"/>
          <w:color w:val="auto"/>
          <w:kern w:val="0"/>
          <w:sz w:val="21"/>
          <w:szCs w:val="21"/>
          <w:lang w:val="en-US" w:eastAsia="en-US" w:bidi="ar-SA"/>
        </w:rPr>
      </w:pPr>
    </w:p>
    <w:p w14:paraId="19DFE735">
      <w:pPr>
        <w:kinsoku w:val="0"/>
        <w:autoSpaceDE w:val="0"/>
        <w:autoSpaceDN w:val="0"/>
        <w:adjustRightInd w:val="0"/>
        <w:snapToGrid w:val="0"/>
        <w:spacing w:line="286" w:lineRule="auto"/>
        <w:jc w:val="left"/>
        <w:textAlignment w:val="baseline"/>
        <w:rPr>
          <w:rFonts w:hint="default" w:ascii="Times New Roman" w:hAnsi="Times New Roman" w:eastAsia="Arial" w:cs="Times New Roman"/>
          <w:snapToGrid w:val="0"/>
          <w:color w:val="auto"/>
          <w:kern w:val="0"/>
          <w:sz w:val="21"/>
          <w:szCs w:val="21"/>
          <w:lang w:val="en-US" w:eastAsia="en-US" w:bidi="ar-SA"/>
        </w:rPr>
      </w:pPr>
    </w:p>
    <w:p w14:paraId="7699D02B">
      <w:pPr>
        <w:kinsoku w:val="0"/>
        <w:autoSpaceDE w:val="0"/>
        <w:autoSpaceDN w:val="0"/>
        <w:adjustRightInd w:val="0"/>
        <w:snapToGrid w:val="0"/>
        <w:spacing w:line="286" w:lineRule="auto"/>
        <w:jc w:val="left"/>
        <w:textAlignment w:val="baseline"/>
        <w:rPr>
          <w:rFonts w:hint="default" w:ascii="Times New Roman" w:hAnsi="Times New Roman" w:eastAsia="Arial" w:cs="Times New Roman"/>
          <w:snapToGrid w:val="0"/>
          <w:color w:val="auto"/>
          <w:kern w:val="0"/>
          <w:sz w:val="21"/>
          <w:szCs w:val="21"/>
          <w:lang w:val="en-US" w:eastAsia="en-US" w:bidi="ar-SA"/>
        </w:rPr>
      </w:pPr>
    </w:p>
    <w:p w14:paraId="62F8927A">
      <w:pPr>
        <w:kinsoku w:val="0"/>
        <w:autoSpaceDE w:val="0"/>
        <w:autoSpaceDN w:val="0"/>
        <w:adjustRightInd w:val="0"/>
        <w:snapToGrid w:val="0"/>
        <w:spacing w:line="286" w:lineRule="auto"/>
        <w:jc w:val="left"/>
        <w:textAlignment w:val="baseline"/>
        <w:rPr>
          <w:rFonts w:hint="default" w:ascii="Times New Roman" w:hAnsi="Times New Roman" w:eastAsia="Arial" w:cs="Times New Roman"/>
          <w:snapToGrid w:val="0"/>
          <w:color w:val="auto"/>
          <w:kern w:val="0"/>
          <w:sz w:val="21"/>
          <w:szCs w:val="21"/>
          <w:lang w:val="en-US" w:eastAsia="en-US" w:bidi="ar-SA"/>
        </w:rPr>
      </w:pPr>
    </w:p>
    <w:p w14:paraId="2663D2A8">
      <w:pPr>
        <w:kinsoku w:val="0"/>
        <w:autoSpaceDE w:val="0"/>
        <w:autoSpaceDN w:val="0"/>
        <w:adjustRightInd w:val="0"/>
        <w:snapToGrid w:val="0"/>
        <w:spacing w:line="286" w:lineRule="auto"/>
        <w:jc w:val="left"/>
        <w:textAlignment w:val="baseline"/>
        <w:rPr>
          <w:rFonts w:hint="default" w:ascii="Times New Roman" w:hAnsi="Times New Roman" w:eastAsia="Arial" w:cs="Times New Roman"/>
          <w:snapToGrid w:val="0"/>
          <w:color w:val="auto"/>
          <w:kern w:val="0"/>
          <w:sz w:val="21"/>
          <w:szCs w:val="21"/>
          <w:lang w:val="en-US" w:eastAsia="en-US" w:bidi="ar-SA"/>
        </w:rPr>
      </w:pPr>
    </w:p>
    <w:p w14:paraId="5D0EF0A1">
      <w:pPr>
        <w:kinsoku w:val="0"/>
        <w:autoSpaceDE w:val="0"/>
        <w:autoSpaceDN w:val="0"/>
        <w:adjustRightInd w:val="0"/>
        <w:snapToGrid w:val="0"/>
        <w:spacing w:line="286" w:lineRule="auto"/>
        <w:jc w:val="left"/>
        <w:textAlignment w:val="baseline"/>
        <w:rPr>
          <w:rFonts w:hint="default" w:ascii="Times New Roman" w:hAnsi="Times New Roman" w:eastAsia="Arial" w:cs="Times New Roman"/>
          <w:snapToGrid w:val="0"/>
          <w:color w:val="auto"/>
          <w:kern w:val="0"/>
          <w:sz w:val="21"/>
          <w:szCs w:val="21"/>
          <w:lang w:val="en-US" w:eastAsia="en-US" w:bidi="ar-SA"/>
        </w:rPr>
      </w:pPr>
    </w:p>
    <w:p w14:paraId="25DBEA5F">
      <w:pPr>
        <w:spacing w:line="286" w:lineRule="auto"/>
        <w:rPr>
          <w:rFonts w:hint="default" w:ascii="Times New Roman" w:hAnsi="Times New Roman" w:cs="Times New Roman"/>
          <w:color w:val="auto"/>
        </w:rPr>
        <w:sectPr>
          <w:pgSz w:w="11905" w:h="16838" w:orient="landscape"/>
          <w:pgMar w:top="1417" w:right="1440" w:bottom="1417" w:left="1440" w:header="851" w:footer="992" w:gutter="0"/>
          <w:pgNumType w:fmt="numberInDash"/>
          <w:cols w:space="0" w:num="1"/>
          <w:docGrid w:type="lines" w:linePitch="312" w:charSpace="0"/>
        </w:sectPr>
      </w:pPr>
    </w:p>
    <w:p w14:paraId="627DCE65">
      <w:pPr>
        <w:keepNext w:val="0"/>
        <w:keepLines w:val="0"/>
        <w:pageBreakBefore w:val="0"/>
        <w:widowControl w:val="0"/>
        <w:kinsoku w:val="0"/>
        <w:wordWrap/>
        <w:overflowPunct/>
        <w:topLinePunct w:val="0"/>
        <w:autoSpaceDE w:val="0"/>
        <w:autoSpaceDN w:val="0"/>
        <w:bidi w:val="0"/>
        <w:adjustRightInd w:val="0"/>
        <w:snapToGrid w:val="0"/>
        <w:spacing w:before="91" w:line="222" w:lineRule="auto"/>
        <w:jc w:val="center"/>
        <w:textAlignment w:val="baseline"/>
        <w:rPr>
          <w:rFonts w:hint="default" w:ascii="Times New Roman" w:hAnsi="Times New Roman" w:eastAsia="方正小标宋简体" w:cs="Times New Roman"/>
          <w:snapToGrid w:val="0"/>
          <w:color w:val="auto"/>
          <w:kern w:val="0"/>
          <w:sz w:val="28"/>
          <w:szCs w:val="28"/>
          <w:lang w:eastAsia="en-US"/>
        </w:rPr>
      </w:pPr>
      <w:r>
        <w:rPr>
          <w:rFonts w:hint="default" w:ascii="Times New Roman" w:hAnsi="Times New Roman" w:eastAsia="方正小标宋简体" w:cs="Times New Roman"/>
          <w:snapToGrid w:val="0"/>
          <w:color w:val="auto"/>
          <w:spacing w:val="-1"/>
          <w:kern w:val="0"/>
          <w:sz w:val="28"/>
          <w:szCs w:val="28"/>
          <w:lang w:eastAsia="en-US"/>
        </w:rPr>
        <w:t>第二节政府采购合同通用条款</w:t>
      </w:r>
    </w:p>
    <w:p w14:paraId="653708A0">
      <w:pPr>
        <w:keepNext w:val="0"/>
        <w:keepLines w:val="0"/>
        <w:pageBreakBefore w:val="0"/>
        <w:widowControl w:val="0"/>
        <w:kinsoku w:val="0"/>
        <w:wordWrap/>
        <w:overflowPunct/>
        <w:topLinePunct w:val="0"/>
        <w:autoSpaceDE w:val="0"/>
        <w:autoSpaceDN w:val="0"/>
        <w:bidi w:val="0"/>
        <w:adjustRightInd w:val="0"/>
        <w:snapToGrid w:val="0"/>
        <w:spacing w:line="292" w:lineRule="auto"/>
        <w:jc w:val="left"/>
        <w:textAlignment w:val="baseline"/>
        <w:rPr>
          <w:rFonts w:hint="default" w:ascii="Times New Roman" w:hAnsi="Times New Roman" w:eastAsia="Arial" w:cs="Times New Roman"/>
          <w:snapToGrid w:val="0"/>
          <w:color w:val="auto"/>
          <w:kern w:val="0"/>
          <w:sz w:val="21"/>
          <w:szCs w:val="21"/>
          <w:lang w:val="en-US" w:eastAsia="en-US" w:bidi="ar-SA"/>
        </w:rPr>
      </w:pPr>
    </w:p>
    <w:p w14:paraId="6E6AFF3B">
      <w:pPr>
        <w:keepNext w:val="0"/>
        <w:keepLines w:val="0"/>
        <w:pageBreakBefore w:val="0"/>
        <w:widowControl w:val="0"/>
        <w:kinsoku w:val="0"/>
        <w:wordWrap/>
        <w:overflowPunct/>
        <w:topLinePunct w:val="0"/>
        <w:autoSpaceDE w:val="0"/>
        <w:autoSpaceDN w:val="0"/>
        <w:bidi w:val="0"/>
        <w:adjustRightInd w:val="0"/>
        <w:snapToGrid w:val="0"/>
        <w:spacing w:line="292" w:lineRule="auto"/>
        <w:jc w:val="left"/>
        <w:textAlignment w:val="baseline"/>
        <w:rPr>
          <w:rFonts w:hint="default" w:ascii="Times New Roman" w:hAnsi="Times New Roman" w:eastAsia="Arial" w:cs="Times New Roman"/>
          <w:snapToGrid w:val="0"/>
          <w:color w:val="auto"/>
          <w:kern w:val="0"/>
          <w:sz w:val="21"/>
          <w:szCs w:val="21"/>
          <w:lang w:val="en-US" w:eastAsia="en-US" w:bidi="ar-SA"/>
        </w:rPr>
      </w:pPr>
    </w:p>
    <w:p w14:paraId="0A365A22">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6" w:firstLineChars="200"/>
        <w:jc w:val="both"/>
        <w:textAlignment w:val="baseline"/>
        <w:rPr>
          <w:rFonts w:hint="default" w:ascii="Times New Roman" w:hAnsi="Times New Roman" w:eastAsia="楷体_GB2312" w:cs="Times New Roman"/>
          <w:b/>
          <w:bCs/>
          <w:snapToGrid w:val="0"/>
          <w:color w:val="auto"/>
          <w:spacing w:val="11"/>
          <w:kern w:val="0"/>
          <w:sz w:val="24"/>
          <w:szCs w:val="24"/>
          <w:lang w:eastAsia="en-US"/>
        </w:rPr>
      </w:pPr>
      <w:r>
        <w:rPr>
          <w:rFonts w:hint="default" w:ascii="Times New Roman" w:hAnsi="Times New Roman" w:eastAsia="楷体_GB2312" w:cs="Times New Roman"/>
          <w:b/>
          <w:bCs/>
          <w:snapToGrid w:val="0"/>
          <w:color w:val="auto"/>
          <w:spacing w:val="11"/>
          <w:kern w:val="0"/>
          <w:sz w:val="24"/>
          <w:szCs w:val="24"/>
          <w:lang w:eastAsia="en-US"/>
        </w:rPr>
        <w:t>1.定义</w:t>
      </w:r>
    </w:p>
    <w:p w14:paraId="7E29E36F">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1.1</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合同当事人</w:t>
      </w:r>
    </w:p>
    <w:p w14:paraId="61539AF2">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（1）采购人（以下称甲方）是指使用财政性资金，通过政府采购方式向供应商购买货物及其相关服务的国家机关、事业单位、团体组织。</w:t>
      </w:r>
    </w:p>
    <w:p w14:paraId="07AFC8CA">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（2）供应商（以下称乙方）是指参加政府采购活动并且中标（成交），向采购人提供合同约定的货物及其相关服务的法人、非法人组织或者自然人。</w:t>
      </w:r>
    </w:p>
    <w:p w14:paraId="74E4025F">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04" w:firstLineChars="200"/>
        <w:jc w:val="both"/>
        <w:textAlignment w:val="baseline"/>
        <w:rPr>
          <w:rFonts w:hint="default" w:ascii="Times New Roman" w:hAnsi="Times New Roman" w:eastAsia="仿宋_GB2312" w:cs="Times New Roman"/>
          <w:snapToGrid w:val="0"/>
          <w:color w:val="auto"/>
          <w:spacing w:val="6"/>
          <w:kern w:val="0"/>
          <w:sz w:val="24"/>
          <w:szCs w:val="24"/>
          <w:lang w:eastAsia="en-US"/>
        </w:rPr>
      </w:pPr>
      <w:r>
        <w:rPr>
          <w:rFonts w:hint="default" w:ascii="Times New Roman" w:hAnsi="Times New Roman" w:eastAsia="仿宋_GB2312" w:cs="Times New Roman"/>
          <w:snapToGrid w:val="0"/>
          <w:color w:val="auto"/>
          <w:spacing w:val="6"/>
          <w:kern w:val="0"/>
          <w:sz w:val="24"/>
          <w:szCs w:val="24"/>
          <w:lang w:eastAsia="en-US"/>
        </w:rPr>
        <w:t>（3）其他合同主体是指除采购人和供应商以外，依法参与合同缔结或履行，享有权利、承担义务的合同当事人。</w:t>
      </w:r>
    </w:p>
    <w:p w14:paraId="20AEBE18">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1.2</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本合同下列术语应解释为：</w:t>
      </w:r>
    </w:p>
    <w:p w14:paraId="43E14E95">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0FD3BDCC">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（2）“合同价款”系指根据本合同规定乙方在全面履行合同义务后甲方应支付给乙方的价款。</w:t>
      </w:r>
    </w:p>
    <w:p w14:paraId="4DE4DC73">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（3）“货物”系指乙方根据本合同规定须向甲方提供的各种形态和种类的物品，包括原材料、设备、产品（包括软件）及相关的其备品备件、工具、手册及其他技术资料和材料等。</w:t>
      </w:r>
    </w:p>
    <w:p w14:paraId="0F43E5BA">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4）“相关服务”系指根据合同规定，乙方应提供的与货物有关的技术、管理和其他服务，包括但不限于：管理和质量保证、运输、保险、检验、现场准备、安装、集成、调试、培训、维修、废弃处置、技术支持等以及合同中规定乙方应承担的其他义务。</w:t>
      </w:r>
    </w:p>
    <w:p w14:paraId="11A02004">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（5）“分包”系指中标（成交）供应商按采购文件、投标（响应）文件的规定，根据分包意向协议，将中标（成交）项目中的部分履约内容，分给具有相应资质条件的供应商履行合同的行为。</w:t>
      </w:r>
    </w:p>
    <w:p w14:paraId="7176BE7B">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0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6"/>
          <w:kern w:val="0"/>
          <w:sz w:val="24"/>
          <w:szCs w:val="24"/>
          <w:lang w:eastAsia="en-US"/>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default" w:ascii="Times New Roman" w:hAnsi="Times New Roman" w:eastAsia="仿宋_GB2312" w:cs="Times New Roman"/>
          <w:b/>
          <w:snapToGrid w:val="0"/>
          <w:color w:val="auto"/>
          <w:spacing w:val="6"/>
          <w:kern w:val="0"/>
          <w:sz w:val="24"/>
          <w:szCs w:val="24"/>
          <w:lang w:eastAsia="zh-CN"/>
        </w:rPr>
        <w:t>【政府采购合同专用条款】</w:t>
      </w:r>
      <w:r>
        <w:rPr>
          <w:rFonts w:hint="default" w:ascii="Times New Roman" w:hAnsi="Times New Roman" w:eastAsia="仿宋_GB2312" w:cs="Times New Roman"/>
          <w:snapToGrid w:val="0"/>
          <w:color w:val="auto"/>
          <w:spacing w:val="11"/>
          <w:kern w:val="0"/>
          <w:sz w:val="24"/>
          <w:szCs w:val="24"/>
          <w:lang w:eastAsia="en-US"/>
        </w:rPr>
        <w:t>。</w:t>
      </w:r>
    </w:p>
    <w:p w14:paraId="1BF3EA68">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（7）其他术语解释，见</w:t>
      </w:r>
      <w:r>
        <w:rPr>
          <w:rFonts w:hint="default" w:ascii="Times New Roman" w:hAnsi="Times New Roman" w:eastAsia="仿宋_GB2312" w:cs="Times New Roman"/>
          <w:b/>
          <w:snapToGrid w:val="0"/>
          <w:color w:val="auto"/>
          <w:spacing w:val="11"/>
          <w:kern w:val="0"/>
          <w:sz w:val="24"/>
          <w:szCs w:val="24"/>
          <w:lang w:eastAsia="zh-CN"/>
        </w:rPr>
        <w:t>【政府采购合同专用条款】</w:t>
      </w:r>
      <w:r>
        <w:rPr>
          <w:rFonts w:hint="default" w:ascii="Times New Roman" w:hAnsi="Times New Roman" w:eastAsia="仿宋_GB2312" w:cs="Times New Roman"/>
          <w:snapToGrid w:val="0"/>
          <w:color w:val="auto"/>
          <w:spacing w:val="11"/>
          <w:kern w:val="0"/>
          <w:sz w:val="24"/>
          <w:szCs w:val="24"/>
          <w:lang w:eastAsia="en-US"/>
        </w:rPr>
        <w:t>。</w:t>
      </w:r>
    </w:p>
    <w:p w14:paraId="4930A854">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6" w:firstLineChars="200"/>
        <w:jc w:val="both"/>
        <w:textAlignment w:val="baseline"/>
        <w:rPr>
          <w:rFonts w:hint="default" w:ascii="Times New Roman" w:hAnsi="Times New Roman" w:eastAsia="楷体_GB2312" w:cs="Times New Roman"/>
          <w:b/>
          <w:bCs/>
          <w:snapToGrid w:val="0"/>
          <w:color w:val="auto"/>
          <w:spacing w:val="11"/>
          <w:kern w:val="0"/>
          <w:sz w:val="24"/>
          <w:szCs w:val="24"/>
          <w:lang w:eastAsia="en-US"/>
        </w:rPr>
      </w:pPr>
      <w:r>
        <w:rPr>
          <w:rFonts w:hint="default" w:ascii="Times New Roman" w:hAnsi="Times New Roman" w:eastAsia="楷体_GB2312" w:cs="Times New Roman"/>
          <w:b/>
          <w:bCs/>
          <w:snapToGrid w:val="0"/>
          <w:color w:val="auto"/>
          <w:spacing w:val="11"/>
          <w:kern w:val="0"/>
          <w:sz w:val="24"/>
          <w:szCs w:val="24"/>
          <w:lang w:eastAsia="en-US"/>
        </w:rPr>
        <w:t>2.合同标的及金额</w:t>
      </w:r>
    </w:p>
    <w:p w14:paraId="4C9D220E">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2.1</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合同标的及金额应与中标（成交）结果一致。乙方为履行本合同而发生的所有费用均应包含在合同价款中，甲方不再另行支付其他任何费用。</w:t>
      </w:r>
    </w:p>
    <w:p w14:paraId="3919BF02">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6" w:firstLineChars="200"/>
        <w:jc w:val="both"/>
        <w:textAlignment w:val="baseline"/>
        <w:rPr>
          <w:rFonts w:hint="default" w:ascii="Times New Roman" w:hAnsi="Times New Roman" w:eastAsia="楷体_GB2312" w:cs="Times New Roman"/>
          <w:b/>
          <w:bCs/>
          <w:snapToGrid w:val="0"/>
          <w:color w:val="auto"/>
          <w:spacing w:val="11"/>
          <w:kern w:val="0"/>
          <w:sz w:val="24"/>
          <w:szCs w:val="24"/>
          <w:lang w:eastAsia="en-US"/>
        </w:rPr>
      </w:pPr>
      <w:r>
        <w:rPr>
          <w:rFonts w:hint="default" w:ascii="Times New Roman" w:hAnsi="Times New Roman" w:eastAsia="楷体_GB2312" w:cs="Times New Roman"/>
          <w:b/>
          <w:bCs/>
          <w:snapToGrid w:val="0"/>
          <w:color w:val="auto"/>
          <w:spacing w:val="11"/>
          <w:kern w:val="0"/>
          <w:sz w:val="24"/>
          <w:szCs w:val="24"/>
          <w:lang w:eastAsia="en-US"/>
        </w:rPr>
        <w:t>3.履行合同的时间、地点和方式</w:t>
      </w:r>
    </w:p>
    <w:p w14:paraId="1B7BA56B">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3.1</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乙方应当在约定的时间、地点，按照约定方式履行合同。</w:t>
      </w:r>
    </w:p>
    <w:p w14:paraId="33598A96">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6" w:firstLineChars="200"/>
        <w:jc w:val="both"/>
        <w:textAlignment w:val="baseline"/>
        <w:rPr>
          <w:rFonts w:hint="default" w:ascii="Times New Roman" w:hAnsi="Times New Roman" w:eastAsia="楷体_GB2312" w:cs="Times New Roman"/>
          <w:b/>
          <w:bCs/>
          <w:snapToGrid w:val="0"/>
          <w:color w:val="auto"/>
          <w:spacing w:val="11"/>
          <w:kern w:val="0"/>
          <w:sz w:val="24"/>
          <w:szCs w:val="24"/>
          <w:lang w:eastAsia="en-US"/>
        </w:rPr>
      </w:pPr>
      <w:r>
        <w:rPr>
          <w:rFonts w:hint="default" w:ascii="Times New Roman" w:hAnsi="Times New Roman" w:eastAsia="楷体_GB2312" w:cs="Times New Roman"/>
          <w:b/>
          <w:bCs/>
          <w:snapToGrid w:val="0"/>
          <w:color w:val="auto"/>
          <w:spacing w:val="11"/>
          <w:kern w:val="0"/>
          <w:sz w:val="24"/>
          <w:szCs w:val="24"/>
          <w:lang w:eastAsia="en-US"/>
        </w:rPr>
        <w:t>4.甲方的权利和义务</w:t>
      </w:r>
    </w:p>
    <w:p w14:paraId="4BE857A0">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4.1</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签署合同后，甲方应确定项目负责人（或项目联系人），负责与本合同有关的事务。甲方有权对乙方的履约行为进行检查，并及时确认乙方提交的事项。甲方应当配合乙方完成相关项目实施工作。</w:t>
      </w:r>
    </w:p>
    <w:p w14:paraId="184426A9">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4.2甲方有权要求乙方按时提交各阶段有关安排计划，并有权定期核对乙方提供货物数量、规格、质量等内容。甲方有权督促乙方工作并要求乙方更换不符合要求的货物。</w:t>
      </w:r>
    </w:p>
    <w:p w14:paraId="7D46335F">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4.3甲方有权要求乙方对缺陷部分予以修复，并按合同约定享有货物保修及其他合同约定的权利。</w:t>
      </w:r>
    </w:p>
    <w:p w14:paraId="7ADCF5E8">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4.4</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甲方应当按照合同约定及时对交付的货物进行验收，未在</w:t>
      </w:r>
      <w:r>
        <w:rPr>
          <w:rFonts w:hint="default" w:ascii="Times New Roman" w:hAnsi="Times New Roman" w:eastAsia="仿宋_GB2312" w:cs="Times New Roman"/>
          <w:b/>
          <w:snapToGrid w:val="0"/>
          <w:color w:val="auto"/>
          <w:spacing w:val="11"/>
          <w:kern w:val="0"/>
          <w:sz w:val="24"/>
          <w:szCs w:val="24"/>
          <w:lang w:eastAsia="zh-CN"/>
        </w:rPr>
        <w:t>【政府采购合同专用条款】</w:t>
      </w:r>
      <w:r>
        <w:rPr>
          <w:rFonts w:hint="default" w:ascii="Times New Roman" w:hAnsi="Times New Roman" w:eastAsia="仿宋_GB2312" w:cs="Times New Roman"/>
          <w:snapToGrid w:val="0"/>
          <w:color w:val="auto"/>
          <w:spacing w:val="11"/>
          <w:kern w:val="0"/>
          <w:sz w:val="24"/>
          <w:szCs w:val="24"/>
          <w:lang w:eastAsia="en-US"/>
        </w:rPr>
        <w:t>约定的期限内对乙方履约提出任何异议或者向乙方作出任何说明的，视为验收通过。</w:t>
      </w:r>
    </w:p>
    <w:p w14:paraId="61BE5580">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04" w:firstLineChars="200"/>
        <w:jc w:val="both"/>
        <w:textAlignment w:val="baseline"/>
        <w:rPr>
          <w:rFonts w:hint="default" w:ascii="Times New Roman" w:hAnsi="Times New Roman" w:eastAsia="仿宋_GB2312" w:cs="Times New Roman"/>
          <w:snapToGrid w:val="0"/>
          <w:color w:val="auto"/>
          <w:spacing w:val="6"/>
          <w:kern w:val="0"/>
          <w:sz w:val="24"/>
          <w:szCs w:val="24"/>
          <w:lang w:eastAsia="en-US"/>
        </w:rPr>
      </w:pPr>
      <w:r>
        <w:rPr>
          <w:rFonts w:hint="default" w:ascii="Times New Roman" w:hAnsi="Times New Roman" w:eastAsia="仿宋_GB2312" w:cs="Times New Roman"/>
          <w:snapToGrid w:val="0"/>
          <w:color w:val="auto"/>
          <w:spacing w:val="6"/>
          <w:kern w:val="0"/>
          <w:sz w:val="24"/>
          <w:szCs w:val="24"/>
          <w:lang w:eastAsia="en-US"/>
        </w:rPr>
        <w:t>4.5</w:t>
      </w:r>
      <w:r>
        <w:rPr>
          <w:rFonts w:hint="default" w:ascii="Times New Roman" w:hAnsi="Times New Roman" w:eastAsia="仿宋_GB2312" w:cs="Times New Roman"/>
          <w:snapToGrid w:val="0"/>
          <w:color w:val="auto"/>
          <w:spacing w:val="6"/>
          <w:kern w:val="0"/>
          <w:sz w:val="24"/>
          <w:szCs w:val="24"/>
          <w:lang w:val="en-US" w:eastAsia="zh-CN"/>
        </w:rPr>
        <w:t xml:space="preserve"> </w:t>
      </w:r>
      <w:r>
        <w:rPr>
          <w:rFonts w:hint="default" w:ascii="Times New Roman" w:hAnsi="Times New Roman" w:eastAsia="仿宋_GB2312" w:cs="Times New Roman"/>
          <w:snapToGrid w:val="0"/>
          <w:color w:val="auto"/>
          <w:spacing w:val="6"/>
          <w:kern w:val="0"/>
          <w:sz w:val="24"/>
          <w:szCs w:val="24"/>
          <w:lang w:eastAsia="en-US"/>
        </w:rPr>
        <w:t>甲方应当根据合同约定及时向乙方支付合同价款，不得以内部人员变更、履行内部付款流程等为由，拒绝或迟延支付。</w:t>
      </w:r>
    </w:p>
    <w:p w14:paraId="2FB895FE">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4.6</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国家法律法规规定及</w:t>
      </w:r>
      <w:r>
        <w:rPr>
          <w:rFonts w:hint="default" w:ascii="Times New Roman" w:hAnsi="Times New Roman" w:eastAsia="仿宋_GB2312" w:cs="Times New Roman"/>
          <w:b/>
          <w:snapToGrid w:val="0"/>
          <w:color w:val="auto"/>
          <w:spacing w:val="11"/>
          <w:kern w:val="0"/>
          <w:sz w:val="24"/>
          <w:szCs w:val="24"/>
          <w:lang w:eastAsia="zh-CN"/>
        </w:rPr>
        <w:t>【政府采购合同专用条款】</w:t>
      </w:r>
      <w:r>
        <w:rPr>
          <w:rFonts w:hint="default" w:ascii="Times New Roman" w:hAnsi="Times New Roman" w:eastAsia="仿宋_GB2312" w:cs="Times New Roman"/>
          <w:snapToGrid w:val="0"/>
          <w:color w:val="auto"/>
          <w:spacing w:val="11"/>
          <w:kern w:val="0"/>
          <w:sz w:val="24"/>
          <w:szCs w:val="24"/>
          <w:lang w:eastAsia="en-US"/>
        </w:rPr>
        <w:t>约定应由甲方承担的其他义务和责任。</w:t>
      </w:r>
    </w:p>
    <w:p w14:paraId="2694685A">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6" w:firstLineChars="200"/>
        <w:jc w:val="both"/>
        <w:textAlignment w:val="baseline"/>
        <w:rPr>
          <w:rFonts w:hint="default" w:ascii="Times New Roman" w:hAnsi="Times New Roman" w:eastAsia="楷体_GB2312" w:cs="Times New Roman"/>
          <w:b/>
          <w:bCs/>
          <w:snapToGrid w:val="0"/>
          <w:color w:val="auto"/>
          <w:spacing w:val="11"/>
          <w:kern w:val="0"/>
          <w:sz w:val="24"/>
          <w:szCs w:val="24"/>
          <w:lang w:eastAsia="en-US"/>
        </w:rPr>
      </w:pPr>
      <w:r>
        <w:rPr>
          <w:rFonts w:hint="default" w:ascii="Times New Roman" w:hAnsi="Times New Roman" w:eastAsia="楷体_GB2312" w:cs="Times New Roman"/>
          <w:b/>
          <w:bCs/>
          <w:snapToGrid w:val="0"/>
          <w:color w:val="auto"/>
          <w:spacing w:val="11"/>
          <w:kern w:val="0"/>
          <w:sz w:val="24"/>
          <w:szCs w:val="24"/>
          <w:lang w:eastAsia="en-US"/>
        </w:rPr>
        <w:t>5.乙方的权利和义务</w:t>
      </w:r>
    </w:p>
    <w:p w14:paraId="513D9268">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5.1</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签署合同后，乙方应确定项目负责人（或项目联系人），负责与本合同有关的事务。</w:t>
      </w:r>
    </w:p>
    <w:p w14:paraId="32E10A98">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5.2</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乙方应按照合同要求履约，充分合理安排，确保提供的货物及相关服务符合合同有关要求。接受项目行业管理部门及政府有关部门的指导，配合甲方的履约检查及验收，并负责项目实施过程中的所有协调工作。</w:t>
      </w:r>
    </w:p>
    <w:p w14:paraId="3F48013A">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5.3</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乙方有权根据合同约定向甲方收取合同价款。</w:t>
      </w:r>
    </w:p>
    <w:p w14:paraId="081C3AAE">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5.4</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国家法律法规规定及</w:t>
      </w:r>
      <w:r>
        <w:rPr>
          <w:rFonts w:hint="default" w:ascii="Times New Roman" w:hAnsi="Times New Roman" w:eastAsia="仿宋_GB2312" w:cs="Times New Roman"/>
          <w:b/>
          <w:snapToGrid w:val="0"/>
          <w:color w:val="auto"/>
          <w:spacing w:val="11"/>
          <w:kern w:val="0"/>
          <w:sz w:val="24"/>
          <w:szCs w:val="24"/>
          <w:lang w:eastAsia="zh-CN"/>
        </w:rPr>
        <w:t>【政府采购合同专用条款】</w:t>
      </w:r>
      <w:r>
        <w:rPr>
          <w:rFonts w:hint="default" w:ascii="Times New Roman" w:hAnsi="Times New Roman" w:eastAsia="仿宋_GB2312" w:cs="Times New Roman"/>
          <w:snapToGrid w:val="0"/>
          <w:color w:val="auto"/>
          <w:spacing w:val="11"/>
          <w:kern w:val="0"/>
          <w:sz w:val="24"/>
          <w:szCs w:val="24"/>
          <w:lang w:eastAsia="en-US"/>
        </w:rPr>
        <w:t>约定应由乙方承担的其他义务和责任。</w:t>
      </w:r>
    </w:p>
    <w:p w14:paraId="5DFD5443">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6" w:firstLineChars="200"/>
        <w:jc w:val="both"/>
        <w:textAlignment w:val="baseline"/>
        <w:rPr>
          <w:rFonts w:hint="default" w:ascii="Times New Roman" w:hAnsi="Times New Roman" w:eastAsia="楷体_GB2312" w:cs="Times New Roman"/>
          <w:b/>
          <w:bCs/>
          <w:snapToGrid w:val="0"/>
          <w:color w:val="auto"/>
          <w:spacing w:val="11"/>
          <w:kern w:val="0"/>
          <w:sz w:val="24"/>
          <w:szCs w:val="24"/>
          <w:lang w:eastAsia="en-US"/>
        </w:rPr>
      </w:pPr>
      <w:r>
        <w:rPr>
          <w:rFonts w:hint="default" w:ascii="Times New Roman" w:hAnsi="Times New Roman" w:eastAsia="楷体_GB2312" w:cs="Times New Roman"/>
          <w:b/>
          <w:bCs/>
          <w:snapToGrid w:val="0"/>
          <w:color w:val="auto"/>
          <w:spacing w:val="11"/>
          <w:kern w:val="0"/>
          <w:sz w:val="24"/>
          <w:szCs w:val="24"/>
          <w:lang w:eastAsia="en-US"/>
        </w:rPr>
        <w:t>6.合同履行</w:t>
      </w:r>
    </w:p>
    <w:p w14:paraId="468C2904">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6.1</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甲乙双方应当按照</w:t>
      </w:r>
      <w:r>
        <w:rPr>
          <w:rFonts w:hint="default" w:ascii="Times New Roman" w:hAnsi="Times New Roman" w:eastAsia="仿宋_GB2312" w:cs="Times New Roman"/>
          <w:b/>
          <w:snapToGrid w:val="0"/>
          <w:color w:val="auto"/>
          <w:spacing w:val="11"/>
          <w:kern w:val="0"/>
          <w:sz w:val="24"/>
          <w:szCs w:val="24"/>
          <w:lang w:eastAsia="zh-CN"/>
        </w:rPr>
        <w:t>【政府采购合同专用条款】</w:t>
      </w:r>
      <w:r>
        <w:rPr>
          <w:rFonts w:hint="default" w:ascii="Times New Roman" w:hAnsi="Times New Roman" w:eastAsia="仿宋_GB2312" w:cs="Times New Roman"/>
          <w:snapToGrid w:val="0"/>
          <w:color w:val="auto"/>
          <w:spacing w:val="11"/>
          <w:kern w:val="0"/>
          <w:sz w:val="24"/>
          <w:szCs w:val="24"/>
          <w:lang w:eastAsia="en-US"/>
        </w:rPr>
        <w:t>约定顺序履行合同义务；如果没有先后顺序的，应当同时履行。</w:t>
      </w:r>
    </w:p>
    <w:p w14:paraId="07A07533">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6.2</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甲乙双方按照合同约定顺序履行合同义务时，应当先履行一方未履行的</w:t>
      </w:r>
      <w:r>
        <w:rPr>
          <w:rFonts w:hint="default" w:ascii="Times New Roman" w:hAnsi="Times New Roman" w:eastAsia="仿宋_GB2312" w:cs="Times New Roman"/>
          <w:snapToGrid w:val="0"/>
          <w:color w:val="auto"/>
          <w:spacing w:val="11"/>
          <w:kern w:val="0"/>
          <w:sz w:val="24"/>
          <w:szCs w:val="24"/>
          <w:lang w:eastAsia="zh-CN"/>
        </w:rPr>
        <w:t>，</w:t>
      </w:r>
      <w:r>
        <w:rPr>
          <w:rFonts w:hint="default" w:ascii="Times New Roman" w:hAnsi="Times New Roman" w:eastAsia="仿宋_GB2312" w:cs="Times New Roman"/>
          <w:snapToGrid w:val="0"/>
          <w:color w:val="auto"/>
          <w:spacing w:val="11"/>
          <w:kern w:val="0"/>
          <w:sz w:val="24"/>
          <w:szCs w:val="24"/>
          <w:lang w:eastAsia="en-US"/>
        </w:rPr>
        <w:t>后履行一方有权拒绝其履行请求。先履行一方履行不符合约定的，后履行一方有权拒绝其相应的履行请求。</w:t>
      </w:r>
    </w:p>
    <w:p w14:paraId="16779B17">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6" w:firstLineChars="200"/>
        <w:jc w:val="both"/>
        <w:textAlignment w:val="baseline"/>
        <w:rPr>
          <w:rFonts w:hint="default" w:ascii="Times New Roman" w:hAnsi="Times New Roman" w:eastAsia="楷体_GB2312" w:cs="Times New Roman"/>
          <w:b/>
          <w:bCs/>
          <w:snapToGrid w:val="0"/>
          <w:color w:val="auto"/>
          <w:spacing w:val="11"/>
          <w:kern w:val="0"/>
          <w:sz w:val="24"/>
          <w:szCs w:val="24"/>
          <w:lang w:eastAsia="en-US"/>
        </w:rPr>
      </w:pPr>
      <w:r>
        <w:rPr>
          <w:rFonts w:hint="default" w:ascii="Times New Roman" w:hAnsi="Times New Roman" w:eastAsia="楷体_GB2312" w:cs="Times New Roman"/>
          <w:b/>
          <w:bCs/>
          <w:snapToGrid w:val="0"/>
          <w:color w:val="auto"/>
          <w:spacing w:val="11"/>
          <w:kern w:val="0"/>
          <w:sz w:val="24"/>
          <w:szCs w:val="24"/>
          <w:lang w:eastAsia="en-US"/>
        </w:rPr>
        <w:t>7.货物包装、运输、保险和交付要求</w:t>
      </w:r>
    </w:p>
    <w:p w14:paraId="079D2A46">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7.1</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本合同涉及商品包装、快递包装的，除</w:t>
      </w:r>
      <w:r>
        <w:rPr>
          <w:rFonts w:hint="default" w:ascii="Times New Roman" w:hAnsi="Times New Roman" w:eastAsia="仿宋_GB2312" w:cs="Times New Roman"/>
          <w:b/>
          <w:snapToGrid w:val="0"/>
          <w:color w:val="auto"/>
          <w:spacing w:val="11"/>
          <w:kern w:val="0"/>
          <w:sz w:val="24"/>
          <w:szCs w:val="24"/>
          <w:lang w:eastAsia="zh-CN"/>
        </w:rPr>
        <w:t>【政府采购合同专用条款】</w:t>
      </w:r>
      <w:r>
        <w:rPr>
          <w:rFonts w:hint="default" w:ascii="Times New Roman" w:hAnsi="Times New Roman" w:eastAsia="仿宋_GB2312" w:cs="Times New Roman"/>
          <w:snapToGrid w:val="0"/>
          <w:color w:val="auto"/>
          <w:spacing w:val="11"/>
          <w:kern w:val="0"/>
          <w:sz w:val="24"/>
          <w:szCs w:val="24"/>
          <w:lang w:eastAsia="en-US"/>
        </w:rPr>
        <w:t>另有约定外，包装应适应远距离运输、防潮、防震、防锈和防野蛮装卸等要求，确保货物安全无损地运抵</w:t>
      </w:r>
      <w:r>
        <w:rPr>
          <w:rFonts w:hint="default" w:ascii="Times New Roman" w:hAnsi="Times New Roman" w:eastAsia="仿宋_GB2312" w:cs="Times New Roman"/>
          <w:b/>
          <w:snapToGrid w:val="0"/>
          <w:color w:val="auto"/>
          <w:spacing w:val="11"/>
          <w:kern w:val="0"/>
          <w:sz w:val="24"/>
          <w:szCs w:val="24"/>
          <w:lang w:eastAsia="zh-CN"/>
        </w:rPr>
        <w:t>【政府采购合同专用条款】</w:t>
      </w:r>
      <w:r>
        <w:rPr>
          <w:rFonts w:hint="default" w:ascii="Times New Roman" w:hAnsi="Times New Roman" w:eastAsia="仿宋_GB2312" w:cs="Times New Roman"/>
          <w:snapToGrid w:val="0"/>
          <w:color w:val="auto"/>
          <w:spacing w:val="11"/>
          <w:kern w:val="0"/>
          <w:sz w:val="24"/>
          <w:szCs w:val="24"/>
          <w:lang w:eastAsia="en-US"/>
        </w:rPr>
        <w:t>约定的指定现场。</w:t>
      </w:r>
    </w:p>
    <w:p w14:paraId="47590204">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7.2除</w:t>
      </w:r>
      <w:r>
        <w:rPr>
          <w:rFonts w:hint="default" w:ascii="Times New Roman" w:hAnsi="Times New Roman" w:eastAsia="仿宋_GB2312" w:cs="Times New Roman"/>
          <w:b/>
          <w:snapToGrid w:val="0"/>
          <w:color w:val="auto"/>
          <w:spacing w:val="11"/>
          <w:kern w:val="0"/>
          <w:sz w:val="24"/>
          <w:szCs w:val="24"/>
          <w:lang w:eastAsia="zh-CN"/>
        </w:rPr>
        <w:t>【政府采购合同专用条款】</w:t>
      </w:r>
      <w:r>
        <w:rPr>
          <w:rFonts w:hint="default" w:ascii="Times New Roman" w:hAnsi="Times New Roman" w:eastAsia="仿宋_GB2312" w:cs="Times New Roman"/>
          <w:snapToGrid w:val="0"/>
          <w:color w:val="auto"/>
          <w:spacing w:val="11"/>
          <w:kern w:val="0"/>
          <w:sz w:val="24"/>
          <w:szCs w:val="24"/>
          <w:lang w:eastAsia="en-US"/>
        </w:rPr>
        <w:t>另有约定外，乙方负责办理将货物运抵本合同规定的交货地点，并装卸、交付至甲方的一切运输事项，相关费用应包含在合同价款中。</w:t>
      </w:r>
    </w:p>
    <w:p w14:paraId="1726B05D">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7.3</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货物保险要求按</w:t>
      </w:r>
      <w:r>
        <w:rPr>
          <w:rFonts w:hint="default" w:ascii="Times New Roman" w:hAnsi="Times New Roman" w:eastAsia="仿宋_GB2312" w:cs="Times New Roman"/>
          <w:b/>
          <w:snapToGrid w:val="0"/>
          <w:color w:val="auto"/>
          <w:spacing w:val="11"/>
          <w:kern w:val="0"/>
          <w:sz w:val="24"/>
          <w:szCs w:val="24"/>
          <w:lang w:eastAsia="zh-CN"/>
        </w:rPr>
        <w:t>【政府采购合同专用条款】</w:t>
      </w:r>
      <w:r>
        <w:rPr>
          <w:rFonts w:hint="default" w:ascii="Times New Roman" w:hAnsi="Times New Roman" w:eastAsia="仿宋_GB2312" w:cs="Times New Roman"/>
          <w:snapToGrid w:val="0"/>
          <w:color w:val="auto"/>
          <w:spacing w:val="11"/>
          <w:kern w:val="0"/>
          <w:sz w:val="24"/>
          <w:szCs w:val="24"/>
          <w:lang w:eastAsia="en-US"/>
        </w:rPr>
        <w:t>规定执行。</w:t>
      </w:r>
    </w:p>
    <w:p w14:paraId="5785F465">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7.4</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7C1A7610">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zh-CN"/>
        </w:rPr>
      </w:pPr>
      <w:r>
        <w:rPr>
          <w:rFonts w:hint="default" w:ascii="Times New Roman" w:hAnsi="Times New Roman" w:eastAsia="仿宋_GB2312" w:cs="Times New Roman"/>
          <w:snapToGrid w:val="0"/>
          <w:color w:val="auto"/>
          <w:spacing w:val="11"/>
          <w:kern w:val="0"/>
          <w:sz w:val="24"/>
          <w:szCs w:val="24"/>
          <w:lang w:eastAsia="en-US"/>
        </w:rPr>
        <w:t>7.5</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乙方在运输到达之前应提前通知甲方，并提示货物运输装卸的注意事项</w:t>
      </w:r>
      <w:r>
        <w:rPr>
          <w:rFonts w:hint="default" w:ascii="Times New Roman" w:hAnsi="Times New Roman" w:eastAsia="仿宋_GB2312" w:cs="Times New Roman"/>
          <w:snapToGrid w:val="0"/>
          <w:color w:val="auto"/>
          <w:spacing w:val="11"/>
          <w:kern w:val="0"/>
          <w:sz w:val="24"/>
          <w:szCs w:val="24"/>
          <w:lang w:eastAsia="zh-CN"/>
        </w:rPr>
        <w:t>，</w:t>
      </w:r>
      <w:r>
        <w:rPr>
          <w:rFonts w:hint="default" w:ascii="Times New Roman" w:hAnsi="Times New Roman" w:eastAsia="仿宋_GB2312" w:cs="Times New Roman"/>
          <w:snapToGrid w:val="0"/>
          <w:color w:val="auto"/>
          <w:spacing w:val="11"/>
          <w:kern w:val="0"/>
          <w:sz w:val="24"/>
          <w:szCs w:val="24"/>
          <w:lang w:eastAsia="en-US"/>
        </w:rPr>
        <w:t>甲方配合乙方做好货物的接收工作。</w:t>
      </w:r>
    </w:p>
    <w:p w14:paraId="77633876">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7.6</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如因包装、运输问题导致货物损毁、丢失或者品质下降，甲方有权要求降价、换货、拒收部分或整批货物，由此产生的费用和损失，均由乙方承担。</w:t>
      </w:r>
    </w:p>
    <w:p w14:paraId="09E1D3B3">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6" w:firstLineChars="200"/>
        <w:jc w:val="both"/>
        <w:textAlignment w:val="baseline"/>
        <w:rPr>
          <w:rFonts w:hint="default" w:ascii="Times New Roman" w:hAnsi="Times New Roman" w:eastAsia="楷体_GB2312" w:cs="Times New Roman"/>
          <w:b/>
          <w:bCs/>
          <w:snapToGrid w:val="0"/>
          <w:color w:val="auto"/>
          <w:spacing w:val="11"/>
          <w:kern w:val="0"/>
          <w:sz w:val="24"/>
          <w:szCs w:val="24"/>
          <w:lang w:eastAsia="en-US"/>
        </w:rPr>
      </w:pPr>
      <w:r>
        <w:rPr>
          <w:rFonts w:hint="default" w:ascii="Times New Roman" w:hAnsi="Times New Roman" w:eastAsia="楷体_GB2312" w:cs="Times New Roman"/>
          <w:b/>
          <w:bCs/>
          <w:snapToGrid w:val="0"/>
          <w:color w:val="auto"/>
          <w:spacing w:val="11"/>
          <w:kern w:val="0"/>
          <w:sz w:val="24"/>
          <w:szCs w:val="24"/>
          <w:lang w:eastAsia="en-US"/>
        </w:rPr>
        <w:t>8.质量标准和保证</w:t>
      </w:r>
    </w:p>
    <w:p w14:paraId="0A8994C4">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8.1</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质量标准</w:t>
      </w:r>
    </w:p>
    <w:p w14:paraId="7C3ADF7D">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6687B096">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（2）采用中华人民共和国法定计量单位。</w:t>
      </w:r>
    </w:p>
    <w:p w14:paraId="5844B0F5">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（3）乙方所提供的货物应符合国家有关安全、环保、卫生的规定。</w:t>
      </w:r>
    </w:p>
    <w:p w14:paraId="17BF6248">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（4）乙方应向甲方提交所提供货物的技术文件，包括相应的中文技术文件</w:t>
      </w:r>
      <w:r>
        <w:rPr>
          <w:rFonts w:hint="default" w:ascii="Times New Roman" w:hAnsi="Times New Roman" w:eastAsia="仿宋_GB2312" w:cs="Times New Roman"/>
          <w:snapToGrid w:val="0"/>
          <w:color w:val="auto"/>
          <w:spacing w:val="11"/>
          <w:kern w:val="0"/>
          <w:sz w:val="24"/>
          <w:szCs w:val="24"/>
          <w:lang w:eastAsia="zh-CN"/>
        </w:rPr>
        <w:t>，</w:t>
      </w:r>
      <w:r>
        <w:rPr>
          <w:rFonts w:hint="default" w:ascii="Times New Roman" w:hAnsi="Times New Roman" w:eastAsia="仿宋_GB2312" w:cs="Times New Roman"/>
          <w:snapToGrid w:val="0"/>
          <w:color w:val="auto"/>
          <w:spacing w:val="11"/>
          <w:kern w:val="0"/>
          <w:sz w:val="24"/>
          <w:szCs w:val="24"/>
          <w:lang w:eastAsia="en-US"/>
        </w:rPr>
        <w:t>如：产品目录、图纸、操作手册、使用说明、维护手册或服务指南等。上述文件应包装好随货物一同发运。</w:t>
      </w:r>
    </w:p>
    <w:p w14:paraId="0EBBEA44">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8.2</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保证</w:t>
      </w:r>
    </w:p>
    <w:p w14:paraId="53C1D1EE">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default" w:ascii="Times New Roman" w:hAnsi="Times New Roman" w:eastAsia="仿宋_GB2312" w:cs="Times New Roman"/>
          <w:b/>
          <w:snapToGrid w:val="0"/>
          <w:color w:val="auto"/>
          <w:spacing w:val="11"/>
          <w:kern w:val="0"/>
          <w:sz w:val="24"/>
          <w:szCs w:val="24"/>
          <w:lang w:eastAsia="zh-CN"/>
        </w:rPr>
        <w:t>【政府采购合同专用条款】</w:t>
      </w:r>
      <w:r>
        <w:rPr>
          <w:rFonts w:hint="default" w:ascii="Times New Roman" w:hAnsi="Times New Roman" w:eastAsia="仿宋_GB2312" w:cs="Times New Roman"/>
          <w:snapToGrid w:val="0"/>
          <w:color w:val="auto"/>
          <w:spacing w:val="11"/>
          <w:kern w:val="0"/>
          <w:sz w:val="24"/>
          <w:szCs w:val="24"/>
          <w:lang w:eastAsia="en-US"/>
        </w:rPr>
        <w:t>规定或乙方书面承诺（两者以较长的为准）的质量保证期内，本保证保持有效。</w:t>
      </w:r>
    </w:p>
    <w:p w14:paraId="6BE41EB9">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（2）在质量保证期内所发现的缺陷，甲方应尽快以书面形式通知乙方。</w:t>
      </w:r>
    </w:p>
    <w:p w14:paraId="4A3D782D">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（3）乙方收到通知后，应在</w:t>
      </w:r>
      <w:r>
        <w:rPr>
          <w:rFonts w:hint="default" w:ascii="Times New Roman" w:hAnsi="Times New Roman" w:eastAsia="仿宋_GB2312" w:cs="Times New Roman"/>
          <w:b/>
          <w:snapToGrid w:val="0"/>
          <w:color w:val="auto"/>
          <w:spacing w:val="11"/>
          <w:kern w:val="0"/>
          <w:sz w:val="24"/>
          <w:szCs w:val="24"/>
          <w:lang w:eastAsia="zh-CN"/>
        </w:rPr>
        <w:t>【政府采购合同专用条款】</w:t>
      </w:r>
      <w:r>
        <w:rPr>
          <w:rFonts w:hint="default" w:ascii="Times New Roman" w:hAnsi="Times New Roman" w:eastAsia="仿宋_GB2312" w:cs="Times New Roman"/>
          <w:snapToGrid w:val="0"/>
          <w:color w:val="auto"/>
          <w:spacing w:val="11"/>
          <w:kern w:val="0"/>
          <w:sz w:val="24"/>
          <w:szCs w:val="24"/>
          <w:lang w:eastAsia="en-US"/>
        </w:rPr>
        <w:t>规定的响应时间内以合理的速度免费维修或更换有缺陷的货物或部件。</w:t>
      </w:r>
    </w:p>
    <w:p w14:paraId="2079558E">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（4）在质量保证期内，如果货物的质量或规格与合同不符，或证实货物是有缺陷的，包括潜在的缺陷或使用不符合要求的材料等，甲方可以根据本合同第15.1条规定以书面形式追究乙方的违约责任。</w:t>
      </w:r>
    </w:p>
    <w:p w14:paraId="6B0CB4DD">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04" w:firstLineChars="200"/>
        <w:jc w:val="both"/>
        <w:textAlignment w:val="baseline"/>
        <w:rPr>
          <w:rFonts w:hint="default" w:ascii="Times New Roman" w:hAnsi="Times New Roman" w:eastAsia="仿宋_GB2312" w:cs="Times New Roman"/>
          <w:snapToGrid w:val="0"/>
          <w:color w:val="auto"/>
          <w:spacing w:val="6"/>
          <w:kern w:val="0"/>
          <w:sz w:val="24"/>
          <w:szCs w:val="24"/>
          <w:lang w:eastAsia="en-US"/>
        </w:rPr>
      </w:pPr>
      <w:r>
        <w:rPr>
          <w:rFonts w:hint="default" w:ascii="Times New Roman" w:hAnsi="Times New Roman" w:eastAsia="仿宋_GB2312" w:cs="Times New Roman"/>
          <w:snapToGrid w:val="0"/>
          <w:color w:val="auto"/>
          <w:spacing w:val="6"/>
          <w:kern w:val="0"/>
          <w:sz w:val="24"/>
          <w:szCs w:val="24"/>
          <w:lang w:eastAsia="en-US"/>
        </w:rPr>
        <w:t>（5）乙方在约定的时间内未能弥补缺陷，甲方可采取必要的补救措施，但其风险和费用将由乙方承担，甲方根据合同约定对乙方行使的其他权利不受影响。</w:t>
      </w:r>
    </w:p>
    <w:p w14:paraId="225243F6">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6" w:firstLineChars="200"/>
        <w:jc w:val="both"/>
        <w:textAlignment w:val="baseline"/>
        <w:rPr>
          <w:rFonts w:hint="default" w:ascii="Times New Roman" w:hAnsi="Times New Roman" w:eastAsia="楷体_GB2312" w:cs="Times New Roman"/>
          <w:b/>
          <w:bCs/>
          <w:snapToGrid w:val="0"/>
          <w:color w:val="auto"/>
          <w:spacing w:val="11"/>
          <w:kern w:val="0"/>
          <w:sz w:val="24"/>
          <w:szCs w:val="24"/>
          <w:lang w:eastAsia="en-US"/>
        </w:rPr>
      </w:pPr>
      <w:r>
        <w:rPr>
          <w:rFonts w:hint="default" w:ascii="Times New Roman" w:hAnsi="Times New Roman" w:eastAsia="楷体_GB2312" w:cs="Times New Roman"/>
          <w:b/>
          <w:bCs/>
          <w:snapToGrid w:val="0"/>
          <w:color w:val="auto"/>
          <w:spacing w:val="11"/>
          <w:kern w:val="0"/>
          <w:sz w:val="24"/>
          <w:szCs w:val="24"/>
          <w:lang w:eastAsia="en-US"/>
        </w:rPr>
        <w:t>9.权利瑕疵担保</w:t>
      </w:r>
    </w:p>
    <w:p w14:paraId="4DF0A9A9">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9.1</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乙方保证对其出售的货物享有合法的权利。</w:t>
      </w:r>
    </w:p>
    <w:p w14:paraId="47278490">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9.2</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乙方保证在交付的货物上不存在抵押权等担保物权。</w:t>
      </w:r>
    </w:p>
    <w:p w14:paraId="7920C189">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9.3</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如甲方使用上述货物构成对第三人侵权的，则由乙方承担全部责任。</w:t>
      </w:r>
    </w:p>
    <w:p w14:paraId="5137E964">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6" w:firstLineChars="200"/>
        <w:jc w:val="both"/>
        <w:textAlignment w:val="baseline"/>
        <w:rPr>
          <w:rFonts w:hint="default" w:ascii="Times New Roman" w:hAnsi="Times New Roman" w:eastAsia="楷体_GB2312" w:cs="Times New Roman"/>
          <w:b/>
          <w:bCs/>
          <w:snapToGrid w:val="0"/>
          <w:color w:val="auto"/>
          <w:spacing w:val="11"/>
          <w:kern w:val="0"/>
          <w:sz w:val="24"/>
          <w:szCs w:val="24"/>
          <w:lang w:eastAsia="en-US"/>
        </w:rPr>
      </w:pPr>
      <w:r>
        <w:rPr>
          <w:rFonts w:hint="default" w:ascii="Times New Roman" w:hAnsi="Times New Roman" w:eastAsia="楷体_GB2312" w:cs="Times New Roman"/>
          <w:b/>
          <w:bCs/>
          <w:snapToGrid w:val="0"/>
          <w:color w:val="auto"/>
          <w:spacing w:val="11"/>
          <w:kern w:val="0"/>
          <w:sz w:val="24"/>
          <w:szCs w:val="24"/>
          <w:lang w:eastAsia="en-US"/>
        </w:rPr>
        <w:t>10.知识产权保护</w:t>
      </w:r>
    </w:p>
    <w:p w14:paraId="529EBE1E">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10.1</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乙方对其所销售的货物应当享有知识产权或经权利人合法授权，保证没有侵犯任何第三人的知识产权等权利。因违反前述约定对第三人构成侵权的</w:t>
      </w:r>
      <w:r>
        <w:rPr>
          <w:rFonts w:hint="default" w:ascii="Times New Roman" w:hAnsi="Times New Roman" w:eastAsia="仿宋_GB2312" w:cs="Times New Roman"/>
          <w:snapToGrid w:val="0"/>
          <w:color w:val="auto"/>
          <w:spacing w:val="11"/>
          <w:kern w:val="0"/>
          <w:sz w:val="24"/>
          <w:szCs w:val="24"/>
          <w:lang w:eastAsia="zh-CN"/>
        </w:rPr>
        <w:t>，</w:t>
      </w:r>
      <w:r>
        <w:rPr>
          <w:rFonts w:hint="default" w:ascii="Times New Roman" w:hAnsi="Times New Roman" w:eastAsia="仿宋_GB2312" w:cs="Times New Roman"/>
          <w:snapToGrid w:val="0"/>
          <w:color w:val="auto"/>
          <w:spacing w:val="11"/>
          <w:kern w:val="0"/>
          <w:sz w:val="24"/>
          <w:szCs w:val="24"/>
          <w:lang w:eastAsia="en-US"/>
        </w:rPr>
        <w:t>应当由乙方向第三人承担法律责任；甲方依法向第三人赔偿后，有权向乙方追偿。甲方有其他损失的，乙方应当赔偿。</w:t>
      </w:r>
    </w:p>
    <w:p w14:paraId="29136C8B">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6" w:firstLineChars="200"/>
        <w:jc w:val="both"/>
        <w:textAlignment w:val="baseline"/>
        <w:rPr>
          <w:rFonts w:hint="default" w:ascii="Times New Roman" w:hAnsi="Times New Roman" w:eastAsia="楷体_GB2312" w:cs="Times New Roman"/>
          <w:b/>
          <w:bCs/>
          <w:snapToGrid w:val="0"/>
          <w:color w:val="auto"/>
          <w:spacing w:val="11"/>
          <w:kern w:val="0"/>
          <w:sz w:val="24"/>
          <w:szCs w:val="24"/>
          <w:lang w:eastAsia="en-US"/>
        </w:rPr>
      </w:pPr>
      <w:r>
        <w:rPr>
          <w:rFonts w:hint="default" w:ascii="Times New Roman" w:hAnsi="Times New Roman" w:eastAsia="楷体_GB2312" w:cs="Times New Roman"/>
          <w:b/>
          <w:bCs/>
          <w:snapToGrid w:val="0"/>
          <w:color w:val="auto"/>
          <w:spacing w:val="11"/>
          <w:kern w:val="0"/>
          <w:sz w:val="24"/>
          <w:szCs w:val="24"/>
          <w:lang w:eastAsia="en-US"/>
        </w:rPr>
        <w:t>11.保密义务</w:t>
      </w:r>
    </w:p>
    <w:p w14:paraId="49A354DB">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11.1</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default" w:ascii="Times New Roman" w:hAnsi="Times New Roman" w:eastAsia="仿宋_GB2312" w:cs="Times New Roman"/>
          <w:b/>
          <w:snapToGrid w:val="0"/>
          <w:color w:val="auto"/>
          <w:spacing w:val="11"/>
          <w:kern w:val="0"/>
          <w:sz w:val="24"/>
          <w:szCs w:val="24"/>
          <w:lang w:eastAsia="zh-CN"/>
        </w:rPr>
        <w:t>【政府采购合同专用条款】</w:t>
      </w:r>
      <w:r>
        <w:rPr>
          <w:rFonts w:hint="default" w:ascii="Times New Roman" w:hAnsi="Times New Roman" w:eastAsia="仿宋_GB2312" w:cs="Times New Roman"/>
          <w:snapToGrid w:val="0"/>
          <w:color w:val="auto"/>
          <w:spacing w:val="11"/>
          <w:kern w:val="0"/>
          <w:sz w:val="24"/>
          <w:szCs w:val="24"/>
          <w:lang w:eastAsia="en-US"/>
        </w:rPr>
        <w:t>中约定。</w:t>
      </w:r>
    </w:p>
    <w:p w14:paraId="16F1DA04">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6" w:firstLineChars="200"/>
        <w:jc w:val="both"/>
        <w:textAlignment w:val="baseline"/>
        <w:rPr>
          <w:rFonts w:hint="default" w:ascii="Times New Roman" w:hAnsi="Times New Roman" w:eastAsia="楷体_GB2312" w:cs="Times New Roman"/>
          <w:b/>
          <w:bCs/>
          <w:snapToGrid w:val="0"/>
          <w:color w:val="auto"/>
          <w:spacing w:val="11"/>
          <w:kern w:val="0"/>
          <w:sz w:val="24"/>
          <w:szCs w:val="24"/>
          <w:lang w:eastAsia="en-US"/>
        </w:rPr>
      </w:pPr>
      <w:r>
        <w:rPr>
          <w:rFonts w:hint="default" w:ascii="Times New Roman" w:hAnsi="Times New Roman" w:eastAsia="楷体_GB2312" w:cs="Times New Roman"/>
          <w:b/>
          <w:bCs/>
          <w:snapToGrid w:val="0"/>
          <w:color w:val="auto"/>
          <w:spacing w:val="11"/>
          <w:kern w:val="0"/>
          <w:sz w:val="24"/>
          <w:szCs w:val="24"/>
          <w:lang w:eastAsia="en-US"/>
        </w:rPr>
        <w:t>12.合同价款支付</w:t>
      </w:r>
    </w:p>
    <w:p w14:paraId="107B0D32">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12.1</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合同价款支付按照国库集中支付制度及财政管理相关规定执行。</w:t>
      </w:r>
    </w:p>
    <w:p w14:paraId="26CB7C25">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12.2</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default" w:ascii="Times New Roman" w:hAnsi="Times New Roman" w:eastAsia="仿宋_GB2312" w:cs="Times New Roman"/>
          <w:b/>
          <w:snapToGrid w:val="0"/>
          <w:color w:val="auto"/>
          <w:spacing w:val="11"/>
          <w:kern w:val="0"/>
          <w:sz w:val="24"/>
          <w:szCs w:val="24"/>
          <w:lang w:eastAsia="zh-CN"/>
        </w:rPr>
        <w:t>【政府采购合同专用条款】</w:t>
      </w:r>
      <w:r>
        <w:rPr>
          <w:rFonts w:hint="default" w:ascii="Times New Roman" w:hAnsi="Times New Roman" w:eastAsia="仿宋_GB2312" w:cs="Times New Roman"/>
          <w:snapToGrid w:val="0"/>
          <w:color w:val="auto"/>
          <w:spacing w:val="11"/>
          <w:kern w:val="0"/>
          <w:sz w:val="24"/>
          <w:szCs w:val="24"/>
          <w:lang w:eastAsia="en-US"/>
        </w:rPr>
        <w:t>中约定。</w:t>
      </w:r>
    </w:p>
    <w:p w14:paraId="6408C4BF">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6" w:firstLineChars="200"/>
        <w:jc w:val="both"/>
        <w:textAlignment w:val="baseline"/>
        <w:rPr>
          <w:rFonts w:hint="default" w:ascii="Times New Roman" w:hAnsi="Times New Roman" w:eastAsia="楷体_GB2312" w:cs="Times New Roman"/>
          <w:b/>
          <w:bCs/>
          <w:snapToGrid w:val="0"/>
          <w:color w:val="auto"/>
          <w:spacing w:val="11"/>
          <w:kern w:val="0"/>
          <w:sz w:val="24"/>
          <w:szCs w:val="24"/>
          <w:lang w:eastAsia="en-US"/>
        </w:rPr>
      </w:pPr>
      <w:r>
        <w:rPr>
          <w:rFonts w:hint="default" w:ascii="Times New Roman" w:hAnsi="Times New Roman" w:eastAsia="楷体_GB2312" w:cs="Times New Roman"/>
          <w:b/>
          <w:bCs/>
          <w:snapToGrid w:val="0"/>
          <w:color w:val="auto"/>
          <w:spacing w:val="11"/>
          <w:kern w:val="0"/>
          <w:sz w:val="24"/>
          <w:szCs w:val="24"/>
          <w:lang w:eastAsia="en-US"/>
        </w:rPr>
        <w:t>13.履约保证金</w:t>
      </w:r>
    </w:p>
    <w:p w14:paraId="6A850135">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13.1</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乙方应当以支票、汇票、本票或者金融机构、担保机构出具的保函等非现金形式提交。</w:t>
      </w:r>
    </w:p>
    <w:p w14:paraId="296B6069">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13.2如果乙方出现</w:t>
      </w:r>
      <w:r>
        <w:rPr>
          <w:rFonts w:hint="default" w:ascii="Times New Roman" w:hAnsi="Times New Roman" w:eastAsia="仿宋_GB2312" w:cs="Times New Roman"/>
          <w:b/>
          <w:snapToGrid w:val="0"/>
          <w:color w:val="auto"/>
          <w:spacing w:val="11"/>
          <w:kern w:val="0"/>
          <w:sz w:val="24"/>
          <w:szCs w:val="24"/>
          <w:lang w:eastAsia="zh-CN"/>
        </w:rPr>
        <w:t>【政府采购合同专用条款】</w:t>
      </w:r>
      <w:r>
        <w:rPr>
          <w:rFonts w:hint="default" w:ascii="Times New Roman" w:hAnsi="Times New Roman" w:eastAsia="仿宋_GB2312" w:cs="Times New Roman"/>
          <w:snapToGrid w:val="0"/>
          <w:color w:val="auto"/>
          <w:spacing w:val="11"/>
          <w:kern w:val="0"/>
          <w:sz w:val="24"/>
          <w:szCs w:val="24"/>
          <w:lang w:eastAsia="en-US"/>
        </w:rPr>
        <w:t>约定情形的，履约保证金不予退还；如果乙方未能按合同约定全面履行义务，甲方有权从履约保证金中取得补偿或赔偿，且不影响甲方要求乙方承担合同约定的超过履约保证金的违约责任的权利。</w:t>
      </w:r>
    </w:p>
    <w:p w14:paraId="16C76C74">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13.3</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甲方在项目通过验收后按照</w:t>
      </w:r>
      <w:r>
        <w:rPr>
          <w:rFonts w:hint="default" w:ascii="Times New Roman" w:hAnsi="Times New Roman" w:eastAsia="仿宋_GB2312" w:cs="Times New Roman"/>
          <w:b/>
          <w:snapToGrid w:val="0"/>
          <w:color w:val="auto"/>
          <w:spacing w:val="11"/>
          <w:kern w:val="0"/>
          <w:sz w:val="24"/>
          <w:szCs w:val="24"/>
          <w:lang w:eastAsia="zh-CN"/>
        </w:rPr>
        <w:t>【政府采购合同专用条款】</w:t>
      </w:r>
      <w:r>
        <w:rPr>
          <w:rFonts w:hint="default" w:ascii="Times New Roman" w:hAnsi="Times New Roman" w:eastAsia="仿宋_GB2312" w:cs="Times New Roman"/>
          <w:snapToGrid w:val="0"/>
          <w:color w:val="auto"/>
          <w:spacing w:val="11"/>
          <w:kern w:val="0"/>
          <w:sz w:val="24"/>
          <w:szCs w:val="24"/>
          <w:lang w:eastAsia="en-US"/>
        </w:rPr>
        <w:t>规定的时间内将履约保证金退还乙方；逾期退还的，乙方可要求甲方支付违约金，违约金按照</w:t>
      </w:r>
      <w:r>
        <w:rPr>
          <w:rFonts w:hint="default" w:ascii="Times New Roman" w:hAnsi="Times New Roman" w:eastAsia="仿宋_GB2312" w:cs="Times New Roman"/>
          <w:b/>
          <w:snapToGrid w:val="0"/>
          <w:color w:val="auto"/>
          <w:spacing w:val="11"/>
          <w:kern w:val="0"/>
          <w:sz w:val="24"/>
          <w:szCs w:val="24"/>
          <w:lang w:eastAsia="zh-CN"/>
        </w:rPr>
        <w:t>【政府采购合同专用条款】</w:t>
      </w:r>
      <w:r>
        <w:rPr>
          <w:rFonts w:hint="default" w:ascii="Times New Roman" w:hAnsi="Times New Roman" w:eastAsia="仿宋_GB2312" w:cs="Times New Roman"/>
          <w:snapToGrid w:val="0"/>
          <w:color w:val="auto"/>
          <w:spacing w:val="11"/>
          <w:kern w:val="0"/>
          <w:sz w:val="24"/>
          <w:szCs w:val="24"/>
          <w:lang w:eastAsia="en-US"/>
        </w:rPr>
        <w:t>规定支付。</w:t>
      </w:r>
    </w:p>
    <w:p w14:paraId="515FB41A">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6" w:firstLineChars="200"/>
        <w:jc w:val="both"/>
        <w:textAlignment w:val="baseline"/>
        <w:rPr>
          <w:rFonts w:hint="default" w:ascii="Times New Roman" w:hAnsi="Times New Roman" w:eastAsia="楷体_GB2312" w:cs="Times New Roman"/>
          <w:b/>
          <w:bCs/>
          <w:snapToGrid w:val="0"/>
          <w:color w:val="auto"/>
          <w:spacing w:val="11"/>
          <w:kern w:val="0"/>
          <w:sz w:val="24"/>
          <w:szCs w:val="24"/>
          <w:lang w:eastAsia="en-US"/>
        </w:rPr>
      </w:pPr>
      <w:r>
        <w:rPr>
          <w:rFonts w:hint="default" w:ascii="Times New Roman" w:hAnsi="Times New Roman" w:eastAsia="楷体_GB2312" w:cs="Times New Roman"/>
          <w:b/>
          <w:bCs/>
          <w:snapToGrid w:val="0"/>
          <w:color w:val="auto"/>
          <w:spacing w:val="11"/>
          <w:kern w:val="0"/>
          <w:sz w:val="24"/>
          <w:szCs w:val="24"/>
          <w:lang w:eastAsia="en-US"/>
        </w:rPr>
        <w:t>14.售后服务</w:t>
      </w:r>
    </w:p>
    <w:p w14:paraId="3A76EC98">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04" w:firstLineChars="200"/>
        <w:jc w:val="both"/>
        <w:textAlignment w:val="baseline"/>
        <w:rPr>
          <w:rFonts w:hint="default" w:ascii="Times New Roman" w:hAnsi="Times New Roman" w:eastAsia="仿宋_GB2312" w:cs="Times New Roman"/>
          <w:snapToGrid w:val="0"/>
          <w:color w:val="auto"/>
          <w:spacing w:val="6"/>
          <w:kern w:val="0"/>
          <w:sz w:val="24"/>
          <w:szCs w:val="24"/>
          <w:lang w:eastAsia="zh-CN"/>
        </w:rPr>
      </w:pPr>
      <w:r>
        <w:rPr>
          <w:rFonts w:hint="default" w:ascii="Times New Roman" w:hAnsi="Times New Roman" w:eastAsia="仿宋_GB2312" w:cs="Times New Roman"/>
          <w:snapToGrid w:val="0"/>
          <w:color w:val="auto"/>
          <w:spacing w:val="6"/>
          <w:kern w:val="0"/>
          <w:sz w:val="24"/>
          <w:szCs w:val="24"/>
          <w:lang w:eastAsia="en-US"/>
        </w:rPr>
        <w:t>14.1</w:t>
      </w:r>
      <w:r>
        <w:rPr>
          <w:rFonts w:hint="default" w:ascii="Times New Roman" w:hAnsi="Times New Roman" w:eastAsia="仿宋_GB2312" w:cs="Times New Roman"/>
          <w:snapToGrid w:val="0"/>
          <w:color w:val="auto"/>
          <w:spacing w:val="6"/>
          <w:kern w:val="0"/>
          <w:sz w:val="24"/>
          <w:szCs w:val="24"/>
          <w:lang w:val="en-US" w:eastAsia="zh-CN"/>
        </w:rPr>
        <w:t xml:space="preserve"> </w:t>
      </w:r>
      <w:r>
        <w:rPr>
          <w:rFonts w:hint="default" w:ascii="Times New Roman" w:hAnsi="Times New Roman" w:eastAsia="仿宋_GB2312" w:cs="Times New Roman"/>
          <w:snapToGrid w:val="0"/>
          <w:color w:val="auto"/>
          <w:spacing w:val="6"/>
          <w:kern w:val="0"/>
          <w:sz w:val="24"/>
          <w:szCs w:val="24"/>
          <w:lang w:eastAsia="en-US"/>
        </w:rPr>
        <w:t>除项目不涉及或采购活动中明确约定无须承担外，乙方还应提供下列服务</w:t>
      </w:r>
      <w:r>
        <w:rPr>
          <w:rFonts w:hint="default" w:ascii="Times New Roman" w:hAnsi="Times New Roman" w:eastAsia="仿宋_GB2312" w:cs="Times New Roman"/>
          <w:snapToGrid w:val="0"/>
          <w:color w:val="auto"/>
          <w:spacing w:val="6"/>
          <w:kern w:val="0"/>
          <w:sz w:val="24"/>
          <w:szCs w:val="24"/>
          <w:lang w:eastAsia="zh-CN"/>
        </w:rPr>
        <w:t>：</w:t>
      </w:r>
    </w:p>
    <w:p w14:paraId="6091C69B">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（1）货物的现场移动、安装、调试、启动监督及技术支持；</w:t>
      </w:r>
    </w:p>
    <w:p w14:paraId="2DE035CD">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（2）提供货物组装和维修所需的专用工具和辅助材料；</w:t>
      </w:r>
    </w:p>
    <w:p w14:paraId="3D09F3D8">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04" w:firstLineChars="200"/>
        <w:jc w:val="both"/>
        <w:textAlignment w:val="baseline"/>
        <w:rPr>
          <w:rFonts w:hint="default" w:ascii="Times New Roman" w:hAnsi="Times New Roman" w:eastAsia="仿宋_GB2312" w:cs="Times New Roman"/>
          <w:snapToGrid w:val="0"/>
          <w:color w:val="auto"/>
          <w:spacing w:val="6"/>
          <w:kern w:val="0"/>
          <w:sz w:val="24"/>
          <w:szCs w:val="24"/>
          <w:lang w:eastAsia="en-US"/>
        </w:rPr>
      </w:pPr>
      <w:r>
        <w:rPr>
          <w:rFonts w:hint="default" w:ascii="Times New Roman" w:hAnsi="Times New Roman" w:eastAsia="仿宋_GB2312" w:cs="Times New Roman"/>
          <w:snapToGrid w:val="0"/>
          <w:color w:val="auto"/>
          <w:spacing w:val="6"/>
          <w:kern w:val="0"/>
          <w:sz w:val="24"/>
          <w:szCs w:val="24"/>
          <w:lang w:eastAsia="en-US"/>
        </w:rPr>
        <w:t>（3）在</w:t>
      </w:r>
      <w:r>
        <w:rPr>
          <w:rFonts w:hint="default" w:ascii="Times New Roman" w:hAnsi="Times New Roman" w:eastAsia="仿宋_GB2312" w:cs="Times New Roman"/>
          <w:b/>
          <w:snapToGrid w:val="0"/>
          <w:color w:val="auto"/>
          <w:spacing w:val="6"/>
          <w:kern w:val="0"/>
          <w:sz w:val="24"/>
          <w:szCs w:val="24"/>
          <w:lang w:eastAsia="zh-CN"/>
        </w:rPr>
        <w:t>【政府采购合同专用条款】</w:t>
      </w:r>
      <w:r>
        <w:rPr>
          <w:rFonts w:hint="default" w:ascii="Times New Roman" w:hAnsi="Times New Roman" w:eastAsia="仿宋_GB2312" w:cs="Times New Roman"/>
          <w:snapToGrid w:val="0"/>
          <w:color w:val="auto"/>
          <w:spacing w:val="6"/>
          <w:kern w:val="0"/>
          <w:sz w:val="24"/>
          <w:szCs w:val="24"/>
          <w:lang w:eastAsia="en-US"/>
        </w:rPr>
        <w:t>约定的期限内对所有的货物实施运行监督</w:t>
      </w:r>
      <w:r>
        <w:rPr>
          <w:rFonts w:hint="default" w:ascii="Times New Roman" w:hAnsi="Times New Roman" w:eastAsia="仿宋_GB2312" w:cs="Times New Roman"/>
          <w:snapToGrid w:val="0"/>
          <w:color w:val="auto"/>
          <w:spacing w:val="6"/>
          <w:kern w:val="0"/>
          <w:sz w:val="24"/>
          <w:szCs w:val="24"/>
          <w:lang w:eastAsia="zh-CN"/>
        </w:rPr>
        <w:t>、</w:t>
      </w:r>
      <w:r>
        <w:rPr>
          <w:rFonts w:hint="default" w:ascii="Times New Roman" w:hAnsi="Times New Roman" w:eastAsia="仿宋_GB2312" w:cs="Times New Roman"/>
          <w:snapToGrid w:val="0"/>
          <w:color w:val="auto"/>
          <w:spacing w:val="6"/>
          <w:kern w:val="0"/>
          <w:sz w:val="24"/>
          <w:szCs w:val="24"/>
          <w:lang w:eastAsia="en-US"/>
        </w:rPr>
        <w:t>维修，但前提条件是该服务并不能免除乙方在质量保证期内所承担的义务；</w:t>
      </w:r>
    </w:p>
    <w:p w14:paraId="09BB9373">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（4）在制造商所在地或指定现场就货物的安装、启动、运营、维护、废弃处置等对甲方操作人员进行培训；</w:t>
      </w:r>
    </w:p>
    <w:p w14:paraId="1AB19506">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（5）依照法律、行政法规的规定或者按照</w:t>
      </w:r>
      <w:r>
        <w:rPr>
          <w:rFonts w:hint="default" w:ascii="Times New Roman" w:hAnsi="Times New Roman" w:eastAsia="仿宋_GB2312" w:cs="Times New Roman"/>
          <w:b/>
          <w:snapToGrid w:val="0"/>
          <w:color w:val="auto"/>
          <w:spacing w:val="11"/>
          <w:kern w:val="0"/>
          <w:sz w:val="24"/>
          <w:szCs w:val="24"/>
          <w:lang w:eastAsia="zh-CN"/>
        </w:rPr>
        <w:t>【政府采购合同专用条款】</w:t>
      </w:r>
      <w:r>
        <w:rPr>
          <w:rFonts w:hint="default" w:ascii="Times New Roman" w:hAnsi="Times New Roman" w:eastAsia="仿宋_GB2312" w:cs="Times New Roman"/>
          <w:snapToGrid w:val="0"/>
          <w:color w:val="auto"/>
          <w:spacing w:val="11"/>
          <w:kern w:val="0"/>
          <w:sz w:val="24"/>
          <w:szCs w:val="24"/>
          <w:lang w:eastAsia="en-US"/>
        </w:rPr>
        <w:t>约定</w:t>
      </w:r>
      <w:r>
        <w:rPr>
          <w:rFonts w:hint="default" w:ascii="Times New Roman" w:hAnsi="Times New Roman" w:eastAsia="仿宋_GB2312" w:cs="Times New Roman"/>
          <w:snapToGrid w:val="0"/>
          <w:color w:val="auto"/>
          <w:spacing w:val="11"/>
          <w:kern w:val="0"/>
          <w:sz w:val="24"/>
          <w:szCs w:val="24"/>
          <w:lang w:eastAsia="zh-CN"/>
        </w:rPr>
        <w:t>，</w:t>
      </w:r>
      <w:r>
        <w:rPr>
          <w:rFonts w:hint="default" w:ascii="Times New Roman" w:hAnsi="Times New Roman" w:eastAsia="仿宋_GB2312" w:cs="Times New Roman"/>
          <w:snapToGrid w:val="0"/>
          <w:color w:val="auto"/>
          <w:spacing w:val="11"/>
          <w:kern w:val="0"/>
          <w:sz w:val="24"/>
          <w:szCs w:val="24"/>
          <w:lang w:eastAsia="en-US"/>
        </w:rPr>
        <w:t>货物在有效使用年限届满后应予回收的，乙方负有自行或者委托第三人对货物予以回收的义务；</w:t>
      </w:r>
    </w:p>
    <w:p w14:paraId="333A8AD6">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（6）</w:t>
      </w:r>
      <w:r>
        <w:rPr>
          <w:rFonts w:hint="default" w:ascii="Times New Roman" w:hAnsi="Times New Roman" w:eastAsia="仿宋_GB2312" w:cs="Times New Roman"/>
          <w:b/>
          <w:snapToGrid w:val="0"/>
          <w:color w:val="auto"/>
          <w:spacing w:val="11"/>
          <w:kern w:val="0"/>
          <w:sz w:val="24"/>
          <w:szCs w:val="24"/>
          <w:lang w:eastAsia="zh-CN"/>
        </w:rPr>
        <w:t>【政府采购合同专用条款】</w:t>
      </w:r>
      <w:r>
        <w:rPr>
          <w:rFonts w:hint="default" w:ascii="Times New Roman" w:hAnsi="Times New Roman" w:eastAsia="仿宋_GB2312" w:cs="Times New Roman"/>
          <w:snapToGrid w:val="0"/>
          <w:color w:val="auto"/>
          <w:spacing w:val="11"/>
          <w:kern w:val="0"/>
          <w:sz w:val="24"/>
          <w:szCs w:val="24"/>
          <w:lang w:eastAsia="en-US"/>
        </w:rPr>
        <w:t>规定由乙方提供的其他服务。</w:t>
      </w:r>
    </w:p>
    <w:p w14:paraId="667641ED">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04" w:firstLineChars="200"/>
        <w:jc w:val="both"/>
        <w:textAlignment w:val="baseline"/>
        <w:rPr>
          <w:rFonts w:hint="default" w:ascii="Times New Roman" w:hAnsi="Times New Roman" w:eastAsia="仿宋_GB2312" w:cs="Times New Roman"/>
          <w:snapToGrid w:val="0"/>
          <w:color w:val="auto"/>
          <w:spacing w:val="6"/>
          <w:kern w:val="0"/>
          <w:sz w:val="24"/>
          <w:szCs w:val="24"/>
          <w:lang w:eastAsia="en-US"/>
        </w:rPr>
      </w:pPr>
      <w:r>
        <w:rPr>
          <w:rFonts w:hint="default" w:ascii="Times New Roman" w:hAnsi="Times New Roman" w:eastAsia="仿宋_GB2312" w:cs="Times New Roman"/>
          <w:snapToGrid w:val="0"/>
          <w:color w:val="auto"/>
          <w:spacing w:val="6"/>
          <w:kern w:val="0"/>
          <w:sz w:val="24"/>
          <w:szCs w:val="24"/>
          <w:lang w:eastAsia="en-US"/>
        </w:rPr>
        <w:t>14.2</w:t>
      </w:r>
      <w:r>
        <w:rPr>
          <w:rFonts w:hint="default" w:ascii="Times New Roman" w:hAnsi="Times New Roman" w:eastAsia="仿宋_GB2312" w:cs="Times New Roman"/>
          <w:snapToGrid w:val="0"/>
          <w:color w:val="auto"/>
          <w:spacing w:val="6"/>
          <w:kern w:val="0"/>
          <w:sz w:val="24"/>
          <w:szCs w:val="24"/>
          <w:lang w:val="en-US" w:eastAsia="zh-CN"/>
        </w:rPr>
        <w:t xml:space="preserve"> </w:t>
      </w:r>
      <w:r>
        <w:rPr>
          <w:rFonts w:hint="default" w:ascii="Times New Roman" w:hAnsi="Times New Roman" w:eastAsia="仿宋_GB2312" w:cs="Times New Roman"/>
          <w:snapToGrid w:val="0"/>
          <w:color w:val="auto"/>
          <w:spacing w:val="6"/>
          <w:kern w:val="0"/>
          <w:sz w:val="24"/>
          <w:szCs w:val="24"/>
          <w:lang w:eastAsia="en-US"/>
        </w:rPr>
        <w:t>乙方提供的售后服务的费用已包含在合同价款中，甲方不再另行支付。</w:t>
      </w:r>
    </w:p>
    <w:p w14:paraId="2CF6BB12">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6" w:firstLineChars="200"/>
        <w:jc w:val="both"/>
        <w:textAlignment w:val="baseline"/>
        <w:rPr>
          <w:rFonts w:hint="default" w:ascii="Times New Roman" w:hAnsi="Times New Roman" w:eastAsia="楷体_GB2312" w:cs="Times New Roman"/>
          <w:b/>
          <w:bCs/>
          <w:snapToGrid w:val="0"/>
          <w:color w:val="auto"/>
          <w:spacing w:val="11"/>
          <w:kern w:val="0"/>
          <w:sz w:val="24"/>
          <w:szCs w:val="24"/>
          <w:lang w:eastAsia="en-US"/>
        </w:rPr>
      </w:pPr>
      <w:r>
        <w:rPr>
          <w:rFonts w:hint="default" w:ascii="Times New Roman" w:hAnsi="Times New Roman" w:eastAsia="楷体_GB2312" w:cs="Times New Roman"/>
          <w:b/>
          <w:bCs/>
          <w:snapToGrid w:val="0"/>
          <w:color w:val="auto"/>
          <w:spacing w:val="11"/>
          <w:kern w:val="0"/>
          <w:sz w:val="24"/>
          <w:szCs w:val="24"/>
          <w:lang w:eastAsia="en-US"/>
        </w:rPr>
        <w:t>15.违约责任</w:t>
      </w:r>
    </w:p>
    <w:p w14:paraId="4B95E946">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15.1</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质量瑕疵的违约责任</w:t>
      </w:r>
    </w:p>
    <w:p w14:paraId="0354E6DD">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乙方提供的产品不符合合同约定的质量标准或存在产品质量缺陷，甲方有权要求乙方根据</w:t>
      </w:r>
      <w:r>
        <w:rPr>
          <w:rFonts w:hint="default" w:ascii="Times New Roman" w:hAnsi="Times New Roman" w:eastAsia="仿宋_GB2312" w:cs="Times New Roman"/>
          <w:b/>
          <w:snapToGrid w:val="0"/>
          <w:color w:val="auto"/>
          <w:spacing w:val="11"/>
          <w:kern w:val="0"/>
          <w:sz w:val="24"/>
          <w:szCs w:val="24"/>
          <w:lang w:eastAsia="zh-CN"/>
        </w:rPr>
        <w:t>【政府采购合同专用条款】</w:t>
      </w:r>
      <w:r>
        <w:rPr>
          <w:rFonts w:hint="default" w:ascii="Times New Roman" w:hAnsi="Times New Roman" w:eastAsia="仿宋_GB2312" w:cs="Times New Roman"/>
          <w:snapToGrid w:val="0"/>
          <w:color w:val="auto"/>
          <w:spacing w:val="11"/>
          <w:kern w:val="0"/>
          <w:sz w:val="24"/>
          <w:szCs w:val="24"/>
          <w:lang w:eastAsia="en-US"/>
        </w:rPr>
        <w:t>要求及时修理、重作、更换，并承担由此给甲方造成的损失。</w:t>
      </w:r>
    </w:p>
    <w:p w14:paraId="5C980754">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15.2</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迟延交货的违约责任</w:t>
      </w:r>
    </w:p>
    <w:p w14:paraId="4A6B7543">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3FA78879">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（2）如果乙方没有按照合同规定的时间交货和提供相关服务，甲方有权从货款中扣除误期赔偿费而不影响合同项下的其他补救方法，赔偿费按</w:t>
      </w:r>
      <w:r>
        <w:rPr>
          <w:rFonts w:hint="default" w:ascii="Times New Roman" w:hAnsi="Times New Roman" w:eastAsia="仿宋_GB2312" w:cs="Times New Roman"/>
          <w:b/>
          <w:snapToGrid w:val="0"/>
          <w:color w:val="auto"/>
          <w:spacing w:val="11"/>
          <w:kern w:val="0"/>
          <w:sz w:val="24"/>
          <w:szCs w:val="24"/>
          <w:lang w:eastAsia="zh-CN"/>
        </w:rPr>
        <w:t>【政府采购合同专用条款】</w:t>
      </w:r>
      <w:r>
        <w:rPr>
          <w:rFonts w:hint="default" w:ascii="Times New Roman" w:hAnsi="Times New Roman" w:eastAsia="仿宋_GB2312" w:cs="Times New Roman"/>
          <w:snapToGrid w:val="0"/>
          <w:color w:val="auto"/>
          <w:spacing w:val="11"/>
          <w:kern w:val="0"/>
          <w:sz w:val="24"/>
          <w:szCs w:val="24"/>
          <w:lang w:eastAsia="en-US"/>
        </w:rPr>
        <w:t>规定执行。如果涉及公共利益，且赔偿金额无法弥补公共利益损失，甲方可要求继续履行或者采取其他补救措施。</w:t>
      </w:r>
    </w:p>
    <w:p w14:paraId="7F6CFA1C">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15.3</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迟延支付的违约责任</w:t>
      </w:r>
    </w:p>
    <w:p w14:paraId="37E83679">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甲方存在迟延支付乙方合同款项的，应当承担</w:t>
      </w:r>
      <w:r>
        <w:rPr>
          <w:rFonts w:hint="default" w:ascii="Times New Roman" w:hAnsi="Times New Roman" w:eastAsia="仿宋_GB2312" w:cs="Times New Roman"/>
          <w:b/>
          <w:snapToGrid w:val="0"/>
          <w:color w:val="auto"/>
          <w:spacing w:val="11"/>
          <w:kern w:val="0"/>
          <w:sz w:val="24"/>
          <w:szCs w:val="24"/>
          <w:lang w:eastAsia="zh-CN"/>
        </w:rPr>
        <w:t>【政府采购合同专用条款】</w:t>
      </w:r>
      <w:r>
        <w:rPr>
          <w:rFonts w:hint="default" w:ascii="Times New Roman" w:hAnsi="Times New Roman" w:eastAsia="仿宋_GB2312" w:cs="Times New Roman"/>
          <w:snapToGrid w:val="0"/>
          <w:color w:val="auto"/>
          <w:spacing w:val="11"/>
          <w:kern w:val="0"/>
          <w:sz w:val="24"/>
          <w:szCs w:val="24"/>
          <w:lang w:eastAsia="en-US"/>
        </w:rPr>
        <w:t>规定的逾期付款利息</w:t>
      </w:r>
      <w:r>
        <w:rPr>
          <w:rFonts w:hint="default" w:ascii="Times New Roman" w:hAnsi="Times New Roman" w:eastAsia="仿宋_GB2312" w:cs="Times New Roman"/>
          <w:snapToGrid w:val="0"/>
          <w:color w:val="auto"/>
          <w:spacing w:val="11"/>
          <w:kern w:val="0"/>
          <w:sz w:val="24"/>
          <w:szCs w:val="24"/>
          <w:lang w:eastAsia="zh-CN"/>
        </w:rPr>
        <w:t>。除不可抗力外，如果甲方没有按照本合同约定的付款方式付款，乙方可要求甲方支付违约金，违约金按每迟延付款一日的应付而未付款的万分之五计算</w:t>
      </w:r>
      <w:r>
        <w:rPr>
          <w:rFonts w:hint="default" w:ascii="Times New Roman" w:hAnsi="Times New Roman" w:eastAsia="仿宋_GB2312" w:cs="Times New Roman"/>
          <w:snapToGrid w:val="0"/>
          <w:color w:val="auto"/>
          <w:spacing w:val="11"/>
          <w:kern w:val="0"/>
          <w:sz w:val="24"/>
          <w:szCs w:val="24"/>
          <w:lang w:eastAsia="en-US"/>
        </w:rPr>
        <w:t>。</w:t>
      </w:r>
    </w:p>
    <w:p w14:paraId="6DD51D7D">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480" w:firstLineChars="200"/>
        <w:jc w:val="both"/>
        <w:textAlignment w:val="baseline"/>
        <w:rPr>
          <w:rFonts w:hint="default" w:ascii="Times New Roman" w:hAnsi="Times New Roman" w:eastAsia="仿宋_GB2312" w:cs="Times New Roman"/>
          <w:snapToGrid w:val="0"/>
          <w:color w:val="auto"/>
          <w:spacing w:val="0"/>
          <w:kern w:val="0"/>
          <w:sz w:val="24"/>
          <w:szCs w:val="24"/>
          <w:lang w:eastAsia="zh-CN"/>
        </w:rPr>
      </w:pPr>
      <w:r>
        <w:rPr>
          <w:rFonts w:hint="default" w:ascii="Times New Roman" w:hAnsi="Times New Roman" w:eastAsia="仿宋_GB2312" w:cs="Times New Roman"/>
          <w:snapToGrid w:val="0"/>
          <w:color w:val="auto"/>
          <w:spacing w:val="0"/>
          <w:kern w:val="0"/>
          <w:sz w:val="24"/>
          <w:szCs w:val="24"/>
          <w:lang w:eastAsia="en-US"/>
        </w:rPr>
        <w:t>15.4</w:t>
      </w:r>
      <w:r>
        <w:rPr>
          <w:rFonts w:hint="default" w:ascii="Times New Roman" w:hAnsi="Times New Roman" w:eastAsia="仿宋_GB2312" w:cs="Times New Roman"/>
          <w:snapToGrid w:val="0"/>
          <w:color w:val="auto"/>
          <w:spacing w:val="0"/>
          <w:kern w:val="0"/>
          <w:sz w:val="24"/>
          <w:szCs w:val="24"/>
          <w:lang w:val="en-US" w:eastAsia="zh-CN"/>
        </w:rPr>
        <w:t xml:space="preserve"> </w:t>
      </w:r>
      <w:r>
        <w:rPr>
          <w:rFonts w:hint="default" w:ascii="Times New Roman" w:hAnsi="Times New Roman" w:eastAsia="仿宋_GB2312" w:cs="Times New Roman"/>
          <w:snapToGrid w:val="0"/>
          <w:color w:val="auto"/>
          <w:spacing w:val="0"/>
          <w:kern w:val="0"/>
          <w:sz w:val="24"/>
          <w:szCs w:val="24"/>
          <w:lang w:eastAsia="en-US"/>
        </w:rPr>
        <w:t>其他违约责任根据项目实际需要按</w:t>
      </w:r>
      <w:r>
        <w:rPr>
          <w:rFonts w:hint="default" w:ascii="Times New Roman" w:hAnsi="Times New Roman" w:eastAsia="仿宋_GB2312" w:cs="Times New Roman"/>
          <w:b/>
          <w:snapToGrid w:val="0"/>
          <w:color w:val="auto"/>
          <w:spacing w:val="0"/>
          <w:kern w:val="0"/>
          <w:sz w:val="24"/>
          <w:szCs w:val="24"/>
          <w:lang w:eastAsia="zh-CN"/>
        </w:rPr>
        <w:t>【政府采购合同专用条款】</w:t>
      </w:r>
      <w:r>
        <w:rPr>
          <w:rFonts w:hint="default" w:ascii="Times New Roman" w:hAnsi="Times New Roman" w:eastAsia="仿宋_GB2312" w:cs="Times New Roman"/>
          <w:snapToGrid w:val="0"/>
          <w:color w:val="auto"/>
          <w:spacing w:val="0"/>
          <w:kern w:val="0"/>
          <w:sz w:val="24"/>
          <w:szCs w:val="24"/>
          <w:lang w:eastAsia="en-US"/>
        </w:rPr>
        <w:t>规定执行</w:t>
      </w:r>
      <w:r>
        <w:rPr>
          <w:rFonts w:hint="default" w:ascii="Times New Roman" w:hAnsi="Times New Roman" w:eastAsia="仿宋_GB2312" w:cs="Times New Roman"/>
          <w:snapToGrid w:val="0"/>
          <w:color w:val="auto"/>
          <w:spacing w:val="0"/>
          <w:kern w:val="0"/>
          <w:sz w:val="24"/>
          <w:szCs w:val="24"/>
          <w:lang w:eastAsia="zh-CN"/>
        </w:rPr>
        <w:t>。</w:t>
      </w:r>
    </w:p>
    <w:p w14:paraId="54D6B021">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6" w:firstLineChars="200"/>
        <w:jc w:val="both"/>
        <w:textAlignment w:val="baseline"/>
        <w:rPr>
          <w:rFonts w:hint="default" w:ascii="Times New Roman" w:hAnsi="Times New Roman" w:eastAsia="楷体_GB2312" w:cs="Times New Roman"/>
          <w:b/>
          <w:bCs/>
          <w:snapToGrid w:val="0"/>
          <w:color w:val="auto"/>
          <w:spacing w:val="11"/>
          <w:kern w:val="0"/>
          <w:sz w:val="24"/>
          <w:szCs w:val="24"/>
          <w:lang w:eastAsia="en-US"/>
        </w:rPr>
      </w:pPr>
      <w:r>
        <w:rPr>
          <w:rFonts w:hint="default" w:ascii="Times New Roman" w:hAnsi="Times New Roman" w:eastAsia="楷体_GB2312" w:cs="Times New Roman"/>
          <w:b/>
          <w:bCs/>
          <w:snapToGrid w:val="0"/>
          <w:color w:val="auto"/>
          <w:spacing w:val="11"/>
          <w:kern w:val="0"/>
          <w:sz w:val="24"/>
          <w:szCs w:val="24"/>
          <w:lang w:eastAsia="en-US"/>
        </w:rPr>
        <w:t>16.合同变更、中止与终止</w:t>
      </w:r>
    </w:p>
    <w:p w14:paraId="10F623ED">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16.1</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合同的变更</w:t>
      </w:r>
    </w:p>
    <w:p w14:paraId="1A3806A0">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政府采购合同履行中，在不改变合同其他条款的前提下，甲方可以在合同价款10%的范围内追加与合同标的相同的货物，并就此与乙方协商一致后签订补充协议。</w:t>
      </w:r>
    </w:p>
    <w:p w14:paraId="4339DD0C">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16.2</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合同的中止</w:t>
      </w:r>
    </w:p>
    <w:p w14:paraId="1CFBDC2D">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（1）合同履行过程中因供应商就采购文件、采购过程或结果提起投诉的，甲方认为有必要的，可以中止合同的履行。</w:t>
      </w:r>
    </w:p>
    <w:p w14:paraId="4D1FBEBC">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5A88C496">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（3）乙方分立、合并或者变更住所的，应当及时以书面形式告知甲方。乙方没有及时告知甲方，致使合同履行发生困难的，甲方可以中止合同履行并要求乙方承担由此给甲方造成的损失。</w:t>
      </w:r>
    </w:p>
    <w:p w14:paraId="0E2C2457">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（4）甲方不得以行政区划调整、政府换届、机构或者职能调整以及相关责任人更替为由中止合同。</w:t>
      </w:r>
    </w:p>
    <w:p w14:paraId="7D189EC1">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16.3</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合同的终止</w:t>
      </w:r>
    </w:p>
    <w:p w14:paraId="7318454F">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（1）合同因有效期限届满而终止；</w:t>
      </w:r>
    </w:p>
    <w:p w14:paraId="4EA49F9F">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（2）乙方未按合同约定履行，构成根本性违约的，甲方有权终止合同，并追究乙方的违约责任。</w:t>
      </w:r>
    </w:p>
    <w:p w14:paraId="041DD420">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16.4</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涉及国家利益、社会公共利益的情形</w:t>
      </w:r>
    </w:p>
    <w:p w14:paraId="40EE105F">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政府采购合同继续履行将损害国家利益和社会公共利益的，双方当事人应当变更、中止或者终止合同。有过错的一方应当承担赔偿责任，双方都有过错的，各自承担相应的责任。</w:t>
      </w:r>
    </w:p>
    <w:p w14:paraId="6B5C0B88">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6" w:firstLineChars="200"/>
        <w:jc w:val="both"/>
        <w:textAlignment w:val="baseline"/>
        <w:rPr>
          <w:rFonts w:hint="default" w:ascii="Times New Roman" w:hAnsi="Times New Roman" w:eastAsia="楷体_GB2312" w:cs="Times New Roman"/>
          <w:b/>
          <w:bCs/>
          <w:snapToGrid w:val="0"/>
          <w:color w:val="auto"/>
          <w:spacing w:val="11"/>
          <w:kern w:val="0"/>
          <w:sz w:val="24"/>
          <w:szCs w:val="24"/>
          <w:lang w:eastAsia="en-US"/>
        </w:rPr>
      </w:pPr>
      <w:r>
        <w:rPr>
          <w:rFonts w:hint="default" w:ascii="Times New Roman" w:hAnsi="Times New Roman" w:eastAsia="楷体_GB2312" w:cs="Times New Roman"/>
          <w:b/>
          <w:bCs/>
          <w:snapToGrid w:val="0"/>
          <w:color w:val="auto"/>
          <w:spacing w:val="11"/>
          <w:kern w:val="0"/>
          <w:sz w:val="24"/>
          <w:szCs w:val="24"/>
          <w:lang w:eastAsia="en-US"/>
        </w:rPr>
        <w:t>17.合同分包</w:t>
      </w:r>
    </w:p>
    <w:p w14:paraId="27277B28">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17.1</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乙方不得将合同转包给其他供应商。涉及合同分包的，乙方应根据采购文件和投标（响应）文件规定进行合同分包。</w:t>
      </w:r>
    </w:p>
    <w:p w14:paraId="68EA4B9F">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17.2</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乙方执行政府采购政策向中小企业依法分包的，乙方应当按采购文件和投标（响应）文件签订分包意向协议，分包意向协议属于本合同组成部分。</w:t>
      </w:r>
    </w:p>
    <w:p w14:paraId="63E7139E">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6" w:firstLineChars="200"/>
        <w:jc w:val="both"/>
        <w:textAlignment w:val="baseline"/>
        <w:rPr>
          <w:rFonts w:hint="default" w:ascii="Times New Roman" w:hAnsi="Times New Roman" w:eastAsia="楷体_GB2312" w:cs="Times New Roman"/>
          <w:b/>
          <w:bCs/>
          <w:snapToGrid w:val="0"/>
          <w:color w:val="auto"/>
          <w:spacing w:val="11"/>
          <w:kern w:val="0"/>
          <w:sz w:val="24"/>
          <w:szCs w:val="24"/>
          <w:lang w:eastAsia="en-US"/>
        </w:rPr>
      </w:pPr>
      <w:r>
        <w:rPr>
          <w:rFonts w:hint="default" w:ascii="Times New Roman" w:hAnsi="Times New Roman" w:eastAsia="楷体_GB2312" w:cs="Times New Roman"/>
          <w:b/>
          <w:bCs/>
          <w:snapToGrid w:val="0"/>
          <w:color w:val="auto"/>
          <w:spacing w:val="11"/>
          <w:kern w:val="0"/>
          <w:sz w:val="24"/>
          <w:szCs w:val="24"/>
          <w:lang w:eastAsia="en-US"/>
        </w:rPr>
        <w:t>18.不可抗力</w:t>
      </w:r>
    </w:p>
    <w:p w14:paraId="1D5C7555">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18.1</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不可抗力是指合同双方不能预见、不能避免且不能克服的客观情况。</w:t>
      </w:r>
    </w:p>
    <w:p w14:paraId="3998874B">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18.2</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任何一方对由于不可抗力造成的部分或全部不能履行合同不承担违约责任。但迟延履行后发生不可抗力的，不能免除责任。</w:t>
      </w:r>
    </w:p>
    <w:p w14:paraId="5F64CB42">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18.3</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遇有不可抗力的一方，应及时将事件情况以书面形式告知另一方，并在事件发生后及时向另一方提交合同不能履行或部分不能履行或需要延期履行的详细报告，以及证明不可抗力发生及其持续时间的证据。</w:t>
      </w:r>
    </w:p>
    <w:p w14:paraId="696C3414">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6" w:firstLineChars="200"/>
        <w:jc w:val="both"/>
        <w:textAlignment w:val="baseline"/>
        <w:rPr>
          <w:rFonts w:hint="default" w:ascii="Times New Roman" w:hAnsi="Times New Roman" w:eastAsia="楷体_GB2312" w:cs="Times New Roman"/>
          <w:b/>
          <w:bCs/>
          <w:snapToGrid w:val="0"/>
          <w:color w:val="auto"/>
          <w:spacing w:val="11"/>
          <w:kern w:val="0"/>
          <w:sz w:val="24"/>
          <w:szCs w:val="24"/>
          <w:lang w:eastAsia="en-US"/>
        </w:rPr>
      </w:pPr>
      <w:r>
        <w:rPr>
          <w:rFonts w:hint="default" w:ascii="Times New Roman" w:hAnsi="Times New Roman" w:eastAsia="楷体_GB2312" w:cs="Times New Roman"/>
          <w:b/>
          <w:bCs/>
          <w:snapToGrid w:val="0"/>
          <w:color w:val="auto"/>
          <w:spacing w:val="11"/>
          <w:kern w:val="0"/>
          <w:sz w:val="24"/>
          <w:szCs w:val="24"/>
          <w:lang w:eastAsia="en-US"/>
        </w:rPr>
        <w:t>19.解决争议的方法</w:t>
      </w:r>
    </w:p>
    <w:p w14:paraId="45BE9593">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19.1</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因本合同及合同有关事项发生的争议，由甲乙双方友好协商解决。协商不成时，可以向有关组织申请调解。合同一方或双方不愿调解或调解不成的</w:t>
      </w:r>
      <w:r>
        <w:rPr>
          <w:rFonts w:hint="default" w:ascii="Times New Roman" w:hAnsi="Times New Roman" w:eastAsia="仿宋_GB2312" w:cs="Times New Roman"/>
          <w:snapToGrid w:val="0"/>
          <w:color w:val="auto"/>
          <w:spacing w:val="11"/>
          <w:kern w:val="0"/>
          <w:sz w:val="24"/>
          <w:szCs w:val="24"/>
          <w:lang w:eastAsia="zh-CN"/>
        </w:rPr>
        <w:t>，</w:t>
      </w:r>
      <w:r>
        <w:rPr>
          <w:rFonts w:hint="default" w:ascii="Times New Roman" w:hAnsi="Times New Roman" w:eastAsia="仿宋_GB2312" w:cs="Times New Roman"/>
          <w:snapToGrid w:val="0"/>
          <w:color w:val="auto"/>
          <w:spacing w:val="11"/>
          <w:kern w:val="0"/>
          <w:sz w:val="24"/>
          <w:szCs w:val="24"/>
          <w:lang w:eastAsia="en-US"/>
        </w:rPr>
        <w:t>可以通过仲裁或诉讼的方式解决争议。</w:t>
      </w:r>
    </w:p>
    <w:p w14:paraId="64667964">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19.2</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选择仲裁的，应在</w:t>
      </w:r>
      <w:r>
        <w:rPr>
          <w:rFonts w:hint="default" w:ascii="Times New Roman" w:hAnsi="Times New Roman" w:eastAsia="仿宋_GB2312" w:cs="Times New Roman"/>
          <w:b/>
          <w:snapToGrid w:val="0"/>
          <w:color w:val="auto"/>
          <w:spacing w:val="11"/>
          <w:kern w:val="0"/>
          <w:sz w:val="24"/>
          <w:szCs w:val="24"/>
          <w:lang w:eastAsia="zh-CN"/>
        </w:rPr>
        <w:t>【政府采购合同专用条款】</w:t>
      </w:r>
      <w:r>
        <w:rPr>
          <w:rFonts w:hint="default" w:ascii="Times New Roman" w:hAnsi="Times New Roman" w:eastAsia="仿宋_GB2312" w:cs="Times New Roman"/>
          <w:snapToGrid w:val="0"/>
          <w:color w:val="auto"/>
          <w:spacing w:val="11"/>
          <w:kern w:val="0"/>
          <w:sz w:val="24"/>
          <w:szCs w:val="24"/>
          <w:lang w:eastAsia="en-US"/>
        </w:rPr>
        <w:t>中明确仲裁机构及仲裁地</w:t>
      </w:r>
      <w:r>
        <w:rPr>
          <w:rFonts w:hint="default" w:ascii="Times New Roman" w:hAnsi="Times New Roman" w:eastAsia="仿宋_GB2312" w:cs="Times New Roman"/>
          <w:snapToGrid w:val="0"/>
          <w:color w:val="auto"/>
          <w:spacing w:val="11"/>
          <w:kern w:val="0"/>
          <w:sz w:val="24"/>
          <w:szCs w:val="24"/>
          <w:lang w:eastAsia="zh-CN"/>
        </w:rPr>
        <w:t>；</w:t>
      </w:r>
      <w:r>
        <w:rPr>
          <w:rFonts w:hint="default" w:ascii="Times New Roman" w:hAnsi="Times New Roman" w:eastAsia="仿宋_GB2312" w:cs="Times New Roman"/>
          <w:snapToGrid w:val="0"/>
          <w:color w:val="auto"/>
          <w:spacing w:val="11"/>
          <w:kern w:val="0"/>
          <w:sz w:val="24"/>
          <w:szCs w:val="24"/>
          <w:lang w:eastAsia="en-US"/>
        </w:rPr>
        <w:t>通过诉讼方式解决的，可以在</w:t>
      </w:r>
      <w:r>
        <w:rPr>
          <w:rFonts w:hint="default" w:ascii="Times New Roman" w:hAnsi="Times New Roman" w:eastAsia="仿宋_GB2312" w:cs="Times New Roman"/>
          <w:b/>
          <w:snapToGrid w:val="0"/>
          <w:color w:val="auto"/>
          <w:spacing w:val="11"/>
          <w:kern w:val="0"/>
          <w:sz w:val="24"/>
          <w:szCs w:val="24"/>
          <w:lang w:eastAsia="zh-CN"/>
        </w:rPr>
        <w:t>【政府采购合同专用条款】</w:t>
      </w:r>
      <w:r>
        <w:rPr>
          <w:rFonts w:hint="default" w:ascii="Times New Roman" w:hAnsi="Times New Roman" w:eastAsia="仿宋_GB2312" w:cs="Times New Roman"/>
          <w:snapToGrid w:val="0"/>
          <w:color w:val="auto"/>
          <w:spacing w:val="11"/>
          <w:kern w:val="0"/>
          <w:sz w:val="24"/>
          <w:szCs w:val="24"/>
          <w:lang w:eastAsia="en-US"/>
        </w:rPr>
        <w:t>中进一步约定选择与争议有实际联系的地点的人民法院管辖，但管辖法院的约定不得违反级别管辖和专属管辖的规定。因实现合同争议债权产生的鉴定费、律师费、保全担保费等费用由违约方/败诉方承担。</w:t>
      </w:r>
    </w:p>
    <w:p w14:paraId="74E2DA0F">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19.3</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如甲乙双方有争议的事项不影响合同其他部分的履行，在争议解决期间</w:t>
      </w:r>
      <w:r>
        <w:rPr>
          <w:rFonts w:hint="default" w:ascii="Times New Roman" w:hAnsi="Times New Roman" w:eastAsia="仿宋_GB2312" w:cs="Times New Roman"/>
          <w:snapToGrid w:val="0"/>
          <w:color w:val="auto"/>
          <w:spacing w:val="11"/>
          <w:kern w:val="0"/>
          <w:sz w:val="24"/>
          <w:szCs w:val="24"/>
          <w:lang w:eastAsia="zh-CN"/>
        </w:rPr>
        <w:t>，</w:t>
      </w:r>
      <w:r>
        <w:rPr>
          <w:rFonts w:hint="default" w:ascii="Times New Roman" w:hAnsi="Times New Roman" w:eastAsia="仿宋_GB2312" w:cs="Times New Roman"/>
          <w:snapToGrid w:val="0"/>
          <w:color w:val="auto"/>
          <w:spacing w:val="11"/>
          <w:kern w:val="0"/>
          <w:sz w:val="24"/>
          <w:szCs w:val="24"/>
          <w:lang w:eastAsia="en-US"/>
        </w:rPr>
        <w:t>合同其他部分应当继续履行。</w:t>
      </w:r>
    </w:p>
    <w:p w14:paraId="4469D25F">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6" w:firstLineChars="200"/>
        <w:jc w:val="both"/>
        <w:textAlignment w:val="baseline"/>
        <w:rPr>
          <w:rFonts w:hint="default" w:ascii="Times New Roman" w:hAnsi="Times New Roman" w:eastAsia="楷体_GB2312" w:cs="Times New Roman"/>
          <w:b/>
          <w:bCs/>
          <w:snapToGrid w:val="0"/>
          <w:color w:val="auto"/>
          <w:spacing w:val="11"/>
          <w:kern w:val="0"/>
          <w:sz w:val="24"/>
          <w:szCs w:val="24"/>
          <w:lang w:eastAsia="en-US"/>
        </w:rPr>
      </w:pPr>
      <w:r>
        <w:rPr>
          <w:rFonts w:hint="default" w:ascii="Times New Roman" w:hAnsi="Times New Roman" w:eastAsia="楷体_GB2312" w:cs="Times New Roman"/>
          <w:b/>
          <w:bCs/>
          <w:snapToGrid w:val="0"/>
          <w:color w:val="auto"/>
          <w:spacing w:val="11"/>
          <w:kern w:val="0"/>
          <w:sz w:val="24"/>
          <w:szCs w:val="24"/>
          <w:lang w:eastAsia="en-US"/>
        </w:rPr>
        <w:t>20.政府采购政策</w:t>
      </w:r>
    </w:p>
    <w:p w14:paraId="74706AC4">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20.1</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本合同应当按照规定执行政府采购政策。</w:t>
      </w:r>
    </w:p>
    <w:p w14:paraId="2285AD36">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20.2</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本合同依法执行政府采购政策的方式和内容，属于合同履约验收的范围</w:t>
      </w:r>
      <w:r>
        <w:rPr>
          <w:rFonts w:hint="default" w:ascii="Times New Roman" w:hAnsi="Times New Roman" w:eastAsia="仿宋_GB2312" w:cs="Times New Roman"/>
          <w:snapToGrid w:val="0"/>
          <w:color w:val="auto"/>
          <w:spacing w:val="11"/>
          <w:kern w:val="0"/>
          <w:sz w:val="24"/>
          <w:szCs w:val="24"/>
          <w:lang w:eastAsia="zh-CN"/>
        </w:rPr>
        <w:t>。</w:t>
      </w:r>
      <w:r>
        <w:rPr>
          <w:rFonts w:hint="default" w:ascii="Times New Roman" w:hAnsi="Times New Roman" w:eastAsia="仿宋_GB2312" w:cs="Times New Roman"/>
          <w:snapToGrid w:val="0"/>
          <w:color w:val="auto"/>
          <w:spacing w:val="11"/>
          <w:kern w:val="0"/>
          <w:sz w:val="24"/>
          <w:szCs w:val="24"/>
          <w:lang w:eastAsia="en-US"/>
        </w:rPr>
        <w:t>甲乙双方未按规定要求执行政府采购政策造成损失的，有过错的一方应当承担赔偿责任，双方都有过错的，各自承担相应的责任。</w:t>
      </w:r>
    </w:p>
    <w:p w14:paraId="5F3C722A">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20.3</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744CE15E">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6" w:firstLineChars="200"/>
        <w:jc w:val="both"/>
        <w:textAlignment w:val="baseline"/>
        <w:rPr>
          <w:rFonts w:hint="default" w:ascii="Times New Roman" w:hAnsi="Times New Roman" w:eastAsia="楷体_GB2312" w:cs="Times New Roman"/>
          <w:b/>
          <w:bCs/>
          <w:snapToGrid w:val="0"/>
          <w:color w:val="auto"/>
          <w:spacing w:val="11"/>
          <w:kern w:val="0"/>
          <w:sz w:val="24"/>
          <w:szCs w:val="24"/>
          <w:lang w:eastAsia="en-US"/>
        </w:rPr>
      </w:pPr>
      <w:r>
        <w:rPr>
          <w:rFonts w:hint="default" w:ascii="Times New Roman" w:hAnsi="Times New Roman" w:eastAsia="楷体_GB2312" w:cs="Times New Roman"/>
          <w:b/>
          <w:bCs/>
          <w:snapToGrid w:val="0"/>
          <w:color w:val="auto"/>
          <w:spacing w:val="11"/>
          <w:kern w:val="0"/>
          <w:sz w:val="24"/>
          <w:szCs w:val="24"/>
          <w:lang w:eastAsia="en-US"/>
        </w:rPr>
        <w:t>21.法律适用</w:t>
      </w:r>
    </w:p>
    <w:p w14:paraId="70831860">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21.1本合同的订立、生效、解释、履行及与本合同有关的争议解决，均适用法律、行政法规。</w:t>
      </w:r>
    </w:p>
    <w:p w14:paraId="6AD8BA7A">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21.2本合同条款与法律、行政法规的强制性规定不一致的，双方当事人应按照法律、行政法规的强制性规定修改本合同的相关条款。</w:t>
      </w:r>
    </w:p>
    <w:p w14:paraId="1E6B214A">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6" w:firstLineChars="200"/>
        <w:jc w:val="both"/>
        <w:textAlignment w:val="baseline"/>
        <w:rPr>
          <w:rFonts w:hint="default" w:ascii="Times New Roman" w:hAnsi="Times New Roman" w:eastAsia="楷体_GB2312" w:cs="Times New Roman"/>
          <w:b/>
          <w:bCs/>
          <w:snapToGrid w:val="0"/>
          <w:color w:val="auto"/>
          <w:spacing w:val="11"/>
          <w:kern w:val="0"/>
          <w:sz w:val="24"/>
          <w:szCs w:val="24"/>
          <w:lang w:eastAsia="en-US"/>
        </w:rPr>
      </w:pPr>
      <w:r>
        <w:rPr>
          <w:rFonts w:hint="default" w:ascii="Times New Roman" w:hAnsi="Times New Roman" w:eastAsia="楷体_GB2312" w:cs="Times New Roman"/>
          <w:b/>
          <w:bCs/>
          <w:snapToGrid w:val="0"/>
          <w:color w:val="auto"/>
          <w:spacing w:val="11"/>
          <w:kern w:val="0"/>
          <w:sz w:val="24"/>
          <w:szCs w:val="24"/>
          <w:lang w:eastAsia="en-US"/>
        </w:rPr>
        <w:t>22.通知</w:t>
      </w:r>
    </w:p>
    <w:p w14:paraId="45C1B98C">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22.1</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本合同任何一方向对方发出的通知、信件、数据电文等，应当发送至本合同第一部分《政府采购合同协议书》所约定的通讯地址、联系人、联系电话或电子邮箱。</w:t>
      </w:r>
    </w:p>
    <w:p w14:paraId="0DE12503">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22.2</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一方当事人变更名称、住所、联系人、联系电话或电子邮箱等信息的</w:t>
      </w:r>
      <w:r>
        <w:rPr>
          <w:rFonts w:hint="default" w:ascii="Times New Roman" w:hAnsi="Times New Roman" w:eastAsia="仿宋_GB2312" w:cs="Times New Roman"/>
          <w:snapToGrid w:val="0"/>
          <w:color w:val="auto"/>
          <w:spacing w:val="11"/>
          <w:kern w:val="0"/>
          <w:sz w:val="24"/>
          <w:szCs w:val="24"/>
          <w:lang w:eastAsia="zh-CN"/>
        </w:rPr>
        <w:t>，</w:t>
      </w:r>
      <w:r>
        <w:rPr>
          <w:rFonts w:hint="default" w:ascii="Times New Roman" w:hAnsi="Times New Roman" w:eastAsia="仿宋_GB2312" w:cs="Times New Roman"/>
          <w:snapToGrid w:val="0"/>
          <w:color w:val="auto"/>
          <w:spacing w:val="11"/>
          <w:kern w:val="0"/>
          <w:sz w:val="24"/>
          <w:szCs w:val="24"/>
          <w:lang w:eastAsia="en-US"/>
        </w:rPr>
        <w:t>应当在变更后3日内及时书面通知对方，对方实际收到变更通知前的送达仍为有效送达。</w:t>
      </w:r>
    </w:p>
    <w:p w14:paraId="1444BA10">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22.3</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本合同一方给另一方的通知均应采用书面形式，传真或快递送到本合同中规定的对方的地址和办理签收手续。</w:t>
      </w:r>
    </w:p>
    <w:p w14:paraId="5882E75B">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22.4</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通知以送达之日或通知书中规定的生效之日起生效，两者中以较迟之日为准。</w:t>
      </w:r>
    </w:p>
    <w:p w14:paraId="67E24527">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6" w:firstLineChars="200"/>
        <w:jc w:val="both"/>
        <w:textAlignment w:val="baseline"/>
        <w:rPr>
          <w:rFonts w:hint="default" w:ascii="Times New Roman" w:hAnsi="Times New Roman" w:eastAsia="楷体_GB2312" w:cs="Times New Roman"/>
          <w:b/>
          <w:bCs/>
          <w:snapToGrid w:val="0"/>
          <w:color w:val="auto"/>
          <w:spacing w:val="11"/>
          <w:kern w:val="0"/>
          <w:sz w:val="24"/>
          <w:szCs w:val="24"/>
          <w:lang w:eastAsia="en-US"/>
        </w:rPr>
      </w:pPr>
      <w:r>
        <w:rPr>
          <w:rFonts w:hint="default" w:ascii="Times New Roman" w:hAnsi="Times New Roman" w:eastAsia="楷体_GB2312" w:cs="Times New Roman"/>
          <w:b/>
          <w:bCs/>
          <w:snapToGrid w:val="0"/>
          <w:color w:val="auto"/>
          <w:spacing w:val="11"/>
          <w:kern w:val="0"/>
          <w:sz w:val="24"/>
          <w:szCs w:val="24"/>
          <w:lang w:eastAsia="en-US"/>
        </w:rPr>
        <w:t>23.合同未尽事项</w:t>
      </w:r>
    </w:p>
    <w:p w14:paraId="3606422A">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23.1</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合同未尽事项见</w:t>
      </w:r>
      <w:r>
        <w:rPr>
          <w:rFonts w:hint="default" w:ascii="Times New Roman" w:hAnsi="Times New Roman" w:eastAsia="仿宋_GB2312" w:cs="Times New Roman"/>
          <w:b/>
          <w:snapToGrid w:val="0"/>
          <w:color w:val="auto"/>
          <w:spacing w:val="11"/>
          <w:kern w:val="0"/>
          <w:sz w:val="24"/>
          <w:szCs w:val="24"/>
          <w:lang w:eastAsia="zh-CN"/>
        </w:rPr>
        <w:t>【政府采购合同专用条款】</w:t>
      </w:r>
      <w:r>
        <w:rPr>
          <w:rFonts w:hint="default" w:ascii="Times New Roman" w:hAnsi="Times New Roman" w:eastAsia="仿宋_GB2312" w:cs="Times New Roman"/>
          <w:snapToGrid w:val="0"/>
          <w:color w:val="auto"/>
          <w:spacing w:val="11"/>
          <w:kern w:val="0"/>
          <w:sz w:val="24"/>
          <w:szCs w:val="24"/>
          <w:lang w:eastAsia="en-US"/>
        </w:rPr>
        <w:t>。</w:t>
      </w:r>
    </w:p>
    <w:p w14:paraId="2258F8A6">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23.2</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合同附件</w:t>
      </w:r>
      <w:r>
        <w:rPr>
          <w:rFonts w:hint="default" w:ascii="Times New Roman" w:hAnsi="Times New Roman" w:eastAsia="仿宋_GB2312" w:cs="Times New Roman"/>
          <w:snapToGrid w:val="0"/>
          <w:color w:val="auto"/>
          <w:spacing w:val="11"/>
          <w:kern w:val="0"/>
          <w:sz w:val="24"/>
          <w:szCs w:val="24"/>
          <w:lang w:eastAsia="zh-CN"/>
        </w:rPr>
        <w:t>、补充协议</w:t>
      </w:r>
      <w:r>
        <w:rPr>
          <w:rFonts w:hint="default" w:ascii="Times New Roman" w:hAnsi="Times New Roman" w:eastAsia="仿宋_GB2312" w:cs="Times New Roman"/>
          <w:snapToGrid w:val="0"/>
          <w:color w:val="auto"/>
          <w:spacing w:val="11"/>
          <w:kern w:val="0"/>
          <w:sz w:val="24"/>
          <w:szCs w:val="24"/>
          <w:lang w:eastAsia="en-US"/>
        </w:rPr>
        <w:t>与合同正文具有同等的法律效力。</w:t>
      </w:r>
    </w:p>
    <w:p w14:paraId="69CF612B">
      <w:pPr>
        <w:spacing w:before="91" w:line="222" w:lineRule="auto"/>
        <w:jc w:val="center"/>
        <w:outlineLvl w:val="1"/>
        <w:rPr>
          <w:rFonts w:hint="default" w:ascii="Times New Roman" w:hAnsi="Times New Roman" w:eastAsia="方正小标宋简体" w:cs="Times New Roman"/>
          <w:color w:val="auto"/>
          <w:spacing w:val="-1"/>
          <w:sz w:val="28"/>
          <w:szCs w:val="28"/>
        </w:rPr>
        <w:sectPr>
          <w:pgSz w:w="11905" w:h="16838" w:orient="landscape"/>
          <w:pgMar w:top="1417" w:right="1440" w:bottom="1417" w:left="1440" w:header="851" w:footer="992" w:gutter="0"/>
          <w:pgNumType w:fmt="numberInDash"/>
          <w:cols w:space="0" w:num="1"/>
          <w:docGrid w:type="lines" w:linePitch="312" w:charSpace="0"/>
        </w:sectPr>
      </w:pPr>
    </w:p>
    <w:p w14:paraId="0E024EDB">
      <w:pPr>
        <w:widowControl/>
        <w:kinsoku w:val="0"/>
        <w:autoSpaceDE w:val="0"/>
        <w:autoSpaceDN w:val="0"/>
        <w:adjustRightInd w:val="0"/>
        <w:snapToGrid w:val="0"/>
        <w:spacing w:before="91" w:line="222" w:lineRule="auto"/>
        <w:jc w:val="center"/>
        <w:textAlignment w:val="baseline"/>
        <w:outlineLvl w:val="1"/>
        <w:rPr>
          <w:rFonts w:hint="default" w:ascii="Times New Roman" w:hAnsi="Times New Roman" w:eastAsia="方正小标宋简体" w:cs="Times New Roman"/>
          <w:snapToGrid w:val="0"/>
          <w:color w:val="auto"/>
          <w:kern w:val="0"/>
          <w:sz w:val="28"/>
          <w:szCs w:val="28"/>
          <w:lang w:eastAsia="en-US"/>
        </w:rPr>
      </w:pPr>
      <w:r>
        <w:rPr>
          <w:rFonts w:hint="default" w:ascii="Times New Roman" w:hAnsi="Times New Roman" w:eastAsia="方正小标宋简体" w:cs="Times New Roman"/>
          <w:snapToGrid w:val="0"/>
          <w:color w:val="auto"/>
          <w:spacing w:val="-1"/>
          <w:kern w:val="0"/>
          <w:sz w:val="28"/>
          <w:szCs w:val="28"/>
          <w:lang w:eastAsia="en-US"/>
        </w:rPr>
        <w:t>第三节政府采购合同专用条款</w:t>
      </w:r>
    </w:p>
    <w:p w14:paraId="10791B97">
      <w:pPr>
        <w:widowControl/>
        <w:kinsoku w:val="0"/>
        <w:autoSpaceDE w:val="0"/>
        <w:autoSpaceDN w:val="0"/>
        <w:adjustRightInd w:val="0"/>
        <w:snapToGrid w:val="0"/>
        <w:spacing w:before="33" w:line="240" w:lineRule="auto"/>
        <w:jc w:val="left"/>
        <w:textAlignment w:val="baseline"/>
        <w:rPr>
          <w:rFonts w:hint="default" w:ascii="Times New Roman" w:hAnsi="Times New Roman" w:eastAsia="Arial" w:cs="Times New Roman"/>
          <w:snapToGrid w:val="0"/>
          <w:color w:val="auto"/>
          <w:kern w:val="0"/>
          <w:szCs w:val="21"/>
          <w:lang w:eastAsia="en-US"/>
        </w:rPr>
      </w:pPr>
    </w:p>
    <w:p w14:paraId="2C7F9027">
      <w:pPr>
        <w:widowControl/>
        <w:kinsoku w:val="0"/>
        <w:autoSpaceDE w:val="0"/>
        <w:autoSpaceDN w:val="0"/>
        <w:adjustRightInd w:val="0"/>
        <w:snapToGrid w:val="0"/>
        <w:spacing w:before="33" w:line="240" w:lineRule="auto"/>
        <w:jc w:val="left"/>
        <w:textAlignment w:val="baseline"/>
        <w:rPr>
          <w:rFonts w:hint="default" w:ascii="Times New Roman" w:hAnsi="Times New Roman" w:eastAsia="Arial" w:cs="Times New Roman"/>
          <w:snapToGrid w:val="0"/>
          <w:color w:val="auto"/>
          <w:kern w:val="0"/>
          <w:szCs w:val="21"/>
          <w:lang w:eastAsia="en-US"/>
        </w:rPr>
      </w:pPr>
    </w:p>
    <w:tbl>
      <w:tblPr>
        <w:tblStyle w:val="33"/>
        <w:tblW w:w="89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20"/>
        <w:gridCol w:w="1692"/>
        <w:gridCol w:w="5674"/>
      </w:tblGrid>
      <w:tr w14:paraId="0D5F21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8" w:hRule="atLeast"/>
        </w:trPr>
        <w:tc>
          <w:tcPr>
            <w:tcW w:w="1620" w:type="dxa"/>
            <w:tcBorders>
              <w:top w:val="single" w:color="000000" w:sz="2" w:space="0"/>
              <w:left w:val="single" w:color="000000" w:sz="2" w:space="0"/>
            </w:tcBorders>
            <w:vAlign w:val="top"/>
          </w:tcPr>
          <w:p w14:paraId="4B4C3A00">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第二节</w:t>
            </w:r>
          </w:p>
          <w:p w14:paraId="6CF1A797">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第1.2（6）项</w:t>
            </w:r>
          </w:p>
        </w:tc>
        <w:tc>
          <w:tcPr>
            <w:tcW w:w="1692" w:type="dxa"/>
            <w:tcBorders>
              <w:top w:val="single" w:color="000000" w:sz="2" w:space="0"/>
            </w:tcBorders>
            <w:vAlign w:val="top"/>
          </w:tcPr>
          <w:p w14:paraId="022B2C58">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联合体具体要求</w:t>
            </w:r>
          </w:p>
        </w:tc>
        <w:tc>
          <w:tcPr>
            <w:tcW w:w="5674" w:type="dxa"/>
            <w:tcBorders>
              <w:top w:val="single" w:color="000000" w:sz="2" w:space="0"/>
              <w:right w:val="single" w:color="000000" w:sz="2" w:space="0"/>
            </w:tcBorders>
            <w:vAlign w:val="top"/>
          </w:tcPr>
          <w:p w14:paraId="502C36E0">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p>
        </w:tc>
      </w:tr>
      <w:tr w14:paraId="1DD9E2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1620" w:type="dxa"/>
            <w:tcBorders>
              <w:left w:val="single" w:color="000000" w:sz="2" w:space="0"/>
            </w:tcBorders>
            <w:vAlign w:val="top"/>
          </w:tcPr>
          <w:p w14:paraId="4DA5BE24">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第二节</w:t>
            </w:r>
          </w:p>
          <w:p w14:paraId="56993DE2">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第1.2（7）项</w:t>
            </w:r>
          </w:p>
        </w:tc>
        <w:tc>
          <w:tcPr>
            <w:tcW w:w="1692" w:type="dxa"/>
            <w:vAlign w:val="top"/>
          </w:tcPr>
          <w:p w14:paraId="01CA3323">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其他术语解释</w:t>
            </w:r>
          </w:p>
        </w:tc>
        <w:tc>
          <w:tcPr>
            <w:tcW w:w="5674" w:type="dxa"/>
            <w:tcBorders>
              <w:right w:val="single" w:color="000000" w:sz="2" w:space="0"/>
            </w:tcBorders>
            <w:vAlign w:val="top"/>
          </w:tcPr>
          <w:p w14:paraId="1C0B924C">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p>
        </w:tc>
      </w:tr>
      <w:tr w14:paraId="27311F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1" w:hRule="atLeast"/>
        </w:trPr>
        <w:tc>
          <w:tcPr>
            <w:tcW w:w="1620" w:type="dxa"/>
            <w:tcBorders>
              <w:left w:val="single" w:color="000000" w:sz="2" w:space="0"/>
            </w:tcBorders>
            <w:vAlign w:val="top"/>
          </w:tcPr>
          <w:p w14:paraId="30C3BB02">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第二节第4.4款</w:t>
            </w:r>
          </w:p>
        </w:tc>
        <w:tc>
          <w:tcPr>
            <w:tcW w:w="1692" w:type="dxa"/>
            <w:vAlign w:val="top"/>
          </w:tcPr>
          <w:p w14:paraId="28F4FE9D">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履约验收中甲方提出异议或作出说明的期限</w:t>
            </w:r>
          </w:p>
        </w:tc>
        <w:tc>
          <w:tcPr>
            <w:tcW w:w="5674" w:type="dxa"/>
            <w:tcBorders>
              <w:right w:val="single" w:color="000000" w:sz="2" w:space="0"/>
            </w:tcBorders>
            <w:vAlign w:val="top"/>
          </w:tcPr>
          <w:p w14:paraId="641C2678">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p>
        </w:tc>
      </w:tr>
      <w:tr w14:paraId="63E554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1620" w:type="dxa"/>
            <w:tcBorders>
              <w:left w:val="single" w:color="000000" w:sz="2" w:space="0"/>
            </w:tcBorders>
            <w:vAlign w:val="top"/>
          </w:tcPr>
          <w:p w14:paraId="4BBE9583">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第二节第4.6款</w:t>
            </w:r>
          </w:p>
        </w:tc>
        <w:tc>
          <w:tcPr>
            <w:tcW w:w="1692" w:type="dxa"/>
            <w:vAlign w:val="top"/>
          </w:tcPr>
          <w:p w14:paraId="1A36283F">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约定甲方承担的其他义务和责任</w:t>
            </w:r>
          </w:p>
        </w:tc>
        <w:tc>
          <w:tcPr>
            <w:tcW w:w="5674" w:type="dxa"/>
            <w:tcBorders>
              <w:right w:val="single" w:color="000000" w:sz="2" w:space="0"/>
            </w:tcBorders>
            <w:vAlign w:val="top"/>
          </w:tcPr>
          <w:p w14:paraId="02B30DDA">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p>
        </w:tc>
      </w:tr>
      <w:tr w14:paraId="3BA52D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1" w:hRule="atLeast"/>
        </w:trPr>
        <w:tc>
          <w:tcPr>
            <w:tcW w:w="1620" w:type="dxa"/>
            <w:tcBorders>
              <w:left w:val="single" w:color="000000" w:sz="2" w:space="0"/>
            </w:tcBorders>
            <w:vAlign w:val="top"/>
          </w:tcPr>
          <w:p w14:paraId="34A48917">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第二节第5.4款</w:t>
            </w:r>
          </w:p>
        </w:tc>
        <w:tc>
          <w:tcPr>
            <w:tcW w:w="1692" w:type="dxa"/>
            <w:vAlign w:val="top"/>
          </w:tcPr>
          <w:p w14:paraId="2A9D021E">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约定乙方承担的其他义务和责任</w:t>
            </w:r>
          </w:p>
        </w:tc>
        <w:tc>
          <w:tcPr>
            <w:tcW w:w="5674" w:type="dxa"/>
            <w:tcBorders>
              <w:right w:val="single" w:color="000000" w:sz="2" w:space="0"/>
            </w:tcBorders>
            <w:vAlign w:val="top"/>
          </w:tcPr>
          <w:p w14:paraId="7AD3CC8B">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p>
        </w:tc>
      </w:tr>
      <w:tr w14:paraId="47564E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620" w:type="dxa"/>
            <w:tcBorders>
              <w:left w:val="single" w:color="000000" w:sz="2" w:space="0"/>
            </w:tcBorders>
            <w:vAlign w:val="top"/>
          </w:tcPr>
          <w:p w14:paraId="1809A764">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第二节第6.1款</w:t>
            </w:r>
          </w:p>
        </w:tc>
        <w:tc>
          <w:tcPr>
            <w:tcW w:w="1692" w:type="dxa"/>
            <w:vAlign w:val="top"/>
          </w:tcPr>
          <w:p w14:paraId="4EFE2678">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履行合同义务的顺序</w:t>
            </w:r>
          </w:p>
        </w:tc>
        <w:tc>
          <w:tcPr>
            <w:tcW w:w="5674" w:type="dxa"/>
            <w:tcBorders>
              <w:right w:val="single" w:color="000000" w:sz="2" w:space="0"/>
            </w:tcBorders>
            <w:vAlign w:val="top"/>
          </w:tcPr>
          <w:p w14:paraId="16829272">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p>
        </w:tc>
      </w:tr>
      <w:tr w14:paraId="423FE7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trPr>
        <w:tc>
          <w:tcPr>
            <w:tcW w:w="1620" w:type="dxa"/>
            <w:vMerge w:val="restart"/>
            <w:tcBorders>
              <w:left w:val="single" w:color="000000" w:sz="2" w:space="0"/>
              <w:bottom w:val="nil"/>
            </w:tcBorders>
            <w:vAlign w:val="top"/>
          </w:tcPr>
          <w:p w14:paraId="7ED5185E">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p>
          <w:p w14:paraId="71241015">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第二节第7.1款</w:t>
            </w:r>
          </w:p>
        </w:tc>
        <w:tc>
          <w:tcPr>
            <w:tcW w:w="1692" w:type="dxa"/>
            <w:vAlign w:val="top"/>
          </w:tcPr>
          <w:p w14:paraId="3CD8D3FE">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包装特殊要求</w:t>
            </w:r>
          </w:p>
        </w:tc>
        <w:tc>
          <w:tcPr>
            <w:tcW w:w="5674" w:type="dxa"/>
            <w:tcBorders>
              <w:right w:val="single" w:color="000000" w:sz="2" w:space="0"/>
            </w:tcBorders>
            <w:vAlign w:val="top"/>
          </w:tcPr>
          <w:p w14:paraId="7C995016">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p>
        </w:tc>
      </w:tr>
      <w:tr w14:paraId="10E633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trPr>
        <w:tc>
          <w:tcPr>
            <w:tcW w:w="1620" w:type="dxa"/>
            <w:vMerge w:val="continue"/>
            <w:tcBorders>
              <w:top w:val="nil"/>
              <w:left w:val="single" w:color="000000" w:sz="2" w:space="0"/>
            </w:tcBorders>
            <w:vAlign w:val="top"/>
          </w:tcPr>
          <w:p w14:paraId="354C5193">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p>
        </w:tc>
        <w:tc>
          <w:tcPr>
            <w:tcW w:w="1692" w:type="dxa"/>
            <w:vAlign w:val="top"/>
          </w:tcPr>
          <w:p w14:paraId="6D802F95">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指定现场</w:t>
            </w:r>
          </w:p>
        </w:tc>
        <w:tc>
          <w:tcPr>
            <w:tcW w:w="5674" w:type="dxa"/>
            <w:tcBorders>
              <w:right w:val="single" w:color="000000" w:sz="2" w:space="0"/>
            </w:tcBorders>
            <w:vAlign w:val="top"/>
          </w:tcPr>
          <w:p w14:paraId="3BD70825">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highlight w:val="none"/>
                <w:lang w:val="en-US" w:eastAsia="zh-CN"/>
              </w:rPr>
            </w:pPr>
            <w:r>
              <w:rPr>
                <w:rFonts w:hint="default" w:ascii="Times New Roman" w:hAnsi="Times New Roman" w:eastAsia="仿宋_GB2312" w:cs="Times New Roman"/>
                <w:snapToGrid w:val="0"/>
                <w:color w:val="auto"/>
                <w:spacing w:val="11"/>
                <w:kern w:val="0"/>
                <w:sz w:val="24"/>
                <w:szCs w:val="24"/>
                <w:highlight w:val="none"/>
                <w:lang w:val="en-US" w:eastAsia="zh-CN"/>
              </w:rPr>
              <w:t>货物运送到阿克苏地区矿山应急救援支队（阿克苏地区拜城县）地点交接</w:t>
            </w:r>
          </w:p>
        </w:tc>
      </w:tr>
      <w:tr w14:paraId="19E330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6" w:hRule="atLeast"/>
        </w:trPr>
        <w:tc>
          <w:tcPr>
            <w:tcW w:w="1620" w:type="dxa"/>
            <w:tcBorders>
              <w:left w:val="single" w:color="000000" w:sz="2" w:space="0"/>
            </w:tcBorders>
            <w:vAlign w:val="top"/>
          </w:tcPr>
          <w:p w14:paraId="6042BF20">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第二节第7.2款</w:t>
            </w:r>
          </w:p>
        </w:tc>
        <w:tc>
          <w:tcPr>
            <w:tcW w:w="1692" w:type="dxa"/>
            <w:vAlign w:val="top"/>
          </w:tcPr>
          <w:p w14:paraId="6DB3B894">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运输特殊要求</w:t>
            </w:r>
          </w:p>
        </w:tc>
        <w:tc>
          <w:tcPr>
            <w:tcW w:w="5674" w:type="dxa"/>
            <w:tcBorders>
              <w:right w:val="single" w:color="000000" w:sz="2" w:space="0"/>
            </w:tcBorders>
            <w:vAlign w:val="top"/>
          </w:tcPr>
          <w:p w14:paraId="1E0A81C0">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p>
        </w:tc>
      </w:tr>
      <w:tr w14:paraId="2570C9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trPr>
        <w:tc>
          <w:tcPr>
            <w:tcW w:w="1620" w:type="dxa"/>
            <w:tcBorders>
              <w:left w:val="single" w:color="000000" w:sz="2" w:space="0"/>
            </w:tcBorders>
            <w:vAlign w:val="top"/>
          </w:tcPr>
          <w:p w14:paraId="444FED0F">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第二节第7.3款</w:t>
            </w:r>
          </w:p>
        </w:tc>
        <w:tc>
          <w:tcPr>
            <w:tcW w:w="1692" w:type="dxa"/>
            <w:vAlign w:val="top"/>
          </w:tcPr>
          <w:p w14:paraId="08DDD967">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保险要求</w:t>
            </w:r>
          </w:p>
        </w:tc>
        <w:tc>
          <w:tcPr>
            <w:tcW w:w="5674" w:type="dxa"/>
            <w:tcBorders>
              <w:right w:val="single" w:color="000000" w:sz="2" w:space="0"/>
            </w:tcBorders>
            <w:vAlign w:val="top"/>
          </w:tcPr>
          <w:p w14:paraId="5FF2D026">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p>
        </w:tc>
      </w:tr>
      <w:tr w14:paraId="1E85BC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1" w:hRule="atLeast"/>
        </w:trPr>
        <w:tc>
          <w:tcPr>
            <w:tcW w:w="1620" w:type="dxa"/>
            <w:tcBorders>
              <w:left w:val="single" w:color="000000" w:sz="2" w:space="0"/>
            </w:tcBorders>
            <w:vAlign w:val="top"/>
          </w:tcPr>
          <w:p w14:paraId="22213A1B">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第二节</w:t>
            </w:r>
          </w:p>
          <w:p w14:paraId="5D8576E3">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第8.2（1）项</w:t>
            </w:r>
          </w:p>
        </w:tc>
        <w:tc>
          <w:tcPr>
            <w:tcW w:w="1692" w:type="dxa"/>
            <w:vAlign w:val="top"/>
          </w:tcPr>
          <w:p w14:paraId="7F5AE064">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质量保证期</w:t>
            </w:r>
          </w:p>
        </w:tc>
        <w:tc>
          <w:tcPr>
            <w:tcW w:w="5674" w:type="dxa"/>
            <w:tcBorders>
              <w:right w:val="single" w:color="000000" w:sz="2" w:space="0"/>
            </w:tcBorders>
            <w:vAlign w:val="top"/>
          </w:tcPr>
          <w:p w14:paraId="1851027C">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val="en-US" w:eastAsia="zh-CN"/>
              </w:rPr>
              <w:t>按中标人</w:t>
            </w:r>
            <w:r>
              <w:rPr>
                <w:rFonts w:hint="default" w:ascii="Times New Roman" w:hAnsi="Times New Roman" w:eastAsia="仿宋_GB2312" w:cs="Times New Roman"/>
                <w:snapToGrid w:val="0"/>
                <w:color w:val="auto"/>
                <w:spacing w:val="11"/>
                <w:kern w:val="0"/>
                <w:sz w:val="24"/>
                <w:szCs w:val="24"/>
                <w:lang w:eastAsia="en-US"/>
              </w:rPr>
              <w:t>投标（响应）文件</w:t>
            </w:r>
            <w:r>
              <w:rPr>
                <w:rFonts w:hint="default" w:ascii="Times New Roman" w:hAnsi="Times New Roman" w:eastAsia="仿宋_GB2312" w:cs="Times New Roman"/>
                <w:snapToGrid w:val="0"/>
                <w:color w:val="auto"/>
                <w:spacing w:val="11"/>
                <w:kern w:val="0"/>
                <w:sz w:val="24"/>
                <w:szCs w:val="24"/>
                <w:lang w:val="en-US" w:eastAsia="zh-CN"/>
              </w:rPr>
              <w:t>方案执行，</w:t>
            </w:r>
            <w:r>
              <w:rPr>
                <w:rFonts w:hint="default" w:ascii="Times New Roman" w:hAnsi="Times New Roman" w:eastAsia="仿宋_GB2312" w:cs="Times New Roman"/>
                <w:snapToGrid w:val="0"/>
                <w:color w:val="auto"/>
                <w:spacing w:val="11"/>
                <w:kern w:val="0"/>
                <w:sz w:val="24"/>
                <w:szCs w:val="24"/>
                <w:lang w:eastAsia="en-US"/>
              </w:rPr>
              <w:t>所有设备类自验收合格之日</w:t>
            </w:r>
            <w:r>
              <w:rPr>
                <w:rFonts w:hint="default" w:ascii="Times New Roman" w:hAnsi="Times New Roman" w:eastAsia="仿宋_GB2312" w:cs="Times New Roman"/>
                <w:snapToGrid w:val="0"/>
                <w:color w:val="auto"/>
                <w:spacing w:val="11"/>
                <w:kern w:val="0"/>
                <w:sz w:val="24"/>
                <w:szCs w:val="24"/>
                <w:lang w:val="en-US" w:eastAsia="zh-CN"/>
              </w:rPr>
              <w:t xml:space="preserve">    </w:t>
            </w:r>
            <w:r>
              <w:rPr>
                <w:rFonts w:hint="default" w:ascii="Times New Roman" w:hAnsi="Times New Roman" w:eastAsia="仿宋_GB2312" w:cs="Times New Roman"/>
                <w:snapToGrid w:val="0"/>
                <w:color w:val="auto"/>
                <w:spacing w:val="11"/>
                <w:kern w:val="0"/>
                <w:sz w:val="24"/>
                <w:szCs w:val="24"/>
                <w:lang w:eastAsia="en-US"/>
              </w:rPr>
              <w:t>年，质保期内免费维修更换相关配件。</w:t>
            </w:r>
          </w:p>
        </w:tc>
      </w:tr>
      <w:tr w14:paraId="52A21E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1" w:hRule="atLeast"/>
        </w:trPr>
        <w:tc>
          <w:tcPr>
            <w:tcW w:w="1620" w:type="dxa"/>
            <w:tcBorders>
              <w:left w:val="single" w:color="000000" w:sz="2" w:space="0"/>
            </w:tcBorders>
            <w:vAlign w:val="top"/>
          </w:tcPr>
          <w:p w14:paraId="6C281280">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第二节</w:t>
            </w:r>
          </w:p>
          <w:p w14:paraId="1AE341DA">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第8.2（3）项</w:t>
            </w:r>
          </w:p>
        </w:tc>
        <w:tc>
          <w:tcPr>
            <w:tcW w:w="1692" w:type="dxa"/>
            <w:vAlign w:val="top"/>
          </w:tcPr>
          <w:p w14:paraId="618F76E4">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货物质量缺陷响应时间</w:t>
            </w:r>
          </w:p>
        </w:tc>
        <w:tc>
          <w:tcPr>
            <w:tcW w:w="5674" w:type="dxa"/>
            <w:tcBorders>
              <w:right w:val="single" w:color="000000" w:sz="2" w:space="0"/>
            </w:tcBorders>
            <w:vAlign w:val="top"/>
          </w:tcPr>
          <w:p w14:paraId="1DC5FBE1">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val="en-US" w:eastAsia="zh-CN"/>
              </w:rPr>
            </w:pPr>
            <w:r>
              <w:rPr>
                <w:rFonts w:hint="default" w:ascii="Times New Roman" w:hAnsi="Times New Roman" w:eastAsia="仿宋_GB2312" w:cs="Times New Roman"/>
                <w:snapToGrid w:val="0"/>
                <w:color w:val="auto"/>
                <w:spacing w:val="11"/>
                <w:kern w:val="0"/>
                <w:sz w:val="24"/>
                <w:szCs w:val="24"/>
                <w:lang w:val="en-US" w:eastAsia="zh-CN"/>
              </w:rPr>
              <w:t>按中标人</w:t>
            </w:r>
            <w:r>
              <w:rPr>
                <w:rFonts w:hint="default" w:ascii="Times New Roman" w:hAnsi="Times New Roman" w:eastAsia="仿宋_GB2312" w:cs="Times New Roman"/>
                <w:snapToGrid w:val="0"/>
                <w:color w:val="auto"/>
                <w:spacing w:val="11"/>
                <w:kern w:val="0"/>
                <w:sz w:val="24"/>
                <w:szCs w:val="24"/>
                <w:lang w:eastAsia="en-US"/>
              </w:rPr>
              <w:t>投标（响应）文件</w:t>
            </w:r>
            <w:r>
              <w:rPr>
                <w:rFonts w:hint="default" w:ascii="Times New Roman" w:hAnsi="Times New Roman" w:eastAsia="仿宋_GB2312" w:cs="Times New Roman"/>
                <w:snapToGrid w:val="0"/>
                <w:color w:val="auto"/>
                <w:spacing w:val="11"/>
                <w:kern w:val="0"/>
                <w:sz w:val="24"/>
                <w:szCs w:val="24"/>
                <w:lang w:val="en-US" w:eastAsia="zh-CN"/>
              </w:rPr>
              <w:t>方案执行</w:t>
            </w:r>
          </w:p>
        </w:tc>
      </w:tr>
      <w:tr w14:paraId="73FAEB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1" w:hRule="atLeast"/>
        </w:trPr>
        <w:tc>
          <w:tcPr>
            <w:tcW w:w="1620" w:type="dxa"/>
            <w:tcBorders>
              <w:left w:val="single" w:color="000000" w:sz="2" w:space="0"/>
            </w:tcBorders>
            <w:vAlign w:val="top"/>
          </w:tcPr>
          <w:p w14:paraId="1A14E4A9">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第二节第11.1款</w:t>
            </w:r>
          </w:p>
        </w:tc>
        <w:tc>
          <w:tcPr>
            <w:tcW w:w="1692" w:type="dxa"/>
            <w:vAlign w:val="top"/>
          </w:tcPr>
          <w:p w14:paraId="40C874CA">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其他应当保密的信息</w:t>
            </w:r>
          </w:p>
        </w:tc>
        <w:tc>
          <w:tcPr>
            <w:tcW w:w="5674" w:type="dxa"/>
            <w:tcBorders>
              <w:right w:val="single" w:color="000000" w:sz="2" w:space="0"/>
            </w:tcBorders>
            <w:vAlign w:val="top"/>
          </w:tcPr>
          <w:p w14:paraId="78871DCC">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p>
        </w:tc>
      </w:tr>
      <w:tr w14:paraId="762BDF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1620" w:type="dxa"/>
            <w:tcBorders>
              <w:left w:val="single" w:color="000000" w:sz="2" w:space="0"/>
            </w:tcBorders>
            <w:vAlign w:val="top"/>
          </w:tcPr>
          <w:p w14:paraId="0674F6AE">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第二节第12.2款</w:t>
            </w:r>
          </w:p>
        </w:tc>
        <w:tc>
          <w:tcPr>
            <w:tcW w:w="1692" w:type="dxa"/>
            <w:vAlign w:val="top"/>
          </w:tcPr>
          <w:p w14:paraId="00AB4E04">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合同价款支付时间</w:t>
            </w:r>
          </w:p>
        </w:tc>
        <w:tc>
          <w:tcPr>
            <w:tcW w:w="5674" w:type="dxa"/>
            <w:tcBorders>
              <w:right w:val="single" w:color="000000" w:sz="2" w:space="0"/>
            </w:tcBorders>
            <w:vAlign w:val="top"/>
          </w:tcPr>
          <w:p w14:paraId="68316C11">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p>
        </w:tc>
      </w:tr>
      <w:tr w14:paraId="6464B2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1620" w:type="dxa"/>
            <w:tcBorders>
              <w:left w:val="single" w:color="000000" w:sz="2" w:space="0"/>
            </w:tcBorders>
            <w:vAlign w:val="top"/>
          </w:tcPr>
          <w:p w14:paraId="46EC8721">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第二节第13.2款</w:t>
            </w:r>
          </w:p>
        </w:tc>
        <w:tc>
          <w:tcPr>
            <w:tcW w:w="1692" w:type="dxa"/>
            <w:vAlign w:val="top"/>
          </w:tcPr>
          <w:p w14:paraId="710320D7">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履约保证金不予退还的情形</w:t>
            </w:r>
          </w:p>
        </w:tc>
        <w:tc>
          <w:tcPr>
            <w:tcW w:w="5674" w:type="dxa"/>
            <w:tcBorders>
              <w:right w:val="single" w:color="000000" w:sz="2" w:space="0"/>
            </w:tcBorders>
            <w:vAlign w:val="top"/>
          </w:tcPr>
          <w:p w14:paraId="3AB25773">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eastAsia" w:ascii="Times New Roman" w:hAnsi="Times New Roman" w:eastAsia="仿宋_GB2312" w:cs="Times New Roman"/>
                <w:snapToGrid w:val="0"/>
                <w:color w:val="auto"/>
                <w:spacing w:val="11"/>
                <w:kern w:val="0"/>
                <w:sz w:val="24"/>
                <w:szCs w:val="24"/>
                <w:lang w:val="en-US" w:eastAsia="zh-CN"/>
              </w:rPr>
            </w:pPr>
            <w:r>
              <w:rPr>
                <w:rFonts w:hint="default" w:ascii="Times New Roman" w:hAnsi="Times New Roman" w:eastAsia="仿宋_GB2312" w:cs="Times New Roman"/>
                <w:snapToGrid w:val="0"/>
                <w:color w:val="auto"/>
                <w:spacing w:val="11"/>
                <w:kern w:val="0"/>
                <w:sz w:val="24"/>
                <w:szCs w:val="24"/>
                <w:lang w:val="en-US" w:eastAsia="en-US"/>
              </w:rPr>
              <w:t>中标人不履行与招标人订立合同的，履约保证金不予退还</w:t>
            </w:r>
            <w:r>
              <w:rPr>
                <w:rFonts w:hint="eastAsia" w:ascii="Times New Roman" w:hAnsi="Times New Roman" w:eastAsia="仿宋_GB2312" w:cs="Times New Roman"/>
                <w:snapToGrid w:val="0"/>
                <w:color w:val="auto"/>
                <w:spacing w:val="11"/>
                <w:kern w:val="0"/>
                <w:sz w:val="24"/>
                <w:szCs w:val="24"/>
                <w:lang w:val="en-US" w:eastAsia="zh-CN"/>
              </w:rPr>
              <w:t>。</w:t>
            </w:r>
          </w:p>
        </w:tc>
      </w:tr>
      <w:tr w14:paraId="0E43CF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1" w:hRule="atLeast"/>
        </w:trPr>
        <w:tc>
          <w:tcPr>
            <w:tcW w:w="1620" w:type="dxa"/>
            <w:tcBorders>
              <w:left w:val="single" w:color="000000" w:sz="2" w:space="0"/>
            </w:tcBorders>
            <w:vAlign w:val="top"/>
          </w:tcPr>
          <w:p w14:paraId="77C20EF9">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第二节第13.3款</w:t>
            </w:r>
          </w:p>
        </w:tc>
        <w:tc>
          <w:tcPr>
            <w:tcW w:w="1692" w:type="dxa"/>
            <w:vAlign w:val="top"/>
          </w:tcPr>
          <w:p w14:paraId="79E6F86C">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履约保证金退还时间及逾期退还的违约金</w:t>
            </w:r>
          </w:p>
        </w:tc>
        <w:tc>
          <w:tcPr>
            <w:tcW w:w="5674" w:type="dxa"/>
            <w:tcBorders>
              <w:right w:val="single" w:color="000000" w:sz="2" w:space="0"/>
            </w:tcBorders>
            <w:vAlign w:val="top"/>
          </w:tcPr>
          <w:p w14:paraId="17C0783A">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p>
        </w:tc>
      </w:tr>
      <w:tr w14:paraId="1248B7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8" w:hRule="atLeast"/>
        </w:trPr>
        <w:tc>
          <w:tcPr>
            <w:tcW w:w="1620" w:type="dxa"/>
            <w:tcBorders>
              <w:left w:val="single" w:color="000000" w:sz="2" w:space="0"/>
              <w:bottom w:val="single" w:color="000000" w:sz="2" w:space="0"/>
            </w:tcBorders>
            <w:vAlign w:val="top"/>
          </w:tcPr>
          <w:p w14:paraId="0F5708F2">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第二节</w:t>
            </w:r>
          </w:p>
          <w:p w14:paraId="125B9169">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第14.1（3）项</w:t>
            </w:r>
          </w:p>
        </w:tc>
        <w:tc>
          <w:tcPr>
            <w:tcW w:w="1692" w:type="dxa"/>
            <w:tcBorders>
              <w:bottom w:val="single" w:color="000000" w:sz="2" w:space="0"/>
            </w:tcBorders>
            <w:vAlign w:val="top"/>
          </w:tcPr>
          <w:p w14:paraId="584C4C54">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运行监督、维修期限</w:t>
            </w:r>
          </w:p>
        </w:tc>
        <w:tc>
          <w:tcPr>
            <w:tcW w:w="5674" w:type="dxa"/>
            <w:tcBorders>
              <w:bottom w:val="single" w:color="000000" w:sz="2" w:space="0"/>
              <w:right w:val="single" w:color="000000" w:sz="2" w:space="0"/>
            </w:tcBorders>
            <w:vAlign w:val="top"/>
          </w:tcPr>
          <w:p w14:paraId="4991EF8A">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val="en-US" w:eastAsia="zh-CN"/>
              </w:rPr>
              <w:t>按中标人</w:t>
            </w:r>
            <w:r>
              <w:rPr>
                <w:rFonts w:hint="default" w:ascii="Times New Roman" w:hAnsi="Times New Roman" w:eastAsia="仿宋_GB2312" w:cs="Times New Roman"/>
                <w:snapToGrid w:val="0"/>
                <w:color w:val="auto"/>
                <w:spacing w:val="11"/>
                <w:kern w:val="0"/>
                <w:sz w:val="24"/>
                <w:szCs w:val="24"/>
                <w:lang w:val="en-US" w:eastAsia="en-US"/>
              </w:rPr>
              <w:t>投标（响应）文件</w:t>
            </w:r>
            <w:r>
              <w:rPr>
                <w:rFonts w:hint="default" w:ascii="Times New Roman" w:hAnsi="Times New Roman" w:eastAsia="仿宋_GB2312" w:cs="Times New Roman"/>
                <w:snapToGrid w:val="0"/>
                <w:color w:val="auto"/>
                <w:spacing w:val="11"/>
                <w:kern w:val="0"/>
                <w:sz w:val="24"/>
                <w:szCs w:val="24"/>
                <w:lang w:val="en-US" w:eastAsia="zh-CN"/>
              </w:rPr>
              <w:t>方案执行</w:t>
            </w:r>
            <w:r>
              <w:rPr>
                <w:rFonts w:hint="eastAsia" w:ascii="Times New Roman" w:hAnsi="Times New Roman" w:eastAsia="仿宋_GB2312" w:cs="Times New Roman"/>
                <w:snapToGrid w:val="0"/>
                <w:color w:val="auto"/>
                <w:spacing w:val="11"/>
                <w:kern w:val="0"/>
                <w:sz w:val="24"/>
                <w:szCs w:val="24"/>
                <w:lang w:val="en-US" w:eastAsia="zh-CN"/>
              </w:rPr>
              <w:t>。</w:t>
            </w:r>
          </w:p>
        </w:tc>
      </w:tr>
      <w:tr w14:paraId="1C1CD2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6" w:hRule="atLeast"/>
        </w:trPr>
        <w:tc>
          <w:tcPr>
            <w:tcW w:w="1620" w:type="dxa"/>
            <w:tcBorders>
              <w:top w:val="single" w:color="000000" w:sz="2" w:space="0"/>
              <w:left w:val="single" w:color="000000" w:sz="2" w:space="0"/>
            </w:tcBorders>
            <w:vAlign w:val="top"/>
          </w:tcPr>
          <w:p w14:paraId="0C77A4C2">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第二节</w:t>
            </w:r>
          </w:p>
          <w:p w14:paraId="65DE8153">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第14.1（5）项</w:t>
            </w:r>
          </w:p>
        </w:tc>
        <w:tc>
          <w:tcPr>
            <w:tcW w:w="1692" w:type="dxa"/>
            <w:tcBorders>
              <w:top w:val="single" w:color="000000" w:sz="2" w:space="0"/>
            </w:tcBorders>
            <w:vAlign w:val="top"/>
          </w:tcPr>
          <w:p w14:paraId="01D77306">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货物回收的约定</w:t>
            </w:r>
          </w:p>
        </w:tc>
        <w:tc>
          <w:tcPr>
            <w:tcW w:w="5674" w:type="dxa"/>
            <w:tcBorders>
              <w:top w:val="single" w:color="000000" w:sz="2" w:space="0"/>
              <w:right w:val="single" w:color="000000" w:sz="2" w:space="0"/>
            </w:tcBorders>
            <w:vAlign w:val="top"/>
          </w:tcPr>
          <w:p w14:paraId="7F817744">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p>
        </w:tc>
      </w:tr>
      <w:tr w14:paraId="0DCEF4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1620" w:type="dxa"/>
            <w:tcBorders>
              <w:left w:val="single" w:color="000000" w:sz="2" w:space="0"/>
            </w:tcBorders>
            <w:vAlign w:val="top"/>
          </w:tcPr>
          <w:p w14:paraId="1EC69A68">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第二节</w:t>
            </w:r>
          </w:p>
          <w:p w14:paraId="17784681">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第14.1（6）项</w:t>
            </w:r>
          </w:p>
        </w:tc>
        <w:tc>
          <w:tcPr>
            <w:tcW w:w="1692" w:type="dxa"/>
            <w:vAlign w:val="top"/>
          </w:tcPr>
          <w:p w14:paraId="05B1CAEA">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乙方提供的</w:t>
            </w:r>
          </w:p>
          <w:p w14:paraId="0FC7CA6F">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其他服务</w:t>
            </w:r>
          </w:p>
        </w:tc>
        <w:tc>
          <w:tcPr>
            <w:tcW w:w="5674" w:type="dxa"/>
            <w:tcBorders>
              <w:right w:val="single" w:color="000000" w:sz="2" w:space="0"/>
            </w:tcBorders>
            <w:vAlign w:val="top"/>
          </w:tcPr>
          <w:p w14:paraId="2BC3E08B">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p>
        </w:tc>
      </w:tr>
      <w:tr w14:paraId="31944E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1620" w:type="dxa"/>
            <w:tcBorders>
              <w:left w:val="single" w:color="000000" w:sz="2" w:space="0"/>
            </w:tcBorders>
            <w:vAlign w:val="top"/>
          </w:tcPr>
          <w:p w14:paraId="3B3AF508">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第二节第15.1款</w:t>
            </w:r>
          </w:p>
        </w:tc>
        <w:tc>
          <w:tcPr>
            <w:tcW w:w="1692" w:type="dxa"/>
            <w:vAlign w:val="top"/>
          </w:tcPr>
          <w:p w14:paraId="38EB4D6A">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修理、重作、更换相关具体规定</w:t>
            </w:r>
          </w:p>
        </w:tc>
        <w:tc>
          <w:tcPr>
            <w:tcW w:w="5674" w:type="dxa"/>
            <w:tcBorders>
              <w:right w:val="single" w:color="000000" w:sz="2" w:space="0"/>
            </w:tcBorders>
            <w:vAlign w:val="top"/>
          </w:tcPr>
          <w:p w14:paraId="0DD2CA00">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val="en-US" w:eastAsia="zh-CN"/>
              </w:rPr>
              <w:t>按中标人</w:t>
            </w:r>
            <w:r>
              <w:rPr>
                <w:rFonts w:hint="default" w:ascii="Times New Roman" w:hAnsi="Times New Roman" w:eastAsia="仿宋_GB2312" w:cs="Times New Roman"/>
                <w:snapToGrid w:val="0"/>
                <w:color w:val="auto"/>
                <w:spacing w:val="11"/>
                <w:kern w:val="0"/>
                <w:sz w:val="24"/>
                <w:szCs w:val="24"/>
                <w:lang w:val="en-US" w:eastAsia="en-US"/>
              </w:rPr>
              <w:t>投标（响应）文件</w:t>
            </w:r>
            <w:r>
              <w:rPr>
                <w:rFonts w:hint="default" w:ascii="Times New Roman" w:hAnsi="Times New Roman" w:eastAsia="仿宋_GB2312" w:cs="Times New Roman"/>
                <w:snapToGrid w:val="0"/>
                <w:color w:val="auto"/>
                <w:spacing w:val="11"/>
                <w:kern w:val="0"/>
                <w:sz w:val="24"/>
                <w:szCs w:val="24"/>
                <w:lang w:val="en-US" w:eastAsia="zh-CN"/>
              </w:rPr>
              <w:t>方案执行</w:t>
            </w:r>
            <w:r>
              <w:rPr>
                <w:rFonts w:hint="eastAsia" w:ascii="Times New Roman" w:hAnsi="Times New Roman" w:eastAsia="仿宋_GB2312" w:cs="Times New Roman"/>
                <w:snapToGrid w:val="0"/>
                <w:color w:val="auto"/>
                <w:spacing w:val="11"/>
                <w:kern w:val="0"/>
                <w:sz w:val="24"/>
                <w:szCs w:val="24"/>
                <w:lang w:val="en-US" w:eastAsia="zh-CN"/>
              </w:rPr>
              <w:t>。</w:t>
            </w:r>
          </w:p>
        </w:tc>
      </w:tr>
      <w:tr w14:paraId="37088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1620" w:type="dxa"/>
            <w:tcBorders>
              <w:left w:val="single" w:color="000000" w:sz="2" w:space="0"/>
            </w:tcBorders>
            <w:vAlign w:val="top"/>
          </w:tcPr>
          <w:p w14:paraId="5CF2B00D">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第二节</w:t>
            </w:r>
          </w:p>
          <w:p w14:paraId="343BF83C">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第15.2（2）项</w:t>
            </w:r>
          </w:p>
        </w:tc>
        <w:tc>
          <w:tcPr>
            <w:tcW w:w="1692" w:type="dxa"/>
            <w:vAlign w:val="top"/>
          </w:tcPr>
          <w:p w14:paraId="2BE5C479">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迟延交货赔偿费</w:t>
            </w:r>
          </w:p>
        </w:tc>
        <w:tc>
          <w:tcPr>
            <w:tcW w:w="5674" w:type="dxa"/>
            <w:tcBorders>
              <w:right w:val="single" w:color="000000" w:sz="2" w:space="0"/>
            </w:tcBorders>
            <w:vAlign w:val="top"/>
          </w:tcPr>
          <w:p w14:paraId="1321930F">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除不可抗力外，如果</w:t>
            </w:r>
            <w:r>
              <w:rPr>
                <w:rFonts w:hint="default" w:ascii="Times New Roman" w:hAnsi="Times New Roman" w:eastAsia="仿宋_GB2312" w:cs="Times New Roman"/>
                <w:snapToGrid w:val="0"/>
                <w:color w:val="auto"/>
                <w:spacing w:val="11"/>
                <w:kern w:val="0"/>
                <w:sz w:val="24"/>
                <w:szCs w:val="24"/>
                <w:lang w:val="en-US" w:eastAsia="zh-CN"/>
              </w:rPr>
              <w:t>乙</w:t>
            </w:r>
            <w:r>
              <w:rPr>
                <w:rFonts w:hint="default" w:ascii="Times New Roman" w:hAnsi="Times New Roman" w:eastAsia="仿宋_GB2312" w:cs="Times New Roman"/>
                <w:snapToGrid w:val="0"/>
                <w:color w:val="auto"/>
                <w:spacing w:val="11"/>
                <w:kern w:val="0"/>
                <w:sz w:val="24"/>
                <w:szCs w:val="24"/>
                <w:lang w:eastAsia="en-US"/>
              </w:rPr>
              <w:t>方没有按照本合同约定的</w:t>
            </w:r>
            <w:r>
              <w:rPr>
                <w:rFonts w:hint="default" w:ascii="Times New Roman" w:hAnsi="Times New Roman" w:eastAsia="仿宋_GB2312" w:cs="Times New Roman"/>
                <w:snapToGrid w:val="0"/>
                <w:color w:val="auto"/>
                <w:spacing w:val="11"/>
                <w:kern w:val="0"/>
                <w:sz w:val="24"/>
                <w:szCs w:val="24"/>
                <w:lang w:val="en-US" w:eastAsia="zh-CN"/>
              </w:rPr>
              <w:t>时间交货</w:t>
            </w:r>
            <w:r>
              <w:rPr>
                <w:rFonts w:hint="default" w:ascii="Times New Roman" w:hAnsi="Times New Roman" w:eastAsia="仿宋_GB2312" w:cs="Times New Roman"/>
                <w:snapToGrid w:val="0"/>
                <w:color w:val="auto"/>
                <w:spacing w:val="11"/>
                <w:kern w:val="0"/>
                <w:sz w:val="24"/>
                <w:szCs w:val="24"/>
                <w:lang w:eastAsia="en-US"/>
              </w:rPr>
              <w:t>，</w:t>
            </w:r>
            <w:r>
              <w:rPr>
                <w:rFonts w:hint="default" w:ascii="Times New Roman" w:hAnsi="Times New Roman" w:eastAsia="仿宋_GB2312" w:cs="Times New Roman"/>
                <w:snapToGrid w:val="0"/>
                <w:color w:val="auto"/>
                <w:spacing w:val="11"/>
                <w:kern w:val="0"/>
                <w:sz w:val="24"/>
                <w:szCs w:val="24"/>
                <w:lang w:val="en-US" w:eastAsia="zh-CN"/>
              </w:rPr>
              <w:t>甲</w:t>
            </w:r>
            <w:r>
              <w:rPr>
                <w:rFonts w:hint="default" w:ascii="Times New Roman" w:hAnsi="Times New Roman" w:eastAsia="仿宋_GB2312" w:cs="Times New Roman"/>
                <w:snapToGrid w:val="0"/>
                <w:color w:val="auto"/>
                <w:spacing w:val="11"/>
                <w:kern w:val="0"/>
                <w:sz w:val="24"/>
                <w:szCs w:val="24"/>
                <w:lang w:eastAsia="en-US"/>
              </w:rPr>
              <w:t>方可要求</w:t>
            </w:r>
            <w:r>
              <w:rPr>
                <w:rFonts w:hint="default" w:ascii="Times New Roman" w:hAnsi="Times New Roman" w:eastAsia="仿宋_GB2312" w:cs="Times New Roman"/>
                <w:snapToGrid w:val="0"/>
                <w:color w:val="auto"/>
                <w:spacing w:val="11"/>
                <w:kern w:val="0"/>
                <w:sz w:val="24"/>
                <w:szCs w:val="24"/>
                <w:lang w:val="en-US" w:eastAsia="zh-CN"/>
              </w:rPr>
              <w:t>乙方</w:t>
            </w:r>
            <w:r>
              <w:rPr>
                <w:rFonts w:hint="default" w:ascii="Times New Roman" w:hAnsi="Times New Roman" w:eastAsia="仿宋_GB2312" w:cs="Times New Roman"/>
                <w:snapToGrid w:val="0"/>
                <w:color w:val="auto"/>
                <w:spacing w:val="11"/>
                <w:kern w:val="0"/>
                <w:sz w:val="24"/>
                <w:szCs w:val="24"/>
                <w:lang w:eastAsia="en-US"/>
              </w:rPr>
              <w:t>支付违约金，每迟延一日违约金</w:t>
            </w:r>
            <w:r>
              <w:rPr>
                <w:rFonts w:hint="default" w:ascii="Times New Roman" w:hAnsi="Times New Roman" w:eastAsia="仿宋_GB2312" w:cs="Times New Roman"/>
                <w:snapToGrid w:val="0"/>
                <w:color w:val="auto"/>
                <w:spacing w:val="11"/>
                <w:kern w:val="0"/>
                <w:sz w:val="24"/>
                <w:szCs w:val="24"/>
                <w:lang w:val="en-US" w:eastAsia="zh-CN"/>
              </w:rPr>
              <w:t>按中标价</w:t>
            </w:r>
            <w:r>
              <w:rPr>
                <w:rFonts w:hint="default" w:ascii="Times New Roman" w:hAnsi="Times New Roman" w:eastAsia="仿宋_GB2312" w:cs="Times New Roman"/>
                <w:snapToGrid w:val="0"/>
                <w:color w:val="auto"/>
                <w:spacing w:val="11"/>
                <w:kern w:val="0"/>
                <w:sz w:val="24"/>
                <w:szCs w:val="24"/>
                <w:lang w:eastAsia="en-US"/>
              </w:rPr>
              <w:t>的</w:t>
            </w:r>
            <w:r>
              <w:rPr>
                <w:rFonts w:hint="default" w:ascii="Times New Roman" w:hAnsi="Times New Roman" w:eastAsia="仿宋_GB2312" w:cs="Times New Roman"/>
                <w:snapToGrid w:val="0"/>
                <w:color w:val="auto"/>
                <w:spacing w:val="11"/>
                <w:kern w:val="0"/>
                <w:sz w:val="24"/>
                <w:szCs w:val="24"/>
                <w:lang w:val="en-US" w:eastAsia="zh-CN"/>
              </w:rPr>
              <w:t>万分之五</w:t>
            </w:r>
            <w:r>
              <w:rPr>
                <w:rFonts w:hint="default" w:ascii="Times New Roman" w:hAnsi="Times New Roman" w:eastAsia="仿宋_GB2312" w:cs="Times New Roman"/>
                <w:snapToGrid w:val="0"/>
                <w:color w:val="auto"/>
                <w:spacing w:val="11"/>
                <w:kern w:val="0"/>
                <w:sz w:val="24"/>
                <w:szCs w:val="24"/>
                <w:lang w:eastAsia="en-US"/>
              </w:rPr>
              <w:t>计算</w:t>
            </w:r>
            <w:r>
              <w:rPr>
                <w:rFonts w:hint="default" w:ascii="Times New Roman" w:hAnsi="Times New Roman" w:eastAsia="仿宋_GB2312" w:cs="Times New Roman"/>
                <w:snapToGrid w:val="0"/>
                <w:color w:val="auto"/>
                <w:spacing w:val="11"/>
                <w:kern w:val="0"/>
                <w:sz w:val="24"/>
                <w:szCs w:val="24"/>
                <w:lang w:eastAsia="zh-CN"/>
              </w:rPr>
              <w:t>。</w:t>
            </w:r>
          </w:p>
        </w:tc>
      </w:tr>
      <w:tr w14:paraId="60B26C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1620" w:type="dxa"/>
            <w:tcBorders>
              <w:left w:val="single" w:color="000000" w:sz="2" w:space="0"/>
            </w:tcBorders>
            <w:vAlign w:val="top"/>
          </w:tcPr>
          <w:p w14:paraId="10FB25AA">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第二节第15.3款</w:t>
            </w:r>
          </w:p>
        </w:tc>
        <w:tc>
          <w:tcPr>
            <w:tcW w:w="1692" w:type="dxa"/>
            <w:vAlign w:val="top"/>
          </w:tcPr>
          <w:p w14:paraId="0132D14A">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逾期付款利息</w:t>
            </w:r>
          </w:p>
        </w:tc>
        <w:tc>
          <w:tcPr>
            <w:tcW w:w="5674" w:type="dxa"/>
            <w:tcBorders>
              <w:right w:val="single" w:color="000000" w:sz="2" w:space="0"/>
            </w:tcBorders>
            <w:vAlign w:val="top"/>
          </w:tcPr>
          <w:p w14:paraId="37AD2568">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除不可抗力外，如果甲方没有按照本合同约定的付款方式付款，乙方可要求甲方支付违约金，违约金按每迟延付款一日的应付而未付款的</w:t>
            </w:r>
            <w:r>
              <w:rPr>
                <w:rFonts w:hint="default" w:ascii="Times New Roman" w:hAnsi="Times New Roman" w:eastAsia="仿宋_GB2312" w:cs="Times New Roman"/>
                <w:snapToGrid w:val="0"/>
                <w:color w:val="auto"/>
                <w:spacing w:val="11"/>
                <w:kern w:val="0"/>
                <w:sz w:val="24"/>
                <w:szCs w:val="24"/>
                <w:lang w:val="en-US" w:eastAsia="zh-CN"/>
              </w:rPr>
              <w:t>万分之五</w:t>
            </w:r>
            <w:r>
              <w:rPr>
                <w:rFonts w:hint="default" w:ascii="Times New Roman" w:hAnsi="Times New Roman" w:eastAsia="仿宋_GB2312" w:cs="Times New Roman"/>
                <w:snapToGrid w:val="0"/>
                <w:color w:val="auto"/>
                <w:spacing w:val="11"/>
                <w:kern w:val="0"/>
                <w:sz w:val="24"/>
                <w:szCs w:val="24"/>
                <w:lang w:eastAsia="en-US"/>
              </w:rPr>
              <w:t>计算</w:t>
            </w:r>
            <w:r>
              <w:rPr>
                <w:rFonts w:hint="default" w:ascii="Times New Roman" w:hAnsi="Times New Roman" w:eastAsia="仿宋_GB2312" w:cs="Times New Roman"/>
                <w:snapToGrid w:val="0"/>
                <w:color w:val="auto"/>
                <w:spacing w:val="11"/>
                <w:kern w:val="0"/>
                <w:sz w:val="24"/>
                <w:szCs w:val="24"/>
                <w:lang w:eastAsia="zh-CN"/>
              </w:rPr>
              <w:t>。</w:t>
            </w:r>
          </w:p>
        </w:tc>
      </w:tr>
      <w:tr w14:paraId="04F8F0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6" w:hRule="atLeast"/>
        </w:trPr>
        <w:tc>
          <w:tcPr>
            <w:tcW w:w="1620" w:type="dxa"/>
            <w:tcBorders>
              <w:left w:val="single" w:color="000000" w:sz="2" w:space="0"/>
              <w:bottom w:val="single" w:color="000000" w:sz="2" w:space="0"/>
              <w:right w:val="single" w:color="000000" w:sz="2" w:space="0"/>
            </w:tcBorders>
            <w:vAlign w:val="top"/>
          </w:tcPr>
          <w:p w14:paraId="6397961F">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第二节第15.4款</w:t>
            </w:r>
          </w:p>
        </w:tc>
        <w:tc>
          <w:tcPr>
            <w:tcW w:w="1692" w:type="dxa"/>
            <w:tcBorders>
              <w:left w:val="single" w:color="000000" w:sz="2" w:space="0"/>
              <w:bottom w:val="single" w:color="000000" w:sz="2" w:space="0"/>
              <w:right w:val="single" w:color="000000" w:sz="2" w:space="0"/>
            </w:tcBorders>
            <w:vAlign w:val="top"/>
          </w:tcPr>
          <w:p w14:paraId="2C50F7DC">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其他违约责任</w:t>
            </w:r>
          </w:p>
        </w:tc>
        <w:tc>
          <w:tcPr>
            <w:tcW w:w="5674" w:type="dxa"/>
            <w:tcBorders>
              <w:left w:val="single" w:color="000000" w:sz="2" w:space="0"/>
              <w:bottom w:val="single" w:color="000000" w:sz="2" w:space="0"/>
              <w:right w:val="single" w:color="000000" w:sz="2" w:space="0"/>
            </w:tcBorders>
            <w:vAlign w:val="top"/>
          </w:tcPr>
          <w:p w14:paraId="005AC555">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p>
        </w:tc>
      </w:tr>
      <w:tr w14:paraId="061F1C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1" w:hRule="atLeast"/>
        </w:trPr>
        <w:tc>
          <w:tcPr>
            <w:tcW w:w="1620" w:type="dxa"/>
            <w:tcBorders>
              <w:top w:val="single" w:color="000000" w:sz="2" w:space="0"/>
              <w:left w:val="single" w:color="000000" w:sz="2" w:space="0"/>
              <w:right w:val="single" w:color="000000" w:sz="2" w:space="0"/>
            </w:tcBorders>
            <w:vAlign w:val="top"/>
          </w:tcPr>
          <w:p w14:paraId="47D1FF3F">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第二节第19.2款</w:t>
            </w:r>
          </w:p>
        </w:tc>
        <w:tc>
          <w:tcPr>
            <w:tcW w:w="1692" w:type="dxa"/>
            <w:tcBorders>
              <w:top w:val="single" w:color="000000" w:sz="2" w:space="0"/>
              <w:left w:val="single" w:color="000000" w:sz="2" w:space="0"/>
              <w:right w:val="single" w:color="000000" w:sz="2" w:space="0"/>
            </w:tcBorders>
            <w:vAlign w:val="top"/>
          </w:tcPr>
          <w:p w14:paraId="171926C2">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解决争议的方法</w:t>
            </w:r>
          </w:p>
        </w:tc>
        <w:tc>
          <w:tcPr>
            <w:tcW w:w="5674" w:type="dxa"/>
            <w:tcBorders>
              <w:top w:val="single" w:color="000000" w:sz="2" w:space="0"/>
              <w:left w:val="single" w:color="000000" w:sz="2" w:space="0"/>
              <w:right w:val="single" w:color="000000" w:sz="2" w:space="0"/>
            </w:tcBorders>
            <w:vAlign w:val="top"/>
          </w:tcPr>
          <w:p w14:paraId="4E6C9E59">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zh-CN"/>
              </w:rPr>
            </w:pPr>
            <w:r>
              <w:rPr>
                <w:rFonts w:hint="default" w:ascii="Times New Roman" w:hAnsi="Times New Roman" w:eastAsia="仿宋_GB2312" w:cs="Times New Roman"/>
                <w:snapToGrid w:val="0"/>
                <w:color w:val="auto"/>
                <w:spacing w:val="11"/>
                <w:kern w:val="0"/>
                <w:sz w:val="24"/>
                <w:szCs w:val="24"/>
                <w:lang w:eastAsia="en-US"/>
              </w:rPr>
              <w:t>因本合同及合同有关事项发生争议，按下列第</w:t>
            </w:r>
            <w:r>
              <w:rPr>
                <w:rFonts w:hint="default" w:ascii="Times New Roman" w:hAnsi="Times New Roman" w:eastAsia="仿宋_GB2312" w:cs="Times New Roman"/>
                <w:snapToGrid w:val="0"/>
                <w:color w:val="auto"/>
                <w:spacing w:val="11"/>
                <w:kern w:val="0"/>
                <w:sz w:val="24"/>
                <w:szCs w:val="24"/>
                <w:lang w:val="en-US" w:eastAsia="zh-CN"/>
              </w:rPr>
              <w:t>2</w:t>
            </w:r>
            <w:r>
              <w:rPr>
                <w:rFonts w:hint="default" w:ascii="Times New Roman" w:hAnsi="Times New Roman" w:eastAsia="仿宋_GB2312" w:cs="Times New Roman"/>
                <w:snapToGrid w:val="0"/>
                <w:color w:val="auto"/>
                <w:spacing w:val="11"/>
                <w:kern w:val="0"/>
                <w:sz w:val="24"/>
                <w:szCs w:val="24"/>
                <w:lang w:eastAsia="en-US"/>
              </w:rPr>
              <w:t>种方式解决</w:t>
            </w:r>
            <w:r>
              <w:rPr>
                <w:rFonts w:hint="default" w:ascii="Times New Roman" w:hAnsi="Times New Roman" w:eastAsia="仿宋_GB2312" w:cs="Times New Roman"/>
                <w:snapToGrid w:val="0"/>
                <w:color w:val="auto"/>
                <w:spacing w:val="11"/>
                <w:kern w:val="0"/>
                <w:sz w:val="24"/>
                <w:szCs w:val="24"/>
                <w:lang w:eastAsia="zh-CN"/>
              </w:rPr>
              <w:t>：</w:t>
            </w:r>
          </w:p>
          <w:p w14:paraId="56B63934">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val="en-US" w:eastAsia="zh-CN"/>
              </w:rPr>
            </w:pPr>
            <w:r>
              <w:rPr>
                <w:rFonts w:hint="default" w:ascii="Times New Roman" w:hAnsi="Times New Roman" w:eastAsia="仿宋_GB2312" w:cs="Times New Roman"/>
                <w:snapToGrid w:val="0"/>
                <w:color w:val="auto"/>
                <w:spacing w:val="11"/>
                <w:kern w:val="0"/>
                <w:sz w:val="24"/>
                <w:szCs w:val="24"/>
                <w:lang w:eastAsia="en-US"/>
              </w:rPr>
              <w:t>（1）向仲裁委员会申请仲裁，仲裁地点为</w:t>
            </w:r>
            <w:r>
              <w:rPr>
                <w:rFonts w:hint="default" w:ascii="Times New Roman" w:hAnsi="Times New Roman" w:eastAsia="仿宋_GB2312" w:cs="Times New Roman"/>
                <w:snapToGrid w:val="0"/>
                <w:color w:val="auto"/>
                <w:spacing w:val="11"/>
                <w:kern w:val="0"/>
                <w:sz w:val="24"/>
                <w:szCs w:val="24"/>
                <w:lang w:eastAsia="zh-CN"/>
              </w:rPr>
              <w:t>：</w:t>
            </w:r>
            <w:r>
              <w:rPr>
                <w:rFonts w:hint="eastAsia" w:ascii="Times New Roman" w:hAnsi="Times New Roman" w:eastAsia="仿宋_GB2312" w:cs="Times New Roman"/>
                <w:snapToGrid w:val="0"/>
                <w:color w:val="auto"/>
                <w:spacing w:val="11"/>
                <w:kern w:val="0"/>
                <w:sz w:val="24"/>
                <w:szCs w:val="24"/>
                <w:lang w:val="en-US" w:eastAsia="zh-CN"/>
              </w:rPr>
              <w:t xml:space="preserve">        ；</w:t>
            </w:r>
          </w:p>
          <w:p w14:paraId="6676231A">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（2）向</w:t>
            </w:r>
            <w:r>
              <w:rPr>
                <w:rFonts w:hint="default" w:ascii="Times New Roman" w:hAnsi="Times New Roman" w:eastAsia="仿宋_GB2312" w:cs="Times New Roman"/>
                <w:snapToGrid w:val="0"/>
                <w:color w:val="auto"/>
                <w:spacing w:val="11"/>
                <w:kern w:val="0"/>
                <w:sz w:val="24"/>
                <w:szCs w:val="24"/>
                <w:lang w:val="en-US" w:eastAsia="zh-CN"/>
              </w:rPr>
              <w:t>项目所在地</w:t>
            </w:r>
            <w:r>
              <w:rPr>
                <w:rFonts w:hint="default" w:ascii="Times New Roman" w:hAnsi="Times New Roman" w:eastAsia="仿宋_GB2312" w:cs="Times New Roman"/>
                <w:snapToGrid w:val="0"/>
                <w:color w:val="auto"/>
                <w:spacing w:val="11"/>
                <w:kern w:val="0"/>
                <w:sz w:val="24"/>
                <w:szCs w:val="24"/>
                <w:lang w:eastAsia="en-US"/>
              </w:rPr>
              <w:t>人民法院起诉。</w:t>
            </w:r>
            <w:r>
              <w:rPr>
                <w:rFonts w:hint="default" w:ascii="Times New Roman" w:hAnsi="Times New Roman" w:eastAsia="仿宋_GB2312" w:cs="Times New Roman"/>
                <w:snapToGrid w:val="0"/>
                <w:color w:val="auto"/>
                <w:spacing w:val="11"/>
                <w:kern w:val="0"/>
                <w:sz w:val="24"/>
                <w:szCs w:val="24"/>
                <w:lang w:val="en-US" w:eastAsia="zh-CN"/>
              </w:rPr>
              <w:t>因实现合同争议债权产生的鉴定费、律师费、保全担保费等费用由违约方/败诉方承担。</w:t>
            </w:r>
          </w:p>
        </w:tc>
      </w:tr>
      <w:tr w14:paraId="352D8B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6" w:hRule="atLeast"/>
        </w:trPr>
        <w:tc>
          <w:tcPr>
            <w:tcW w:w="1620" w:type="dxa"/>
            <w:tcBorders>
              <w:left w:val="single" w:color="000000" w:sz="2" w:space="0"/>
              <w:bottom w:val="single" w:color="000000" w:sz="2" w:space="0"/>
            </w:tcBorders>
            <w:vAlign w:val="top"/>
          </w:tcPr>
          <w:p w14:paraId="49B2235A">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第二节第23.1款</w:t>
            </w:r>
          </w:p>
        </w:tc>
        <w:tc>
          <w:tcPr>
            <w:tcW w:w="1692" w:type="dxa"/>
            <w:tcBorders>
              <w:bottom w:val="single" w:color="000000" w:sz="2" w:space="0"/>
            </w:tcBorders>
            <w:vAlign w:val="top"/>
          </w:tcPr>
          <w:p w14:paraId="1DF1184F">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eastAsia="en-US"/>
              </w:rPr>
            </w:pPr>
            <w:r>
              <w:rPr>
                <w:rFonts w:hint="default" w:ascii="Times New Roman" w:hAnsi="Times New Roman" w:eastAsia="仿宋_GB2312" w:cs="Times New Roman"/>
                <w:snapToGrid w:val="0"/>
                <w:color w:val="auto"/>
                <w:spacing w:val="11"/>
                <w:kern w:val="0"/>
                <w:sz w:val="24"/>
                <w:szCs w:val="24"/>
                <w:lang w:eastAsia="en-US"/>
              </w:rPr>
              <w:t>其他专用条款</w:t>
            </w:r>
          </w:p>
        </w:tc>
        <w:tc>
          <w:tcPr>
            <w:tcW w:w="5674" w:type="dxa"/>
            <w:tcBorders>
              <w:bottom w:val="single" w:color="000000" w:sz="2" w:space="0"/>
              <w:right w:val="single" w:color="000000" w:sz="2" w:space="0"/>
            </w:tcBorders>
            <w:vAlign w:val="top"/>
          </w:tcPr>
          <w:p w14:paraId="46E0DF46">
            <w:pPr>
              <w:keepNext w:val="0"/>
              <w:keepLines w:val="0"/>
              <w:pageBreakBefore w:val="0"/>
              <w:widowControl w:val="0"/>
              <w:kinsoku w:val="0"/>
              <w:wordWrap/>
              <w:overflowPunct/>
              <w:topLinePunct w:val="0"/>
              <w:autoSpaceDE w:val="0"/>
              <w:autoSpaceDN w:val="0"/>
              <w:bidi w:val="0"/>
              <w:adjustRightInd w:val="0"/>
              <w:snapToGrid w:val="0"/>
              <w:spacing w:line="440" w:lineRule="exact"/>
              <w:ind w:firstLine="524" w:firstLineChars="200"/>
              <w:jc w:val="both"/>
              <w:textAlignment w:val="baseline"/>
              <w:rPr>
                <w:rFonts w:hint="default" w:ascii="Times New Roman" w:hAnsi="Times New Roman" w:eastAsia="仿宋_GB2312" w:cs="Times New Roman"/>
                <w:snapToGrid w:val="0"/>
                <w:color w:val="auto"/>
                <w:spacing w:val="11"/>
                <w:kern w:val="0"/>
                <w:sz w:val="24"/>
                <w:szCs w:val="24"/>
                <w:lang w:eastAsia="en-US"/>
              </w:rPr>
            </w:pPr>
          </w:p>
        </w:tc>
      </w:tr>
    </w:tbl>
    <w:p w14:paraId="124DA945">
      <w:pPr>
        <w:keepNext w:val="0"/>
        <w:keepLines w:val="0"/>
        <w:pageBreakBefore w:val="0"/>
        <w:widowControl/>
        <w:kinsoku w:val="0"/>
        <w:wordWrap/>
        <w:overflowPunct/>
        <w:topLinePunct w:val="0"/>
        <w:autoSpaceDE w:val="0"/>
        <w:autoSpaceDN w:val="0"/>
        <w:bidi w:val="0"/>
        <w:adjustRightInd w:val="0"/>
        <w:snapToGrid w:val="0"/>
        <w:spacing w:line="360" w:lineRule="exact"/>
        <w:ind w:right="0" w:firstLine="0"/>
        <w:jc w:val="left"/>
        <w:textAlignment w:val="baseline"/>
        <w:rPr>
          <w:rFonts w:hint="default" w:ascii="Times New Roman" w:hAnsi="Times New Roman" w:eastAsia="Arial" w:cs="Times New Roman"/>
          <w:snapToGrid w:val="0"/>
          <w:color w:val="auto"/>
          <w:kern w:val="0"/>
          <w:szCs w:val="21"/>
          <w:lang w:eastAsia="en-US"/>
        </w:rPr>
      </w:pPr>
      <w:r>
        <w:rPr>
          <w:rFonts w:hint="default" w:ascii="Times New Roman" w:hAnsi="Times New Roman" w:eastAsia="Arial" w:cs="Times New Roman"/>
          <w:snapToGrid w:val="0"/>
          <w:color w:val="auto"/>
          <w:kern w:val="0"/>
          <w:szCs w:val="21"/>
          <w:lang w:eastAsia="en-US"/>
        </w:rPr>
        <w:br w:type="page"/>
      </w:r>
    </w:p>
    <w:p w14:paraId="3D22F716">
      <w:pPr>
        <w:keepNext w:val="0"/>
        <w:keepLines w:val="0"/>
        <w:pageBreakBefore w:val="0"/>
        <w:widowControl w:val="0"/>
        <w:kinsoku w:val="0"/>
        <w:wordWrap/>
        <w:overflowPunct/>
        <w:topLinePunct w:val="0"/>
        <w:autoSpaceDE w:val="0"/>
        <w:autoSpaceDN w:val="0"/>
        <w:bidi w:val="0"/>
        <w:adjustRightInd w:val="0"/>
        <w:snapToGrid w:val="0"/>
        <w:spacing w:line="440" w:lineRule="exact"/>
        <w:jc w:val="left"/>
        <w:textAlignment w:val="baseline"/>
        <w:rPr>
          <w:rFonts w:hint="default" w:ascii="Times New Roman" w:hAnsi="Times New Roman" w:eastAsia="仿宋_GB2312" w:cs="Times New Roman"/>
          <w:b/>
          <w:bCs/>
          <w:snapToGrid w:val="0"/>
          <w:color w:val="auto"/>
          <w:spacing w:val="11"/>
          <w:kern w:val="0"/>
          <w:sz w:val="24"/>
          <w:szCs w:val="24"/>
          <w:lang w:val="en-US" w:eastAsia="zh-CN"/>
        </w:rPr>
      </w:pPr>
      <w:r>
        <w:rPr>
          <w:rFonts w:hint="default" w:ascii="Times New Roman" w:hAnsi="Times New Roman" w:eastAsia="仿宋_GB2312" w:cs="Times New Roman"/>
          <w:b/>
          <w:bCs/>
          <w:snapToGrid w:val="0"/>
          <w:color w:val="auto"/>
          <w:spacing w:val="11"/>
          <w:kern w:val="0"/>
          <w:sz w:val="24"/>
          <w:szCs w:val="24"/>
          <w:lang w:val="en-US" w:eastAsia="zh-CN"/>
        </w:rPr>
        <w:t>附件：设备参数清单</w:t>
      </w:r>
    </w:p>
    <w:p w14:paraId="2DC79936">
      <w:pPr>
        <w:keepNext w:val="0"/>
        <w:keepLines w:val="0"/>
        <w:pageBreakBefore w:val="0"/>
        <w:widowControl/>
        <w:kinsoku w:val="0"/>
        <w:wordWrap/>
        <w:overflowPunct/>
        <w:topLinePunct w:val="0"/>
        <w:autoSpaceDE w:val="0"/>
        <w:autoSpaceDN w:val="0"/>
        <w:bidi w:val="0"/>
        <w:adjustRightInd w:val="0"/>
        <w:snapToGrid w:val="0"/>
        <w:spacing w:line="360" w:lineRule="exact"/>
        <w:ind w:right="0" w:firstLine="0"/>
        <w:jc w:val="left"/>
        <w:textAlignment w:val="baseline"/>
        <w:rPr>
          <w:rFonts w:hint="default" w:ascii="Times New Roman" w:hAnsi="Times New Roman" w:eastAsia="宋体" w:cs="Times New Roman"/>
          <w:snapToGrid w:val="0"/>
          <w:color w:val="auto"/>
          <w:kern w:val="0"/>
          <w:szCs w:val="21"/>
          <w:lang w:val="en-US" w:eastAsia="zh-CN"/>
        </w:rPr>
      </w:pPr>
    </w:p>
    <w:tbl>
      <w:tblPr>
        <w:tblStyle w:val="15"/>
        <w:tblW w:w="9371"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6"/>
        <w:gridCol w:w="1485"/>
        <w:gridCol w:w="885"/>
        <w:gridCol w:w="1560"/>
        <w:gridCol w:w="3721"/>
        <w:gridCol w:w="914"/>
      </w:tblGrid>
      <w:tr w14:paraId="36DF4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1CEFCBBC">
            <w:pPr>
              <w:keepNext w:val="0"/>
              <w:keepLines w:val="0"/>
              <w:pageBreakBefore w:val="0"/>
              <w:widowControl w:val="0"/>
              <w:kinsoku w:val="0"/>
              <w:wordWrap/>
              <w:overflowPunct/>
              <w:topLinePunct w:val="0"/>
              <w:autoSpaceDE w:val="0"/>
              <w:autoSpaceDN w:val="0"/>
              <w:bidi w:val="0"/>
              <w:adjustRightInd w:val="0"/>
              <w:snapToGrid w:val="0"/>
              <w:spacing w:line="440" w:lineRule="exact"/>
              <w:jc w:val="center"/>
              <w:textAlignment w:val="baseline"/>
              <w:rPr>
                <w:rFonts w:hint="default" w:ascii="Times New Roman" w:hAnsi="Times New Roman" w:eastAsia="仿宋_GB2312" w:cs="Times New Roman"/>
                <w:snapToGrid w:val="0"/>
                <w:color w:val="auto"/>
                <w:spacing w:val="11"/>
                <w:kern w:val="0"/>
                <w:sz w:val="24"/>
                <w:szCs w:val="24"/>
                <w:lang w:val="en-US" w:eastAsia="zh-CN"/>
              </w:rPr>
            </w:pPr>
            <w:r>
              <w:rPr>
                <w:rFonts w:hint="default" w:ascii="Times New Roman" w:hAnsi="Times New Roman" w:eastAsia="仿宋_GB2312" w:cs="Times New Roman"/>
                <w:snapToGrid w:val="0"/>
                <w:color w:val="auto"/>
                <w:spacing w:val="11"/>
                <w:kern w:val="0"/>
                <w:sz w:val="24"/>
                <w:szCs w:val="24"/>
                <w:lang w:val="en-US" w:eastAsia="zh-CN"/>
              </w:rPr>
              <w:t>序号</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14:paraId="144FC0B7">
            <w:pPr>
              <w:keepNext w:val="0"/>
              <w:keepLines w:val="0"/>
              <w:pageBreakBefore w:val="0"/>
              <w:widowControl w:val="0"/>
              <w:kinsoku w:val="0"/>
              <w:wordWrap/>
              <w:overflowPunct/>
              <w:topLinePunct w:val="0"/>
              <w:autoSpaceDE w:val="0"/>
              <w:autoSpaceDN w:val="0"/>
              <w:bidi w:val="0"/>
              <w:adjustRightInd w:val="0"/>
              <w:snapToGrid w:val="0"/>
              <w:spacing w:line="440" w:lineRule="exact"/>
              <w:jc w:val="center"/>
              <w:textAlignment w:val="baseline"/>
              <w:rPr>
                <w:rFonts w:hint="default" w:ascii="Times New Roman" w:hAnsi="Times New Roman" w:eastAsia="仿宋_GB2312" w:cs="Times New Roman"/>
                <w:snapToGrid w:val="0"/>
                <w:color w:val="auto"/>
                <w:spacing w:val="11"/>
                <w:kern w:val="0"/>
                <w:sz w:val="24"/>
                <w:szCs w:val="24"/>
                <w:lang w:val="en-US" w:eastAsia="zh-CN"/>
              </w:rPr>
            </w:pPr>
            <w:r>
              <w:rPr>
                <w:rFonts w:hint="default" w:ascii="Times New Roman" w:hAnsi="Times New Roman" w:eastAsia="仿宋_GB2312" w:cs="Times New Roman"/>
                <w:snapToGrid w:val="0"/>
                <w:color w:val="auto"/>
                <w:spacing w:val="11"/>
                <w:kern w:val="0"/>
                <w:sz w:val="24"/>
                <w:szCs w:val="24"/>
                <w:lang w:val="en-US" w:eastAsia="zh-CN"/>
              </w:rPr>
              <w:t>货物名称</w:t>
            </w:r>
          </w:p>
        </w:tc>
        <w:tc>
          <w:tcPr>
            <w:tcW w:w="885" w:type="dxa"/>
            <w:tcBorders>
              <w:top w:val="single" w:color="auto" w:sz="4" w:space="0"/>
              <w:left w:val="single" w:color="auto" w:sz="4" w:space="0"/>
              <w:bottom w:val="single" w:color="auto" w:sz="4" w:space="0"/>
              <w:right w:val="single" w:color="auto" w:sz="4" w:space="0"/>
            </w:tcBorders>
            <w:shd w:val="clear" w:color="auto" w:fill="auto"/>
            <w:vAlign w:val="center"/>
          </w:tcPr>
          <w:p w14:paraId="520E2485">
            <w:pPr>
              <w:keepNext w:val="0"/>
              <w:keepLines w:val="0"/>
              <w:pageBreakBefore w:val="0"/>
              <w:widowControl w:val="0"/>
              <w:kinsoku w:val="0"/>
              <w:wordWrap/>
              <w:overflowPunct/>
              <w:topLinePunct w:val="0"/>
              <w:autoSpaceDE w:val="0"/>
              <w:autoSpaceDN w:val="0"/>
              <w:bidi w:val="0"/>
              <w:adjustRightInd w:val="0"/>
              <w:snapToGrid w:val="0"/>
              <w:spacing w:line="440" w:lineRule="exact"/>
              <w:jc w:val="center"/>
              <w:textAlignment w:val="baseline"/>
              <w:rPr>
                <w:rFonts w:hint="default" w:ascii="Times New Roman" w:hAnsi="Times New Roman" w:eastAsia="仿宋_GB2312" w:cs="Times New Roman"/>
                <w:snapToGrid w:val="0"/>
                <w:color w:val="auto"/>
                <w:spacing w:val="11"/>
                <w:kern w:val="0"/>
                <w:sz w:val="24"/>
                <w:szCs w:val="24"/>
                <w:lang w:val="en-US" w:eastAsia="zh-CN"/>
              </w:rPr>
            </w:pPr>
            <w:r>
              <w:rPr>
                <w:rFonts w:hint="default" w:ascii="Times New Roman" w:hAnsi="Times New Roman" w:eastAsia="仿宋_GB2312" w:cs="Times New Roman"/>
                <w:snapToGrid w:val="0"/>
                <w:color w:val="auto"/>
                <w:spacing w:val="11"/>
                <w:kern w:val="0"/>
                <w:sz w:val="24"/>
                <w:szCs w:val="24"/>
                <w:lang w:val="en-US" w:eastAsia="zh-CN"/>
              </w:rPr>
              <w:t>品牌</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3DC7091F">
            <w:pPr>
              <w:keepNext w:val="0"/>
              <w:keepLines w:val="0"/>
              <w:pageBreakBefore w:val="0"/>
              <w:widowControl w:val="0"/>
              <w:kinsoku w:val="0"/>
              <w:wordWrap/>
              <w:overflowPunct/>
              <w:topLinePunct w:val="0"/>
              <w:autoSpaceDE w:val="0"/>
              <w:autoSpaceDN w:val="0"/>
              <w:bidi w:val="0"/>
              <w:adjustRightInd w:val="0"/>
              <w:snapToGrid w:val="0"/>
              <w:spacing w:line="440" w:lineRule="exact"/>
              <w:jc w:val="center"/>
              <w:textAlignment w:val="baseline"/>
              <w:rPr>
                <w:rFonts w:hint="default" w:ascii="Times New Roman" w:hAnsi="Times New Roman" w:eastAsia="仿宋_GB2312" w:cs="Times New Roman"/>
                <w:snapToGrid w:val="0"/>
                <w:color w:val="auto"/>
                <w:spacing w:val="11"/>
                <w:kern w:val="0"/>
                <w:sz w:val="24"/>
                <w:szCs w:val="24"/>
                <w:lang w:val="en-US" w:eastAsia="zh-CN"/>
              </w:rPr>
            </w:pPr>
            <w:r>
              <w:rPr>
                <w:rFonts w:hint="default" w:ascii="Times New Roman" w:hAnsi="Times New Roman" w:eastAsia="仿宋_GB2312" w:cs="Times New Roman"/>
                <w:snapToGrid w:val="0"/>
                <w:color w:val="auto"/>
                <w:spacing w:val="11"/>
                <w:kern w:val="0"/>
                <w:sz w:val="24"/>
                <w:szCs w:val="24"/>
                <w:lang w:val="en-US" w:eastAsia="zh-CN"/>
              </w:rPr>
              <w:t>规格型号</w:t>
            </w:r>
          </w:p>
        </w:tc>
        <w:tc>
          <w:tcPr>
            <w:tcW w:w="3721" w:type="dxa"/>
            <w:tcBorders>
              <w:top w:val="single" w:color="auto" w:sz="4" w:space="0"/>
              <w:left w:val="single" w:color="auto" w:sz="4" w:space="0"/>
              <w:bottom w:val="single" w:color="auto" w:sz="4" w:space="0"/>
              <w:right w:val="single" w:color="auto" w:sz="4" w:space="0"/>
            </w:tcBorders>
            <w:shd w:val="clear" w:color="auto" w:fill="auto"/>
            <w:vAlign w:val="center"/>
          </w:tcPr>
          <w:p w14:paraId="22843432">
            <w:pPr>
              <w:keepNext w:val="0"/>
              <w:keepLines w:val="0"/>
              <w:pageBreakBefore w:val="0"/>
              <w:widowControl w:val="0"/>
              <w:kinsoku w:val="0"/>
              <w:wordWrap/>
              <w:overflowPunct/>
              <w:topLinePunct w:val="0"/>
              <w:autoSpaceDE w:val="0"/>
              <w:autoSpaceDN w:val="0"/>
              <w:bidi w:val="0"/>
              <w:adjustRightInd w:val="0"/>
              <w:snapToGrid w:val="0"/>
              <w:spacing w:line="440" w:lineRule="exact"/>
              <w:jc w:val="center"/>
              <w:textAlignment w:val="baseline"/>
              <w:rPr>
                <w:rFonts w:hint="default" w:ascii="Times New Roman" w:hAnsi="Times New Roman" w:eastAsia="仿宋_GB2312" w:cs="Times New Roman"/>
                <w:snapToGrid w:val="0"/>
                <w:color w:val="auto"/>
                <w:spacing w:val="11"/>
                <w:kern w:val="0"/>
                <w:sz w:val="24"/>
                <w:szCs w:val="24"/>
                <w:lang w:val="en-US" w:eastAsia="zh-CN"/>
              </w:rPr>
            </w:pPr>
            <w:r>
              <w:rPr>
                <w:rFonts w:hint="default" w:ascii="Times New Roman" w:hAnsi="Times New Roman" w:eastAsia="仿宋_GB2312" w:cs="Times New Roman"/>
                <w:snapToGrid w:val="0"/>
                <w:color w:val="auto"/>
                <w:spacing w:val="11"/>
                <w:kern w:val="0"/>
                <w:sz w:val="24"/>
                <w:szCs w:val="24"/>
                <w:lang w:val="en-US" w:eastAsia="zh-CN"/>
              </w:rPr>
              <w:t>规格参数</w:t>
            </w: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33E96FFF">
            <w:pPr>
              <w:keepNext w:val="0"/>
              <w:keepLines w:val="0"/>
              <w:pageBreakBefore w:val="0"/>
              <w:widowControl w:val="0"/>
              <w:kinsoku w:val="0"/>
              <w:wordWrap/>
              <w:overflowPunct/>
              <w:topLinePunct w:val="0"/>
              <w:autoSpaceDE w:val="0"/>
              <w:autoSpaceDN w:val="0"/>
              <w:bidi w:val="0"/>
              <w:adjustRightInd w:val="0"/>
              <w:snapToGrid w:val="0"/>
              <w:spacing w:line="440" w:lineRule="exact"/>
              <w:jc w:val="center"/>
              <w:textAlignment w:val="baseline"/>
              <w:rPr>
                <w:rFonts w:hint="default" w:ascii="Times New Roman" w:hAnsi="Times New Roman" w:eastAsia="仿宋_GB2312" w:cs="Times New Roman"/>
                <w:snapToGrid w:val="0"/>
                <w:color w:val="auto"/>
                <w:spacing w:val="11"/>
                <w:kern w:val="0"/>
                <w:sz w:val="24"/>
                <w:szCs w:val="24"/>
                <w:lang w:val="en-US" w:eastAsia="zh-CN"/>
              </w:rPr>
            </w:pPr>
            <w:r>
              <w:rPr>
                <w:rFonts w:hint="default" w:ascii="Times New Roman" w:hAnsi="Times New Roman" w:eastAsia="仿宋_GB2312" w:cs="Times New Roman"/>
                <w:snapToGrid w:val="0"/>
                <w:color w:val="auto"/>
                <w:spacing w:val="11"/>
                <w:kern w:val="0"/>
                <w:sz w:val="24"/>
                <w:szCs w:val="24"/>
                <w:lang w:val="en-US" w:eastAsia="zh-CN"/>
              </w:rPr>
              <w:t>数量</w:t>
            </w:r>
          </w:p>
        </w:tc>
      </w:tr>
      <w:tr w14:paraId="1B91F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053135E0">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val="en-US" w:eastAsia="zh-CN"/>
              </w:rPr>
            </w:pPr>
            <w:r>
              <w:rPr>
                <w:rFonts w:hint="default" w:ascii="Times New Roman" w:hAnsi="Times New Roman" w:eastAsia="仿宋_GB2312" w:cs="Times New Roman"/>
                <w:snapToGrid w:val="0"/>
                <w:color w:val="auto"/>
                <w:spacing w:val="11"/>
                <w:kern w:val="0"/>
                <w:sz w:val="24"/>
                <w:szCs w:val="24"/>
                <w:lang w:val="en-US" w:eastAsia="zh-CN"/>
              </w:rPr>
              <w:t>1</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14:paraId="292C9FB8">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val="en-US" w:eastAsia="zh-CN"/>
              </w:rPr>
            </w:pPr>
          </w:p>
        </w:tc>
        <w:tc>
          <w:tcPr>
            <w:tcW w:w="885" w:type="dxa"/>
            <w:tcBorders>
              <w:top w:val="single" w:color="auto" w:sz="4" w:space="0"/>
              <w:left w:val="single" w:color="auto" w:sz="4" w:space="0"/>
              <w:bottom w:val="single" w:color="auto" w:sz="4" w:space="0"/>
              <w:right w:val="single" w:color="auto" w:sz="4" w:space="0"/>
            </w:tcBorders>
            <w:shd w:val="clear" w:color="auto" w:fill="auto"/>
            <w:vAlign w:val="center"/>
          </w:tcPr>
          <w:p w14:paraId="42DB48B1">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val="en-US" w:eastAsia="zh-CN"/>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31BE84CE">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val="en-US" w:eastAsia="zh-CN"/>
              </w:rPr>
            </w:pPr>
          </w:p>
        </w:tc>
        <w:tc>
          <w:tcPr>
            <w:tcW w:w="3721" w:type="dxa"/>
            <w:tcBorders>
              <w:top w:val="single" w:color="auto" w:sz="4" w:space="0"/>
              <w:left w:val="single" w:color="auto" w:sz="4" w:space="0"/>
              <w:bottom w:val="single" w:color="auto" w:sz="4" w:space="0"/>
              <w:right w:val="single" w:color="auto" w:sz="4" w:space="0"/>
            </w:tcBorders>
            <w:shd w:val="clear" w:color="auto" w:fill="auto"/>
            <w:vAlign w:val="center"/>
          </w:tcPr>
          <w:p w14:paraId="5DBD11CD">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val="en-US" w:eastAsia="zh-CN"/>
              </w:rPr>
            </w:pP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30B6202B">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val="en-US" w:eastAsia="zh-CN"/>
              </w:rPr>
            </w:pPr>
          </w:p>
        </w:tc>
      </w:tr>
      <w:tr w14:paraId="56A60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12BC339C">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val="en-US" w:eastAsia="zh-CN"/>
              </w:rPr>
            </w:pPr>
            <w:r>
              <w:rPr>
                <w:rFonts w:hint="default" w:ascii="Times New Roman" w:hAnsi="Times New Roman" w:eastAsia="仿宋_GB2312" w:cs="Times New Roman"/>
                <w:snapToGrid w:val="0"/>
                <w:color w:val="auto"/>
                <w:spacing w:val="11"/>
                <w:kern w:val="0"/>
                <w:sz w:val="24"/>
                <w:szCs w:val="24"/>
                <w:lang w:val="en-US" w:eastAsia="zh-CN"/>
              </w:rPr>
              <w:t>....</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14:paraId="7C4D969F">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val="en-US" w:eastAsia="zh-CN"/>
              </w:rPr>
            </w:pPr>
          </w:p>
        </w:tc>
        <w:tc>
          <w:tcPr>
            <w:tcW w:w="885" w:type="dxa"/>
            <w:tcBorders>
              <w:top w:val="single" w:color="auto" w:sz="4" w:space="0"/>
              <w:left w:val="single" w:color="auto" w:sz="4" w:space="0"/>
              <w:bottom w:val="single" w:color="auto" w:sz="4" w:space="0"/>
              <w:right w:val="single" w:color="auto" w:sz="4" w:space="0"/>
            </w:tcBorders>
            <w:shd w:val="clear" w:color="auto" w:fill="auto"/>
            <w:vAlign w:val="center"/>
          </w:tcPr>
          <w:p w14:paraId="65DDB76E">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val="en-US" w:eastAsia="zh-CN"/>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0B4ACE8D">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val="en-US" w:eastAsia="zh-CN"/>
              </w:rPr>
            </w:pPr>
          </w:p>
        </w:tc>
        <w:tc>
          <w:tcPr>
            <w:tcW w:w="3721" w:type="dxa"/>
            <w:tcBorders>
              <w:top w:val="single" w:color="auto" w:sz="4" w:space="0"/>
              <w:left w:val="single" w:color="auto" w:sz="4" w:space="0"/>
              <w:bottom w:val="single" w:color="auto" w:sz="4" w:space="0"/>
              <w:right w:val="single" w:color="auto" w:sz="4" w:space="0"/>
            </w:tcBorders>
            <w:shd w:val="clear" w:color="auto" w:fill="auto"/>
            <w:vAlign w:val="center"/>
          </w:tcPr>
          <w:p w14:paraId="4C707EB3">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val="en-US" w:eastAsia="zh-CN"/>
              </w:rPr>
            </w:pP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57E828C5">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val="en-US" w:eastAsia="zh-CN"/>
              </w:rPr>
            </w:pPr>
          </w:p>
        </w:tc>
      </w:tr>
      <w:tr w14:paraId="6A293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66B6FB91">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val="en-US" w:eastAsia="zh-CN"/>
              </w:rPr>
            </w:pPr>
            <w:r>
              <w:rPr>
                <w:rFonts w:hint="eastAsia" w:ascii="Times New Roman" w:hAnsi="Times New Roman" w:eastAsia="仿宋_GB2312" w:cs="Times New Roman"/>
                <w:snapToGrid w:val="0"/>
                <w:color w:val="auto"/>
                <w:spacing w:val="11"/>
                <w:kern w:val="0"/>
                <w:sz w:val="24"/>
                <w:szCs w:val="24"/>
                <w:lang w:val="en-US" w:eastAsia="zh-CN"/>
              </w:rPr>
              <w:t>....</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14:paraId="0F25AFE9">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val="en-US" w:eastAsia="zh-CN"/>
              </w:rPr>
            </w:pPr>
          </w:p>
        </w:tc>
        <w:tc>
          <w:tcPr>
            <w:tcW w:w="885" w:type="dxa"/>
            <w:tcBorders>
              <w:top w:val="single" w:color="auto" w:sz="4" w:space="0"/>
              <w:left w:val="single" w:color="auto" w:sz="4" w:space="0"/>
              <w:bottom w:val="single" w:color="auto" w:sz="4" w:space="0"/>
              <w:right w:val="single" w:color="auto" w:sz="4" w:space="0"/>
            </w:tcBorders>
            <w:shd w:val="clear" w:color="auto" w:fill="auto"/>
            <w:vAlign w:val="center"/>
          </w:tcPr>
          <w:p w14:paraId="2C90B003">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val="en-US" w:eastAsia="zh-CN"/>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2D8AB57D">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val="en-US" w:eastAsia="zh-CN"/>
              </w:rPr>
            </w:pPr>
          </w:p>
        </w:tc>
        <w:tc>
          <w:tcPr>
            <w:tcW w:w="3721" w:type="dxa"/>
            <w:tcBorders>
              <w:top w:val="single" w:color="auto" w:sz="4" w:space="0"/>
              <w:left w:val="single" w:color="auto" w:sz="4" w:space="0"/>
              <w:bottom w:val="single" w:color="auto" w:sz="4" w:space="0"/>
              <w:right w:val="single" w:color="auto" w:sz="4" w:space="0"/>
            </w:tcBorders>
            <w:shd w:val="clear" w:color="auto" w:fill="auto"/>
            <w:vAlign w:val="center"/>
          </w:tcPr>
          <w:p w14:paraId="07D13033">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val="en-US" w:eastAsia="zh-CN"/>
              </w:rPr>
            </w:pP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6E090F1A">
            <w:pPr>
              <w:keepNext w:val="0"/>
              <w:keepLines w:val="0"/>
              <w:pageBreakBefore w:val="0"/>
              <w:widowControl w:val="0"/>
              <w:kinsoku w:val="0"/>
              <w:wordWrap/>
              <w:overflowPunct/>
              <w:topLinePunct w:val="0"/>
              <w:autoSpaceDE w:val="0"/>
              <w:autoSpaceDN w:val="0"/>
              <w:bidi w:val="0"/>
              <w:adjustRightInd w:val="0"/>
              <w:snapToGrid w:val="0"/>
              <w:spacing w:line="440" w:lineRule="exact"/>
              <w:jc w:val="both"/>
              <w:textAlignment w:val="baseline"/>
              <w:rPr>
                <w:rFonts w:hint="default" w:ascii="Times New Roman" w:hAnsi="Times New Roman" w:eastAsia="仿宋_GB2312" w:cs="Times New Roman"/>
                <w:snapToGrid w:val="0"/>
                <w:color w:val="auto"/>
                <w:spacing w:val="11"/>
                <w:kern w:val="0"/>
                <w:sz w:val="24"/>
                <w:szCs w:val="24"/>
                <w:lang w:val="en-US" w:eastAsia="zh-CN"/>
              </w:rPr>
            </w:pPr>
          </w:p>
        </w:tc>
      </w:tr>
    </w:tbl>
    <w:p w14:paraId="465EF93A">
      <w:pPr>
        <w:keepNext w:val="0"/>
        <w:keepLines w:val="0"/>
        <w:pageBreakBefore w:val="0"/>
        <w:widowControl/>
        <w:kinsoku w:val="0"/>
        <w:wordWrap/>
        <w:overflowPunct/>
        <w:topLinePunct w:val="0"/>
        <w:autoSpaceDE w:val="0"/>
        <w:autoSpaceDN w:val="0"/>
        <w:bidi w:val="0"/>
        <w:adjustRightInd w:val="0"/>
        <w:snapToGrid w:val="0"/>
        <w:spacing w:line="300" w:lineRule="exact"/>
        <w:jc w:val="both"/>
        <w:textAlignment w:val="baseline"/>
        <w:rPr>
          <w:rFonts w:hint="default" w:ascii="Times New Roman" w:hAnsi="Times New Roman" w:eastAsia="宋体" w:cs="Times New Roman"/>
          <w:snapToGrid w:val="0"/>
          <w:color w:val="auto"/>
          <w:kern w:val="0"/>
          <w:szCs w:val="21"/>
          <w:lang w:val="en-US" w:eastAsia="zh-CN"/>
        </w:rPr>
      </w:pPr>
    </w:p>
    <w:p w14:paraId="52798C29">
      <w:pPr>
        <w:spacing w:line="440" w:lineRule="exact"/>
        <w:rPr>
          <w:rFonts w:ascii="宋体" w:hAnsi="宋体" w:cs="仿宋"/>
          <w:color w:val="auto"/>
          <w:szCs w:val="21"/>
          <w:highlight w:val="none"/>
          <w:lang w:val="zh-CN"/>
        </w:rPr>
      </w:pPr>
    </w:p>
    <w:p w14:paraId="72BD0DD5">
      <w:pPr>
        <w:spacing w:line="440" w:lineRule="exact"/>
        <w:rPr>
          <w:rFonts w:ascii="宋体" w:hAnsi="宋体" w:cs="仿宋"/>
          <w:color w:val="auto"/>
          <w:szCs w:val="21"/>
          <w:highlight w:val="none"/>
          <w:lang w:val="zh-CN"/>
        </w:rPr>
        <w:sectPr>
          <w:pgSz w:w="11906" w:h="16838"/>
          <w:pgMar w:top="1440" w:right="1440" w:bottom="1440" w:left="1440" w:header="851" w:footer="992" w:gutter="0"/>
          <w:pgNumType w:fmt="decimal"/>
          <w:cols w:space="0" w:num="1"/>
          <w:docGrid w:type="lines" w:linePitch="317" w:charSpace="0"/>
        </w:sectPr>
      </w:pPr>
    </w:p>
    <w:p w14:paraId="35613BBE">
      <w:pPr>
        <w:spacing w:afterLines="50" w:line="440" w:lineRule="exact"/>
        <w:jc w:val="center"/>
        <w:outlineLvl w:val="1"/>
        <w:rPr>
          <w:rFonts w:ascii="黑体" w:hAnsi="黑体" w:eastAsia="黑体" w:cs="Times New Roman"/>
          <w:color w:val="auto"/>
          <w:sz w:val="32"/>
          <w:szCs w:val="32"/>
          <w:highlight w:val="none"/>
        </w:rPr>
      </w:pPr>
      <w:bookmarkStart w:id="135" w:name="_Toc494455695"/>
      <w:bookmarkStart w:id="136" w:name="_Toc18721"/>
      <w:r>
        <w:rPr>
          <w:rFonts w:ascii="黑体" w:hAnsi="黑体" w:eastAsia="黑体" w:cs="Times New Roman"/>
          <w:color w:val="auto"/>
          <w:sz w:val="32"/>
          <w:szCs w:val="32"/>
          <w:highlight w:val="none"/>
        </w:rPr>
        <w:t>第</w:t>
      </w:r>
      <w:r>
        <w:rPr>
          <w:rFonts w:hint="eastAsia" w:ascii="黑体" w:hAnsi="黑体" w:eastAsia="黑体" w:cs="Times New Roman"/>
          <w:color w:val="auto"/>
          <w:sz w:val="32"/>
          <w:szCs w:val="32"/>
          <w:highlight w:val="none"/>
        </w:rPr>
        <w:t>六</w:t>
      </w:r>
      <w:r>
        <w:rPr>
          <w:rFonts w:ascii="黑体" w:hAnsi="黑体" w:eastAsia="黑体" w:cs="Times New Roman"/>
          <w:color w:val="auto"/>
          <w:sz w:val="32"/>
          <w:szCs w:val="32"/>
          <w:highlight w:val="none"/>
        </w:rPr>
        <w:t>章</w:t>
      </w:r>
      <w:r>
        <w:rPr>
          <w:rFonts w:hint="eastAsia" w:ascii="黑体" w:hAnsi="黑体" w:eastAsia="黑体" w:cs="Times New Roman"/>
          <w:color w:val="auto"/>
          <w:sz w:val="32"/>
          <w:szCs w:val="32"/>
          <w:highlight w:val="none"/>
        </w:rPr>
        <w:t xml:space="preserve">  投标文件</w:t>
      </w:r>
      <w:bookmarkEnd w:id="135"/>
      <w:r>
        <w:rPr>
          <w:rFonts w:hint="eastAsia" w:ascii="黑体" w:hAnsi="黑体" w:eastAsia="黑体" w:cs="Times New Roman"/>
          <w:color w:val="auto"/>
          <w:sz w:val="32"/>
          <w:szCs w:val="32"/>
          <w:highlight w:val="none"/>
        </w:rPr>
        <w:t>格式</w:t>
      </w:r>
      <w:bookmarkEnd w:id="136"/>
    </w:p>
    <w:p w14:paraId="7C6A7C98">
      <w:pPr>
        <w:spacing w:afterLines="50" w:line="440" w:lineRule="exact"/>
        <w:jc w:val="right"/>
        <w:rPr>
          <w:rFonts w:ascii="黑体" w:hAnsi="黑体" w:eastAsia="黑体" w:cs="黑体"/>
          <w:color w:val="auto"/>
          <w:kern w:val="1"/>
          <w:sz w:val="36"/>
          <w:szCs w:val="36"/>
          <w:highlight w:val="none"/>
        </w:rPr>
      </w:pPr>
    </w:p>
    <w:p w14:paraId="73B2DB6B">
      <w:pPr>
        <w:spacing w:afterLines="50" w:line="440" w:lineRule="exact"/>
        <w:jc w:val="right"/>
        <w:rPr>
          <w:rFonts w:ascii="黑体" w:hAnsi="黑体" w:eastAsia="黑体" w:cs="黑体"/>
          <w:color w:val="auto"/>
          <w:kern w:val="1"/>
          <w:sz w:val="36"/>
          <w:szCs w:val="36"/>
          <w:highlight w:val="none"/>
        </w:rPr>
      </w:pPr>
    </w:p>
    <w:p w14:paraId="2470CC82">
      <w:pPr>
        <w:spacing w:afterLines="50" w:line="440" w:lineRule="exact"/>
        <w:jc w:val="right"/>
        <w:rPr>
          <w:rFonts w:ascii="黑体" w:hAnsi="黑体" w:eastAsia="黑体" w:cs="黑体"/>
          <w:color w:val="auto"/>
          <w:kern w:val="1"/>
          <w:sz w:val="36"/>
          <w:szCs w:val="36"/>
          <w:highlight w:val="none"/>
        </w:rPr>
      </w:pPr>
      <w:r>
        <w:rPr>
          <w:rFonts w:hint="eastAsia" w:ascii="黑体" w:hAnsi="黑体" w:eastAsia="黑体" w:cs="黑体"/>
          <w:color w:val="auto"/>
          <w:kern w:val="1"/>
          <w:sz w:val="36"/>
          <w:szCs w:val="36"/>
          <w:highlight w:val="none"/>
        </w:rPr>
        <w:br w:type="page"/>
      </w:r>
    </w:p>
    <w:p w14:paraId="3AA82228">
      <w:pPr>
        <w:spacing w:line="360" w:lineRule="auto"/>
        <w:jc w:val="center"/>
        <w:rPr>
          <w:rFonts w:cs="Times New Roman"/>
          <w:color w:val="auto"/>
          <w:highlight w:val="none"/>
        </w:rPr>
      </w:pPr>
      <w:r>
        <w:rPr>
          <w:rFonts w:hint="eastAsia" w:cs="Times New Roman"/>
          <w:b/>
          <w:bCs/>
          <w:color w:val="auto"/>
          <w:sz w:val="52"/>
          <w:szCs w:val="52"/>
          <w:highlight w:val="none"/>
          <w:u w:val="single"/>
        </w:rPr>
        <w:t xml:space="preserve">****          </w:t>
      </w:r>
      <w:r>
        <w:rPr>
          <w:rFonts w:hint="eastAsia" w:cs="Times New Roman"/>
          <w:b/>
          <w:bCs/>
          <w:color w:val="auto"/>
          <w:sz w:val="52"/>
          <w:szCs w:val="52"/>
          <w:highlight w:val="none"/>
        </w:rPr>
        <w:t>项目</w:t>
      </w:r>
    </w:p>
    <w:p w14:paraId="2033E355">
      <w:pPr>
        <w:spacing w:line="360" w:lineRule="auto"/>
        <w:jc w:val="center"/>
        <w:rPr>
          <w:rFonts w:cs="Times New Roman"/>
          <w:color w:val="auto"/>
          <w:sz w:val="30"/>
          <w:szCs w:val="30"/>
          <w:highlight w:val="none"/>
        </w:rPr>
      </w:pPr>
      <w:r>
        <w:rPr>
          <w:rFonts w:hint="eastAsia" w:cs="Times New Roman"/>
          <w:color w:val="auto"/>
          <w:sz w:val="30"/>
          <w:szCs w:val="30"/>
          <w:highlight w:val="none"/>
        </w:rPr>
        <w:t>项目编号：</w:t>
      </w:r>
    </w:p>
    <w:p w14:paraId="5379EBF5">
      <w:pPr>
        <w:spacing w:line="360" w:lineRule="auto"/>
        <w:rPr>
          <w:rFonts w:cs="Times New Roman"/>
          <w:color w:val="auto"/>
          <w:highlight w:val="none"/>
        </w:rPr>
      </w:pPr>
    </w:p>
    <w:p w14:paraId="55FC1ED3">
      <w:pPr>
        <w:spacing w:line="360" w:lineRule="auto"/>
        <w:rPr>
          <w:rFonts w:cs="Times New Roman"/>
          <w:color w:val="auto"/>
          <w:highlight w:val="none"/>
        </w:rPr>
      </w:pPr>
    </w:p>
    <w:p w14:paraId="53815D08">
      <w:pPr>
        <w:spacing w:line="360" w:lineRule="auto"/>
        <w:rPr>
          <w:rFonts w:cs="Times New Roman"/>
          <w:color w:val="auto"/>
          <w:highlight w:val="none"/>
        </w:rPr>
      </w:pPr>
    </w:p>
    <w:p w14:paraId="606F794C">
      <w:pPr>
        <w:spacing w:line="360" w:lineRule="auto"/>
        <w:rPr>
          <w:rFonts w:cs="Times New Roman"/>
          <w:color w:val="auto"/>
          <w:highlight w:val="none"/>
        </w:rPr>
      </w:pPr>
    </w:p>
    <w:p w14:paraId="2BA335C5">
      <w:pPr>
        <w:spacing w:line="360" w:lineRule="auto"/>
        <w:rPr>
          <w:rFonts w:cs="Times New Roman"/>
          <w:color w:val="auto"/>
          <w:highlight w:val="none"/>
        </w:rPr>
      </w:pPr>
    </w:p>
    <w:p w14:paraId="0C3CF6AB">
      <w:pPr>
        <w:spacing w:line="360" w:lineRule="auto"/>
        <w:jc w:val="center"/>
        <w:rPr>
          <w:rFonts w:cs="Times New Roman"/>
          <w:color w:val="auto"/>
          <w:sz w:val="72"/>
          <w:szCs w:val="144"/>
          <w:highlight w:val="none"/>
        </w:rPr>
      </w:pPr>
      <w:r>
        <w:rPr>
          <w:rFonts w:hint="eastAsia" w:cs="Times New Roman"/>
          <w:b/>
          <w:bCs/>
          <w:color w:val="auto"/>
          <w:sz w:val="72"/>
          <w:szCs w:val="144"/>
          <w:highlight w:val="none"/>
          <w:lang w:val="en-US" w:eastAsia="zh-CN"/>
        </w:rPr>
        <w:t>投 标</w:t>
      </w:r>
      <w:r>
        <w:rPr>
          <w:rFonts w:hint="eastAsia" w:cs="Times New Roman"/>
          <w:b/>
          <w:bCs/>
          <w:color w:val="auto"/>
          <w:sz w:val="72"/>
          <w:szCs w:val="144"/>
          <w:highlight w:val="none"/>
        </w:rPr>
        <w:t xml:space="preserve"> 文 件</w:t>
      </w:r>
    </w:p>
    <w:p w14:paraId="45D3C97D">
      <w:pPr>
        <w:spacing w:line="360" w:lineRule="auto"/>
        <w:jc w:val="center"/>
        <w:rPr>
          <w:rFonts w:cs="Times New Roman"/>
          <w:color w:val="auto"/>
          <w:sz w:val="44"/>
          <w:szCs w:val="52"/>
          <w:highlight w:val="none"/>
        </w:rPr>
      </w:pPr>
    </w:p>
    <w:p w14:paraId="1B8225E2">
      <w:pPr>
        <w:spacing w:line="360" w:lineRule="auto"/>
        <w:jc w:val="center"/>
        <w:rPr>
          <w:rFonts w:cs="Times New Roman"/>
          <w:color w:val="auto"/>
          <w:sz w:val="72"/>
          <w:szCs w:val="144"/>
          <w:highlight w:val="none"/>
        </w:rPr>
      </w:pPr>
    </w:p>
    <w:p w14:paraId="203F17BA">
      <w:pPr>
        <w:spacing w:line="360" w:lineRule="auto"/>
        <w:jc w:val="center"/>
        <w:rPr>
          <w:rFonts w:cs="Times New Roman"/>
          <w:color w:val="auto"/>
          <w:sz w:val="72"/>
          <w:szCs w:val="144"/>
          <w:highlight w:val="none"/>
        </w:rPr>
      </w:pPr>
    </w:p>
    <w:p w14:paraId="35141D8D">
      <w:pPr>
        <w:spacing w:line="360" w:lineRule="auto"/>
        <w:rPr>
          <w:rFonts w:ascii="宋体" w:hAnsi="宋体" w:cs="宋体"/>
          <w:color w:val="auto"/>
          <w:sz w:val="28"/>
          <w:szCs w:val="28"/>
          <w:highlight w:val="none"/>
        </w:rPr>
      </w:pPr>
      <w:bookmarkStart w:id="137" w:name="_Toc32738"/>
      <w:r>
        <w:rPr>
          <w:rFonts w:hint="eastAsia" w:ascii="宋体" w:hAnsi="宋体" w:cs="宋体"/>
          <w:color w:val="auto"/>
          <w:sz w:val="28"/>
          <w:szCs w:val="28"/>
          <w:highlight w:val="none"/>
        </w:rPr>
        <w:t>投标人名称：</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（盖章）</w:t>
      </w:r>
      <w:bookmarkEnd w:id="137"/>
    </w:p>
    <w:p w14:paraId="3B318F4D">
      <w:pPr>
        <w:spacing w:line="360" w:lineRule="auto"/>
        <w:rPr>
          <w:rFonts w:ascii="宋体" w:hAnsi="宋体" w:cs="宋体"/>
          <w:color w:val="auto"/>
          <w:sz w:val="28"/>
          <w:szCs w:val="28"/>
          <w:highlight w:val="none"/>
        </w:rPr>
      </w:pPr>
      <w:bookmarkStart w:id="138" w:name="_Toc6652"/>
      <w:r>
        <w:rPr>
          <w:rFonts w:hint="eastAsia" w:ascii="宋体" w:hAnsi="宋体" w:cs="宋体"/>
          <w:color w:val="auto"/>
          <w:sz w:val="28"/>
          <w:szCs w:val="28"/>
          <w:highlight w:val="none"/>
        </w:rPr>
        <w:t>法定代表人：</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（签字或盖章）</w:t>
      </w:r>
      <w:bookmarkEnd w:id="138"/>
    </w:p>
    <w:p w14:paraId="139F4036">
      <w:pPr>
        <w:spacing w:line="360" w:lineRule="auto"/>
        <w:rPr>
          <w:rFonts w:ascii="宋体" w:hAnsi="宋体" w:cs="宋体"/>
          <w:color w:val="auto"/>
          <w:sz w:val="28"/>
          <w:szCs w:val="28"/>
          <w:highlight w:val="none"/>
          <w:u w:val="single"/>
        </w:rPr>
      </w:pPr>
      <w:bookmarkStart w:id="139" w:name="_Toc3693"/>
      <w:r>
        <w:rPr>
          <w:rFonts w:hint="eastAsia" w:ascii="宋体" w:hAnsi="宋体" w:cs="宋体"/>
          <w:color w:val="auto"/>
          <w:sz w:val="28"/>
          <w:szCs w:val="28"/>
          <w:highlight w:val="none"/>
        </w:rPr>
        <w:t>投标人地址：</w:t>
      </w:r>
      <w:bookmarkEnd w:id="139"/>
      <w:r>
        <w:rPr>
          <w:rFonts w:hint="eastAsia" w:ascii="宋体" w:hAnsi="宋体" w:cs="宋体"/>
          <w:color w:val="auto"/>
          <w:sz w:val="28"/>
          <w:szCs w:val="28"/>
          <w:highlight w:val="none"/>
          <w:u w:val="single"/>
        </w:rPr>
        <w:t xml:space="preserve">                   </w:t>
      </w:r>
    </w:p>
    <w:p w14:paraId="4899983A">
      <w:pPr>
        <w:spacing w:line="360" w:lineRule="auto"/>
        <w:rPr>
          <w:rFonts w:ascii="宋体" w:hAnsi="宋体" w:cs="宋体"/>
          <w:color w:val="auto"/>
          <w:sz w:val="28"/>
          <w:szCs w:val="28"/>
          <w:highlight w:val="none"/>
        </w:rPr>
      </w:pPr>
      <w:bookmarkStart w:id="140" w:name="_Toc10765"/>
      <w:r>
        <w:rPr>
          <w:rFonts w:hint="eastAsia" w:ascii="宋体" w:hAnsi="宋体" w:cs="宋体"/>
          <w:color w:val="auto"/>
          <w:sz w:val="28"/>
          <w:szCs w:val="28"/>
          <w:highlight w:val="none"/>
        </w:rPr>
        <w:t>联  系  人：</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 xml:space="preserve">   联系电话：</w:t>
      </w:r>
      <w:bookmarkEnd w:id="140"/>
      <w:r>
        <w:rPr>
          <w:rFonts w:hint="eastAsia" w:ascii="宋体" w:hAnsi="宋体" w:cs="宋体"/>
          <w:color w:val="auto"/>
          <w:sz w:val="28"/>
          <w:szCs w:val="28"/>
          <w:highlight w:val="none"/>
          <w:u w:val="single"/>
        </w:rPr>
        <w:t xml:space="preserve">           </w:t>
      </w:r>
    </w:p>
    <w:p w14:paraId="34A512F6">
      <w:pPr>
        <w:spacing w:line="360" w:lineRule="auto"/>
        <w:rPr>
          <w:rFonts w:ascii="宋体" w:hAnsi="宋体" w:cs="宋体"/>
          <w:color w:val="auto"/>
          <w:sz w:val="28"/>
          <w:szCs w:val="28"/>
          <w:highlight w:val="none"/>
        </w:rPr>
      </w:pPr>
      <w:bookmarkStart w:id="141" w:name="_Toc26817"/>
      <w:r>
        <w:rPr>
          <w:rFonts w:hint="eastAsia" w:ascii="宋体" w:hAnsi="宋体" w:cs="宋体"/>
          <w:color w:val="auto"/>
          <w:sz w:val="28"/>
          <w:szCs w:val="28"/>
          <w:highlight w:val="none"/>
        </w:rPr>
        <w:t>年   月    日</w:t>
      </w:r>
      <w:bookmarkEnd w:id="141"/>
    </w:p>
    <w:p w14:paraId="49B43497">
      <w:pPr>
        <w:spacing w:line="360" w:lineRule="auto"/>
        <w:rPr>
          <w:rFonts w:cs="Times New Roman"/>
          <w:color w:val="auto"/>
          <w:sz w:val="28"/>
          <w:szCs w:val="28"/>
          <w:highlight w:val="none"/>
        </w:rPr>
      </w:pPr>
    </w:p>
    <w:p w14:paraId="6C54EDBA">
      <w:pPr>
        <w:widowControl/>
        <w:autoSpaceDE w:val="0"/>
        <w:autoSpaceDN w:val="0"/>
        <w:adjustRightInd w:val="0"/>
        <w:spacing w:line="360" w:lineRule="auto"/>
        <w:jc w:val="center"/>
        <w:rPr>
          <w:rFonts w:ascii="宋体" w:hAnsi="宋体" w:cs="Times New Roman"/>
          <w:color w:val="auto"/>
          <w:kern w:val="1"/>
          <w:sz w:val="30"/>
          <w:szCs w:val="30"/>
          <w:highlight w:val="none"/>
        </w:rPr>
      </w:pPr>
      <w:r>
        <w:rPr>
          <w:rFonts w:ascii="宋体" w:hAnsi="宋体" w:cs="宋体"/>
          <w:color w:val="auto"/>
          <w:kern w:val="1"/>
          <w:sz w:val="30"/>
          <w:szCs w:val="30"/>
          <w:highlight w:val="none"/>
        </w:rPr>
        <w:br w:type="page"/>
      </w:r>
      <w:r>
        <w:rPr>
          <w:rFonts w:hint="eastAsia" w:ascii="宋体" w:hAnsi="宋体" w:cs="宋体"/>
          <w:color w:val="auto"/>
          <w:kern w:val="1"/>
          <w:sz w:val="30"/>
          <w:szCs w:val="30"/>
          <w:highlight w:val="none"/>
        </w:rPr>
        <w:t>目 录</w:t>
      </w:r>
    </w:p>
    <w:p w14:paraId="728B3EB5">
      <w:pPr>
        <w:widowControl/>
        <w:autoSpaceDE w:val="0"/>
        <w:autoSpaceDN w:val="0"/>
        <w:adjustRightInd w:val="0"/>
        <w:spacing w:line="440" w:lineRule="exact"/>
        <w:ind w:right="-481"/>
        <w:rPr>
          <w:rFonts w:ascii="宋体" w:hAnsi="宋体" w:cs="Arial"/>
          <w:color w:val="auto"/>
          <w:kern w:val="1"/>
          <w:sz w:val="24"/>
          <w:szCs w:val="24"/>
          <w:highlight w:val="none"/>
        </w:rPr>
      </w:pPr>
    </w:p>
    <w:p w14:paraId="5AE5B1C5">
      <w:pPr>
        <w:widowControl/>
        <w:autoSpaceDE w:val="0"/>
        <w:autoSpaceDN w:val="0"/>
        <w:adjustRightInd w:val="0"/>
        <w:spacing w:line="440" w:lineRule="exact"/>
        <w:ind w:right="-482" w:firstLine="470"/>
        <w:jc w:val="left"/>
        <w:rPr>
          <w:rFonts w:ascii="仿宋" w:hAnsi="仿宋" w:eastAsia="仿宋" w:cs="Times New Roman"/>
          <w:color w:val="auto"/>
          <w:kern w:val="1"/>
          <w:sz w:val="24"/>
          <w:szCs w:val="24"/>
          <w:highlight w:val="none"/>
        </w:rPr>
      </w:pPr>
    </w:p>
    <w:p w14:paraId="6329F843">
      <w:pPr>
        <w:widowControl/>
        <w:autoSpaceDE w:val="0"/>
        <w:autoSpaceDN w:val="0"/>
        <w:adjustRightInd w:val="0"/>
        <w:spacing w:line="440" w:lineRule="exact"/>
        <w:ind w:right="-481"/>
        <w:jc w:val="left"/>
        <w:rPr>
          <w:rFonts w:ascii="宋体" w:hAnsi="宋体" w:cs="Times New Roman"/>
          <w:color w:val="auto"/>
          <w:kern w:val="1"/>
          <w:sz w:val="24"/>
          <w:szCs w:val="24"/>
          <w:highlight w:val="none"/>
        </w:rPr>
      </w:pPr>
    </w:p>
    <w:p w14:paraId="3A760AF8">
      <w:pPr>
        <w:widowControl/>
        <w:autoSpaceDE w:val="0"/>
        <w:autoSpaceDN w:val="0"/>
        <w:adjustRightInd w:val="0"/>
        <w:spacing w:line="440" w:lineRule="exact"/>
        <w:ind w:right="-481"/>
        <w:jc w:val="center"/>
        <w:rPr>
          <w:rFonts w:ascii="宋体" w:hAnsi="宋体" w:cs="Times New Roman"/>
          <w:color w:val="auto"/>
          <w:kern w:val="1"/>
          <w:sz w:val="32"/>
          <w:szCs w:val="32"/>
          <w:highlight w:val="none"/>
        </w:rPr>
      </w:pPr>
    </w:p>
    <w:p w14:paraId="2609C521">
      <w:pPr>
        <w:widowControl/>
        <w:autoSpaceDE w:val="0"/>
        <w:autoSpaceDN w:val="0"/>
        <w:adjustRightInd w:val="0"/>
        <w:spacing w:line="440" w:lineRule="exact"/>
        <w:ind w:right="-481"/>
        <w:jc w:val="left"/>
        <w:rPr>
          <w:rStyle w:val="20"/>
          <w:rFonts w:cs="Times New Roman"/>
          <w:color w:val="auto"/>
          <w:sz w:val="24"/>
          <w:szCs w:val="24"/>
          <w:highlight w:val="none"/>
        </w:rPr>
      </w:pPr>
      <w:r>
        <w:rPr>
          <w:rFonts w:ascii="宋体" w:hAnsi="宋体" w:cs="Times New Roman"/>
          <w:color w:val="auto"/>
          <w:kern w:val="1"/>
          <w:highlight w:val="none"/>
        </w:rPr>
        <w:br w:type="page"/>
      </w:r>
    </w:p>
    <w:p w14:paraId="1C8146F5">
      <w:pPr>
        <w:widowControl/>
        <w:autoSpaceDE w:val="0"/>
        <w:autoSpaceDN w:val="0"/>
        <w:adjustRightInd w:val="0"/>
        <w:spacing w:before="120" w:after="120" w:line="440" w:lineRule="exact"/>
        <w:ind w:right="-481"/>
        <w:jc w:val="center"/>
        <w:rPr>
          <w:rFonts w:ascii="仿宋" w:hAnsi="仿宋" w:eastAsia="仿宋" w:cs="Times New Roman"/>
          <w:color w:val="auto"/>
          <w:kern w:val="1"/>
          <w:sz w:val="28"/>
          <w:szCs w:val="28"/>
          <w:highlight w:val="none"/>
        </w:rPr>
      </w:pPr>
      <w:r>
        <w:rPr>
          <w:rFonts w:hint="eastAsia" w:ascii="仿宋" w:hAnsi="仿宋" w:eastAsia="仿宋" w:cs="宋体"/>
          <w:color w:val="auto"/>
          <w:kern w:val="1"/>
          <w:sz w:val="28"/>
          <w:szCs w:val="28"/>
          <w:highlight w:val="none"/>
        </w:rPr>
        <w:t>一、投标函</w:t>
      </w:r>
    </w:p>
    <w:p w14:paraId="46DE6D40">
      <w:pPr>
        <w:widowControl/>
        <w:autoSpaceDE w:val="0"/>
        <w:autoSpaceDN w:val="0"/>
        <w:adjustRightInd w:val="0"/>
        <w:spacing w:line="440" w:lineRule="exact"/>
        <w:ind w:right="-481"/>
        <w:rPr>
          <w:rFonts w:ascii="仿宋" w:hAnsi="仿宋" w:eastAsia="仿宋" w:cs="Times New Roman"/>
          <w:color w:val="auto"/>
          <w:kern w:val="1"/>
          <w:sz w:val="24"/>
          <w:szCs w:val="24"/>
          <w:highlight w:val="none"/>
          <w:u w:val="single"/>
        </w:rPr>
      </w:pPr>
    </w:p>
    <w:p w14:paraId="52C9E944">
      <w:pPr>
        <w:widowControl/>
        <w:autoSpaceDE w:val="0"/>
        <w:autoSpaceDN w:val="0"/>
        <w:adjustRightInd w:val="0"/>
        <w:spacing w:line="440" w:lineRule="exact"/>
        <w:rPr>
          <w:rFonts w:ascii="仿宋" w:hAnsi="仿宋" w:eastAsia="仿宋" w:cs="Times New Roman"/>
          <w:color w:val="auto"/>
          <w:kern w:val="1"/>
          <w:sz w:val="24"/>
          <w:szCs w:val="24"/>
          <w:highlight w:val="none"/>
        </w:rPr>
      </w:pPr>
      <w:r>
        <w:rPr>
          <w:rFonts w:hint="eastAsia" w:ascii="仿宋" w:hAnsi="仿宋" w:eastAsia="仿宋" w:cs="仿宋"/>
          <w:color w:val="auto"/>
          <w:kern w:val="1"/>
          <w:sz w:val="24"/>
          <w:szCs w:val="24"/>
          <w:highlight w:val="none"/>
          <w:u w:val="single"/>
        </w:rPr>
        <w:t>（采购人）</w:t>
      </w:r>
      <w:r>
        <w:rPr>
          <w:rStyle w:val="20"/>
          <w:rFonts w:hint="eastAsia" w:cs="Times New Roman"/>
          <w:color w:val="auto"/>
          <w:sz w:val="24"/>
          <w:szCs w:val="24"/>
          <w:highlight w:val="none"/>
        </w:rPr>
        <w:t>：</w:t>
      </w:r>
    </w:p>
    <w:p w14:paraId="7493F431">
      <w:pPr>
        <w:widowControl/>
        <w:autoSpaceDE w:val="0"/>
        <w:autoSpaceDN w:val="0"/>
        <w:adjustRightInd w:val="0"/>
        <w:spacing w:line="440" w:lineRule="exact"/>
        <w:rPr>
          <w:rFonts w:ascii="仿宋" w:hAnsi="仿宋" w:eastAsia="仿宋" w:cs="Times New Roman"/>
          <w:color w:val="auto"/>
          <w:kern w:val="1"/>
          <w:sz w:val="24"/>
          <w:szCs w:val="24"/>
          <w:highlight w:val="none"/>
        </w:rPr>
      </w:pPr>
    </w:p>
    <w:p w14:paraId="0191FDBE">
      <w:pPr>
        <w:widowControl/>
        <w:autoSpaceDE w:val="0"/>
        <w:autoSpaceDN w:val="0"/>
        <w:adjustRightInd w:val="0"/>
        <w:spacing w:line="440" w:lineRule="exact"/>
        <w:ind w:firstLine="480"/>
        <w:rPr>
          <w:rFonts w:ascii="仿宋" w:hAnsi="仿宋" w:eastAsia="仿宋" w:cs="Times New Roman"/>
          <w:color w:val="auto"/>
          <w:kern w:val="1"/>
          <w:sz w:val="24"/>
          <w:szCs w:val="24"/>
          <w:highlight w:val="none"/>
        </w:rPr>
      </w:pPr>
      <w:r>
        <w:rPr>
          <w:rFonts w:hint="eastAsia" w:ascii="仿宋" w:hAnsi="仿宋" w:eastAsia="仿宋" w:cs="仿宋"/>
          <w:color w:val="auto"/>
          <w:kern w:val="1"/>
          <w:sz w:val="24"/>
          <w:szCs w:val="24"/>
          <w:highlight w:val="none"/>
          <w:u w:val="single"/>
        </w:rPr>
        <w:t>（投标人名称）</w:t>
      </w:r>
      <w:r>
        <w:rPr>
          <w:rStyle w:val="20"/>
          <w:rFonts w:hint="eastAsia" w:cs="Times New Roman"/>
          <w:color w:val="auto"/>
          <w:sz w:val="24"/>
          <w:szCs w:val="24"/>
          <w:highlight w:val="none"/>
        </w:rPr>
        <w:t>系中华人民共和国合法企业，经营地址</w:t>
      </w:r>
      <w:r>
        <w:rPr>
          <w:rFonts w:ascii="仿宋" w:hAnsi="仿宋" w:eastAsia="仿宋" w:cs="仿宋"/>
          <w:color w:val="auto"/>
          <w:kern w:val="1"/>
          <w:sz w:val="24"/>
          <w:szCs w:val="24"/>
          <w:highlight w:val="none"/>
          <w:u w:val="single"/>
        </w:rPr>
        <w:t xml:space="preserve">          </w:t>
      </w:r>
      <w:r>
        <w:rPr>
          <w:rStyle w:val="20"/>
          <w:rFonts w:hint="eastAsia" w:cs="Times New Roman"/>
          <w:color w:val="auto"/>
          <w:sz w:val="24"/>
          <w:szCs w:val="24"/>
          <w:highlight w:val="none"/>
        </w:rPr>
        <w:t>。</w:t>
      </w:r>
    </w:p>
    <w:p w14:paraId="732F65A5">
      <w:pPr>
        <w:widowControl/>
        <w:autoSpaceDE w:val="0"/>
        <w:autoSpaceDN w:val="0"/>
        <w:adjustRightInd w:val="0"/>
        <w:spacing w:line="440" w:lineRule="exact"/>
        <w:ind w:firstLine="480"/>
        <w:rPr>
          <w:rFonts w:ascii="仿宋" w:hAnsi="仿宋" w:eastAsia="仿宋" w:cs="Times New Roman"/>
          <w:color w:val="auto"/>
          <w:kern w:val="1"/>
          <w:sz w:val="24"/>
          <w:szCs w:val="24"/>
          <w:highlight w:val="none"/>
        </w:rPr>
      </w:pPr>
      <w:r>
        <w:rPr>
          <w:rStyle w:val="20"/>
          <w:rFonts w:hint="eastAsia" w:cs="Times New Roman"/>
          <w:color w:val="auto"/>
          <w:sz w:val="24"/>
          <w:szCs w:val="24"/>
          <w:highlight w:val="none"/>
        </w:rPr>
        <w:t>我</w:t>
      </w:r>
      <w:r>
        <w:rPr>
          <w:rFonts w:hint="eastAsia" w:ascii="仿宋" w:hAnsi="仿宋" w:eastAsia="仿宋" w:cs="仿宋"/>
          <w:color w:val="auto"/>
          <w:kern w:val="1"/>
          <w:sz w:val="24"/>
          <w:szCs w:val="24"/>
          <w:highlight w:val="none"/>
          <w:u w:val="single"/>
        </w:rPr>
        <w:t>（姓名）</w:t>
      </w:r>
      <w:r>
        <w:rPr>
          <w:rStyle w:val="20"/>
          <w:rFonts w:hint="eastAsia" w:cs="Times New Roman"/>
          <w:color w:val="auto"/>
          <w:sz w:val="24"/>
          <w:szCs w:val="24"/>
          <w:highlight w:val="none"/>
        </w:rPr>
        <w:t>系</w:t>
      </w:r>
      <w:r>
        <w:rPr>
          <w:rFonts w:hint="eastAsia" w:ascii="仿宋" w:hAnsi="仿宋" w:eastAsia="仿宋" w:cs="仿宋"/>
          <w:color w:val="auto"/>
          <w:kern w:val="1"/>
          <w:sz w:val="24"/>
          <w:szCs w:val="24"/>
          <w:highlight w:val="none"/>
          <w:u w:val="single"/>
        </w:rPr>
        <w:t>（投标人名称）</w:t>
      </w:r>
      <w:r>
        <w:rPr>
          <w:rStyle w:val="20"/>
          <w:rFonts w:hint="eastAsia" w:cs="Times New Roman"/>
          <w:color w:val="auto"/>
          <w:sz w:val="24"/>
          <w:szCs w:val="24"/>
          <w:highlight w:val="none"/>
        </w:rPr>
        <w:t>的法定代表人，我方愿意参加贵方组织的</w:t>
      </w:r>
      <w:r>
        <w:rPr>
          <w:rFonts w:hint="eastAsia" w:ascii="仿宋" w:hAnsi="仿宋" w:eastAsia="仿宋" w:cs="仿宋"/>
          <w:color w:val="auto"/>
          <w:kern w:val="1"/>
          <w:sz w:val="24"/>
          <w:szCs w:val="24"/>
          <w:highlight w:val="none"/>
          <w:u w:val="single"/>
        </w:rPr>
        <w:t>（招标项目名称）（编号为</w:t>
      </w:r>
      <w:r>
        <w:rPr>
          <w:rFonts w:ascii="仿宋" w:hAnsi="仿宋" w:eastAsia="仿宋" w:cs="仿宋"/>
          <w:color w:val="auto"/>
          <w:kern w:val="1"/>
          <w:sz w:val="24"/>
          <w:szCs w:val="24"/>
          <w:highlight w:val="none"/>
          <w:u w:val="single"/>
        </w:rPr>
        <w:t xml:space="preserve">              </w:t>
      </w:r>
      <w:r>
        <w:rPr>
          <w:rFonts w:hint="eastAsia" w:ascii="仿宋" w:hAnsi="仿宋" w:eastAsia="仿宋" w:cs="仿宋"/>
          <w:color w:val="auto"/>
          <w:kern w:val="1"/>
          <w:sz w:val="24"/>
          <w:szCs w:val="24"/>
          <w:highlight w:val="none"/>
          <w:u w:val="single"/>
        </w:rPr>
        <w:t>）</w:t>
      </w:r>
      <w:r>
        <w:rPr>
          <w:rStyle w:val="20"/>
          <w:rFonts w:hint="eastAsia" w:cs="Times New Roman"/>
          <w:color w:val="auto"/>
          <w:sz w:val="24"/>
          <w:szCs w:val="24"/>
          <w:highlight w:val="none"/>
        </w:rPr>
        <w:t>的投标，为此，我方就本次投标有关事项郑重声明如下：</w:t>
      </w:r>
    </w:p>
    <w:p w14:paraId="2CAAEB70">
      <w:pPr>
        <w:widowControl/>
        <w:autoSpaceDE w:val="0"/>
        <w:autoSpaceDN w:val="0"/>
        <w:adjustRightInd w:val="0"/>
        <w:spacing w:line="440" w:lineRule="exact"/>
        <w:ind w:firstLine="480"/>
        <w:rPr>
          <w:rStyle w:val="20"/>
          <w:rFonts w:cs="Times New Roman"/>
          <w:color w:val="auto"/>
          <w:sz w:val="24"/>
          <w:szCs w:val="24"/>
          <w:highlight w:val="none"/>
        </w:rPr>
      </w:pPr>
      <w:r>
        <w:rPr>
          <w:rStyle w:val="20"/>
          <w:rFonts w:cs="Times New Roman"/>
          <w:color w:val="auto"/>
          <w:sz w:val="24"/>
          <w:szCs w:val="24"/>
          <w:highlight w:val="none"/>
        </w:rPr>
        <w:t>1</w:t>
      </w:r>
      <w:r>
        <w:rPr>
          <w:rStyle w:val="20"/>
          <w:rFonts w:hint="eastAsia" w:cs="Times New Roman"/>
          <w:color w:val="auto"/>
          <w:sz w:val="24"/>
          <w:szCs w:val="24"/>
          <w:highlight w:val="none"/>
        </w:rPr>
        <w:t>、我方已详细审查全部招标文件，同意招标文件的各项要求。</w:t>
      </w:r>
    </w:p>
    <w:p w14:paraId="676A1B3D">
      <w:pPr>
        <w:widowControl/>
        <w:autoSpaceDE w:val="0"/>
        <w:autoSpaceDN w:val="0"/>
        <w:adjustRightInd w:val="0"/>
        <w:spacing w:line="440" w:lineRule="exact"/>
        <w:ind w:firstLine="480"/>
        <w:rPr>
          <w:rStyle w:val="20"/>
          <w:rFonts w:cs="Times New Roman"/>
          <w:color w:val="auto"/>
          <w:sz w:val="24"/>
          <w:szCs w:val="24"/>
          <w:highlight w:val="none"/>
        </w:rPr>
      </w:pPr>
      <w:r>
        <w:rPr>
          <w:rStyle w:val="20"/>
          <w:rFonts w:cs="Times New Roman"/>
          <w:color w:val="auto"/>
          <w:sz w:val="24"/>
          <w:szCs w:val="24"/>
          <w:highlight w:val="none"/>
        </w:rPr>
        <w:t>2</w:t>
      </w:r>
      <w:r>
        <w:rPr>
          <w:rStyle w:val="20"/>
          <w:rFonts w:hint="eastAsia" w:cs="Times New Roman"/>
          <w:color w:val="auto"/>
          <w:sz w:val="24"/>
          <w:szCs w:val="24"/>
          <w:highlight w:val="none"/>
        </w:rPr>
        <w:t>、我方向贵方提交的所有投标文件、资料都是准确的和真实的。</w:t>
      </w:r>
    </w:p>
    <w:p w14:paraId="476B197B">
      <w:pPr>
        <w:widowControl/>
        <w:autoSpaceDE w:val="0"/>
        <w:autoSpaceDN w:val="0"/>
        <w:adjustRightInd w:val="0"/>
        <w:spacing w:line="440" w:lineRule="exact"/>
        <w:ind w:firstLine="480"/>
        <w:rPr>
          <w:rStyle w:val="20"/>
          <w:rFonts w:cs="Times New Roman"/>
          <w:color w:val="auto"/>
          <w:sz w:val="24"/>
          <w:szCs w:val="24"/>
          <w:highlight w:val="none"/>
        </w:rPr>
      </w:pPr>
      <w:r>
        <w:rPr>
          <w:rStyle w:val="20"/>
          <w:rFonts w:cs="Times New Roman"/>
          <w:color w:val="auto"/>
          <w:sz w:val="24"/>
          <w:szCs w:val="24"/>
          <w:highlight w:val="none"/>
        </w:rPr>
        <w:t>3</w:t>
      </w:r>
      <w:r>
        <w:rPr>
          <w:rStyle w:val="20"/>
          <w:rFonts w:hint="eastAsia" w:cs="Times New Roman"/>
          <w:color w:val="auto"/>
          <w:sz w:val="24"/>
          <w:szCs w:val="24"/>
          <w:highlight w:val="none"/>
        </w:rPr>
        <w:t>、若中标，我方将按照招标文件规定履行合同责任和义务。</w:t>
      </w:r>
    </w:p>
    <w:p w14:paraId="41DE074B">
      <w:pPr>
        <w:widowControl/>
        <w:autoSpaceDE w:val="0"/>
        <w:autoSpaceDN w:val="0"/>
        <w:adjustRightInd w:val="0"/>
        <w:spacing w:line="440" w:lineRule="exact"/>
        <w:ind w:firstLine="480"/>
        <w:rPr>
          <w:rStyle w:val="20"/>
          <w:rFonts w:cs="Times New Roman"/>
          <w:color w:val="auto"/>
          <w:sz w:val="24"/>
          <w:szCs w:val="24"/>
          <w:highlight w:val="none"/>
        </w:rPr>
      </w:pPr>
      <w:r>
        <w:rPr>
          <w:rStyle w:val="20"/>
          <w:rFonts w:cs="Times New Roman"/>
          <w:color w:val="auto"/>
          <w:sz w:val="24"/>
          <w:szCs w:val="24"/>
          <w:highlight w:val="none"/>
        </w:rPr>
        <w:t>4</w:t>
      </w:r>
      <w:r>
        <w:rPr>
          <w:rStyle w:val="20"/>
          <w:rFonts w:hint="eastAsia" w:cs="Times New Roman"/>
          <w:color w:val="auto"/>
          <w:sz w:val="24"/>
          <w:szCs w:val="24"/>
          <w:highlight w:val="none"/>
        </w:rPr>
        <w:t>、我方不是采购人的附属机构；在获知本项目采购信息后，与采购人聘请的为此项目提供咨询服务的公司以及其附属机构没有任何联系。</w:t>
      </w:r>
    </w:p>
    <w:p w14:paraId="48DB335A">
      <w:pPr>
        <w:widowControl/>
        <w:autoSpaceDE w:val="0"/>
        <w:autoSpaceDN w:val="0"/>
        <w:adjustRightInd w:val="0"/>
        <w:spacing w:line="440" w:lineRule="exact"/>
        <w:ind w:firstLine="480"/>
        <w:rPr>
          <w:rFonts w:ascii="仿宋" w:hAnsi="仿宋" w:eastAsia="仿宋" w:cs="Times New Roman"/>
          <w:color w:val="auto"/>
          <w:kern w:val="1"/>
          <w:sz w:val="24"/>
          <w:szCs w:val="24"/>
          <w:highlight w:val="none"/>
        </w:rPr>
      </w:pPr>
      <w:r>
        <w:rPr>
          <w:rStyle w:val="20"/>
          <w:rFonts w:cs="Times New Roman"/>
          <w:color w:val="auto"/>
          <w:sz w:val="24"/>
          <w:szCs w:val="24"/>
          <w:highlight w:val="none"/>
        </w:rPr>
        <w:t>5</w:t>
      </w:r>
      <w:r>
        <w:rPr>
          <w:rStyle w:val="20"/>
          <w:rFonts w:hint="eastAsia" w:cs="Times New Roman"/>
          <w:color w:val="auto"/>
          <w:sz w:val="24"/>
          <w:szCs w:val="24"/>
          <w:highlight w:val="none"/>
        </w:rPr>
        <w:t>、投标文件自开标日起有效期为</w:t>
      </w:r>
      <w:r>
        <w:rPr>
          <w:rStyle w:val="20"/>
          <w:rFonts w:hint="eastAsia" w:eastAsia="仿宋" w:cs="Times New Roman"/>
          <w:color w:val="auto"/>
          <w:sz w:val="24"/>
          <w:szCs w:val="24"/>
          <w:highlight w:val="none"/>
          <w:u w:val="single"/>
          <w:lang w:val="en-US" w:eastAsia="zh-CN"/>
        </w:rPr>
        <w:t xml:space="preserve">   </w:t>
      </w:r>
      <w:r>
        <w:rPr>
          <w:rStyle w:val="20"/>
          <w:rFonts w:hint="eastAsia" w:cs="Times New Roman"/>
          <w:color w:val="auto"/>
          <w:sz w:val="24"/>
          <w:szCs w:val="24"/>
          <w:highlight w:val="none"/>
        </w:rPr>
        <w:t>日历日。</w:t>
      </w:r>
    </w:p>
    <w:p w14:paraId="6C8AD469">
      <w:pPr>
        <w:widowControl/>
        <w:autoSpaceDE w:val="0"/>
        <w:autoSpaceDN w:val="0"/>
        <w:adjustRightInd w:val="0"/>
        <w:spacing w:line="440" w:lineRule="exact"/>
        <w:ind w:firstLine="480"/>
        <w:rPr>
          <w:rStyle w:val="20"/>
          <w:rFonts w:cs="Times New Roman"/>
          <w:color w:val="auto"/>
          <w:sz w:val="24"/>
          <w:szCs w:val="24"/>
          <w:highlight w:val="none"/>
        </w:rPr>
      </w:pPr>
      <w:r>
        <w:rPr>
          <w:rStyle w:val="20"/>
          <w:rFonts w:cs="Times New Roman"/>
          <w:color w:val="auto"/>
          <w:sz w:val="24"/>
          <w:szCs w:val="24"/>
          <w:highlight w:val="none"/>
        </w:rPr>
        <w:t>6.</w:t>
      </w:r>
      <w:r>
        <w:rPr>
          <w:rStyle w:val="20"/>
          <w:rFonts w:hint="eastAsia" w:cs="Times New Roman"/>
          <w:color w:val="auto"/>
          <w:sz w:val="24"/>
          <w:szCs w:val="24"/>
          <w:highlight w:val="none"/>
        </w:rPr>
        <w:t>以上事项如有虚假或者隐瞒，我方愿意承担一切后果。</w:t>
      </w:r>
    </w:p>
    <w:p w14:paraId="0AB03367">
      <w:pPr>
        <w:widowControl/>
        <w:tabs>
          <w:tab w:val="left" w:pos="939"/>
        </w:tabs>
        <w:autoSpaceDE w:val="0"/>
        <w:autoSpaceDN w:val="0"/>
        <w:adjustRightInd w:val="0"/>
        <w:spacing w:line="440" w:lineRule="exact"/>
        <w:ind w:left="773" w:right="-481" w:hanging="458"/>
        <w:rPr>
          <w:rFonts w:ascii="仿宋" w:hAnsi="仿宋" w:eastAsia="仿宋" w:cs="Times New Roman"/>
          <w:color w:val="auto"/>
          <w:kern w:val="1"/>
          <w:sz w:val="24"/>
          <w:szCs w:val="24"/>
          <w:highlight w:val="none"/>
        </w:rPr>
      </w:pPr>
    </w:p>
    <w:p w14:paraId="7AB8865C">
      <w:pPr>
        <w:widowControl/>
        <w:tabs>
          <w:tab w:val="left" w:pos="939"/>
        </w:tabs>
        <w:autoSpaceDE w:val="0"/>
        <w:autoSpaceDN w:val="0"/>
        <w:adjustRightInd w:val="0"/>
        <w:spacing w:line="440" w:lineRule="exact"/>
        <w:ind w:left="773" w:right="-481" w:hanging="458"/>
        <w:rPr>
          <w:rFonts w:ascii="仿宋" w:hAnsi="仿宋" w:eastAsia="仿宋" w:cs="Times New Roman"/>
          <w:color w:val="auto"/>
          <w:kern w:val="1"/>
          <w:sz w:val="24"/>
          <w:szCs w:val="24"/>
          <w:highlight w:val="none"/>
        </w:rPr>
      </w:pPr>
    </w:p>
    <w:p w14:paraId="132D3EBA">
      <w:pPr>
        <w:widowControl/>
        <w:tabs>
          <w:tab w:val="left" w:pos="939"/>
        </w:tabs>
        <w:autoSpaceDE w:val="0"/>
        <w:autoSpaceDN w:val="0"/>
        <w:adjustRightInd w:val="0"/>
        <w:spacing w:line="440" w:lineRule="exact"/>
        <w:ind w:left="773" w:right="-481" w:hanging="458"/>
        <w:rPr>
          <w:rFonts w:ascii="仿宋" w:hAnsi="仿宋" w:eastAsia="仿宋" w:cs="Times New Roman"/>
          <w:color w:val="auto"/>
          <w:kern w:val="1"/>
          <w:sz w:val="24"/>
          <w:szCs w:val="24"/>
          <w:highlight w:val="none"/>
        </w:rPr>
      </w:pPr>
    </w:p>
    <w:p w14:paraId="792A6810">
      <w:pPr>
        <w:spacing w:line="440" w:lineRule="exact"/>
        <w:ind w:firstLine="4108" w:firstLineChars="1712"/>
        <w:rPr>
          <w:rFonts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投  标  人：</w:t>
      </w:r>
      <w:r>
        <w:rPr>
          <w:rFonts w:hint="eastAsia" w:ascii="仿宋" w:hAnsi="仿宋" w:eastAsia="仿宋" w:cs="Times New Roman"/>
          <w:color w:val="auto"/>
          <w:sz w:val="24"/>
          <w:szCs w:val="24"/>
          <w:highlight w:val="none"/>
          <w:u w:val="single"/>
        </w:rPr>
        <w:t xml:space="preserve">                </w:t>
      </w:r>
      <w:r>
        <w:rPr>
          <w:rFonts w:hint="eastAsia" w:ascii="仿宋" w:hAnsi="仿宋" w:eastAsia="仿宋" w:cs="Times New Roman"/>
          <w:color w:val="auto"/>
          <w:sz w:val="24"/>
          <w:szCs w:val="24"/>
          <w:highlight w:val="none"/>
        </w:rPr>
        <w:t>（盖单位公章）</w:t>
      </w:r>
    </w:p>
    <w:p w14:paraId="7216EAA4">
      <w:pPr>
        <w:spacing w:line="440" w:lineRule="exact"/>
        <w:ind w:firstLine="4108" w:firstLineChars="1712"/>
        <w:rPr>
          <w:rFonts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法定代表人：</w:t>
      </w:r>
      <w:r>
        <w:rPr>
          <w:rFonts w:hint="eastAsia" w:ascii="仿宋" w:hAnsi="仿宋" w:eastAsia="仿宋" w:cs="Times New Roman"/>
          <w:color w:val="auto"/>
          <w:sz w:val="24"/>
          <w:szCs w:val="24"/>
          <w:highlight w:val="none"/>
          <w:u w:val="single"/>
        </w:rPr>
        <w:t xml:space="preserve">                </w:t>
      </w:r>
      <w:r>
        <w:rPr>
          <w:rFonts w:hint="eastAsia" w:ascii="仿宋" w:hAnsi="仿宋" w:eastAsia="仿宋" w:cs="Times New Roman"/>
          <w:color w:val="auto"/>
          <w:sz w:val="24"/>
          <w:szCs w:val="24"/>
          <w:highlight w:val="none"/>
        </w:rPr>
        <w:t>（签字或盖章）</w:t>
      </w:r>
    </w:p>
    <w:p w14:paraId="7C11C849">
      <w:pPr>
        <w:spacing w:line="440" w:lineRule="exact"/>
        <w:ind w:firstLine="4108" w:firstLineChars="1712"/>
        <w:rPr>
          <w:rFonts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日      期：</w:t>
      </w:r>
      <w:r>
        <w:rPr>
          <w:rFonts w:hint="eastAsia" w:ascii="仿宋" w:hAnsi="仿宋" w:eastAsia="仿宋" w:cs="Times New Roman"/>
          <w:color w:val="auto"/>
          <w:sz w:val="24"/>
          <w:szCs w:val="24"/>
          <w:highlight w:val="none"/>
          <w:u w:val="single"/>
        </w:rPr>
        <w:t xml:space="preserve">      </w:t>
      </w:r>
      <w:r>
        <w:rPr>
          <w:rFonts w:hint="eastAsia" w:ascii="仿宋" w:hAnsi="仿宋" w:eastAsia="仿宋" w:cs="Times New Roman"/>
          <w:color w:val="auto"/>
          <w:sz w:val="24"/>
          <w:szCs w:val="24"/>
          <w:highlight w:val="none"/>
        </w:rPr>
        <w:t>年</w:t>
      </w:r>
      <w:r>
        <w:rPr>
          <w:rFonts w:hint="eastAsia" w:ascii="仿宋" w:hAnsi="仿宋" w:eastAsia="仿宋" w:cs="Times New Roman"/>
          <w:color w:val="auto"/>
          <w:sz w:val="24"/>
          <w:szCs w:val="24"/>
          <w:highlight w:val="none"/>
          <w:u w:val="single"/>
        </w:rPr>
        <w:t xml:space="preserve">   </w:t>
      </w:r>
      <w:r>
        <w:rPr>
          <w:rFonts w:hint="eastAsia" w:ascii="仿宋" w:hAnsi="仿宋" w:eastAsia="仿宋" w:cs="Times New Roman"/>
          <w:color w:val="auto"/>
          <w:sz w:val="24"/>
          <w:szCs w:val="24"/>
          <w:highlight w:val="none"/>
        </w:rPr>
        <w:t>月</w:t>
      </w:r>
      <w:r>
        <w:rPr>
          <w:rFonts w:hint="eastAsia" w:ascii="仿宋" w:hAnsi="仿宋" w:eastAsia="仿宋" w:cs="Times New Roman"/>
          <w:color w:val="auto"/>
          <w:sz w:val="24"/>
          <w:szCs w:val="24"/>
          <w:highlight w:val="none"/>
          <w:u w:val="single"/>
        </w:rPr>
        <w:t xml:space="preserve">   </w:t>
      </w:r>
      <w:r>
        <w:rPr>
          <w:rFonts w:hint="eastAsia" w:ascii="仿宋" w:hAnsi="仿宋" w:eastAsia="仿宋" w:cs="Times New Roman"/>
          <w:color w:val="auto"/>
          <w:sz w:val="24"/>
          <w:szCs w:val="24"/>
          <w:highlight w:val="none"/>
        </w:rPr>
        <w:t>日</w:t>
      </w:r>
    </w:p>
    <w:p w14:paraId="7281BE51">
      <w:pPr>
        <w:spacing w:before="100" w:beforeAutospacing="1" w:after="100" w:afterAutospacing="1" w:line="440" w:lineRule="exact"/>
        <w:jc w:val="left"/>
        <w:rPr>
          <w:rFonts w:ascii="仿宋" w:hAnsi="仿宋" w:eastAsia="仿宋" w:cs="仿宋"/>
          <w:color w:val="auto"/>
          <w:kern w:val="1"/>
          <w:sz w:val="24"/>
          <w:szCs w:val="24"/>
          <w:highlight w:val="none"/>
          <w:u w:val="single"/>
        </w:rPr>
      </w:pPr>
      <w:r>
        <w:rPr>
          <w:rFonts w:ascii="仿宋" w:hAnsi="仿宋" w:eastAsia="仿宋" w:cs="仿宋"/>
          <w:color w:val="auto"/>
          <w:kern w:val="1"/>
          <w:sz w:val="24"/>
          <w:szCs w:val="24"/>
          <w:highlight w:val="none"/>
          <w:u w:val="single"/>
        </w:rPr>
        <w:br w:type="page"/>
      </w:r>
    </w:p>
    <w:p w14:paraId="26D7367A">
      <w:pPr>
        <w:spacing w:before="100" w:beforeAutospacing="1" w:after="100" w:afterAutospacing="1" w:line="440" w:lineRule="exact"/>
        <w:jc w:val="center"/>
        <w:rPr>
          <w:rFonts w:ascii="仿宋" w:hAnsi="仿宋" w:eastAsia="仿宋" w:cs="仿宋"/>
          <w:color w:val="auto"/>
          <w:kern w:val="1"/>
          <w:sz w:val="24"/>
          <w:szCs w:val="24"/>
          <w:highlight w:val="none"/>
          <w:u w:val="single"/>
        </w:rPr>
      </w:pPr>
      <w:r>
        <w:rPr>
          <w:rFonts w:hint="eastAsia" w:ascii="仿宋" w:hAnsi="仿宋" w:eastAsia="仿宋" w:cs="仿宋"/>
          <w:color w:val="auto"/>
          <w:kern w:val="1"/>
          <w:sz w:val="28"/>
          <w:szCs w:val="28"/>
          <w:highlight w:val="none"/>
        </w:rPr>
        <w:t>二、投标报价一览表</w:t>
      </w:r>
    </w:p>
    <w:tbl>
      <w:tblPr>
        <w:tblStyle w:val="15"/>
        <w:tblW w:w="9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0"/>
        <w:gridCol w:w="7600"/>
      </w:tblGrid>
      <w:tr w14:paraId="14EE8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1900" w:type="dxa"/>
            <w:vAlign w:val="center"/>
          </w:tcPr>
          <w:p w14:paraId="0A6ACBBE">
            <w:pPr>
              <w:spacing w:line="44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项目名称</w:t>
            </w:r>
          </w:p>
        </w:tc>
        <w:tc>
          <w:tcPr>
            <w:tcW w:w="7600" w:type="dxa"/>
            <w:vAlign w:val="center"/>
          </w:tcPr>
          <w:p w14:paraId="4B860712">
            <w:pPr>
              <w:spacing w:line="440" w:lineRule="exact"/>
              <w:jc w:val="center"/>
              <w:rPr>
                <w:rFonts w:ascii="仿宋" w:hAnsi="仿宋" w:eastAsia="仿宋" w:cs="仿宋"/>
                <w:color w:val="auto"/>
                <w:sz w:val="24"/>
                <w:szCs w:val="24"/>
                <w:highlight w:val="none"/>
              </w:rPr>
            </w:pPr>
          </w:p>
        </w:tc>
      </w:tr>
      <w:tr w14:paraId="367FC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1900" w:type="dxa"/>
            <w:vAlign w:val="center"/>
          </w:tcPr>
          <w:p w14:paraId="0A07FE26">
            <w:pPr>
              <w:spacing w:line="44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项目编号</w:t>
            </w:r>
          </w:p>
        </w:tc>
        <w:tc>
          <w:tcPr>
            <w:tcW w:w="7600" w:type="dxa"/>
          </w:tcPr>
          <w:p w14:paraId="17B02B14">
            <w:pPr>
              <w:spacing w:line="440" w:lineRule="exact"/>
              <w:jc w:val="center"/>
              <w:rPr>
                <w:rFonts w:ascii="仿宋" w:hAnsi="仿宋" w:eastAsia="仿宋" w:cs="仿宋"/>
                <w:color w:val="auto"/>
                <w:sz w:val="24"/>
                <w:szCs w:val="24"/>
                <w:highlight w:val="none"/>
              </w:rPr>
            </w:pPr>
          </w:p>
        </w:tc>
      </w:tr>
      <w:tr w14:paraId="4633D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1900" w:type="dxa"/>
            <w:vAlign w:val="center"/>
          </w:tcPr>
          <w:p w14:paraId="0D09054A">
            <w:pPr>
              <w:spacing w:line="44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采购内容</w:t>
            </w:r>
          </w:p>
        </w:tc>
        <w:tc>
          <w:tcPr>
            <w:tcW w:w="7600" w:type="dxa"/>
          </w:tcPr>
          <w:p w14:paraId="379DF704">
            <w:pPr>
              <w:spacing w:line="440" w:lineRule="exact"/>
              <w:jc w:val="center"/>
              <w:rPr>
                <w:rFonts w:ascii="仿宋" w:hAnsi="仿宋" w:eastAsia="仿宋" w:cs="仿宋"/>
                <w:color w:val="auto"/>
                <w:sz w:val="24"/>
                <w:szCs w:val="24"/>
                <w:highlight w:val="none"/>
              </w:rPr>
            </w:pPr>
          </w:p>
        </w:tc>
      </w:tr>
      <w:tr w14:paraId="189AB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7" w:hRule="atLeast"/>
          <w:jc w:val="center"/>
        </w:trPr>
        <w:tc>
          <w:tcPr>
            <w:tcW w:w="1900" w:type="dxa"/>
            <w:vAlign w:val="center"/>
          </w:tcPr>
          <w:p w14:paraId="1F41A6C8">
            <w:pPr>
              <w:spacing w:line="44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交货期</w:t>
            </w:r>
          </w:p>
        </w:tc>
        <w:tc>
          <w:tcPr>
            <w:tcW w:w="7600" w:type="dxa"/>
            <w:vAlign w:val="center"/>
          </w:tcPr>
          <w:p w14:paraId="5FF1032C">
            <w:pPr>
              <w:spacing w:line="440" w:lineRule="exact"/>
              <w:rPr>
                <w:rFonts w:ascii="仿宋" w:hAnsi="仿宋" w:eastAsia="仿宋" w:cs="仿宋"/>
                <w:color w:val="auto"/>
                <w:sz w:val="24"/>
                <w:szCs w:val="24"/>
                <w:highlight w:val="none"/>
                <w:u w:val="single"/>
              </w:rPr>
            </w:pPr>
          </w:p>
        </w:tc>
      </w:tr>
      <w:tr w14:paraId="26F1A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atLeast"/>
          <w:jc w:val="center"/>
        </w:trPr>
        <w:tc>
          <w:tcPr>
            <w:tcW w:w="1900" w:type="dxa"/>
            <w:vAlign w:val="center"/>
          </w:tcPr>
          <w:p w14:paraId="390BE6B8">
            <w:pPr>
              <w:spacing w:line="44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质量目标</w:t>
            </w:r>
          </w:p>
        </w:tc>
        <w:tc>
          <w:tcPr>
            <w:tcW w:w="7600" w:type="dxa"/>
            <w:vAlign w:val="center"/>
          </w:tcPr>
          <w:p w14:paraId="3D86612B">
            <w:pPr>
              <w:spacing w:line="440" w:lineRule="exact"/>
              <w:rPr>
                <w:rFonts w:ascii="仿宋" w:hAnsi="仿宋" w:eastAsia="仿宋" w:cs="仿宋"/>
                <w:color w:val="auto"/>
                <w:sz w:val="24"/>
                <w:szCs w:val="24"/>
                <w:highlight w:val="none"/>
              </w:rPr>
            </w:pPr>
          </w:p>
        </w:tc>
      </w:tr>
      <w:tr w14:paraId="59780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atLeast"/>
          <w:jc w:val="center"/>
        </w:trPr>
        <w:tc>
          <w:tcPr>
            <w:tcW w:w="1900" w:type="dxa"/>
            <w:vAlign w:val="center"/>
          </w:tcPr>
          <w:p w14:paraId="7FB23248">
            <w:pPr>
              <w:spacing w:line="44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质保期</w:t>
            </w:r>
          </w:p>
        </w:tc>
        <w:tc>
          <w:tcPr>
            <w:tcW w:w="7600" w:type="dxa"/>
            <w:vAlign w:val="center"/>
          </w:tcPr>
          <w:p w14:paraId="3BAC9DE5">
            <w:pPr>
              <w:spacing w:line="440" w:lineRule="exact"/>
              <w:rPr>
                <w:rFonts w:ascii="仿宋" w:hAnsi="仿宋" w:eastAsia="仿宋" w:cs="仿宋"/>
                <w:b/>
                <w:bCs/>
                <w:color w:val="auto"/>
                <w:sz w:val="24"/>
                <w:szCs w:val="24"/>
                <w:highlight w:val="none"/>
                <w:u w:val="single"/>
              </w:rPr>
            </w:pPr>
          </w:p>
        </w:tc>
      </w:tr>
      <w:tr w14:paraId="6CC66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atLeast"/>
          <w:jc w:val="center"/>
        </w:trPr>
        <w:tc>
          <w:tcPr>
            <w:tcW w:w="1900" w:type="dxa"/>
            <w:vAlign w:val="center"/>
          </w:tcPr>
          <w:p w14:paraId="0E3C3365">
            <w:pPr>
              <w:spacing w:line="44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投标报价</w:t>
            </w:r>
          </w:p>
        </w:tc>
        <w:tc>
          <w:tcPr>
            <w:tcW w:w="7600" w:type="dxa"/>
            <w:vAlign w:val="center"/>
          </w:tcPr>
          <w:p w14:paraId="04DBFA44">
            <w:pPr>
              <w:spacing w:line="440" w:lineRule="exact"/>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小写：</w:t>
            </w:r>
            <w:r>
              <w:rPr>
                <w:rFonts w:hint="eastAsia" w:ascii="仿宋" w:hAnsi="仿宋" w:eastAsia="仿宋" w:cs="仿宋"/>
                <w:color w:val="auto"/>
                <w:sz w:val="24"/>
                <w:szCs w:val="24"/>
                <w:highlight w:val="none"/>
                <w:u w:val="single"/>
              </w:rPr>
              <w:t xml:space="preserve">                     </w:t>
            </w:r>
          </w:p>
          <w:p w14:paraId="3D109783">
            <w:pPr>
              <w:spacing w:line="440" w:lineRule="exact"/>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大写：</w:t>
            </w:r>
            <w:r>
              <w:rPr>
                <w:rFonts w:hint="eastAsia" w:ascii="仿宋" w:hAnsi="仿宋" w:eastAsia="仿宋" w:cs="仿宋"/>
                <w:color w:val="auto"/>
                <w:sz w:val="24"/>
                <w:szCs w:val="24"/>
                <w:highlight w:val="none"/>
                <w:u w:val="single"/>
              </w:rPr>
              <w:t xml:space="preserve">                     </w:t>
            </w:r>
          </w:p>
          <w:p w14:paraId="08340452">
            <w:pPr>
              <w:spacing w:line="440" w:lineRule="exact"/>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（注：该报价含货物采购、运输、安装、调试及税费）</w:t>
            </w:r>
          </w:p>
        </w:tc>
      </w:tr>
      <w:tr w14:paraId="52D5A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jc w:val="center"/>
        </w:trPr>
        <w:tc>
          <w:tcPr>
            <w:tcW w:w="1900" w:type="dxa"/>
            <w:vAlign w:val="center"/>
          </w:tcPr>
          <w:p w14:paraId="5247BA20">
            <w:pPr>
              <w:spacing w:line="44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tc>
        <w:tc>
          <w:tcPr>
            <w:tcW w:w="7600" w:type="dxa"/>
          </w:tcPr>
          <w:p w14:paraId="357844A5">
            <w:pPr>
              <w:spacing w:line="440" w:lineRule="exact"/>
              <w:jc w:val="center"/>
              <w:rPr>
                <w:rFonts w:ascii="仿宋" w:hAnsi="仿宋" w:eastAsia="仿宋" w:cs="仿宋"/>
                <w:color w:val="auto"/>
                <w:sz w:val="24"/>
                <w:szCs w:val="24"/>
                <w:highlight w:val="none"/>
              </w:rPr>
            </w:pPr>
          </w:p>
        </w:tc>
      </w:tr>
    </w:tbl>
    <w:p w14:paraId="15126017">
      <w:pPr>
        <w:spacing w:line="360" w:lineRule="auto"/>
        <w:rPr>
          <w:rFonts w:ascii="仿宋" w:hAnsi="仿宋" w:eastAsia="仿宋" w:cs="仿宋"/>
          <w:color w:val="auto"/>
          <w:sz w:val="24"/>
          <w:szCs w:val="24"/>
          <w:highlight w:val="none"/>
        </w:rPr>
      </w:pPr>
    </w:p>
    <w:p w14:paraId="6670CEE7">
      <w:pPr>
        <w:spacing w:line="360" w:lineRule="auto"/>
        <w:rPr>
          <w:rFonts w:ascii="仿宋" w:hAnsi="仿宋" w:eastAsia="仿宋" w:cs="仿宋"/>
          <w:color w:val="auto"/>
          <w:sz w:val="24"/>
          <w:szCs w:val="24"/>
          <w:highlight w:val="none"/>
        </w:rPr>
      </w:pPr>
    </w:p>
    <w:p w14:paraId="264A03C0">
      <w:pPr>
        <w:spacing w:line="360" w:lineRule="auto"/>
        <w:rPr>
          <w:rFonts w:ascii="仿宋" w:hAnsi="仿宋" w:eastAsia="仿宋" w:cs="仿宋"/>
          <w:color w:val="auto"/>
          <w:sz w:val="24"/>
          <w:szCs w:val="24"/>
          <w:highlight w:val="none"/>
        </w:rPr>
      </w:pPr>
    </w:p>
    <w:p w14:paraId="5A759AC9">
      <w:pPr>
        <w:spacing w:line="440" w:lineRule="exact"/>
        <w:ind w:firstLine="4108" w:firstLineChars="1712"/>
        <w:rPr>
          <w:rFonts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投  标  人：</w:t>
      </w:r>
      <w:r>
        <w:rPr>
          <w:rFonts w:hint="eastAsia" w:ascii="仿宋" w:hAnsi="仿宋" w:eastAsia="仿宋" w:cs="Times New Roman"/>
          <w:color w:val="auto"/>
          <w:sz w:val="24"/>
          <w:szCs w:val="24"/>
          <w:highlight w:val="none"/>
          <w:u w:val="single"/>
        </w:rPr>
        <w:t xml:space="preserve">                </w:t>
      </w:r>
      <w:r>
        <w:rPr>
          <w:rFonts w:hint="eastAsia" w:ascii="仿宋" w:hAnsi="仿宋" w:eastAsia="仿宋" w:cs="Times New Roman"/>
          <w:color w:val="auto"/>
          <w:sz w:val="24"/>
          <w:szCs w:val="24"/>
          <w:highlight w:val="none"/>
        </w:rPr>
        <w:t>（盖单位公章）</w:t>
      </w:r>
    </w:p>
    <w:p w14:paraId="5DB2DB9F">
      <w:pPr>
        <w:spacing w:line="440" w:lineRule="exact"/>
        <w:ind w:firstLine="4108" w:firstLineChars="1712"/>
        <w:rPr>
          <w:rFonts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法定代表人：</w:t>
      </w:r>
      <w:r>
        <w:rPr>
          <w:rFonts w:hint="eastAsia" w:ascii="仿宋" w:hAnsi="仿宋" w:eastAsia="仿宋" w:cs="Times New Roman"/>
          <w:color w:val="auto"/>
          <w:sz w:val="24"/>
          <w:szCs w:val="24"/>
          <w:highlight w:val="none"/>
          <w:u w:val="single"/>
        </w:rPr>
        <w:t xml:space="preserve">                </w:t>
      </w:r>
      <w:r>
        <w:rPr>
          <w:rFonts w:hint="eastAsia" w:ascii="仿宋" w:hAnsi="仿宋" w:eastAsia="仿宋" w:cs="Times New Roman"/>
          <w:color w:val="auto"/>
          <w:sz w:val="24"/>
          <w:szCs w:val="24"/>
          <w:highlight w:val="none"/>
        </w:rPr>
        <w:t>（签字或盖章）</w:t>
      </w:r>
    </w:p>
    <w:p w14:paraId="257A53CE">
      <w:pPr>
        <w:spacing w:line="440" w:lineRule="exact"/>
        <w:ind w:firstLine="4108" w:firstLineChars="1712"/>
        <w:rPr>
          <w:rFonts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日      期：</w:t>
      </w:r>
      <w:r>
        <w:rPr>
          <w:rFonts w:hint="eastAsia" w:ascii="仿宋" w:hAnsi="仿宋" w:eastAsia="仿宋" w:cs="Times New Roman"/>
          <w:color w:val="auto"/>
          <w:sz w:val="24"/>
          <w:szCs w:val="24"/>
          <w:highlight w:val="none"/>
          <w:u w:val="single"/>
        </w:rPr>
        <w:t xml:space="preserve">      </w:t>
      </w:r>
      <w:r>
        <w:rPr>
          <w:rFonts w:hint="eastAsia" w:ascii="仿宋" w:hAnsi="仿宋" w:eastAsia="仿宋" w:cs="Times New Roman"/>
          <w:color w:val="auto"/>
          <w:sz w:val="24"/>
          <w:szCs w:val="24"/>
          <w:highlight w:val="none"/>
        </w:rPr>
        <w:t>年</w:t>
      </w:r>
      <w:r>
        <w:rPr>
          <w:rFonts w:hint="eastAsia" w:ascii="仿宋" w:hAnsi="仿宋" w:eastAsia="仿宋" w:cs="Times New Roman"/>
          <w:color w:val="auto"/>
          <w:sz w:val="24"/>
          <w:szCs w:val="24"/>
          <w:highlight w:val="none"/>
          <w:u w:val="single"/>
        </w:rPr>
        <w:t xml:space="preserve">   </w:t>
      </w:r>
      <w:r>
        <w:rPr>
          <w:rFonts w:hint="eastAsia" w:ascii="仿宋" w:hAnsi="仿宋" w:eastAsia="仿宋" w:cs="Times New Roman"/>
          <w:color w:val="auto"/>
          <w:sz w:val="24"/>
          <w:szCs w:val="24"/>
          <w:highlight w:val="none"/>
        </w:rPr>
        <w:t>月</w:t>
      </w:r>
      <w:r>
        <w:rPr>
          <w:rFonts w:hint="eastAsia" w:ascii="仿宋" w:hAnsi="仿宋" w:eastAsia="仿宋" w:cs="Times New Roman"/>
          <w:color w:val="auto"/>
          <w:sz w:val="24"/>
          <w:szCs w:val="24"/>
          <w:highlight w:val="none"/>
          <w:u w:val="single"/>
        </w:rPr>
        <w:t xml:space="preserve">   </w:t>
      </w:r>
      <w:r>
        <w:rPr>
          <w:rFonts w:hint="eastAsia" w:ascii="仿宋" w:hAnsi="仿宋" w:eastAsia="仿宋" w:cs="Times New Roman"/>
          <w:color w:val="auto"/>
          <w:sz w:val="24"/>
          <w:szCs w:val="24"/>
          <w:highlight w:val="none"/>
        </w:rPr>
        <w:t>日</w:t>
      </w:r>
    </w:p>
    <w:p w14:paraId="75E8058D">
      <w:pPr>
        <w:numPr>
          <w:ilvl w:val="0"/>
          <w:numId w:val="4"/>
        </w:numPr>
        <w:spacing w:before="100" w:beforeAutospacing="1" w:after="100" w:afterAutospacing="1" w:line="440" w:lineRule="exact"/>
        <w:jc w:val="center"/>
        <w:rPr>
          <w:rFonts w:ascii="仿宋" w:hAnsi="仿宋" w:eastAsia="仿宋" w:cs="仿宋"/>
          <w:color w:val="auto"/>
          <w:kern w:val="1"/>
          <w:sz w:val="24"/>
          <w:szCs w:val="24"/>
          <w:highlight w:val="none"/>
          <w:u w:val="single"/>
        </w:rPr>
      </w:pPr>
      <w:r>
        <w:rPr>
          <w:rFonts w:ascii="仿宋" w:hAnsi="仿宋" w:eastAsia="仿宋" w:cs="仿宋"/>
          <w:color w:val="auto"/>
          <w:kern w:val="1"/>
          <w:sz w:val="24"/>
          <w:szCs w:val="24"/>
          <w:highlight w:val="none"/>
          <w:u w:val="single"/>
        </w:rPr>
        <w:br w:type="page"/>
      </w:r>
    </w:p>
    <w:p w14:paraId="1E16E111">
      <w:pPr>
        <w:pStyle w:val="21"/>
        <w:numPr>
          <w:ilvl w:val="0"/>
          <w:numId w:val="5"/>
        </w:numPr>
        <w:spacing w:afterLines="100" w:line="440" w:lineRule="exact"/>
        <w:rPr>
          <w:rFonts w:hint="eastAsia" w:ascii="仿宋" w:hAnsi="仿宋" w:eastAsia="仿宋"/>
          <w:color w:val="auto"/>
          <w:highlight w:val="none"/>
          <w:lang w:val="zh-CN"/>
        </w:rPr>
      </w:pPr>
      <w:r>
        <w:rPr>
          <w:rFonts w:hint="eastAsia" w:ascii="仿宋" w:hAnsi="仿宋" w:eastAsia="仿宋"/>
          <w:color w:val="auto"/>
          <w:highlight w:val="none"/>
          <w:lang w:val="zh-CN"/>
        </w:rPr>
        <w:t>分项报价明细表</w:t>
      </w:r>
    </w:p>
    <w:tbl>
      <w:tblPr>
        <w:tblStyle w:val="15"/>
        <w:tblpPr w:leftFromText="180" w:rightFromText="180" w:vertAnchor="text" w:horzAnchor="page" w:tblpX="1757" w:tblpY="112"/>
        <w:tblOverlap w:val="never"/>
        <w:tblW w:w="880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462"/>
        <w:gridCol w:w="1875"/>
        <w:gridCol w:w="785"/>
        <w:gridCol w:w="738"/>
        <w:gridCol w:w="727"/>
        <w:gridCol w:w="970"/>
        <w:gridCol w:w="1338"/>
        <w:gridCol w:w="1299"/>
        <w:gridCol w:w="614"/>
      </w:tblGrid>
      <w:tr w14:paraId="62EC5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00"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16BC9">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序号</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52E01">
            <w:pPr>
              <w:keepNext w:val="0"/>
              <w:keepLines w:val="0"/>
              <w:widowControl/>
              <w:suppressLineNumbers w:val="0"/>
              <w:jc w:val="center"/>
              <w:textAlignment w:val="center"/>
              <w:rPr>
                <w:rFonts w:hint="default"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标的名称（货物名称）</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9D4D4">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数量</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F7644">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单位</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5C35B">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FA1CC">
            <w:pPr>
              <w:keepNext w:val="0"/>
              <w:keepLines w:val="0"/>
              <w:widowControl/>
              <w:suppressLineNumbers w:val="0"/>
              <w:jc w:val="center"/>
              <w:textAlignment w:val="center"/>
              <w:rPr>
                <w:rFonts w:hint="default"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型号</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24718">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单价（元）</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061BC">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小计（元）</w:t>
            </w: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34AC9">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备注</w:t>
            </w:r>
          </w:p>
        </w:tc>
      </w:tr>
      <w:tr w14:paraId="72AB6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173" w:hRule="atLeast"/>
        </w:trPr>
        <w:tc>
          <w:tcPr>
            <w:tcW w:w="462" w:type="dxa"/>
            <w:tcBorders>
              <w:top w:val="single" w:color="000000" w:sz="4" w:space="0"/>
              <w:left w:val="single" w:color="000000" w:sz="4" w:space="0"/>
              <w:bottom w:val="single" w:color="auto" w:sz="4" w:space="0"/>
              <w:right w:val="single" w:color="000000" w:sz="4" w:space="0"/>
            </w:tcBorders>
            <w:shd w:val="clear" w:color="auto" w:fill="auto"/>
            <w:vAlign w:val="center"/>
          </w:tcPr>
          <w:p w14:paraId="4EB7AF9E">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1875" w:type="dxa"/>
            <w:tcBorders>
              <w:top w:val="single" w:color="000000" w:sz="4" w:space="0"/>
              <w:left w:val="single" w:color="000000" w:sz="4" w:space="0"/>
              <w:bottom w:val="single" w:color="auto" w:sz="4" w:space="0"/>
              <w:right w:val="single" w:color="000000" w:sz="4" w:space="0"/>
            </w:tcBorders>
            <w:shd w:val="clear" w:color="auto" w:fill="auto"/>
            <w:vAlign w:val="center"/>
          </w:tcPr>
          <w:p w14:paraId="6B210DD9">
            <w:pPr>
              <w:keepNext w:val="0"/>
              <w:keepLines w:val="0"/>
              <w:widowControl/>
              <w:suppressLineNumbers w:val="0"/>
              <w:jc w:val="center"/>
              <w:textAlignment w:val="center"/>
              <w:rPr>
                <w:rFonts w:ascii="仿宋" w:hAnsi="仿宋" w:eastAsia="仿宋" w:cs="仿宋"/>
                <w:i w:val="0"/>
                <w:color w:val="auto"/>
                <w:sz w:val="21"/>
                <w:szCs w:val="21"/>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4EBE6">
            <w:pPr>
              <w:keepNext w:val="0"/>
              <w:keepLines w:val="0"/>
              <w:widowControl/>
              <w:suppressLineNumbers w:val="0"/>
              <w:jc w:val="center"/>
              <w:textAlignment w:val="center"/>
              <w:rPr>
                <w:rFonts w:hint="eastAsia" w:ascii="仿宋" w:hAnsi="仿宋" w:eastAsia="仿宋" w:cs="仿宋"/>
                <w:i w:val="0"/>
                <w:color w:val="auto"/>
                <w:kern w:val="2"/>
                <w:sz w:val="21"/>
                <w:szCs w:val="21"/>
                <w:highlight w:val="none"/>
                <w:u w:val="none"/>
                <w:lang w:val="en-US" w:eastAsia="zh-CN" w:bidi="ar-SA"/>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E281D">
            <w:pPr>
              <w:keepNext w:val="0"/>
              <w:keepLines w:val="0"/>
              <w:widowControl/>
              <w:suppressLineNumbers w:val="0"/>
              <w:jc w:val="center"/>
              <w:textAlignment w:val="center"/>
              <w:rPr>
                <w:rFonts w:hint="default" w:ascii="仿宋" w:hAnsi="仿宋" w:eastAsia="仿宋" w:cs="仿宋"/>
                <w:i w:val="0"/>
                <w:color w:val="auto"/>
                <w:kern w:val="0"/>
                <w:sz w:val="21"/>
                <w:szCs w:val="21"/>
                <w:highlight w:val="none"/>
                <w:u w:val="none"/>
                <w:lang w:val="en-US" w:eastAsia="zh-CN" w:bidi="ar"/>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3D916">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9BBB4">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0EEED">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D7671">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BBD13">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p>
        </w:tc>
      </w:tr>
      <w:tr w14:paraId="483A2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3" w:hRule="atLeast"/>
        </w:trPr>
        <w:tc>
          <w:tcPr>
            <w:tcW w:w="462" w:type="dxa"/>
            <w:tcBorders>
              <w:top w:val="single" w:color="auto" w:sz="4" w:space="0"/>
              <w:left w:val="single" w:color="000000" w:sz="4" w:space="0"/>
              <w:bottom w:val="single" w:color="auto" w:sz="4" w:space="0"/>
              <w:right w:val="single" w:color="000000" w:sz="4" w:space="0"/>
            </w:tcBorders>
            <w:shd w:val="clear" w:color="auto" w:fill="auto"/>
            <w:vAlign w:val="center"/>
          </w:tcPr>
          <w:p w14:paraId="134BE994">
            <w:pPr>
              <w:keepNext w:val="0"/>
              <w:keepLines w:val="0"/>
              <w:widowControl/>
              <w:suppressLineNumbers w:val="0"/>
              <w:jc w:val="center"/>
              <w:textAlignment w:val="center"/>
              <w:rPr>
                <w:rFonts w:hint="default" w:ascii="宋体" w:hAnsi="宋体" w:eastAsia="宋体" w:cs="宋体"/>
                <w:i w:val="0"/>
                <w:color w:val="auto"/>
                <w:sz w:val="21"/>
                <w:szCs w:val="21"/>
                <w:highlight w:val="none"/>
                <w:u w:val="none"/>
                <w:lang w:val="en-US"/>
              </w:rPr>
            </w:pPr>
            <w:r>
              <w:rPr>
                <w:rFonts w:hint="eastAsia" w:ascii="宋体" w:hAnsi="宋体" w:cs="宋体"/>
                <w:i w:val="0"/>
                <w:color w:val="auto"/>
                <w:kern w:val="0"/>
                <w:sz w:val="21"/>
                <w:szCs w:val="21"/>
                <w:highlight w:val="none"/>
                <w:u w:val="none"/>
                <w:lang w:val="en-US" w:eastAsia="zh-CN" w:bidi="ar"/>
              </w:rPr>
              <w:t>...</w:t>
            </w:r>
          </w:p>
        </w:tc>
        <w:tc>
          <w:tcPr>
            <w:tcW w:w="1875" w:type="dxa"/>
            <w:tcBorders>
              <w:top w:val="single" w:color="auto" w:sz="4" w:space="0"/>
              <w:left w:val="single" w:color="000000" w:sz="4" w:space="0"/>
              <w:bottom w:val="single" w:color="auto" w:sz="4" w:space="0"/>
              <w:right w:val="single" w:color="000000" w:sz="4" w:space="0"/>
            </w:tcBorders>
            <w:shd w:val="clear" w:color="auto" w:fill="auto"/>
            <w:vAlign w:val="center"/>
          </w:tcPr>
          <w:p w14:paraId="0A2E9042">
            <w:pPr>
              <w:keepNext w:val="0"/>
              <w:keepLines w:val="0"/>
              <w:widowControl/>
              <w:suppressLineNumbers w:val="0"/>
              <w:jc w:val="center"/>
              <w:textAlignment w:val="center"/>
              <w:rPr>
                <w:rFonts w:hint="eastAsia" w:ascii="仿宋" w:hAnsi="仿宋" w:eastAsia="仿宋" w:cs="仿宋"/>
                <w:i w:val="0"/>
                <w:color w:val="auto"/>
                <w:sz w:val="21"/>
                <w:szCs w:val="21"/>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4CEEB">
            <w:pPr>
              <w:keepNext w:val="0"/>
              <w:keepLines w:val="0"/>
              <w:widowControl/>
              <w:suppressLineNumbers w:val="0"/>
              <w:jc w:val="center"/>
              <w:textAlignment w:val="center"/>
              <w:rPr>
                <w:rFonts w:hint="eastAsia" w:ascii="仿宋" w:hAnsi="仿宋" w:eastAsia="仿宋" w:cs="仿宋"/>
                <w:i w:val="0"/>
                <w:color w:val="auto"/>
                <w:kern w:val="2"/>
                <w:sz w:val="21"/>
                <w:szCs w:val="21"/>
                <w:highlight w:val="none"/>
                <w:u w:val="none"/>
                <w:lang w:val="en-US" w:eastAsia="zh-CN" w:bidi="ar-SA"/>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0AF59">
            <w:pPr>
              <w:keepNext w:val="0"/>
              <w:keepLines w:val="0"/>
              <w:widowControl/>
              <w:suppressLineNumbers w:val="0"/>
              <w:jc w:val="center"/>
              <w:textAlignment w:val="center"/>
              <w:rPr>
                <w:rFonts w:hint="default" w:ascii="仿宋" w:hAnsi="仿宋" w:eastAsia="仿宋" w:cs="仿宋"/>
                <w:i w:val="0"/>
                <w:color w:val="auto"/>
                <w:kern w:val="0"/>
                <w:sz w:val="21"/>
                <w:szCs w:val="21"/>
                <w:highlight w:val="none"/>
                <w:u w:val="none"/>
                <w:lang w:val="en-US" w:eastAsia="zh-CN" w:bidi="ar"/>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C4010">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A0A76">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76E37">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DC4B6">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0400C">
            <w:pPr>
              <w:keepNext w:val="0"/>
              <w:keepLines w:val="0"/>
              <w:widowControl/>
              <w:suppressLineNumbers w:val="0"/>
              <w:jc w:val="center"/>
              <w:textAlignment w:val="center"/>
              <w:rPr>
                <w:rFonts w:hint="eastAsia" w:ascii="仿宋" w:hAnsi="仿宋" w:eastAsia="仿宋" w:cs="仿宋"/>
                <w:i w:val="0"/>
                <w:color w:val="auto"/>
                <w:kern w:val="0"/>
                <w:sz w:val="21"/>
                <w:szCs w:val="21"/>
                <w:highlight w:val="none"/>
                <w:u w:val="none"/>
                <w:lang w:val="en-US" w:eastAsia="zh-CN" w:bidi="ar"/>
              </w:rPr>
            </w:pPr>
          </w:p>
        </w:tc>
      </w:tr>
      <w:tr w14:paraId="78B76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89" w:hRule="atLeast"/>
        </w:trPr>
        <w:tc>
          <w:tcPr>
            <w:tcW w:w="3122" w:type="dxa"/>
            <w:gridSpan w:val="3"/>
            <w:tcBorders>
              <w:top w:val="single" w:color="auto" w:sz="4" w:space="0"/>
              <w:left w:val="single" w:color="000000" w:sz="4" w:space="0"/>
              <w:bottom w:val="single" w:color="000000" w:sz="4" w:space="0"/>
              <w:right w:val="single" w:color="000000" w:sz="4" w:space="0"/>
            </w:tcBorders>
            <w:shd w:val="clear" w:color="auto" w:fill="auto"/>
            <w:vAlign w:val="center"/>
          </w:tcPr>
          <w:p w14:paraId="769C9F19">
            <w:pPr>
              <w:keepNext w:val="0"/>
              <w:keepLines w:val="0"/>
              <w:widowControl/>
              <w:suppressLineNumbers w:val="0"/>
              <w:jc w:val="center"/>
              <w:textAlignment w:val="center"/>
              <w:rPr>
                <w:rStyle w:val="31"/>
                <w:rFonts w:cs="Times New Roman"/>
                <w:color w:val="auto"/>
                <w:sz w:val="21"/>
                <w:szCs w:val="21"/>
                <w:highlight w:val="none"/>
                <w:lang w:val="en-US" w:eastAsia="zh-CN" w:bidi="ar"/>
              </w:rPr>
            </w:pPr>
            <w:r>
              <w:rPr>
                <w:rStyle w:val="31"/>
                <w:color w:val="auto"/>
                <w:sz w:val="21"/>
                <w:szCs w:val="21"/>
                <w:highlight w:val="none"/>
                <w:lang w:val="en-US" w:eastAsia="zh-CN" w:bidi="ar"/>
              </w:rPr>
              <w:t>总报价</w:t>
            </w:r>
          </w:p>
        </w:tc>
        <w:tc>
          <w:tcPr>
            <w:tcW w:w="568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B35A10A">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大写：</w:t>
            </w:r>
          </w:p>
          <w:p w14:paraId="13770C84">
            <w:pPr>
              <w:keepNext w:val="0"/>
              <w:keepLines w:val="0"/>
              <w:widowControl/>
              <w:suppressLineNumbers w:val="0"/>
              <w:jc w:val="both"/>
              <w:textAlignment w:val="center"/>
              <w:rPr>
                <w:rFonts w:hint="eastAsia" w:ascii="仿宋" w:hAnsi="仿宋" w:eastAsia="仿宋" w:cs="仿宋"/>
                <w:i w:val="0"/>
                <w:color w:val="auto"/>
                <w:kern w:val="0"/>
                <w:sz w:val="21"/>
                <w:szCs w:val="21"/>
                <w:highlight w:val="none"/>
                <w:u w:val="none"/>
                <w:lang w:val="en-US" w:eastAsia="zh-CN" w:bidi="ar"/>
              </w:rPr>
            </w:pPr>
            <w:r>
              <w:rPr>
                <w:rFonts w:hint="eastAsia" w:ascii="仿宋" w:hAnsi="仿宋" w:eastAsia="仿宋" w:cs="仿宋"/>
                <w:i w:val="0"/>
                <w:color w:val="auto"/>
                <w:kern w:val="0"/>
                <w:sz w:val="21"/>
                <w:szCs w:val="21"/>
                <w:highlight w:val="none"/>
                <w:u w:val="none"/>
                <w:lang w:val="en-US" w:eastAsia="zh-CN" w:bidi="ar"/>
              </w:rPr>
              <w:t>小写：</w:t>
            </w:r>
          </w:p>
        </w:tc>
      </w:tr>
    </w:tbl>
    <w:p w14:paraId="635AC9A7">
      <w:pPr>
        <w:pStyle w:val="21"/>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outlineLvl w:val="9"/>
        <w:rPr>
          <w:rFonts w:hint="eastAsia" w:ascii="仿宋" w:hAnsi="仿宋" w:eastAsia="仿宋"/>
          <w:color w:val="auto"/>
          <w:highlight w:val="none"/>
          <w:lang w:val="zh-CN"/>
        </w:rPr>
      </w:pPr>
    </w:p>
    <w:p w14:paraId="4187683B">
      <w:pPr>
        <w:spacing w:line="440" w:lineRule="exact"/>
        <w:rPr>
          <w:rFonts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注：上述报价含货物、运输、安装、调试、培训、税费等一切费用。</w:t>
      </w:r>
    </w:p>
    <w:p w14:paraId="3BBEFA06">
      <w:pPr>
        <w:spacing w:line="440" w:lineRule="exact"/>
        <w:ind w:firstLine="4108" w:firstLineChars="1712"/>
        <w:rPr>
          <w:rFonts w:ascii="仿宋" w:hAnsi="仿宋" w:eastAsia="仿宋" w:cs="Times New Roman"/>
          <w:color w:val="auto"/>
          <w:sz w:val="24"/>
          <w:szCs w:val="24"/>
          <w:highlight w:val="none"/>
        </w:rPr>
      </w:pPr>
    </w:p>
    <w:p w14:paraId="3B612764">
      <w:pPr>
        <w:spacing w:line="440" w:lineRule="exact"/>
        <w:ind w:firstLine="4108" w:firstLineChars="1712"/>
        <w:rPr>
          <w:rFonts w:ascii="仿宋" w:hAnsi="仿宋" w:eastAsia="仿宋" w:cs="Times New Roman"/>
          <w:color w:val="auto"/>
          <w:sz w:val="24"/>
          <w:szCs w:val="24"/>
          <w:highlight w:val="none"/>
        </w:rPr>
      </w:pPr>
    </w:p>
    <w:p w14:paraId="1CB28668">
      <w:pPr>
        <w:spacing w:line="360" w:lineRule="auto"/>
        <w:rPr>
          <w:rFonts w:ascii="仿宋" w:hAnsi="仿宋" w:eastAsia="仿宋" w:cs="仿宋"/>
          <w:color w:val="auto"/>
          <w:sz w:val="24"/>
          <w:szCs w:val="24"/>
          <w:highlight w:val="none"/>
        </w:rPr>
      </w:pPr>
    </w:p>
    <w:p w14:paraId="7648C763">
      <w:pPr>
        <w:spacing w:line="440" w:lineRule="exact"/>
        <w:ind w:firstLine="4108" w:firstLineChars="1712"/>
        <w:rPr>
          <w:rFonts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投  标  人：</w:t>
      </w:r>
      <w:r>
        <w:rPr>
          <w:rFonts w:hint="eastAsia" w:ascii="仿宋" w:hAnsi="仿宋" w:eastAsia="仿宋" w:cs="Times New Roman"/>
          <w:color w:val="auto"/>
          <w:sz w:val="24"/>
          <w:szCs w:val="24"/>
          <w:highlight w:val="none"/>
          <w:u w:val="single"/>
        </w:rPr>
        <w:t xml:space="preserve">                </w:t>
      </w:r>
      <w:r>
        <w:rPr>
          <w:rFonts w:hint="eastAsia" w:ascii="仿宋" w:hAnsi="仿宋" w:eastAsia="仿宋" w:cs="Times New Roman"/>
          <w:color w:val="auto"/>
          <w:sz w:val="24"/>
          <w:szCs w:val="24"/>
          <w:highlight w:val="none"/>
        </w:rPr>
        <w:t>（盖单位公章）</w:t>
      </w:r>
    </w:p>
    <w:p w14:paraId="7CC61395">
      <w:pPr>
        <w:spacing w:line="440" w:lineRule="exact"/>
        <w:ind w:firstLine="4108" w:firstLineChars="1712"/>
        <w:rPr>
          <w:rFonts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法定代表人：</w:t>
      </w:r>
      <w:r>
        <w:rPr>
          <w:rFonts w:hint="eastAsia" w:ascii="仿宋" w:hAnsi="仿宋" w:eastAsia="仿宋" w:cs="Times New Roman"/>
          <w:color w:val="auto"/>
          <w:sz w:val="24"/>
          <w:szCs w:val="24"/>
          <w:highlight w:val="none"/>
          <w:u w:val="single"/>
        </w:rPr>
        <w:t xml:space="preserve">                </w:t>
      </w:r>
      <w:r>
        <w:rPr>
          <w:rFonts w:hint="eastAsia" w:ascii="仿宋" w:hAnsi="仿宋" w:eastAsia="仿宋" w:cs="Times New Roman"/>
          <w:color w:val="auto"/>
          <w:sz w:val="24"/>
          <w:szCs w:val="24"/>
          <w:highlight w:val="none"/>
        </w:rPr>
        <w:t>（签字或盖章）</w:t>
      </w:r>
    </w:p>
    <w:p w14:paraId="22915A2E">
      <w:pPr>
        <w:spacing w:line="440" w:lineRule="exact"/>
        <w:ind w:firstLine="4108" w:firstLineChars="1712"/>
        <w:rPr>
          <w:rFonts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日      期：</w:t>
      </w:r>
      <w:r>
        <w:rPr>
          <w:rFonts w:hint="eastAsia" w:ascii="仿宋" w:hAnsi="仿宋" w:eastAsia="仿宋" w:cs="Times New Roman"/>
          <w:color w:val="auto"/>
          <w:sz w:val="24"/>
          <w:szCs w:val="24"/>
          <w:highlight w:val="none"/>
          <w:u w:val="single"/>
        </w:rPr>
        <w:t xml:space="preserve">      </w:t>
      </w:r>
      <w:r>
        <w:rPr>
          <w:rFonts w:hint="eastAsia" w:ascii="仿宋" w:hAnsi="仿宋" w:eastAsia="仿宋" w:cs="Times New Roman"/>
          <w:color w:val="auto"/>
          <w:sz w:val="24"/>
          <w:szCs w:val="24"/>
          <w:highlight w:val="none"/>
        </w:rPr>
        <w:t>年</w:t>
      </w:r>
      <w:r>
        <w:rPr>
          <w:rFonts w:hint="eastAsia" w:ascii="仿宋" w:hAnsi="仿宋" w:eastAsia="仿宋" w:cs="Times New Roman"/>
          <w:color w:val="auto"/>
          <w:sz w:val="24"/>
          <w:szCs w:val="24"/>
          <w:highlight w:val="none"/>
          <w:u w:val="single"/>
        </w:rPr>
        <w:t xml:space="preserve">   </w:t>
      </w:r>
      <w:r>
        <w:rPr>
          <w:rFonts w:hint="eastAsia" w:ascii="仿宋" w:hAnsi="仿宋" w:eastAsia="仿宋" w:cs="Times New Roman"/>
          <w:color w:val="auto"/>
          <w:sz w:val="24"/>
          <w:szCs w:val="24"/>
          <w:highlight w:val="none"/>
        </w:rPr>
        <w:t>月</w:t>
      </w:r>
      <w:r>
        <w:rPr>
          <w:rFonts w:hint="eastAsia" w:ascii="仿宋" w:hAnsi="仿宋" w:eastAsia="仿宋" w:cs="Times New Roman"/>
          <w:color w:val="auto"/>
          <w:sz w:val="24"/>
          <w:szCs w:val="24"/>
          <w:highlight w:val="none"/>
          <w:u w:val="single"/>
        </w:rPr>
        <w:t xml:space="preserve">   </w:t>
      </w:r>
      <w:r>
        <w:rPr>
          <w:rFonts w:hint="eastAsia" w:ascii="仿宋" w:hAnsi="仿宋" w:eastAsia="仿宋" w:cs="Times New Roman"/>
          <w:color w:val="auto"/>
          <w:sz w:val="24"/>
          <w:szCs w:val="24"/>
          <w:highlight w:val="none"/>
        </w:rPr>
        <w:t>日</w:t>
      </w:r>
    </w:p>
    <w:p w14:paraId="4531A774">
      <w:pPr>
        <w:numPr>
          <w:ilvl w:val="0"/>
          <w:numId w:val="4"/>
        </w:numPr>
        <w:spacing w:before="100" w:beforeAutospacing="1" w:after="100" w:afterAutospacing="1" w:line="440" w:lineRule="exact"/>
        <w:jc w:val="center"/>
        <w:rPr>
          <w:rFonts w:ascii="仿宋" w:hAnsi="仿宋" w:eastAsia="仿宋" w:cs="仿宋"/>
          <w:color w:val="auto"/>
          <w:kern w:val="1"/>
          <w:sz w:val="24"/>
          <w:szCs w:val="24"/>
          <w:highlight w:val="none"/>
          <w:u w:val="single"/>
        </w:rPr>
      </w:pPr>
      <w:r>
        <w:rPr>
          <w:rFonts w:ascii="仿宋" w:hAnsi="仿宋" w:eastAsia="仿宋" w:cs="仿宋"/>
          <w:color w:val="auto"/>
          <w:kern w:val="1"/>
          <w:sz w:val="24"/>
          <w:szCs w:val="24"/>
          <w:highlight w:val="none"/>
          <w:u w:val="single"/>
        </w:rPr>
        <w:br w:type="page"/>
      </w:r>
    </w:p>
    <w:p w14:paraId="7BC4BCBB">
      <w:pPr>
        <w:spacing w:before="100" w:beforeAutospacing="1" w:after="100" w:afterAutospacing="1" w:line="440" w:lineRule="exact"/>
        <w:jc w:val="center"/>
        <w:rPr>
          <w:rFonts w:ascii="仿宋" w:hAnsi="仿宋" w:eastAsia="仿宋" w:cs="宋体"/>
          <w:color w:val="auto"/>
          <w:sz w:val="28"/>
          <w:szCs w:val="20"/>
          <w:highlight w:val="none"/>
          <w:lang w:val="zh-CN"/>
        </w:rPr>
      </w:pPr>
      <w:r>
        <w:rPr>
          <w:rFonts w:hint="eastAsia" w:ascii="仿宋" w:hAnsi="仿宋" w:eastAsia="仿宋" w:cs="宋体"/>
          <w:color w:val="auto"/>
          <w:sz w:val="28"/>
          <w:szCs w:val="20"/>
          <w:highlight w:val="none"/>
          <w:lang w:val="en-US" w:eastAsia="zh-CN"/>
        </w:rPr>
        <w:t>四</w:t>
      </w:r>
      <w:r>
        <w:rPr>
          <w:rFonts w:hint="eastAsia" w:ascii="仿宋" w:hAnsi="仿宋" w:eastAsia="仿宋" w:cs="宋体"/>
          <w:color w:val="auto"/>
          <w:sz w:val="28"/>
          <w:szCs w:val="20"/>
          <w:highlight w:val="none"/>
          <w:lang w:val="zh-CN"/>
        </w:rPr>
        <w:t>、法定代表人身份证明</w:t>
      </w:r>
    </w:p>
    <w:p w14:paraId="499516B4">
      <w:pPr>
        <w:spacing w:line="440" w:lineRule="exact"/>
        <w:rPr>
          <w:rFonts w:ascii="仿宋" w:hAnsi="仿宋" w:eastAsia="仿宋" w:cs="Times New Roman"/>
          <w:color w:val="auto"/>
          <w:sz w:val="24"/>
          <w:szCs w:val="24"/>
          <w:highlight w:val="none"/>
        </w:rPr>
      </w:pPr>
      <w:r>
        <w:rPr>
          <w:rFonts w:ascii="仿宋" w:hAnsi="仿宋" w:eastAsia="仿宋" w:cs="Times New Roman"/>
          <w:color w:val="auto"/>
          <w:sz w:val="24"/>
          <w:szCs w:val="24"/>
          <w:highlight w:val="none"/>
        </w:rPr>
        <w:t>投标人名称：</w:t>
      </w:r>
      <w:r>
        <w:rPr>
          <w:rFonts w:ascii="仿宋" w:hAnsi="仿宋" w:eastAsia="仿宋" w:cs="Times New Roman"/>
          <w:color w:val="auto"/>
          <w:sz w:val="24"/>
          <w:szCs w:val="24"/>
          <w:highlight w:val="none"/>
          <w:u w:val="single"/>
        </w:rPr>
        <w:t xml:space="preserve">                            </w:t>
      </w:r>
      <w:r>
        <w:rPr>
          <w:rFonts w:ascii="仿宋" w:hAnsi="仿宋" w:eastAsia="仿宋" w:cs="Times New Roman"/>
          <w:color w:val="auto"/>
          <w:sz w:val="24"/>
          <w:szCs w:val="24"/>
          <w:highlight w:val="none"/>
        </w:rPr>
        <w:t xml:space="preserve"> </w:t>
      </w:r>
    </w:p>
    <w:p w14:paraId="1FB8B234">
      <w:pPr>
        <w:spacing w:line="440" w:lineRule="exact"/>
        <w:rPr>
          <w:rFonts w:ascii="仿宋" w:hAnsi="仿宋" w:eastAsia="仿宋" w:cs="Times New Roman"/>
          <w:color w:val="auto"/>
          <w:sz w:val="24"/>
          <w:szCs w:val="24"/>
          <w:highlight w:val="none"/>
        </w:rPr>
      </w:pPr>
      <w:r>
        <w:rPr>
          <w:rFonts w:ascii="仿宋" w:hAnsi="仿宋" w:eastAsia="仿宋" w:cs="Times New Roman"/>
          <w:color w:val="auto"/>
          <w:sz w:val="24"/>
          <w:szCs w:val="24"/>
          <w:highlight w:val="none"/>
        </w:rPr>
        <w:t>单位性质：</w:t>
      </w:r>
      <w:r>
        <w:rPr>
          <w:rFonts w:ascii="仿宋" w:hAnsi="仿宋" w:eastAsia="仿宋" w:cs="Times New Roman"/>
          <w:color w:val="auto"/>
          <w:sz w:val="24"/>
          <w:szCs w:val="24"/>
          <w:highlight w:val="none"/>
          <w:u w:val="single"/>
        </w:rPr>
        <w:t xml:space="preserve">                               </w:t>
      </w:r>
      <w:r>
        <w:rPr>
          <w:rFonts w:ascii="仿宋" w:hAnsi="仿宋" w:eastAsia="仿宋" w:cs="Times New Roman"/>
          <w:color w:val="auto"/>
          <w:sz w:val="24"/>
          <w:szCs w:val="24"/>
          <w:highlight w:val="none"/>
        </w:rPr>
        <w:t xml:space="preserve"> </w:t>
      </w:r>
    </w:p>
    <w:p w14:paraId="3916822A">
      <w:pPr>
        <w:spacing w:line="440" w:lineRule="exact"/>
        <w:rPr>
          <w:rFonts w:ascii="仿宋" w:hAnsi="仿宋" w:eastAsia="仿宋" w:cs="Times New Roman"/>
          <w:color w:val="auto"/>
          <w:sz w:val="24"/>
          <w:szCs w:val="24"/>
          <w:highlight w:val="none"/>
        </w:rPr>
      </w:pPr>
      <w:r>
        <w:rPr>
          <w:rFonts w:ascii="仿宋" w:hAnsi="仿宋" w:eastAsia="仿宋" w:cs="Times New Roman"/>
          <w:color w:val="auto"/>
          <w:sz w:val="24"/>
          <w:szCs w:val="24"/>
          <w:highlight w:val="none"/>
        </w:rPr>
        <w:t>地址：</w:t>
      </w:r>
      <w:r>
        <w:rPr>
          <w:rFonts w:ascii="仿宋" w:hAnsi="仿宋" w:eastAsia="仿宋" w:cs="Times New Roman"/>
          <w:color w:val="auto"/>
          <w:sz w:val="24"/>
          <w:szCs w:val="24"/>
          <w:highlight w:val="none"/>
          <w:u w:val="single"/>
        </w:rPr>
        <w:t xml:space="preserve">                                   </w:t>
      </w:r>
    </w:p>
    <w:p w14:paraId="542B62AC">
      <w:pPr>
        <w:spacing w:line="440" w:lineRule="exact"/>
        <w:rPr>
          <w:rFonts w:ascii="仿宋" w:hAnsi="仿宋" w:eastAsia="仿宋" w:cs="Times New Roman"/>
          <w:color w:val="auto"/>
          <w:sz w:val="24"/>
          <w:szCs w:val="24"/>
          <w:highlight w:val="none"/>
        </w:rPr>
      </w:pPr>
      <w:r>
        <w:rPr>
          <w:rFonts w:ascii="仿宋" w:hAnsi="仿宋" w:eastAsia="仿宋" w:cs="Times New Roman"/>
          <w:color w:val="auto"/>
          <w:sz w:val="24"/>
          <w:szCs w:val="24"/>
          <w:highlight w:val="none"/>
        </w:rPr>
        <w:t>成立时间：</w:t>
      </w:r>
      <w:r>
        <w:rPr>
          <w:rFonts w:ascii="仿宋" w:hAnsi="仿宋" w:eastAsia="仿宋" w:cs="Times New Roman"/>
          <w:color w:val="auto"/>
          <w:sz w:val="24"/>
          <w:szCs w:val="24"/>
          <w:highlight w:val="none"/>
          <w:u w:val="single"/>
        </w:rPr>
        <w:t xml:space="preserve">         </w:t>
      </w:r>
      <w:r>
        <w:rPr>
          <w:rFonts w:ascii="仿宋" w:hAnsi="仿宋" w:eastAsia="仿宋" w:cs="Times New Roman"/>
          <w:color w:val="auto"/>
          <w:sz w:val="24"/>
          <w:szCs w:val="24"/>
          <w:highlight w:val="none"/>
        </w:rPr>
        <w:t>年</w:t>
      </w:r>
      <w:r>
        <w:rPr>
          <w:rFonts w:ascii="仿宋" w:hAnsi="仿宋" w:eastAsia="仿宋" w:cs="Times New Roman"/>
          <w:color w:val="auto"/>
          <w:sz w:val="24"/>
          <w:szCs w:val="24"/>
          <w:highlight w:val="none"/>
          <w:u w:val="single"/>
        </w:rPr>
        <w:t xml:space="preserve">       </w:t>
      </w:r>
      <w:r>
        <w:rPr>
          <w:rFonts w:ascii="仿宋" w:hAnsi="仿宋" w:eastAsia="仿宋" w:cs="Times New Roman"/>
          <w:color w:val="auto"/>
          <w:sz w:val="24"/>
          <w:szCs w:val="24"/>
          <w:highlight w:val="none"/>
        </w:rPr>
        <w:t>月</w:t>
      </w:r>
      <w:r>
        <w:rPr>
          <w:rFonts w:ascii="仿宋" w:hAnsi="仿宋" w:eastAsia="仿宋" w:cs="Times New Roman"/>
          <w:color w:val="auto"/>
          <w:sz w:val="24"/>
          <w:szCs w:val="24"/>
          <w:highlight w:val="none"/>
          <w:u w:val="single"/>
        </w:rPr>
        <w:t xml:space="preserve">       </w:t>
      </w:r>
      <w:r>
        <w:rPr>
          <w:rFonts w:ascii="仿宋" w:hAnsi="仿宋" w:eastAsia="仿宋" w:cs="Times New Roman"/>
          <w:color w:val="auto"/>
          <w:sz w:val="24"/>
          <w:szCs w:val="24"/>
          <w:highlight w:val="none"/>
        </w:rPr>
        <w:t>日</w:t>
      </w:r>
    </w:p>
    <w:p w14:paraId="6FB29825">
      <w:pPr>
        <w:spacing w:line="440" w:lineRule="exact"/>
        <w:rPr>
          <w:rFonts w:ascii="仿宋" w:hAnsi="仿宋" w:eastAsia="仿宋" w:cs="Times New Roman"/>
          <w:color w:val="auto"/>
          <w:sz w:val="24"/>
          <w:szCs w:val="24"/>
          <w:highlight w:val="none"/>
        </w:rPr>
      </w:pPr>
      <w:r>
        <w:rPr>
          <w:rFonts w:ascii="仿宋" w:hAnsi="仿宋" w:eastAsia="仿宋" w:cs="Times New Roman"/>
          <w:color w:val="auto"/>
          <w:sz w:val="24"/>
          <w:szCs w:val="24"/>
          <w:highlight w:val="none"/>
        </w:rPr>
        <w:t>经营期限：</w:t>
      </w:r>
      <w:r>
        <w:rPr>
          <w:rFonts w:ascii="仿宋" w:hAnsi="仿宋" w:eastAsia="仿宋" w:cs="Times New Roman"/>
          <w:color w:val="auto"/>
          <w:sz w:val="24"/>
          <w:szCs w:val="24"/>
          <w:highlight w:val="none"/>
          <w:u w:val="single"/>
        </w:rPr>
        <w:t xml:space="preserve">                               </w:t>
      </w:r>
    </w:p>
    <w:p w14:paraId="6873A9C2">
      <w:pPr>
        <w:spacing w:line="440" w:lineRule="exact"/>
        <w:rPr>
          <w:rFonts w:ascii="仿宋" w:hAnsi="仿宋" w:eastAsia="仿宋" w:cs="Times New Roman"/>
          <w:color w:val="auto"/>
          <w:sz w:val="24"/>
          <w:szCs w:val="24"/>
          <w:highlight w:val="none"/>
        </w:rPr>
      </w:pPr>
    </w:p>
    <w:p w14:paraId="55551BC0">
      <w:pPr>
        <w:spacing w:line="440" w:lineRule="exact"/>
        <w:rPr>
          <w:rFonts w:ascii="仿宋" w:hAnsi="仿宋" w:eastAsia="仿宋" w:cs="Times New Roman"/>
          <w:color w:val="auto"/>
          <w:sz w:val="24"/>
          <w:szCs w:val="24"/>
          <w:highlight w:val="none"/>
        </w:rPr>
      </w:pPr>
      <w:r>
        <w:rPr>
          <w:rFonts w:ascii="仿宋" w:hAnsi="仿宋" w:eastAsia="仿宋" w:cs="Times New Roman"/>
          <w:color w:val="auto"/>
          <w:sz w:val="24"/>
          <w:szCs w:val="24"/>
          <w:highlight w:val="none"/>
        </w:rPr>
        <w:t>姓名：</w:t>
      </w:r>
      <w:r>
        <w:rPr>
          <w:rFonts w:ascii="仿宋" w:hAnsi="仿宋" w:eastAsia="仿宋" w:cs="Times New Roman"/>
          <w:color w:val="auto"/>
          <w:sz w:val="24"/>
          <w:szCs w:val="24"/>
          <w:highlight w:val="none"/>
          <w:u w:val="single"/>
        </w:rPr>
        <w:t xml:space="preserve">        </w:t>
      </w:r>
      <w:r>
        <w:rPr>
          <w:rFonts w:ascii="仿宋" w:hAnsi="仿宋" w:eastAsia="仿宋" w:cs="Times New Roman"/>
          <w:color w:val="auto"/>
          <w:sz w:val="24"/>
          <w:szCs w:val="24"/>
          <w:highlight w:val="none"/>
        </w:rPr>
        <w:t xml:space="preserve"> 性别：</w:t>
      </w:r>
      <w:r>
        <w:rPr>
          <w:rFonts w:ascii="仿宋" w:hAnsi="仿宋" w:eastAsia="仿宋" w:cs="Times New Roman"/>
          <w:color w:val="auto"/>
          <w:sz w:val="24"/>
          <w:szCs w:val="24"/>
          <w:highlight w:val="none"/>
          <w:u w:val="single"/>
        </w:rPr>
        <w:t xml:space="preserve">         </w:t>
      </w:r>
      <w:r>
        <w:rPr>
          <w:rFonts w:ascii="仿宋" w:hAnsi="仿宋" w:eastAsia="仿宋" w:cs="Times New Roman"/>
          <w:color w:val="auto"/>
          <w:sz w:val="24"/>
          <w:szCs w:val="24"/>
          <w:highlight w:val="none"/>
        </w:rPr>
        <w:t xml:space="preserve"> 年龄：</w:t>
      </w:r>
      <w:r>
        <w:rPr>
          <w:rFonts w:ascii="仿宋" w:hAnsi="仿宋" w:eastAsia="仿宋" w:cs="Times New Roman"/>
          <w:color w:val="auto"/>
          <w:sz w:val="24"/>
          <w:szCs w:val="24"/>
          <w:highlight w:val="none"/>
          <w:u w:val="single"/>
        </w:rPr>
        <w:t xml:space="preserve">        </w:t>
      </w:r>
      <w:r>
        <w:rPr>
          <w:rFonts w:ascii="仿宋" w:hAnsi="仿宋" w:eastAsia="仿宋" w:cs="Times New Roman"/>
          <w:color w:val="auto"/>
          <w:sz w:val="24"/>
          <w:szCs w:val="24"/>
          <w:highlight w:val="none"/>
        </w:rPr>
        <w:t>职务：</w:t>
      </w:r>
      <w:r>
        <w:rPr>
          <w:rFonts w:ascii="仿宋" w:hAnsi="仿宋" w:eastAsia="仿宋" w:cs="Times New Roman"/>
          <w:color w:val="auto"/>
          <w:sz w:val="24"/>
          <w:szCs w:val="24"/>
          <w:highlight w:val="none"/>
          <w:u w:val="single"/>
        </w:rPr>
        <w:t xml:space="preserve">        </w:t>
      </w:r>
    </w:p>
    <w:p w14:paraId="69E6468A">
      <w:pPr>
        <w:spacing w:line="440" w:lineRule="exact"/>
        <w:rPr>
          <w:rFonts w:ascii="仿宋" w:hAnsi="仿宋" w:eastAsia="仿宋" w:cs="Times New Roman"/>
          <w:color w:val="auto"/>
          <w:sz w:val="24"/>
          <w:szCs w:val="24"/>
          <w:highlight w:val="none"/>
        </w:rPr>
      </w:pPr>
      <w:r>
        <w:rPr>
          <w:rFonts w:ascii="仿宋" w:hAnsi="仿宋" w:eastAsia="仿宋" w:cs="Times New Roman"/>
          <w:color w:val="auto"/>
          <w:sz w:val="24"/>
          <w:szCs w:val="24"/>
          <w:highlight w:val="none"/>
        </w:rPr>
        <w:t>系</w:t>
      </w:r>
      <w:r>
        <w:rPr>
          <w:rFonts w:ascii="仿宋" w:hAnsi="仿宋" w:eastAsia="仿宋" w:cs="Times New Roman"/>
          <w:color w:val="auto"/>
          <w:sz w:val="24"/>
          <w:szCs w:val="24"/>
          <w:highlight w:val="none"/>
          <w:u w:val="single"/>
        </w:rPr>
        <w:t xml:space="preserve">                             </w:t>
      </w:r>
      <w:r>
        <w:rPr>
          <w:rFonts w:ascii="仿宋" w:hAnsi="仿宋" w:eastAsia="仿宋" w:cs="Times New Roman"/>
          <w:color w:val="auto"/>
          <w:sz w:val="24"/>
          <w:szCs w:val="24"/>
          <w:highlight w:val="none"/>
        </w:rPr>
        <w:t xml:space="preserve"> </w:t>
      </w:r>
      <w:r>
        <w:rPr>
          <w:rFonts w:hint="eastAsia" w:ascii="仿宋" w:hAnsi="仿宋" w:eastAsia="仿宋" w:cs="Times New Roman"/>
          <w:color w:val="auto"/>
          <w:sz w:val="24"/>
          <w:szCs w:val="24"/>
          <w:highlight w:val="none"/>
        </w:rPr>
        <w:t>（</w:t>
      </w:r>
      <w:r>
        <w:rPr>
          <w:rFonts w:ascii="仿宋" w:hAnsi="仿宋" w:eastAsia="仿宋" w:cs="Times New Roman"/>
          <w:color w:val="auto"/>
          <w:sz w:val="24"/>
          <w:szCs w:val="24"/>
          <w:highlight w:val="none"/>
        </w:rPr>
        <w:t>投标人名称</w:t>
      </w:r>
      <w:r>
        <w:rPr>
          <w:rFonts w:hint="eastAsia" w:ascii="仿宋" w:hAnsi="仿宋" w:eastAsia="仿宋" w:cs="Times New Roman"/>
          <w:color w:val="auto"/>
          <w:sz w:val="24"/>
          <w:szCs w:val="24"/>
          <w:highlight w:val="none"/>
        </w:rPr>
        <w:t>）</w:t>
      </w:r>
      <w:r>
        <w:rPr>
          <w:rFonts w:ascii="仿宋" w:hAnsi="仿宋" w:eastAsia="仿宋" w:cs="Times New Roman"/>
          <w:color w:val="auto"/>
          <w:sz w:val="24"/>
          <w:szCs w:val="24"/>
          <w:highlight w:val="none"/>
        </w:rPr>
        <w:t>的法定代表人。</w:t>
      </w:r>
    </w:p>
    <w:p w14:paraId="161EA72B">
      <w:pPr>
        <w:spacing w:line="440" w:lineRule="exact"/>
        <w:ind w:firstLine="480" w:firstLineChars="200"/>
        <w:rPr>
          <w:rFonts w:ascii="仿宋" w:hAnsi="仿宋" w:eastAsia="仿宋" w:cs="Times New Roman"/>
          <w:color w:val="auto"/>
          <w:sz w:val="24"/>
          <w:szCs w:val="24"/>
          <w:highlight w:val="none"/>
        </w:rPr>
      </w:pPr>
      <w:r>
        <w:rPr>
          <w:rFonts w:ascii="仿宋" w:hAnsi="仿宋" w:eastAsia="仿宋" w:cs="Times New Roman"/>
          <w:color w:val="auto"/>
          <w:sz w:val="24"/>
          <w:szCs w:val="24"/>
          <w:highlight w:val="none"/>
        </w:rPr>
        <w:t>特此证明。</w:t>
      </w:r>
    </w:p>
    <w:p w14:paraId="5BCF90B2">
      <w:pPr>
        <w:spacing w:line="440" w:lineRule="exact"/>
        <w:rPr>
          <w:rFonts w:ascii="仿宋" w:hAnsi="仿宋" w:eastAsia="仿宋" w:cs="Times New Roman"/>
          <w:color w:val="auto"/>
          <w:sz w:val="24"/>
          <w:szCs w:val="24"/>
          <w:highlight w:val="none"/>
        </w:rPr>
      </w:pPr>
    </w:p>
    <w:p w14:paraId="56F84EA7">
      <w:pPr>
        <w:spacing w:line="440" w:lineRule="exact"/>
        <w:rPr>
          <w:rFonts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附：法定代表人身份证复印件。</w:t>
      </w:r>
    </w:p>
    <w:p w14:paraId="5D5BDFCE">
      <w:pPr>
        <w:spacing w:line="440" w:lineRule="exact"/>
        <w:rPr>
          <w:rFonts w:ascii="仿宋" w:hAnsi="仿宋" w:eastAsia="仿宋" w:cs="Times New Roman"/>
          <w:color w:val="auto"/>
          <w:sz w:val="24"/>
          <w:szCs w:val="24"/>
          <w:highlight w:val="none"/>
        </w:rPr>
      </w:pPr>
    </w:p>
    <w:p w14:paraId="5C6D5FCE">
      <w:pPr>
        <w:spacing w:line="440" w:lineRule="exact"/>
        <w:rPr>
          <w:rFonts w:ascii="仿宋" w:hAnsi="仿宋" w:eastAsia="仿宋" w:cs="Times New Roman"/>
          <w:color w:val="auto"/>
          <w:sz w:val="24"/>
          <w:szCs w:val="24"/>
          <w:highlight w:val="none"/>
        </w:rPr>
      </w:pPr>
    </w:p>
    <w:p w14:paraId="276D178E">
      <w:pPr>
        <w:spacing w:line="440" w:lineRule="exact"/>
        <w:rPr>
          <w:rFonts w:ascii="仿宋" w:hAnsi="仿宋" w:eastAsia="仿宋" w:cs="Times New Roman"/>
          <w:color w:val="auto"/>
          <w:sz w:val="24"/>
          <w:szCs w:val="24"/>
          <w:highlight w:val="none"/>
        </w:rPr>
      </w:pPr>
    </w:p>
    <w:p w14:paraId="64D09865">
      <w:pPr>
        <w:spacing w:line="440" w:lineRule="exact"/>
        <w:rPr>
          <w:rFonts w:ascii="仿宋" w:hAnsi="仿宋" w:eastAsia="仿宋" w:cs="Times New Roman"/>
          <w:color w:val="auto"/>
          <w:sz w:val="24"/>
          <w:szCs w:val="24"/>
          <w:highlight w:val="none"/>
        </w:rPr>
      </w:pPr>
    </w:p>
    <w:p w14:paraId="4E67BAA4">
      <w:pPr>
        <w:spacing w:line="440" w:lineRule="exact"/>
        <w:rPr>
          <w:rFonts w:ascii="仿宋" w:hAnsi="仿宋" w:eastAsia="仿宋" w:cs="Times New Roman"/>
          <w:color w:val="auto"/>
          <w:sz w:val="24"/>
          <w:szCs w:val="24"/>
          <w:highlight w:val="none"/>
        </w:rPr>
      </w:pPr>
    </w:p>
    <w:p w14:paraId="06A268FF">
      <w:pPr>
        <w:spacing w:line="440" w:lineRule="exact"/>
        <w:rPr>
          <w:rFonts w:ascii="仿宋" w:hAnsi="仿宋" w:eastAsia="仿宋" w:cs="Times New Roman"/>
          <w:color w:val="auto"/>
          <w:sz w:val="24"/>
          <w:szCs w:val="24"/>
          <w:highlight w:val="none"/>
        </w:rPr>
      </w:pPr>
    </w:p>
    <w:p w14:paraId="32F597FF">
      <w:pPr>
        <w:spacing w:line="440" w:lineRule="exact"/>
        <w:rPr>
          <w:rFonts w:ascii="仿宋" w:hAnsi="仿宋" w:eastAsia="仿宋" w:cs="Times New Roman"/>
          <w:color w:val="auto"/>
          <w:sz w:val="24"/>
          <w:szCs w:val="24"/>
          <w:highlight w:val="none"/>
        </w:rPr>
      </w:pPr>
      <w:r>
        <w:rPr>
          <w:rFonts w:ascii="仿宋" w:hAnsi="仿宋" w:eastAsia="仿宋" w:cs="Times New Roman"/>
          <w:color w:val="auto"/>
          <w:sz w:val="24"/>
          <w:szCs w:val="24"/>
          <w:highlight w:val="none"/>
        </w:rPr>
        <w:t xml:space="preserve">                          投标人：</w:t>
      </w:r>
      <w:r>
        <w:rPr>
          <w:rFonts w:ascii="仿宋" w:hAnsi="仿宋" w:eastAsia="仿宋" w:cs="Times New Roman"/>
          <w:color w:val="auto"/>
          <w:sz w:val="24"/>
          <w:szCs w:val="24"/>
          <w:highlight w:val="none"/>
          <w:u w:val="single"/>
        </w:rPr>
        <w:t xml:space="preserve">                 </w:t>
      </w:r>
      <w:r>
        <w:rPr>
          <w:rFonts w:ascii="仿宋" w:hAnsi="仿宋" w:eastAsia="仿宋" w:cs="Times New Roman"/>
          <w:color w:val="auto"/>
          <w:sz w:val="24"/>
          <w:szCs w:val="24"/>
          <w:highlight w:val="none"/>
        </w:rPr>
        <w:t>（</w:t>
      </w:r>
      <w:r>
        <w:rPr>
          <w:rFonts w:hint="eastAsia" w:ascii="仿宋" w:hAnsi="仿宋" w:eastAsia="仿宋" w:cs="Times New Roman"/>
          <w:color w:val="auto"/>
          <w:sz w:val="24"/>
          <w:szCs w:val="24"/>
          <w:highlight w:val="none"/>
        </w:rPr>
        <w:t>公章</w:t>
      </w:r>
      <w:r>
        <w:rPr>
          <w:rFonts w:ascii="仿宋" w:hAnsi="仿宋" w:eastAsia="仿宋" w:cs="Times New Roman"/>
          <w:color w:val="auto"/>
          <w:sz w:val="24"/>
          <w:szCs w:val="24"/>
          <w:highlight w:val="none"/>
        </w:rPr>
        <w:t>）</w:t>
      </w:r>
    </w:p>
    <w:p w14:paraId="39318F8A">
      <w:pPr>
        <w:widowControl/>
        <w:autoSpaceDE w:val="0"/>
        <w:autoSpaceDN w:val="0"/>
        <w:adjustRightInd w:val="0"/>
        <w:spacing w:line="440" w:lineRule="exact"/>
        <w:rPr>
          <w:rFonts w:ascii="仿宋" w:hAnsi="仿宋" w:eastAsia="仿宋" w:cs="Times New Roman"/>
          <w:color w:val="auto"/>
          <w:kern w:val="1"/>
          <w:sz w:val="24"/>
          <w:szCs w:val="24"/>
          <w:highlight w:val="none"/>
        </w:rPr>
      </w:pPr>
      <w:r>
        <w:rPr>
          <w:rFonts w:ascii="仿宋" w:hAnsi="仿宋" w:eastAsia="仿宋" w:cs="Times New Roman"/>
          <w:color w:val="auto"/>
          <w:sz w:val="24"/>
          <w:szCs w:val="24"/>
          <w:highlight w:val="none"/>
        </w:rPr>
        <w:t xml:space="preserve">                                </w:t>
      </w:r>
      <w:r>
        <w:rPr>
          <w:rFonts w:ascii="仿宋" w:hAnsi="仿宋" w:eastAsia="仿宋" w:cs="Times New Roman"/>
          <w:color w:val="auto"/>
          <w:sz w:val="24"/>
          <w:szCs w:val="24"/>
          <w:highlight w:val="none"/>
          <w:u w:val="single"/>
        </w:rPr>
        <w:t xml:space="preserve">         </w:t>
      </w:r>
      <w:r>
        <w:rPr>
          <w:rFonts w:ascii="仿宋" w:hAnsi="仿宋" w:eastAsia="仿宋" w:cs="Times New Roman"/>
          <w:color w:val="auto"/>
          <w:sz w:val="24"/>
          <w:szCs w:val="24"/>
          <w:highlight w:val="none"/>
        </w:rPr>
        <w:t>年</w:t>
      </w:r>
      <w:r>
        <w:rPr>
          <w:rFonts w:ascii="仿宋" w:hAnsi="仿宋" w:eastAsia="仿宋" w:cs="Times New Roman"/>
          <w:color w:val="auto"/>
          <w:sz w:val="24"/>
          <w:szCs w:val="24"/>
          <w:highlight w:val="none"/>
          <w:u w:val="single"/>
        </w:rPr>
        <w:t xml:space="preserve">      </w:t>
      </w:r>
      <w:r>
        <w:rPr>
          <w:rFonts w:ascii="仿宋" w:hAnsi="仿宋" w:eastAsia="仿宋" w:cs="Times New Roman"/>
          <w:color w:val="auto"/>
          <w:sz w:val="24"/>
          <w:szCs w:val="24"/>
          <w:highlight w:val="none"/>
        </w:rPr>
        <w:t>月</w:t>
      </w:r>
      <w:r>
        <w:rPr>
          <w:rFonts w:ascii="仿宋" w:hAnsi="仿宋" w:eastAsia="仿宋" w:cs="Times New Roman"/>
          <w:color w:val="auto"/>
          <w:sz w:val="24"/>
          <w:szCs w:val="24"/>
          <w:highlight w:val="none"/>
          <w:u w:val="single"/>
        </w:rPr>
        <w:t xml:space="preserve">   </w:t>
      </w:r>
      <w:r>
        <w:rPr>
          <w:rFonts w:ascii="仿宋" w:hAnsi="仿宋" w:eastAsia="仿宋" w:cs="Times New Roman"/>
          <w:color w:val="auto"/>
          <w:sz w:val="24"/>
          <w:szCs w:val="24"/>
          <w:highlight w:val="none"/>
        </w:rPr>
        <w:t xml:space="preserve"> 日</w:t>
      </w:r>
    </w:p>
    <w:p w14:paraId="1ADE6B17">
      <w:pPr>
        <w:spacing w:before="100" w:beforeAutospacing="1" w:after="100" w:afterAutospacing="1" w:line="440" w:lineRule="exact"/>
        <w:jc w:val="left"/>
        <w:rPr>
          <w:rFonts w:ascii="仿宋" w:hAnsi="仿宋" w:eastAsia="仿宋" w:cs="仿宋"/>
          <w:color w:val="auto"/>
          <w:kern w:val="1"/>
          <w:sz w:val="24"/>
          <w:szCs w:val="24"/>
          <w:highlight w:val="none"/>
        </w:rPr>
      </w:pPr>
    </w:p>
    <w:p w14:paraId="6356FE00">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注：1、法定代表人参加本次投标的应签署本文件并附本人身份证复印件；</w:t>
      </w:r>
    </w:p>
    <w:p w14:paraId="21455976">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2、如法定代表人不参加本次投标，应签署《法定代表人授权委托书》。</w:t>
      </w:r>
    </w:p>
    <w:p w14:paraId="735CC3AB">
      <w:pPr>
        <w:spacing w:before="100" w:beforeAutospacing="1" w:after="100" w:afterAutospacing="1" w:line="440" w:lineRule="exact"/>
        <w:jc w:val="left"/>
        <w:rPr>
          <w:rFonts w:ascii="仿宋" w:hAnsi="仿宋" w:eastAsia="仿宋" w:cs="仿宋"/>
          <w:color w:val="auto"/>
          <w:kern w:val="1"/>
          <w:sz w:val="24"/>
          <w:szCs w:val="24"/>
          <w:highlight w:val="none"/>
        </w:rPr>
      </w:pPr>
    </w:p>
    <w:p w14:paraId="48B7FEA4">
      <w:pPr>
        <w:widowControl/>
        <w:autoSpaceDE w:val="0"/>
        <w:autoSpaceDN w:val="0"/>
        <w:adjustRightInd w:val="0"/>
        <w:spacing w:line="440" w:lineRule="exact"/>
        <w:jc w:val="center"/>
        <w:rPr>
          <w:rFonts w:ascii="仿宋" w:hAnsi="仿宋" w:eastAsia="仿宋" w:cs="仿宋"/>
          <w:color w:val="auto"/>
          <w:kern w:val="1"/>
          <w:sz w:val="28"/>
          <w:szCs w:val="28"/>
          <w:highlight w:val="none"/>
        </w:rPr>
      </w:pPr>
      <w:r>
        <w:rPr>
          <w:rFonts w:hint="eastAsia" w:ascii="仿宋" w:hAnsi="仿宋" w:eastAsia="仿宋" w:cs="仿宋"/>
          <w:color w:val="auto"/>
          <w:kern w:val="1"/>
          <w:sz w:val="28"/>
          <w:szCs w:val="28"/>
          <w:highlight w:val="none"/>
        </w:rPr>
        <w:br w:type="page"/>
      </w:r>
    </w:p>
    <w:p w14:paraId="2ABEBF6B">
      <w:pPr>
        <w:widowControl/>
        <w:autoSpaceDE w:val="0"/>
        <w:autoSpaceDN w:val="0"/>
        <w:adjustRightInd w:val="0"/>
        <w:spacing w:line="440" w:lineRule="exact"/>
        <w:jc w:val="center"/>
        <w:rPr>
          <w:rFonts w:ascii="仿宋" w:hAnsi="仿宋" w:eastAsia="仿宋" w:cs="Times New Roman"/>
          <w:color w:val="auto"/>
          <w:kern w:val="1"/>
          <w:sz w:val="28"/>
          <w:szCs w:val="28"/>
          <w:highlight w:val="none"/>
        </w:rPr>
      </w:pPr>
      <w:r>
        <w:rPr>
          <w:rFonts w:hint="eastAsia" w:ascii="仿宋" w:hAnsi="仿宋" w:eastAsia="仿宋" w:cs="仿宋"/>
          <w:color w:val="auto"/>
          <w:kern w:val="1"/>
          <w:sz w:val="28"/>
          <w:szCs w:val="28"/>
          <w:highlight w:val="none"/>
        </w:rPr>
        <w:t>五</w:t>
      </w:r>
      <w:r>
        <w:rPr>
          <w:rFonts w:hint="eastAsia" w:ascii="仿宋" w:hAnsi="仿宋" w:eastAsia="仿宋" w:cs="仿宋"/>
          <w:color w:val="auto"/>
          <w:kern w:val="1"/>
          <w:sz w:val="24"/>
          <w:szCs w:val="24"/>
          <w:highlight w:val="none"/>
        </w:rPr>
        <w:t>、</w:t>
      </w:r>
      <w:r>
        <w:rPr>
          <w:rFonts w:hint="eastAsia" w:ascii="仿宋" w:hAnsi="仿宋" w:eastAsia="仿宋" w:cs="宋体"/>
          <w:color w:val="auto"/>
          <w:kern w:val="1"/>
          <w:sz w:val="28"/>
          <w:szCs w:val="28"/>
          <w:highlight w:val="none"/>
        </w:rPr>
        <w:t>法定代表人授权委托书</w:t>
      </w:r>
    </w:p>
    <w:p w14:paraId="34E4CFB0">
      <w:pPr>
        <w:widowControl/>
        <w:autoSpaceDE w:val="0"/>
        <w:autoSpaceDN w:val="0"/>
        <w:adjustRightInd w:val="0"/>
        <w:spacing w:line="440" w:lineRule="exact"/>
        <w:rPr>
          <w:rFonts w:ascii="仿宋" w:hAnsi="仿宋" w:eastAsia="仿宋" w:cs="Times New Roman"/>
          <w:color w:val="auto"/>
          <w:kern w:val="1"/>
          <w:sz w:val="24"/>
          <w:szCs w:val="24"/>
          <w:highlight w:val="none"/>
        </w:rPr>
      </w:pPr>
    </w:p>
    <w:p w14:paraId="6D0C9F19">
      <w:pPr>
        <w:widowControl/>
        <w:autoSpaceDE w:val="0"/>
        <w:autoSpaceDN w:val="0"/>
        <w:adjustRightInd w:val="0"/>
        <w:spacing w:line="440" w:lineRule="exact"/>
        <w:rPr>
          <w:rFonts w:ascii="仿宋" w:hAnsi="仿宋" w:eastAsia="仿宋" w:cs="Times New Roman"/>
          <w:color w:val="auto"/>
          <w:kern w:val="1"/>
          <w:sz w:val="24"/>
          <w:szCs w:val="24"/>
          <w:highlight w:val="none"/>
        </w:rPr>
      </w:pPr>
      <w:r>
        <w:rPr>
          <w:rFonts w:ascii="仿宋" w:hAnsi="仿宋" w:eastAsia="仿宋" w:cs="仿宋"/>
          <w:color w:val="auto"/>
          <w:kern w:val="1"/>
          <w:sz w:val="24"/>
          <w:szCs w:val="24"/>
          <w:highlight w:val="none"/>
          <w:u w:val="single"/>
        </w:rPr>
        <w:t xml:space="preserve">   </w:t>
      </w:r>
      <w:r>
        <w:rPr>
          <w:rFonts w:hint="eastAsia" w:ascii="仿宋" w:hAnsi="仿宋" w:eastAsia="仿宋" w:cs="仿宋"/>
          <w:color w:val="auto"/>
          <w:kern w:val="1"/>
          <w:sz w:val="24"/>
          <w:szCs w:val="24"/>
          <w:highlight w:val="none"/>
          <w:u w:val="single"/>
        </w:rPr>
        <w:t>（采购人）</w:t>
      </w:r>
      <w:r>
        <w:rPr>
          <w:rFonts w:ascii="仿宋" w:hAnsi="仿宋" w:eastAsia="仿宋" w:cs="仿宋"/>
          <w:color w:val="auto"/>
          <w:kern w:val="1"/>
          <w:sz w:val="24"/>
          <w:szCs w:val="24"/>
          <w:highlight w:val="none"/>
          <w:u w:val="single"/>
        </w:rPr>
        <w:t xml:space="preserve">  </w:t>
      </w:r>
      <w:r>
        <w:rPr>
          <w:rStyle w:val="20"/>
          <w:rFonts w:hint="eastAsia" w:cs="Times New Roman"/>
          <w:color w:val="auto"/>
          <w:sz w:val="24"/>
          <w:szCs w:val="24"/>
          <w:highlight w:val="none"/>
        </w:rPr>
        <w:t>：</w:t>
      </w:r>
    </w:p>
    <w:p w14:paraId="47B8CC08">
      <w:pPr>
        <w:widowControl/>
        <w:autoSpaceDE w:val="0"/>
        <w:autoSpaceDN w:val="0"/>
        <w:adjustRightInd w:val="0"/>
        <w:spacing w:line="440" w:lineRule="exact"/>
        <w:ind w:firstLine="480"/>
        <w:rPr>
          <w:rFonts w:ascii="仿宋" w:hAnsi="仿宋" w:eastAsia="仿宋" w:cs="Times New Roman"/>
          <w:color w:val="auto"/>
          <w:kern w:val="1"/>
          <w:sz w:val="24"/>
          <w:szCs w:val="24"/>
          <w:highlight w:val="none"/>
        </w:rPr>
      </w:pPr>
      <w:r>
        <w:rPr>
          <w:rStyle w:val="20"/>
          <w:rFonts w:hint="eastAsia" w:cs="Times New Roman"/>
          <w:color w:val="auto"/>
          <w:sz w:val="24"/>
          <w:szCs w:val="24"/>
          <w:highlight w:val="none"/>
        </w:rPr>
        <w:t>我</w:t>
      </w:r>
      <w:r>
        <w:rPr>
          <w:rFonts w:ascii="仿宋" w:hAnsi="仿宋" w:eastAsia="仿宋" w:cs="仿宋"/>
          <w:color w:val="auto"/>
          <w:kern w:val="1"/>
          <w:sz w:val="24"/>
          <w:szCs w:val="24"/>
          <w:highlight w:val="none"/>
          <w:u w:val="single"/>
        </w:rPr>
        <w:t xml:space="preserve">   </w:t>
      </w:r>
      <w:r>
        <w:rPr>
          <w:rFonts w:hint="eastAsia" w:ascii="仿宋" w:hAnsi="仿宋" w:eastAsia="仿宋" w:cs="仿宋"/>
          <w:color w:val="auto"/>
          <w:kern w:val="1"/>
          <w:sz w:val="24"/>
          <w:szCs w:val="24"/>
          <w:highlight w:val="none"/>
          <w:u w:val="single"/>
        </w:rPr>
        <w:t>（姓名）</w:t>
      </w:r>
      <w:r>
        <w:rPr>
          <w:rFonts w:ascii="仿宋" w:hAnsi="仿宋" w:eastAsia="仿宋" w:cs="仿宋"/>
          <w:color w:val="auto"/>
          <w:kern w:val="1"/>
          <w:sz w:val="24"/>
          <w:szCs w:val="24"/>
          <w:highlight w:val="none"/>
          <w:u w:val="single"/>
        </w:rPr>
        <w:t xml:space="preserve"> </w:t>
      </w:r>
      <w:r>
        <w:rPr>
          <w:rStyle w:val="20"/>
          <w:rFonts w:hint="eastAsia" w:cs="Times New Roman"/>
          <w:color w:val="auto"/>
          <w:sz w:val="24"/>
          <w:szCs w:val="24"/>
          <w:highlight w:val="none"/>
        </w:rPr>
        <w:t>系</w:t>
      </w:r>
      <w:r>
        <w:rPr>
          <w:rFonts w:ascii="仿宋" w:hAnsi="仿宋" w:eastAsia="仿宋" w:cs="仿宋"/>
          <w:color w:val="auto"/>
          <w:kern w:val="1"/>
          <w:sz w:val="24"/>
          <w:szCs w:val="24"/>
          <w:highlight w:val="none"/>
          <w:u w:val="single"/>
        </w:rPr>
        <w:t xml:space="preserve">    </w:t>
      </w:r>
      <w:r>
        <w:rPr>
          <w:rFonts w:hint="eastAsia" w:ascii="仿宋" w:hAnsi="仿宋" w:eastAsia="仿宋" w:cs="仿宋"/>
          <w:color w:val="auto"/>
          <w:kern w:val="1"/>
          <w:sz w:val="24"/>
          <w:szCs w:val="24"/>
          <w:highlight w:val="none"/>
          <w:u w:val="single"/>
        </w:rPr>
        <w:t>（投标人名称）</w:t>
      </w:r>
      <w:r>
        <w:rPr>
          <w:rStyle w:val="20"/>
          <w:rFonts w:hint="eastAsia" w:cs="Times New Roman"/>
          <w:color w:val="auto"/>
          <w:sz w:val="24"/>
          <w:szCs w:val="24"/>
          <w:highlight w:val="none"/>
        </w:rPr>
        <w:t>法定代表人，现授权委托我公司的</w:t>
      </w:r>
      <w:r>
        <w:rPr>
          <w:rFonts w:ascii="仿宋" w:hAnsi="仿宋" w:eastAsia="仿宋" w:cs="仿宋"/>
          <w:color w:val="auto"/>
          <w:kern w:val="1"/>
          <w:sz w:val="24"/>
          <w:szCs w:val="24"/>
          <w:highlight w:val="none"/>
          <w:u w:val="single"/>
        </w:rPr>
        <w:t xml:space="preserve">  </w:t>
      </w:r>
      <w:r>
        <w:rPr>
          <w:rFonts w:hint="eastAsia" w:ascii="仿宋" w:hAnsi="仿宋" w:eastAsia="仿宋" w:cs="仿宋"/>
          <w:color w:val="auto"/>
          <w:kern w:val="1"/>
          <w:sz w:val="24"/>
          <w:szCs w:val="24"/>
          <w:highlight w:val="none"/>
          <w:u w:val="single"/>
        </w:rPr>
        <w:t>（姓名、职务或者职称）</w:t>
      </w:r>
      <w:r>
        <w:rPr>
          <w:rStyle w:val="20"/>
          <w:rFonts w:hint="eastAsia" w:cs="Times New Roman"/>
          <w:color w:val="auto"/>
          <w:sz w:val="24"/>
          <w:szCs w:val="24"/>
          <w:highlight w:val="none"/>
        </w:rPr>
        <w:t>为我公司本次</w:t>
      </w:r>
      <w:r>
        <w:rPr>
          <w:rFonts w:ascii="仿宋" w:hAnsi="仿宋" w:eastAsia="仿宋" w:cs="仿宋"/>
          <w:color w:val="auto"/>
          <w:kern w:val="1"/>
          <w:sz w:val="24"/>
          <w:szCs w:val="24"/>
          <w:highlight w:val="none"/>
          <w:u w:val="single"/>
        </w:rPr>
        <w:t xml:space="preserve">             </w:t>
      </w:r>
      <w:r>
        <w:rPr>
          <w:rStyle w:val="20"/>
          <w:rFonts w:hint="eastAsia" w:cs="Times New Roman"/>
          <w:color w:val="auto"/>
          <w:sz w:val="24"/>
          <w:szCs w:val="24"/>
          <w:highlight w:val="none"/>
        </w:rPr>
        <w:t>项目的授权代表，代表我方办理本次投标、签约等相关事宜，签署全部有关的文件、协议、合同并具有法律效力。</w:t>
      </w:r>
    </w:p>
    <w:p w14:paraId="37C4E781">
      <w:pPr>
        <w:widowControl/>
        <w:autoSpaceDE w:val="0"/>
        <w:autoSpaceDN w:val="0"/>
        <w:adjustRightInd w:val="0"/>
        <w:spacing w:line="440" w:lineRule="exact"/>
        <w:ind w:firstLine="480"/>
        <w:rPr>
          <w:rStyle w:val="20"/>
          <w:rFonts w:cs="Times New Roman"/>
          <w:color w:val="auto"/>
          <w:sz w:val="24"/>
          <w:szCs w:val="24"/>
          <w:highlight w:val="none"/>
        </w:rPr>
      </w:pPr>
      <w:r>
        <w:rPr>
          <w:rStyle w:val="20"/>
          <w:rFonts w:hint="eastAsia" w:cs="Times New Roman"/>
          <w:color w:val="auto"/>
          <w:sz w:val="24"/>
          <w:szCs w:val="24"/>
          <w:highlight w:val="none"/>
        </w:rPr>
        <w:t>在我方未发出撤销授权委托书的书面通知以前，本授权委托书一直有效。被授权人签署的所有文件（在授权书有效期内签署的）不因授权撤销而失效。</w:t>
      </w:r>
    </w:p>
    <w:p w14:paraId="080351A5">
      <w:pPr>
        <w:widowControl/>
        <w:autoSpaceDE w:val="0"/>
        <w:autoSpaceDN w:val="0"/>
        <w:adjustRightInd w:val="0"/>
        <w:spacing w:line="440" w:lineRule="exact"/>
        <w:ind w:firstLine="480"/>
        <w:rPr>
          <w:rStyle w:val="20"/>
          <w:rFonts w:cs="Times New Roman"/>
          <w:color w:val="auto"/>
          <w:sz w:val="24"/>
          <w:szCs w:val="24"/>
          <w:highlight w:val="none"/>
        </w:rPr>
      </w:pPr>
      <w:r>
        <w:rPr>
          <w:rStyle w:val="20"/>
          <w:rFonts w:hint="eastAsia" w:cs="Times New Roman"/>
          <w:color w:val="auto"/>
          <w:sz w:val="24"/>
          <w:szCs w:val="24"/>
          <w:highlight w:val="none"/>
        </w:rPr>
        <w:t>被授权代表无权转让委托权。特此授权。</w:t>
      </w:r>
    </w:p>
    <w:p w14:paraId="5DAC515E">
      <w:pPr>
        <w:widowControl/>
        <w:autoSpaceDE w:val="0"/>
        <w:autoSpaceDN w:val="0"/>
        <w:adjustRightInd w:val="0"/>
        <w:spacing w:line="440" w:lineRule="exact"/>
        <w:ind w:firstLine="480"/>
        <w:rPr>
          <w:rFonts w:ascii="仿宋" w:hAnsi="仿宋" w:eastAsia="仿宋" w:cs="Times New Roman"/>
          <w:color w:val="auto"/>
          <w:kern w:val="1"/>
          <w:sz w:val="24"/>
          <w:szCs w:val="24"/>
          <w:highlight w:val="none"/>
        </w:rPr>
      </w:pPr>
      <w:r>
        <w:rPr>
          <w:rStyle w:val="20"/>
          <w:rFonts w:hint="eastAsia" w:cs="Times New Roman"/>
          <w:color w:val="auto"/>
          <w:sz w:val="24"/>
          <w:szCs w:val="24"/>
          <w:highlight w:val="none"/>
        </w:rPr>
        <w:t>本授权委托书于</w:t>
      </w:r>
      <w:r>
        <w:rPr>
          <w:rFonts w:ascii="仿宋" w:hAnsi="仿宋" w:eastAsia="仿宋" w:cs="仿宋"/>
          <w:color w:val="auto"/>
          <w:kern w:val="1"/>
          <w:sz w:val="24"/>
          <w:szCs w:val="24"/>
          <w:highlight w:val="none"/>
          <w:u w:val="single"/>
        </w:rPr>
        <w:t xml:space="preserve">        </w:t>
      </w:r>
      <w:r>
        <w:rPr>
          <w:rStyle w:val="20"/>
          <w:rFonts w:hint="eastAsia" w:cs="Times New Roman"/>
          <w:color w:val="auto"/>
          <w:sz w:val="24"/>
          <w:szCs w:val="24"/>
          <w:highlight w:val="none"/>
        </w:rPr>
        <w:t>年</w:t>
      </w:r>
      <w:r>
        <w:rPr>
          <w:rFonts w:ascii="仿宋" w:hAnsi="仿宋" w:eastAsia="仿宋" w:cs="仿宋"/>
          <w:color w:val="auto"/>
          <w:kern w:val="1"/>
          <w:sz w:val="24"/>
          <w:szCs w:val="24"/>
          <w:highlight w:val="none"/>
          <w:u w:val="single"/>
        </w:rPr>
        <w:t xml:space="preserve">        </w:t>
      </w:r>
      <w:r>
        <w:rPr>
          <w:rStyle w:val="20"/>
          <w:rFonts w:hint="eastAsia" w:cs="Times New Roman"/>
          <w:color w:val="auto"/>
          <w:sz w:val="24"/>
          <w:szCs w:val="24"/>
          <w:highlight w:val="none"/>
        </w:rPr>
        <w:t>月</w:t>
      </w:r>
      <w:r>
        <w:rPr>
          <w:rFonts w:ascii="仿宋" w:hAnsi="仿宋" w:eastAsia="仿宋" w:cs="仿宋"/>
          <w:color w:val="auto"/>
          <w:kern w:val="1"/>
          <w:sz w:val="24"/>
          <w:szCs w:val="24"/>
          <w:highlight w:val="none"/>
          <w:u w:val="single"/>
        </w:rPr>
        <w:t xml:space="preserve">        </w:t>
      </w:r>
      <w:r>
        <w:rPr>
          <w:rStyle w:val="20"/>
          <w:rFonts w:hint="eastAsia" w:cs="Times New Roman"/>
          <w:color w:val="auto"/>
          <w:sz w:val="24"/>
          <w:szCs w:val="24"/>
          <w:highlight w:val="none"/>
        </w:rPr>
        <w:t>日签字生效</w:t>
      </w:r>
      <w:r>
        <w:rPr>
          <w:rStyle w:val="20"/>
          <w:rFonts w:cs="Times New Roman"/>
          <w:color w:val="auto"/>
          <w:sz w:val="24"/>
          <w:szCs w:val="24"/>
          <w:highlight w:val="none"/>
        </w:rPr>
        <w:t>,</w:t>
      </w:r>
      <w:r>
        <w:rPr>
          <w:rStyle w:val="20"/>
          <w:rFonts w:hint="eastAsia" w:cs="Times New Roman"/>
          <w:color w:val="auto"/>
          <w:sz w:val="24"/>
          <w:szCs w:val="24"/>
          <w:highlight w:val="none"/>
        </w:rPr>
        <w:t>特此声明。</w:t>
      </w:r>
    </w:p>
    <w:p w14:paraId="61ED3BF5">
      <w:pPr>
        <w:widowControl/>
        <w:autoSpaceDE w:val="0"/>
        <w:autoSpaceDN w:val="0"/>
        <w:adjustRightInd w:val="0"/>
        <w:spacing w:line="440" w:lineRule="exact"/>
        <w:rPr>
          <w:rFonts w:ascii="仿宋" w:hAnsi="仿宋" w:eastAsia="仿宋" w:cs="Times New Roman"/>
          <w:color w:val="auto"/>
          <w:kern w:val="1"/>
          <w:sz w:val="24"/>
          <w:szCs w:val="24"/>
          <w:highlight w:val="none"/>
        </w:rPr>
      </w:pPr>
    </w:p>
    <w:p w14:paraId="732D31AC">
      <w:pPr>
        <w:widowControl/>
        <w:autoSpaceDE w:val="0"/>
        <w:autoSpaceDN w:val="0"/>
        <w:adjustRightInd w:val="0"/>
        <w:spacing w:line="440" w:lineRule="exact"/>
        <w:ind w:right="-481"/>
        <w:jc w:val="center"/>
        <w:rPr>
          <w:rFonts w:ascii="仿宋" w:hAnsi="仿宋" w:eastAsia="仿宋" w:cs="仿宋"/>
          <w:color w:val="auto"/>
          <w:kern w:val="1"/>
          <w:sz w:val="24"/>
          <w:szCs w:val="24"/>
          <w:highlight w:val="none"/>
        </w:rPr>
      </w:pPr>
      <w:r>
        <w:rPr>
          <w:rFonts w:ascii="仿宋" w:hAnsi="仿宋" w:eastAsia="仿宋" w:cs="仿宋"/>
          <w:color w:val="auto"/>
          <w:kern w:val="1"/>
          <w:sz w:val="24"/>
          <w:szCs w:val="24"/>
          <w:highlight w:val="none"/>
        </w:rPr>
        <w:t>(</w:t>
      </w:r>
      <w:r>
        <w:rPr>
          <w:rFonts w:hint="eastAsia" w:ascii="仿宋" w:hAnsi="仿宋" w:eastAsia="仿宋" w:cs="仿宋"/>
          <w:color w:val="auto"/>
          <w:kern w:val="1"/>
          <w:sz w:val="24"/>
          <w:szCs w:val="24"/>
          <w:highlight w:val="none"/>
        </w:rPr>
        <w:t>附法人代表身份证以及被授权代表身份证复印件</w:t>
      </w:r>
      <w:r>
        <w:rPr>
          <w:rFonts w:ascii="仿宋" w:hAnsi="仿宋" w:eastAsia="仿宋" w:cs="仿宋"/>
          <w:color w:val="auto"/>
          <w:kern w:val="1"/>
          <w:sz w:val="24"/>
          <w:szCs w:val="24"/>
          <w:highlight w:val="none"/>
        </w:rPr>
        <w:t>)</w:t>
      </w:r>
    </w:p>
    <w:p w14:paraId="74F67BC2">
      <w:pPr>
        <w:widowControl/>
        <w:autoSpaceDE w:val="0"/>
        <w:autoSpaceDN w:val="0"/>
        <w:adjustRightInd w:val="0"/>
        <w:spacing w:line="440" w:lineRule="exact"/>
        <w:ind w:right="-481"/>
        <w:jc w:val="center"/>
        <w:rPr>
          <w:rFonts w:ascii="仿宋" w:hAnsi="仿宋" w:eastAsia="仿宋" w:cs="仿宋"/>
          <w:color w:val="auto"/>
          <w:kern w:val="1"/>
          <w:sz w:val="24"/>
          <w:szCs w:val="24"/>
          <w:highlight w:val="none"/>
        </w:rPr>
      </w:pPr>
    </w:p>
    <w:p w14:paraId="6960A8BB">
      <w:pPr>
        <w:widowControl/>
        <w:autoSpaceDE w:val="0"/>
        <w:autoSpaceDN w:val="0"/>
        <w:adjustRightInd w:val="0"/>
        <w:spacing w:line="440" w:lineRule="exact"/>
        <w:ind w:right="-481"/>
        <w:jc w:val="center"/>
        <w:rPr>
          <w:rFonts w:ascii="仿宋" w:hAnsi="仿宋" w:eastAsia="仿宋" w:cs="Times New Roman"/>
          <w:color w:val="auto"/>
          <w:kern w:val="1"/>
          <w:sz w:val="24"/>
          <w:szCs w:val="24"/>
          <w:highlight w:val="none"/>
        </w:rPr>
      </w:pPr>
    </w:p>
    <w:p w14:paraId="07C83996">
      <w:pPr>
        <w:widowControl/>
        <w:autoSpaceDE w:val="0"/>
        <w:autoSpaceDN w:val="0"/>
        <w:adjustRightInd w:val="0"/>
        <w:spacing w:line="440" w:lineRule="exact"/>
        <w:ind w:right="-481"/>
        <w:rPr>
          <w:rStyle w:val="20"/>
          <w:rFonts w:cs="Times New Roman"/>
          <w:color w:val="auto"/>
          <w:sz w:val="24"/>
          <w:szCs w:val="24"/>
          <w:highlight w:val="none"/>
        </w:rPr>
      </w:pPr>
      <w:r>
        <w:rPr>
          <w:rStyle w:val="20"/>
          <w:rFonts w:hint="eastAsia" w:cs="Times New Roman"/>
          <w:color w:val="auto"/>
          <w:sz w:val="24"/>
          <w:szCs w:val="24"/>
          <w:highlight w:val="none"/>
        </w:rPr>
        <w:t>被授权代表姓名：</w:t>
      </w:r>
      <w:r>
        <w:rPr>
          <w:rStyle w:val="20"/>
          <w:rFonts w:cs="Times New Roman"/>
          <w:color w:val="auto"/>
          <w:sz w:val="24"/>
          <w:szCs w:val="24"/>
          <w:highlight w:val="none"/>
        </w:rPr>
        <w:t xml:space="preserve">             </w:t>
      </w:r>
      <w:r>
        <w:rPr>
          <w:rStyle w:val="20"/>
          <w:rFonts w:hint="eastAsia" w:cs="Times New Roman"/>
          <w:color w:val="auto"/>
          <w:sz w:val="24"/>
          <w:szCs w:val="24"/>
          <w:highlight w:val="none"/>
        </w:rPr>
        <w:t>性</w:t>
      </w:r>
      <w:r>
        <w:rPr>
          <w:rStyle w:val="20"/>
          <w:rFonts w:cs="Times New Roman"/>
          <w:color w:val="auto"/>
          <w:sz w:val="24"/>
          <w:szCs w:val="24"/>
          <w:highlight w:val="none"/>
        </w:rPr>
        <w:t xml:space="preserve"> </w:t>
      </w:r>
      <w:r>
        <w:rPr>
          <w:rStyle w:val="20"/>
          <w:rFonts w:hint="eastAsia" w:cs="Times New Roman"/>
          <w:color w:val="auto"/>
          <w:sz w:val="24"/>
          <w:szCs w:val="24"/>
          <w:highlight w:val="none"/>
        </w:rPr>
        <w:t>别：</w:t>
      </w:r>
      <w:r>
        <w:rPr>
          <w:rStyle w:val="20"/>
          <w:rFonts w:cs="Times New Roman"/>
          <w:color w:val="auto"/>
          <w:sz w:val="24"/>
          <w:szCs w:val="24"/>
          <w:highlight w:val="none"/>
        </w:rPr>
        <w:t xml:space="preserve">              </w:t>
      </w:r>
      <w:r>
        <w:rPr>
          <w:rStyle w:val="20"/>
          <w:rFonts w:hint="eastAsia" w:cs="Times New Roman"/>
          <w:color w:val="auto"/>
          <w:sz w:val="24"/>
          <w:szCs w:val="24"/>
          <w:highlight w:val="none"/>
        </w:rPr>
        <w:t>年</w:t>
      </w:r>
      <w:r>
        <w:rPr>
          <w:rStyle w:val="20"/>
          <w:rFonts w:cs="Times New Roman"/>
          <w:color w:val="auto"/>
          <w:sz w:val="24"/>
          <w:szCs w:val="24"/>
          <w:highlight w:val="none"/>
        </w:rPr>
        <w:t xml:space="preserve"> </w:t>
      </w:r>
      <w:r>
        <w:rPr>
          <w:rStyle w:val="20"/>
          <w:rFonts w:hint="eastAsia" w:cs="Times New Roman"/>
          <w:color w:val="auto"/>
          <w:sz w:val="24"/>
          <w:szCs w:val="24"/>
          <w:highlight w:val="none"/>
        </w:rPr>
        <w:t>龄：</w:t>
      </w:r>
    </w:p>
    <w:p w14:paraId="6D4F2712">
      <w:pPr>
        <w:widowControl/>
        <w:autoSpaceDE w:val="0"/>
        <w:autoSpaceDN w:val="0"/>
        <w:adjustRightInd w:val="0"/>
        <w:spacing w:line="440" w:lineRule="exact"/>
        <w:ind w:right="-481"/>
        <w:rPr>
          <w:rStyle w:val="20"/>
          <w:rFonts w:cs="Times New Roman"/>
          <w:color w:val="auto"/>
          <w:sz w:val="24"/>
          <w:szCs w:val="24"/>
          <w:highlight w:val="none"/>
        </w:rPr>
      </w:pPr>
      <w:r>
        <w:rPr>
          <w:rStyle w:val="20"/>
          <w:rFonts w:hint="eastAsia" w:cs="Times New Roman"/>
          <w:color w:val="auto"/>
          <w:sz w:val="24"/>
          <w:szCs w:val="24"/>
          <w:highlight w:val="none"/>
        </w:rPr>
        <w:t>单</w:t>
      </w:r>
      <w:r>
        <w:rPr>
          <w:rStyle w:val="20"/>
          <w:rFonts w:cs="Times New Roman"/>
          <w:color w:val="auto"/>
          <w:sz w:val="24"/>
          <w:szCs w:val="24"/>
          <w:highlight w:val="none"/>
        </w:rPr>
        <w:t xml:space="preserve">  </w:t>
      </w:r>
      <w:r>
        <w:rPr>
          <w:rStyle w:val="20"/>
          <w:rFonts w:hint="eastAsia" w:cs="Times New Roman"/>
          <w:color w:val="auto"/>
          <w:sz w:val="24"/>
          <w:szCs w:val="24"/>
          <w:highlight w:val="none"/>
        </w:rPr>
        <w:t>位：</w:t>
      </w:r>
      <w:r>
        <w:rPr>
          <w:rStyle w:val="20"/>
          <w:rFonts w:cs="Times New Roman"/>
          <w:color w:val="auto"/>
          <w:sz w:val="24"/>
          <w:szCs w:val="24"/>
          <w:highlight w:val="none"/>
        </w:rPr>
        <w:t xml:space="preserve">                     </w:t>
      </w:r>
      <w:r>
        <w:rPr>
          <w:rStyle w:val="20"/>
          <w:rFonts w:hint="eastAsia" w:cs="Times New Roman"/>
          <w:color w:val="auto"/>
          <w:sz w:val="24"/>
          <w:szCs w:val="24"/>
          <w:highlight w:val="none"/>
        </w:rPr>
        <w:t>部</w:t>
      </w:r>
      <w:r>
        <w:rPr>
          <w:rStyle w:val="20"/>
          <w:rFonts w:cs="Times New Roman"/>
          <w:color w:val="auto"/>
          <w:sz w:val="24"/>
          <w:szCs w:val="24"/>
          <w:highlight w:val="none"/>
        </w:rPr>
        <w:t xml:space="preserve"> </w:t>
      </w:r>
      <w:r>
        <w:rPr>
          <w:rStyle w:val="20"/>
          <w:rFonts w:hint="eastAsia" w:cs="Times New Roman"/>
          <w:color w:val="auto"/>
          <w:sz w:val="24"/>
          <w:szCs w:val="24"/>
          <w:highlight w:val="none"/>
        </w:rPr>
        <w:t>门：</w:t>
      </w:r>
      <w:r>
        <w:rPr>
          <w:rStyle w:val="20"/>
          <w:rFonts w:cs="Times New Roman"/>
          <w:color w:val="auto"/>
          <w:sz w:val="24"/>
          <w:szCs w:val="24"/>
          <w:highlight w:val="none"/>
        </w:rPr>
        <w:t xml:space="preserve">              </w:t>
      </w:r>
      <w:r>
        <w:rPr>
          <w:rStyle w:val="20"/>
          <w:rFonts w:hint="eastAsia" w:cs="Times New Roman"/>
          <w:color w:val="auto"/>
          <w:sz w:val="24"/>
          <w:szCs w:val="24"/>
          <w:highlight w:val="none"/>
        </w:rPr>
        <w:t>职</w:t>
      </w:r>
      <w:r>
        <w:rPr>
          <w:rStyle w:val="20"/>
          <w:rFonts w:cs="Times New Roman"/>
          <w:color w:val="auto"/>
          <w:sz w:val="24"/>
          <w:szCs w:val="24"/>
          <w:highlight w:val="none"/>
        </w:rPr>
        <w:t xml:space="preserve"> </w:t>
      </w:r>
      <w:r>
        <w:rPr>
          <w:rStyle w:val="20"/>
          <w:rFonts w:hint="eastAsia" w:cs="Times New Roman"/>
          <w:color w:val="auto"/>
          <w:sz w:val="24"/>
          <w:szCs w:val="24"/>
          <w:highlight w:val="none"/>
        </w:rPr>
        <w:t>务：</w:t>
      </w:r>
    </w:p>
    <w:p w14:paraId="602E1447">
      <w:pPr>
        <w:widowControl/>
        <w:autoSpaceDE w:val="0"/>
        <w:autoSpaceDN w:val="0"/>
        <w:adjustRightInd w:val="0"/>
        <w:spacing w:line="440" w:lineRule="exact"/>
        <w:ind w:right="-481"/>
        <w:rPr>
          <w:rFonts w:ascii="仿宋" w:hAnsi="仿宋" w:eastAsia="仿宋" w:cs="Times New Roman"/>
          <w:color w:val="auto"/>
          <w:kern w:val="1"/>
          <w:sz w:val="24"/>
          <w:szCs w:val="24"/>
          <w:highlight w:val="none"/>
        </w:rPr>
      </w:pPr>
    </w:p>
    <w:p w14:paraId="7ED17FBC">
      <w:pPr>
        <w:spacing w:line="440" w:lineRule="exact"/>
        <w:ind w:firstLine="4108" w:firstLineChars="1712"/>
        <w:rPr>
          <w:rFonts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投  标  人：</w:t>
      </w:r>
      <w:r>
        <w:rPr>
          <w:rFonts w:hint="eastAsia" w:ascii="仿宋" w:hAnsi="仿宋" w:eastAsia="仿宋" w:cs="Times New Roman"/>
          <w:color w:val="auto"/>
          <w:sz w:val="24"/>
          <w:szCs w:val="24"/>
          <w:highlight w:val="none"/>
          <w:u w:val="single"/>
        </w:rPr>
        <w:t xml:space="preserve">                </w:t>
      </w:r>
      <w:r>
        <w:rPr>
          <w:rFonts w:hint="eastAsia" w:ascii="仿宋" w:hAnsi="仿宋" w:eastAsia="仿宋" w:cs="Times New Roman"/>
          <w:color w:val="auto"/>
          <w:sz w:val="24"/>
          <w:szCs w:val="24"/>
          <w:highlight w:val="none"/>
        </w:rPr>
        <w:t>（盖单位公章）</w:t>
      </w:r>
    </w:p>
    <w:p w14:paraId="145812AC">
      <w:pPr>
        <w:spacing w:line="440" w:lineRule="exact"/>
        <w:ind w:firstLine="4108" w:firstLineChars="1712"/>
        <w:rPr>
          <w:rFonts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法定代表人：</w:t>
      </w:r>
      <w:r>
        <w:rPr>
          <w:rFonts w:hint="eastAsia" w:ascii="仿宋" w:hAnsi="仿宋" w:eastAsia="仿宋" w:cs="Times New Roman"/>
          <w:color w:val="auto"/>
          <w:sz w:val="24"/>
          <w:szCs w:val="24"/>
          <w:highlight w:val="none"/>
          <w:u w:val="single"/>
        </w:rPr>
        <w:t xml:space="preserve">                </w:t>
      </w:r>
      <w:r>
        <w:rPr>
          <w:rFonts w:hint="eastAsia" w:ascii="仿宋" w:hAnsi="仿宋" w:eastAsia="仿宋" w:cs="Times New Roman"/>
          <w:color w:val="auto"/>
          <w:sz w:val="24"/>
          <w:szCs w:val="24"/>
          <w:highlight w:val="none"/>
        </w:rPr>
        <w:t>（签字或盖章）</w:t>
      </w:r>
    </w:p>
    <w:p w14:paraId="6532A8C5">
      <w:pPr>
        <w:spacing w:before="100" w:beforeAutospacing="1" w:after="100" w:afterAutospacing="1" w:line="440" w:lineRule="exact"/>
        <w:ind w:firstLine="4080" w:firstLineChars="1700"/>
        <w:jc w:val="left"/>
        <w:rPr>
          <w:rFonts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日      期：</w:t>
      </w:r>
      <w:r>
        <w:rPr>
          <w:rFonts w:hint="eastAsia" w:ascii="仿宋" w:hAnsi="仿宋" w:eastAsia="仿宋" w:cs="Times New Roman"/>
          <w:color w:val="auto"/>
          <w:sz w:val="24"/>
          <w:szCs w:val="24"/>
          <w:highlight w:val="none"/>
          <w:u w:val="single"/>
        </w:rPr>
        <w:t xml:space="preserve">      </w:t>
      </w:r>
      <w:r>
        <w:rPr>
          <w:rFonts w:hint="eastAsia" w:ascii="仿宋" w:hAnsi="仿宋" w:eastAsia="仿宋" w:cs="Times New Roman"/>
          <w:color w:val="auto"/>
          <w:sz w:val="24"/>
          <w:szCs w:val="24"/>
          <w:highlight w:val="none"/>
        </w:rPr>
        <w:t>年</w:t>
      </w:r>
      <w:r>
        <w:rPr>
          <w:rFonts w:hint="eastAsia" w:ascii="仿宋" w:hAnsi="仿宋" w:eastAsia="仿宋" w:cs="Times New Roman"/>
          <w:color w:val="auto"/>
          <w:sz w:val="24"/>
          <w:szCs w:val="24"/>
          <w:highlight w:val="none"/>
          <w:u w:val="single"/>
        </w:rPr>
        <w:t xml:space="preserve">   </w:t>
      </w:r>
      <w:r>
        <w:rPr>
          <w:rFonts w:hint="eastAsia" w:ascii="仿宋" w:hAnsi="仿宋" w:eastAsia="仿宋" w:cs="Times New Roman"/>
          <w:color w:val="auto"/>
          <w:sz w:val="24"/>
          <w:szCs w:val="24"/>
          <w:highlight w:val="none"/>
        </w:rPr>
        <w:t>月</w:t>
      </w:r>
      <w:r>
        <w:rPr>
          <w:rFonts w:hint="eastAsia" w:ascii="仿宋" w:hAnsi="仿宋" w:eastAsia="仿宋" w:cs="Times New Roman"/>
          <w:color w:val="auto"/>
          <w:sz w:val="24"/>
          <w:szCs w:val="24"/>
          <w:highlight w:val="none"/>
          <w:u w:val="single"/>
        </w:rPr>
        <w:t xml:space="preserve">   </w:t>
      </w:r>
      <w:r>
        <w:rPr>
          <w:rFonts w:hint="eastAsia" w:ascii="仿宋" w:hAnsi="仿宋" w:eastAsia="仿宋" w:cs="Times New Roman"/>
          <w:color w:val="auto"/>
          <w:sz w:val="24"/>
          <w:szCs w:val="24"/>
          <w:highlight w:val="none"/>
        </w:rPr>
        <w:t>日</w:t>
      </w:r>
    </w:p>
    <w:p w14:paraId="2DF5BE7A">
      <w:pPr>
        <w:spacing w:before="100" w:beforeAutospacing="1" w:after="100" w:afterAutospacing="1" w:line="440" w:lineRule="exact"/>
        <w:ind w:firstLine="4080" w:firstLineChars="1700"/>
        <w:jc w:val="left"/>
        <w:rPr>
          <w:rFonts w:ascii="仿宋" w:hAnsi="仿宋" w:eastAsia="仿宋" w:cs="仿宋"/>
          <w:color w:val="auto"/>
          <w:kern w:val="1"/>
          <w:sz w:val="24"/>
          <w:szCs w:val="24"/>
          <w:highlight w:val="none"/>
        </w:rPr>
      </w:pPr>
      <w:r>
        <w:rPr>
          <w:rFonts w:ascii="仿宋" w:hAnsi="仿宋" w:eastAsia="仿宋" w:cs="仿宋"/>
          <w:color w:val="auto"/>
          <w:kern w:val="1"/>
          <w:sz w:val="24"/>
          <w:szCs w:val="24"/>
          <w:highlight w:val="none"/>
        </w:rPr>
        <w:br w:type="page"/>
      </w:r>
    </w:p>
    <w:p w14:paraId="06973FFC">
      <w:pPr>
        <w:spacing w:before="100" w:beforeAutospacing="1" w:after="100" w:afterAutospacing="1" w:line="440" w:lineRule="exact"/>
        <w:jc w:val="center"/>
        <w:rPr>
          <w:rFonts w:ascii="仿宋" w:hAnsi="仿宋" w:eastAsia="仿宋" w:cs="仿宋"/>
          <w:color w:val="auto"/>
          <w:kern w:val="1"/>
          <w:sz w:val="24"/>
          <w:szCs w:val="24"/>
          <w:highlight w:val="none"/>
        </w:rPr>
      </w:pPr>
      <w:r>
        <w:rPr>
          <w:rFonts w:hint="eastAsia" w:ascii="仿宋" w:hAnsi="仿宋" w:eastAsia="仿宋" w:cs="仿宋"/>
          <w:color w:val="auto"/>
          <w:kern w:val="1"/>
          <w:sz w:val="28"/>
          <w:szCs w:val="28"/>
          <w:highlight w:val="none"/>
        </w:rPr>
        <w:t>六、投标保证金</w:t>
      </w:r>
    </w:p>
    <w:p w14:paraId="342A8102">
      <w:pPr>
        <w:spacing w:before="100" w:beforeAutospacing="1" w:after="100" w:afterAutospacing="1" w:line="440" w:lineRule="exact"/>
        <w:jc w:val="left"/>
        <w:rPr>
          <w:rFonts w:ascii="仿宋" w:hAnsi="仿宋" w:eastAsia="仿宋" w:cs="仿宋"/>
          <w:color w:val="auto"/>
          <w:kern w:val="1"/>
          <w:sz w:val="24"/>
          <w:szCs w:val="24"/>
          <w:highlight w:val="none"/>
        </w:rPr>
      </w:pPr>
    </w:p>
    <w:p w14:paraId="746BFDB8">
      <w:pPr>
        <w:spacing w:before="100" w:beforeAutospacing="1" w:after="100" w:afterAutospacing="1" w:line="440" w:lineRule="exact"/>
        <w:jc w:val="center"/>
        <w:rPr>
          <w:rFonts w:ascii="仿宋" w:hAnsi="仿宋" w:eastAsia="仿宋" w:cs="仿宋"/>
          <w:color w:val="auto"/>
          <w:kern w:val="1"/>
          <w:sz w:val="24"/>
          <w:szCs w:val="24"/>
          <w:highlight w:val="none"/>
        </w:rPr>
      </w:pPr>
      <w:r>
        <w:rPr>
          <w:rFonts w:hint="eastAsia" w:ascii="仿宋" w:hAnsi="仿宋" w:eastAsia="仿宋" w:cs="仿宋"/>
          <w:color w:val="auto"/>
          <w:kern w:val="1"/>
          <w:sz w:val="24"/>
          <w:szCs w:val="24"/>
          <w:highlight w:val="none"/>
        </w:rPr>
        <w:t>（附</w:t>
      </w:r>
      <w:r>
        <w:rPr>
          <w:rFonts w:hint="eastAsia" w:ascii="仿宋" w:hAnsi="仿宋" w:eastAsia="仿宋" w:cs="仿宋"/>
          <w:b/>
          <w:bCs/>
          <w:color w:val="auto"/>
          <w:kern w:val="1"/>
          <w:sz w:val="24"/>
          <w:szCs w:val="24"/>
          <w:highlight w:val="none"/>
        </w:rPr>
        <w:t>投标保证金</w:t>
      </w:r>
      <w:r>
        <w:rPr>
          <w:rFonts w:hint="eastAsia" w:ascii="仿宋" w:hAnsi="仿宋" w:eastAsia="仿宋" w:cs="仿宋"/>
          <w:b/>
          <w:bCs/>
          <w:color w:val="auto"/>
          <w:kern w:val="1"/>
          <w:sz w:val="24"/>
          <w:szCs w:val="24"/>
          <w:highlight w:val="none"/>
          <w:lang w:val="en-US" w:eastAsia="zh-CN"/>
        </w:rPr>
        <w:t>缴纳</w:t>
      </w:r>
      <w:r>
        <w:rPr>
          <w:rFonts w:hint="eastAsia" w:ascii="仿宋" w:hAnsi="仿宋" w:eastAsia="仿宋" w:cs="仿宋"/>
          <w:b/>
          <w:bCs/>
          <w:color w:val="auto"/>
          <w:kern w:val="1"/>
          <w:sz w:val="24"/>
          <w:szCs w:val="24"/>
          <w:highlight w:val="none"/>
        </w:rPr>
        <w:t>凭证</w:t>
      </w:r>
      <w:r>
        <w:rPr>
          <w:rFonts w:hint="eastAsia" w:ascii="仿宋" w:hAnsi="仿宋" w:eastAsia="仿宋" w:cs="仿宋"/>
          <w:color w:val="auto"/>
          <w:sz w:val="24"/>
          <w:highlight w:val="none"/>
        </w:rPr>
        <w:t>复印件</w:t>
      </w:r>
      <w:r>
        <w:rPr>
          <w:rFonts w:hint="eastAsia" w:ascii="仿宋" w:hAnsi="仿宋" w:eastAsia="仿宋" w:cs="仿宋"/>
          <w:color w:val="auto"/>
          <w:kern w:val="1"/>
          <w:sz w:val="24"/>
          <w:szCs w:val="24"/>
          <w:highlight w:val="none"/>
        </w:rPr>
        <w:t>）</w:t>
      </w:r>
    </w:p>
    <w:p w14:paraId="07CA0F30">
      <w:pPr>
        <w:spacing w:before="100" w:beforeAutospacing="1" w:after="100" w:afterAutospacing="1" w:line="440" w:lineRule="exact"/>
        <w:jc w:val="center"/>
        <w:rPr>
          <w:rFonts w:ascii="仿宋" w:hAnsi="仿宋" w:eastAsia="仿宋" w:cs="仿宋"/>
          <w:color w:val="auto"/>
          <w:kern w:val="1"/>
          <w:sz w:val="24"/>
          <w:szCs w:val="24"/>
          <w:highlight w:val="none"/>
        </w:rPr>
      </w:pPr>
      <w:r>
        <w:rPr>
          <w:rFonts w:ascii="仿宋" w:hAnsi="仿宋" w:eastAsia="仿宋" w:cs="仿宋"/>
          <w:color w:val="auto"/>
          <w:kern w:val="1"/>
          <w:sz w:val="24"/>
          <w:szCs w:val="24"/>
          <w:highlight w:val="none"/>
        </w:rPr>
        <w:br w:type="page"/>
      </w:r>
    </w:p>
    <w:p w14:paraId="19EFD850">
      <w:pPr>
        <w:spacing w:afterLines="100" w:line="360" w:lineRule="auto"/>
        <w:jc w:val="center"/>
        <w:rPr>
          <w:rFonts w:ascii="仿宋" w:hAnsi="仿宋" w:eastAsia="仿宋" w:cs="仿宋"/>
          <w:b/>
          <w:bCs/>
          <w:color w:val="auto"/>
          <w:sz w:val="24"/>
          <w:szCs w:val="24"/>
          <w:highlight w:val="none"/>
        </w:rPr>
      </w:pPr>
      <w:r>
        <w:rPr>
          <w:rFonts w:hint="eastAsia" w:ascii="仿宋" w:hAnsi="仿宋" w:eastAsia="仿宋" w:cs="仿宋"/>
          <w:color w:val="auto"/>
          <w:sz w:val="28"/>
          <w:szCs w:val="28"/>
          <w:highlight w:val="none"/>
        </w:rPr>
        <w:t>七、商务偏离表</w:t>
      </w:r>
    </w:p>
    <w:tbl>
      <w:tblPr>
        <w:tblStyle w:val="15"/>
        <w:tblW w:w="97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2"/>
        <w:gridCol w:w="3248"/>
        <w:gridCol w:w="3087"/>
        <w:gridCol w:w="2013"/>
      </w:tblGrid>
      <w:tr w14:paraId="37507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432" w:type="dxa"/>
            <w:vAlign w:val="center"/>
          </w:tcPr>
          <w:p w14:paraId="4DF9463B">
            <w:pPr>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248" w:type="dxa"/>
            <w:vAlign w:val="center"/>
          </w:tcPr>
          <w:p w14:paraId="01DF9A43">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招标文件</w:t>
            </w:r>
            <w:r>
              <w:rPr>
                <w:rFonts w:hint="eastAsia" w:ascii="仿宋" w:hAnsi="仿宋" w:eastAsia="仿宋" w:cs="仿宋"/>
                <w:color w:val="auto"/>
                <w:sz w:val="24"/>
                <w:szCs w:val="24"/>
                <w:highlight w:val="none"/>
                <w:lang w:val="en-US" w:eastAsia="zh-CN"/>
              </w:rPr>
              <w:t>内容</w:t>
            </w:r>
          </w:p>
        </w:tc>
        <w:tc>
          <w:tcPr>
            <w:tcW w:w="3087" w:type="dxa"/>
            <w:vAlign w:val="center"/>
          </w:tcPr>
          <w:p w14:paraId="172D5412">
            <w:pPr>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w:t>
            </w:r>
            <w:r>
              <w:rPr>
                <w:rFonts w:hint="eastAsia" w:ascii="仿宋" w:hAnsi="仿宋" w:eastAsia="仿宋" w:cs="仿宋"/>
                <w:color w:val="auto"/>
                <w:sz w:val="24"/>
                <w:szCs w:val="24"/>
                <w:highlight w:val="none"/>
                <w:lang w:val="en-US" w:eastAsia="zh-CN"/>
              </w:rPr>
              <w:t>内容</w:t>
            </w:r>
          </w:p>
        </w:tc>
        <w:tc>
          <w:tcPr>
            <w:tcW w:w="2013" w:type="dxa"/>
            <w:vAlign w:val="center"/>
          </w:tcPr>
          <w:p w14:paraId="3FBE9DF6">
            <w:pPr>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偏离情况</w:t>
            </w:r>
          </w:p>
        </w:tc>
      </w:tr>
      <w:tr w14:paraId="14C00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432" w:type="dxa"/>
            <w:vAlign w:val="center"/>
          </w:tcPr>
          <w:p w14:paraId="18C452D4">
            <w:pPr>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3248" w:type="dxa"/>
            <w:vAlign w:val="center"/>
          </w:tcPr>
          <w:p w14:paraId="2A8017A5">
            <w:pPr>
              <w:widowControl/>
              <w:autoSpaceDE w:val="0"/>
              <w:autoSpaceDN w:val="0"/>
              <w:adjustRightInd w:val="0"/>
              <w:spacing w:line="440" w:lineRule="exact"/>
              <w:rPr>
                <w:rFonts w:ascii="仿宋" w:hAnsi="仿宋" w:eastAsia="仿宋" w:cs="仿宋"/>
                <w:color w:val="auto"/>
                <w:sz w:val="24"/>
                <w:szCs w:val="24"/>
                <w:highlight w:val="none"/>
              </w:rPr>
            </w:pPr>
          </w:p>
        </w:tc>
        <w:tc>
          <w:tcPr>
            <w:tcW w:w="3087" w:type="dxa"/>
            <w:vAlign w:val="center"/>
          </w:tcPr>
          <w:p w14:paraId="1A29FC30">
            <w:pPr>
              <w:spacing w:line="360" w:lineRule="auto"/>
              <w:jc w:val="center"/>
              <w:rPr>
                <w:rFonts w:ascii="仿宋" w:hAnsi="仿宋" w:eastAsia="仿宋" w:cs="仿宋"/>
                <w:color w:val="auto"/>
                <w:sz w:val="24"/>
                <w:szCs w:val="24"/>
                <w:highlight w:val="none"/>
              </w:rPr>
            </w:pPr>
          </w:p>
        </w:tc>
        <w:tc>
          <w:tcPr>
            <w:tcW w:w="2013" w:type="dxa"/>
            <w:vAlign w:val="center"/>
          </w:tcPr>
          <w:p w14:paraId="58DC737B">
            <w:pPr>
              <w:spacing w:line="360" w:lineRule="auto"/>
              <w:jc w:val="center"/>
              <w:rPr>
                <w:rFonts w:ascii="仿宋" w:hAnsi="仿宋" w:eastAsia="仿宋" w:cs="仿宋"/>
                <w:color w:val="auto"/>
                <w:sz w:val="24"/>
                <w:szCs w:val="24"/>
                <w:highlight w:val="none"/>
              </w:rPr>
            </w:pPr>
          </w:p>
        </w:tc>
      </w:tr>
      <w:tr w14:paraId="6B385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432" w:type="dxa"/>
            <w:vAlign w:val="center"/>
          </w:tcPr>
          <w:p w14:paraId="5953B507">
            <w:pPr>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w:t>
            </w:r>
          </w:p>
        </w:tc>
        <w:tc>
          <w:tcPr>
            <w:tcW w:w="3248" w:type="dxa"/>
            <w:vAlign w:val="center"/>
          </w:tcPr>
          <w:p w14:paraId="1B7C114F">
            <w:pPr>
              <w:widowControl/>
              <w:autoSpaceDE w:val="0"/>
              <w:autoSpaceDN w:val="0"/>
              <w:adjustRightInd w:val="0"/>
              <w:spacing w:line="440" w:lineRule="exact"/>
              <w:rPr>
                <w:rFonts w:ascii="仿宋" w:hAnsi="仿宋" w:eastAsia="仿宋" w:cs="仿宋"/>
                <w:color w:val="auto"/>
                <w:sz w:val="24"/>
                <w:szCs w:val="24"/>
                <w:highlight w:val="none"/>
              </w:rPr>
            </w:pPr>
          </w:p>
        </w:tc>
        <w:tc>
          <w:tcPr>
            <w:tcW w:w="3087" w:type="dxa"/>
            <w:vAlign w:val="center"/>
          </w:tcPr>
          <w:p w14:paraId="62AB7E6E">
            <w:pPr>
              <w:spacing w:line="360" w:lineRule="auto"/>
              <w:jc w:val="center"/>
              <w:rPr>
                <w:rFonts w:ascii="仿宋" w:hAnsi="仿宋" w:eastAsia="仿宋" w:cs="仿宋"/>
                <w:color w:val="auto"/>
                <w:sz w:val="24"/>
                <w:szCs w:val="24"/>
                <w:highlight w:val="none"/>
              </w:rPr>
            </w:pPr>
          </w:p>
        </w:tc>
        <w:tc>
          <w:tcPr>
            <w:tcW w:w="2013" w:type="dxa"/>
            <w:vAlign w:val="center"/>
          </w:tcPr>
          <w:p w14:paraId="6EDDA876">
            <w:pPr>
              <w:spacing w:line="360" w:lineRule="auto"/>
              <w:jc w:val="center"/>
              <w:rPr>
                <w:rFonts w:ascii="仿宋" w:hAnsi="仿宋" w:eastAsia="仿宋" w:cs="仿宋"/>
                <w:color w:val="auto"/>
                <w:sz w:val="24"/>
                <w:szCs w:val="24"/>
                <w:highlight w:val="none"/>
              </w:rPr>
            </w:pPr>
          </w:p>
        </w:tc>
      </w:tr>
      <w:tr w14:paraId="4CE7C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432" w:type="dxa"/>
            <w:vAlign w:val="center"/>
          </w:tcPr>
          <w:p w14:paraId="1F951D4C">
            <w:pPr>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3248" w:type="dxa"/>
            <w:vAlign w:val="center"/>
          </w:tcPr>
          <w:p w14:paraId="7748662E">
            <w:pPr>
              <w:widowControl/>
              <w:autoSpaceDE w:val="0"/>
              <w:autoSpaceDN w:val="0"/>
              <w:adjustRightInd w:val="0"/>
              <w:spacing w:line="440" w:lineRule="exact"/>
              <w:rPr>
                <w:rFonts w:ascii="仿宋" w:hAnsi="仿宋" w:eastAsia="仿宋" w:cs="仿宋"/>
                <w:color w:val="auto"/>
                <w:sz w:val="24"/>
                <w:szCs w:val="24"/>
                <w:highlight w:val="none"/>
              </w:rPr>
            </w:pPr>
          </w:p>
        </w:tc>
        <w:tc>
          <w:tcPr>
            <w:tcW w:w="3087" w:type="dxa"/>
            <w:vAlign w:val="center"/>
          </w:tcPr>
          <w:p w14:paraId="28537BAE">
            <w:pPr>
              <w:spacing w:line="360" w:lineRule="auto"/>
              <w:jc w:val="center"/>
              <w:rPr>
                <w:rFonts w:ascii="仿宋" w:hAnsi="仿宋" w:eastAsia="仿宋" w:cs="仿宋"/>
                <w:color w:val="auto"/>
                <w:sz w:val="24"/>
                <w:szCs w:val="24"/>
                <w:highlight w:val="none"/>
              </w:rPr>
            </w:pPr>
          </w:p>
        </w:tc>
        <w:tc>
          <w:tcPr>
            <w:tcW w:w="2013" w:type="dxa"/>
            <w:vAlign w:val="center"/>
          </w:tcPr>
          <w:p w14:paraId="10E2045D">
            <w:pPr>
              <w:spacing w:line="360" w:lineRule="auto"/>
              <w:jc w:val="center"/>
              <w:rPr>
                <w:rFonts w:ascii="仿宋" w:hAnsi="仿宋" w:eastAsia="仿宋" w:cs="仿宋"/>
                <w:color w:val="auto"/>
                <w:sz w:val="24"/>
                <w:szCs w:val="24"/>
                <w:highlight w:val="none"/>
              </w:rPr>
            </w:pPr>
          </w:p>
        </w:tc>
      </w:tr>
      <w:tr w14:paraId="63A18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432" w:type="dxa"/>
            <w:vAlign w:val="center"/>
          </w:tcPr>
          <w:p w14:paraId="3AC727B2">
            <w:pPr>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3248" w:type="dxa"/>
            <w:vAlign w:val="center"/>
          </w:tcPr>
          <w:p w14:paraId="4929D064">
            <w:pPr>
              <w:widowControl/>
              <w:autoSpaceDE w:val="0"/>
              <w:autoSpaceDN w:val="0"/>
              <w:adjustRightInd w:val="0"/>
              <w:spacing w:line="440" w:lineRule="exact"/>
              <w:rPr>
                <w:rFonts w:ascii="仿宋" w:hAnsi="仿宋" w:eastAsia="仿宋" w:cs="仿宋"/>
                <w:color w:val="auto"/>
                <w:sz w:val="24"/>
                <w:szCs w:val="24"/>
                <w:highlight w:val="none"/>
              </w:rPr>
            </w:pPr>
          </w:p>
        </w:tc>
        <w:tc>
          <w:tcPr>
            <w:tcW w:w="3087" w:type="dxa"/>
            <w:vAlign w:val="center"/>
          </w:tcPr>
          <w:p w14:paraId="20788373">
            <w:pPr>
              <w:spacing w:line="360" w:lineRule="auto"/>
              <w:jc w:val="center"/>
              <w:rPr>
                <w:rFonts w:ascii="仿宋" w:hAnsi="仿宋" w:eastAsia="仿宋" w:cs="仿宋"/>
                <w:color w:val="auto"/>
                <w:sz w:val="24"/>
                <w:szCs w:val="24"/>
                <w:highlight w:val="none"/>
              </w:rPr>
            </w:pPr>
          </w:p>
        </w:tc>
        <w:tc>
          <w:tcPr>
            <w:tcW w:w="2013" w:type="dxa"/>
            <w:vAlign w:val="center"/>
          </w:tcPr>
          <w:p w14:paraId="6F77A08C">
            <w:pPr>
              <w:spacing w:line="360" w:lineRule="auto"/>
              <w:jc w:val="center"/>
              <w:rPr>
                <w:rFonts w:ascii="仿宋" w:hAnsi="仿宋" w:eastAsia="仿宋" w:cs="仿宋"/>
                <w:color w:val="auto"/>
                <w:sz w:val="24"/>
                <w:szCs w:val="24"/>
                <w:highlight w:val="none"/>
              </w:rPr>
            </w:pPr>
          </w:p>
        </w:tc>
      </w:tr>
      <w:tr w14:paraId="7C2E0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432" w:type="dxa"/>
            <w:vAlign w:val="center"/>
          </w:tcPr>
          <w:p w14:paraId="2C149585">
            <w:pPr>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3248" w:type="dxa"/>
            <w:vAlign w:val="center"/>
          </w:tcPr>
          <w:p w14:paraId="2C80807D">
            <w:pPr>
              <w:widowControl/>
              <w:autoSpaceDE w:val="0"/>
              <w:autoSpaceDN w:val="0"/>
              <w:adjustRightInd w:val="0"/>
              <w:spacing w:line="440" w:lineRule="exact"/>
              <w:rPr>
                <w:rFonts w:ascii="仿宋" w:hAnsi="仿宋" w:eastAsia="仿宋" w:cs="仿宋"/>
                <w:color w:val="auto"/>
                <w:sz w:val="24"/>
                <w:szCs w:val="24"/>
                <w:highlight w:val="none"/>
              </w:rPr>
            </w:pPr>
          </w:p>
        </w:tc>
        <w:tc>
          <w:tcPr>
            <w:tcW w:w="3087" w:type="dxa"/>
            <w:vAlign w:val="center"/>
          </w:tcPr>
          <w:p w14:paraId="0F7084A7">
            <w:pPr>
              <w:spacing w:line="360" w:lineRule="auto"/>
              <w:jc w:val="center"/>
              <w:rPr>
                <w:rFonts w:ascii="仿宋" w:hAnsi="仿宋" w:eastAsia="仿宋" w:cs="仿宋"/>
                <w:color w:val="auto"/>
                <w:sz w:val="24"/>
                <w:szCs w:val="24"/>
                <w:highlight w:val="none"/>
              </w:rPr>
            </w:pPr>
          </w:p>
        </w:tc>
        <w:tc>
          <w:tcPr>
            <w:tcW w:w="2013" w:type="dxa"/>
            <w:vAlign w:val="center"/>
          </w:tcPr>
          <w:p w14:paraId="50AA080E">
            <w:pPr>
              <w:spacing w:line="360" w:lineRule="auto"/>
              <w:jc w:val="center"/>
              <w:rPr>
                <w:rFonts w:ascii="仿宋" w:hAnsi="仿宋" w:eastAsia="仿宋" w:cs="仿宋"/>
                <w:color w:val="auto"/>
                <w:sz w:val="24"/>
                <w:szCs w:val="24"/>
                <w:highlight w:val="none"/>
              </w:rPr>
            </w:pPr>
          </w:p>
        </w:tc>
      </w:tr>
      <w:tr w14:paraId="39FAC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432" w:type="dxa"/>
          </w:tcPr>
          <w:p w14:paraId="24685D3C">
            <w:pPr>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3248" w:type="dxa"/>
            <w:vAlign w:val="center"/>
          </w:tcPr>
          <w:p w14:paraId="4BAA3F24">
            <w:pPr>
              <w:widowControl/>
              <w:autoSpaceDE w:val="0"/>
              <w:autoSpaceDN w:val="0"/>
              <w:adjustRightInd w:val="0"/>
              <w:spacing w:line="440" w:lineRule="exact"/>
              <w:rPr>
                <w:rFonts w:ascii="仿宋" w:hAnsi="仿宋" w:eastAsia="仿宋" w:cs="仿宋"/>
                <w:color w:val="auto"/>
                <w:sz w:val="24"/>
                <w:szCs w:val="24"/>
                <w:highlight w:val="none"/>
              </w:rPr>
            </w:pPr>
          </w:p>
        </w:tc>
        <w:tc>
          <w:tcPr>
            <w:tcW w:w="3087" w:type="dxa"/>
          </w:tcPr>
          <w:p w14:paraId="26EA40A0">
            <w:pPr>
              <w:spacing w:line="360" w:lineRule="auto"/>
              <w:jc w:val="center"/>
              <w:rPr>
                <w:rFonts w:ascii="仿宋" w:hAnsi="仿宋" w:eastAsia="仿宋" w:cs="仿宋"/>
                <w:color w:val="auto"/>
                <w:sz w:val="24"/>
                <w:szCs w:val="24"/>
                <w:highlight w:val="none"/>
              </w:rPr>
            </w:pPr>
          </w:p>
        </w:tc>
        <w:tc>
          <w:tcPr>
            <w:tcW w:w="2013" w:type="dxa"/>
          </w:tcPr>
          <w:p w14:paraId="2EE9A455">
            <w:pPr>
              <w:spacing w:line="360" w:lineRule="auto"/>
              <w:jc w:val="center"/>
              <w:rPr>
                <w:rFonts w:ascii="仿宋" w:hAnsi="仿宋" w:eastAsia="仿宋" w:cs="仿宋"/>
                <w:color w:val="auto"/>
                <w:sz w:val="24"/>
                <w:szCs w:val="24"/>
                <w:highlight w:val="none"/>
              </w:rPr>
            </w:pPr>
          </w:p>
        </w:tc>
      </w:tr>
      <w:tr w14:paraId="6DE86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432" w:type="dxa"/>
          </w:tcPr>
          <w:p w14:paraId="7F672B76">
            <w:pPr>
              <w:spacing w:line="360" w:lineRule="auto"/>
              <w:jc w:val="center"/>
              <w:rPr>
                <w:rFonts w:ascii="仿宋" w:hAnsi="仿宋" w:eastAsia="仿宋" w:cs="仿宋"/>
                <w:color w:val="auto"/>
                <w:sz w:val="24"/>
                <w:szCs w:val="24"/>
                <w:highlight w:val="none"/>
              </w:rPr>
            </w:pPr>
          </w:p>
        </w:tc>
        <w:tc>
          <w:tcPr>
            <w:tcW w:w="3248" w:type="dxa"/>
            <w:vAlign w:val="center"/>
          </w:tcPr>
          <w:p w14:paraId="5FFCEFF5">
            <w:pPr>
              <w:widowControl/>
              <w:autoSpaceDE w:val="0"/>
              <w:autoSpaceDN w:val="0"/>
              <w:adjustRightInd w:val="0"/>
              <w:spacing w:line="440" w:lineRule="exact"/>
              <w:rPr>
                <w:rFonts w:ascii="仿宋" w:hAnsi="仿宋" w:eastAsia="仿宋" w:cs="仿宋"/>
                <w:color w:val="auto"/>
                <w:sz w:val="24"/>
                <w:szCs w:val="24"/>
                <w:highlight w:val="none"/>
              </w:rPr>
            </w:pPr>
          </w:p>
        </w:tc>
        <w:tc>
          <w:tcPr>
            <w:tcW w:w="3087" w:type="dxa"/>
          </w:tcPr>
          <w:p w14:paraId="43391DEC">
            <w:pPr>
              <w:spacing w:line="360" w:lineRule="auto"/>
              <w:jc w:val="center"/>
              <w:rPr>
                <w:rFonts w:ascii="仿宋" w:hAnsi="仿宋" w:eastAsia="仿宋" w:cs="仿宋"/>
                <w:color w:val="auto"/>
                <w:sz w:val="24"/>
                <w:szCs w:val="24"/>
                <w:highlight w:val="none"/>
              </w:rPr>
            </w:pPr>
          </w:p>
        </w:tc>
        <w:tc>
          <w:tcPr>
            <w:tcW w:w="2013" w:type="dxa"/>
          </w:tcPr>
          <w:p w14:paraId="0D167F6F">
            <w:pPr>
              <w:spacing w:line="360" w:lineRule="auto"/>
              <w:jc w:val="center"/>
              <w:rPr>
                <w:rFonts w:ascii="仿宋" w:hAnsi="仿宋" w:eastAsia="仿宋" w:cs="仿宋"/>
                <w:color w:val="auto"/>
                <w:sz w:val="24"/>
                <w:szCs w:val="24"/>
                <w:highlight w:val="none"/>
              </w:rPr>
            </w:pPr>
          </w:p>
        </w:tc>
      </w:tr>
      <w:tr w14:paraId="09D50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432" w:type="dxa"/>
          </w:tcPr>
          <w:p w14:paraId="42937032">
            <w:pPr>
              <w:spacing w:line="360" w:lineRule="auto"/>
              <w:jc w:val="center"/>
              <w:rPr>
                <w:rFonts w:ascii="仿宋" w:hAnsi="仿宋" w:eastAsia="仿宋" w:cs="仿宋"/>
                <w:color w:val="auto"/>
                <w:sz w:val="24"/>
                <w:szCs w:val="24"/>
                <w:highlight w:val="none"/>
              </w:rPr>
            </w:pPr>
          </w:p>
        </w:tc>
        <w:tc>
          <w:tcPr>
            <w:tcW w:w="3248" w:type="dxa"/>
            <w:vAlign w:val="center"/>
          </w:tcPr>
          <w:p w14:paraId="66B55DAB">
            <w:pPr>
              <w:widowControl/>
              <w:autoSpaceDE w:val="0"/>
              <w:autoSpaceDN w:val="0"/>
              <w:adjustRightInd w:val="0"/>
              <w:spacing w:line="440" w:lineRule="exact"/>
              <w:rPr>
                <w:rFonts w:ascii="仿宋" w:hAnsi="仿宋" w:eastAsia="仿宋" w:cs="仿宋"/>
                <w:color w:val="auto"/>
                <w:sz w:val="24"/>
                <w:szCs w:val="24"/>
                <w:highlight w:val="none"/>
              </w:rPr>
            </w:pPr>
          </w:p>
        </w:tc>
        <w:tc>
          <w:tcPr>
            <w:tcW w:w="3087" w:type="dxa"/>
          </w:tcPr>
          <w:p w14:paraId="102E6DF4">
            <w:pPr>
              <w:spacing w:line="360" w:lineRule="auto"/>
              <w:jc w:val="center"/>
              <w:rPr>
                <w:rFonts w:ascii="仿宋" w:hAnsi="仿宋" w:eastAsia="仿宋" w:cs="仿宋"/>
                <w:color w:val="auto"/>
                <w:sz w:val="24"/>
                <w:szCs w:val="24"/>
                <w:highlight w:val="none"/>
              </w:rPr>
            </w:pPr>
          </w:p>
        </w:tc>
        <w:tc>
          <w:tcPr>
            <w:tcW w:w="2013" w:type="dxa"/>
          </w:tcPr>
          <w:p w14:paraId="5A43027D">
            <w:pPr>
              <w:spacing w:line="360" w:lineRule="auto"/>
              <w:jc w:val="center"/>
              <w:rPr>
                <w:rFonts w:ascii="仿宋" w:hAnsi="仿宋" w:eastAsia="仿宋" w:cs="仿宋"/>
                <w:color w:val="auto"/>
                <w:sz w:val="24"/>
                <w:szCs w:val="24"/>
                <w:highlight w:val="none"/>
              </w:rPr>
            </w:pPr>
          </w:p>
        </w:tc>
      </w:tr>
      <w:tr w14:paraId="0C947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432" w:type="dxa"/>
          </w:tcPr>
          <w:p w14:paraId="6EC3DC20">
            <w:pPr>
              <w:spacing w:line="360" w:lineRule="auto"/>
              <w:jc w:val="center"/>
              <w:rPr>
                <w:rFonts w:ascii="仿宋" w:hAnsi="仿宋" w:eastAsia="仿宋" w:cs="仿宋"/>
                <w:color w:val="auto"/>
                <w:sz w:val="24"/>
                <w:szCs w:val="24"/>
                <w:highlight w:val="none"/>
              </w:rPr>
            </w:pPr>
          </w:p>
        </w:tc>
        <w:tc>
          <w:tcPr>
            <w:tcW w:w="3248" w:type="dxa"/>
            <w:vAlign w:val="center"/>
          </w:tcPr>
          <w:p w14:paraId="637A28DA">
            <w:pPr>
              <w:widowControl/>
              <w:autoSpaceDE w:val="0"/>
              <w:autoSpaceDN w:val="0"/>
              <w:adjustRightInd w:val="0"/>
              <w:spacing w:line="440" w:lineRule="exact"/>
              <w:rPr>
                <w:rFonts w:ascii="仿宋" w:hAnsi="仿宋" w:eastAsia="仿宋" w:cs="仿宋"/>
                <w:color w:val="auto"/>
                <w:sz w:val="24"/>
                <w:szCs w:val="24"/>
                <w:highlight w:val="none"/>
              </w:rPr>
            </w:pPr>
          </w:p>
        </w:tc>
        <w:tc>
          <w:tcPr>
            <w:tcW w:w="3087" w:type="dxa"/>
          </w:tcPr>
          <w:p w14:paraId="7DB0BAC2">
            <w:pPr>
              <w:spacing w:line="360" w:lineRule="auto"/>
              <w:jc w:val="center"/>
              <w:rPr>
                <w:rFonts w:ascii="仿宋" w:hAnsi="仿宋" w:eastAsia="仿宋" w:cs="仿宋"/>
                <w:color w:val="auto"/>
                <w:sz w:val="24"/>
                <w:szCs w:val="24"/>
                <w:highlight w:val="none"/>
              </w:rPr>
            </w:pPr>
          </w:p>
        </w:tc>
        <w:tc>
          <w:tcPr>
            <w:tcW w:w="2013" w:type="dxa"/>
          </w:tcPr>
          <w:p w14:paraId="7BC480A3">
            <w:pPr>
              <w:spacing w:line="360" w:lineRule="auto"/>
              <w:jc w:val="center"/>
              <w:rPr>
                <w:rFonts w:ascii="仿宋" w:hAnsi="仿宋" w:eastAsia="仿宋" w:cs="仿宋"/>
                <w:color w:val="auto"/>
                <w:sz w:val="24"/>
                <w:szCs w:val="24"/>
                <w:highlight w:val="none"/>
              </w:rPr>
            </w:pPr>
          </w:p>
        </w:tc>
      </w:tr>
    </w:tbl>
    <w:p w14:paraId="70ED06CD">
      <w:pPr>
        <w:spacing w:before="100" w:beforeAutospacing="1" w:after="100" w:afterAutospacing="1" w:line="440" w:lineRule="exact"/>
        <w:rPr>
          <w:rFonts w:ascii="仿宋" w:hAnsi="仿宋" w:eastAsia="仿宋" w:cs="仿宋"/>
          <w:color w:val="auto"/>
          <w:kern w:val="1"/>
          <w:sz w:val="24"/>
          <w:szCs w:val="24"/>
          <w:highlight w:val="none"/>
        </w:rPr>
      </w:pPr>
      <w:r>
        <w:rPr>
          <w:rFonts w:hint="eastAsia" w:ascii="仿宋" w:hAnsi="仿宋" w:eastAsia="仿宋" w:cs="仿宋"/>
          <w:color w:val="auto"/>
          <w:sz w:val="24"/>
          <w:szCs w:val="24"/>
          <w:highlight w:val="none"/>
        </w:rPr>
        <w:t>注：偏离情况填写为正偏离、负偏离、无偏离。</w:t>
      </w:r>
    </w:p>
    <w:p w14:paraId="0791B118">
      <w:pPr>
        <w:widowControl/>
        <w:autoSpaceDE w:val="0"/>
        <w:autoSpaceDN w:val="0"/>
        <w:adjustRightInd w:val="0"/>
        <w:spacing w:line="44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1、投标人应根据</w:t>
      </w:r>
      <w:r>
        <w:rPr>
          <w:rFonts w:hint="eastAsia" w:ascii="仿宋" w:hAnsi="仿宋" w:eastAsia="仿宋" w:cs="仿宋"/>
          <w:color w:val="auto"/>
          <w:sz w:val="24"/>
          <w:szCs w:val="24"/>
          <w:highlight w:val="none"/>
          <w:lang w:val="en-US" w:eastAsia="zh-CN"/>
        </w:rPr>
        <w:t>自身的商务指标</w:t>
      </w:r>
      <w:r>
        <w:rPr>
          <w:rFonts w:hint="eastAsia" w:ascii="仿宋" w:hAnsi="仿宋" w:eastAsia="仿宋" w:cs="仿宋"/>
          <w:color w:val="auto"/>
          <w:sz w:val="24"/>
          <w:szCs w:val="24"/>
          <w:highlight w:val="none"/>
          <w:lang w:val="zh-CN"/>
        </w:rPr>
        <w:t>，对照招标文件中“第三章</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zh-CN"/>
        </w:rPr>
        <w:t>采购需求</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商务要求</w:t>
      </w:r>
      <w:r>
        <w:rPr>
          <w:rFonts w:hint="eastAsia" w:ascii="仿宋" w:hAnsi="仿宋" w:eastAsia="仿宋" w:cs="仿宋"/>
          <w:color w:val="auto"/>
          <w:sz w:val="24"/>
          <w:szCs w:val="24"/>
          <w:highlight w:val="none"/>
          <w:lang w:val="zh-CN"/>
        </w:rPr>
        <w:t>”中的各项</w:t>
      </w:r>
      <w:r>
        <w:rPr>
          <w:rFonts w:hint="eastAsia" w:ascii="仿宋" w:hAnsi="仿宋" w:eastAsia="仿宋" w:cs="仿宋"/>
          <w:color w:val="auto"/>
          <w:sz w:val="24"/>
          <w:szCs w:val="24"/>
          <w:highlight w:val="none"/>
          <w:lang w:val="en-US" w:eastAsia="zh-CN"/>
        </w:rPr>
        <w:t>商务</w:t>
      </w:r>
      <w:r>
        <w:rPr>
          <w:rFonts w:hint="eastAsia" w:ascii="仿宋" w:hAnsi="仿宋" w:eastAsia="仿宋" w:cs="仿宋"/>
          <w:color w:val="auto"/>
          <w:sz w:val="24"/>
          <w:szCs w:val="24"/>
          <w:highlight w:val="none"/>
          <w:lang w:val="zh-CN"/>
        </w:rPr>
        <w:t>要求，如实逐条一一对应填写响应情况，如有未响应</w:t>
      </w:r>
      <w:r>
        <w:rPr>
          <w:rFonts w:hint="eastAsia" w:ascii="仿宋" w:hAnsi="仿宋" w:eastAsia="仿宋" w:cs="仿宋"/>
          <w:color w:val="auto"/>
          <w:sz w:val="24"/>
          <w:szCs w:val="24"/>
          <w:highlight w:val="none"/>
          <w:lang w:val="en-US" w:eastAsia="zh-CN"/>
        </w:rPr>
        <w:t>商务要求或前后不一致</w:t>
      </w:r>
      <w:r>
        <w:rPr>
          <w:rFonts w:hint="eastAsia" w:ascii="仿宋" w:hAnsi="仿宋" w:eastAsia="仿宋" w:cs="仿宋"/>
          <w:color w:val="auto"/>
          <w:sz w:val="24"/>
          <w:szCs w:val="24"/>
          <w:highlight w:val="none"/>
          <w:lang w:val="zh-CN"/>
        </w:rPr>
        <w:t>，评标委员会有权视其为负偏离；</w:t>
      </w:r>
    </w:p>
    <w:p w14:paraId="1A5E2AE2">
      <w:pPr>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2、请投标人在“偏离情况”一栏详细描述存在正偏离或负偏离</w:t>
      </w:r>
      <w:r>
        <w:rPr>
          <w:rFonts w:hint="eastAsia" w:ascii="仿宋" w:hAnsi="仿宋" w:eastAsia="仿宋" w:cs="仿宋"/>
          <w:color w:val="auto"/>
          <w:sz w:val="24"/>
          <w:szCs w:val="24"/>
          <w:highlight w:val="none"/>
          <w:lang w:val="en-US" w:eastAsia="zh-CN"/>
        </w:rPr>
        <w:t>商务</w:t>
      </w:r>
      <w:r>
        <w:rPr>
          <w:rFonts w:hint="eastAsia" w:ascii="仿宋" w:hAnsi="仿宋" w:eastAsia="仿宋" w:cs="仿宋"/>
          <w:color w:val="auto"/>
          <w:sz w:val="24"/>
          <w:szCs w:val="24"/>
          <w:highlight w:val="none"/>
        </w:rPr>
        <w:t>指标，并标明偏离情况；</w:t>
      </w:r>
    </w:p>
    <w:p w14:paraId="7809AF84">
      <w:pPr>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3、招标文件</w:t>
      </w:r>
      <w:r>
        <w:rPr>
          <w:rFonts w:hint="eastAsia" w:ascii="仿宋" w:hAnsi="仿宋" w:eastAsia="仿宋" w:cs="仿宋"/>
          <w:color w:val="auto"/>
          <w:sz w:val="24"/>
          <w:szCs w:val="24"/>
          <w:highlight w:val="none"/>
          <w:lang w:val="en-US" w:eastAsia="zh-CN"/>
        </w:rPr>
        <w:t>商务</w:t>
      </w:r>
      <w:r>
        <w:rPr>
          <w:rFonts w:hint="eastAsia" w:ascii="仿宋" w:hAnsi="仿宋" w:eastAsia="仿宋" w:cs="仿宋"/>
          <w:color w:val="auto"/>
          <w:sz w:val="24"/>
          <w:szCs w:val="24"/>
          <w:highlight w:val="none"/>
        </w:rPr>
        <w:t>指标未做要求的，不视为正偏离。</w:t>
      </w:r>
    </w:p>
    <w:p w14:paraId="2AFA52D4">
      <w:pPr>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商务</w:t>
      </w:r>
      <w:r>
        <w:rPr>
          <w:rFonts w:hint="eastAsia" w:ascii="仿宋" w:hAnsi="仿宋" w:eastAsia="仿宋" w:cs="仿宋"/>
          <w:color w:val="auto"/>
          <w:sz w:val="24"/>
          <w:szCs w:val="24"/>
          <w:highlight w:val="none"/>
        </w:rPr>
        <w:t>指标</w:t>
      </w:r>
      <w:r>
        <w:rPr>
          <w:rFonts w:hint="eastAsia" w:ascii="仿宋" w:hAnsi="仿宋" w:eastAsia="仿宋" w:cs="仿宋"/>
          <w:color w:val="auto"/>
          <w:sz w:val="24"/>
          <w:szCs w:val="24"/>
          <w:highlight w:val="none"/>
          <w:lang w:val="en-US" w:eastAsia="zh-CN"/>
        </w:rPr>
        <w:t>不允许负偏离</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负偏离视为不响应招标文件</w:t>
      </w:r>
      <w:r>
        <w:rPr>
          <w:rFonts w:hint="eastAsia" w:ascii="仿宋" w:hAnsi="仿宋" w:eastAsia="仿宋" w:cs="仿宋"/>
          <w:color w:val="auto"/>
          <w:sz w:val="24"/>
          <w:szCs w:val="24"/>
          <w:highlight w:val="none"/>
        </w:rPr>
        <w:t>。</w:t>
      </w:r>
    </w:p>
    <w:p w14:paraId="594C2B52">
      <w:pPr>
        <w:spacing w:line="440" w:lineRule="exact"/>
        <w:rPr>
          <w:rFonts w:ascii="仿宋" w:hAnsi="仿宋" w:eastAsia="仿宋" w:cs="Times New Roman"/>
          <w:color w:val="auto"/>
          <w:sz w:val="24"/>
          <w:szCs w:val="24"/>
          <w:highlight w:val="none"/>
        </w:rPr>
      </w:pPr>
    </w:p>
    <w:p w14:paraId="1A9D34C2">
      <w:pPr>
        <w:spacing w:line="440" w:lineRule="exact"/>
        <w:rPr>
          <w:rFonts w:ascii="仿宋" w:hAnsi="仿宋" w:eastAsia="仿宋" w:cs="Times New Roman"/>
          <w:color w:val="auto"/>
          <w:sz w:val="24"/>
          <w:szCs w:val="24"/>
          <w:highlight w:val="none"/>
        </w:rPr>
      </w:pPr>
    </w:p>
    <w:p w14:paraId="6D113DA0">
      <w:pPr>
        <w:spacing w:line="440" w:lineRule="exact"/>
        <w:jc w:val="right"/>
        <w:rPr>
          <w:rFonts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投  标  人：</w:t>
      </w:r>
      <w:r>
        <w:rPr>
          <w:rFonts w:hint="eastAsia" w:ascii="仿宋" w:hAnsi="仿宋" w:eastAsia="仿宋" w:cs="Times New Roman"/>
          <w:color w:val="auto"/>
          <w:sz w:val="24"/>
          <w:szCs w:val="24"/>
          <w:highlight w:val="none"/>
          <w:u w:val="single"/>
        </w:rPr>
        <w:t xml:space="preserve">               </w:t>
      </w:r>
      <w:r>
        <w:rPr>
          <w:rFonts w:hint="eastAsia" w:ascii="仿宋" w:hAnsi="仿宋" w:eastAsia="仿宋" w:cs="Times New Roman"/>
          <w:color w:val="auto"/>
          <w:sz w:val="24"/>
          <w:szCs w:val="24"/>
          <w:highlight w:val="none"/>
        </w:rPr>
        <w:t>（盖单位公章）</w:t>
      </w:r>
    </w:p>
    <w:p w14:paraId="24ADAF3A">
      <w:pPr>
        <w:spacing w:line="440" w:lineRule="exact"/>
        <w:ind w:firstLine="4108" w:firstLineChars="1712"/>
        <w:rPr>
          <w:rFonts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法定代表人：</w:t>
      </w:r>
      <w:r>
        <w:rPr>
          <w:rFonts w:hint="eastAsia" w:ascii="仿宋" w:hAnsi="仿宋" w:eastAsia="仿宋" w:cs="Times New Roman"/>
          <w:color w:val="auto"/>
          <w:sz w:val="24"/>
          <w:szCs w:val="24"/>
          <w:highlight w:val="none"/>
          <w:u w:val="single"/>
        </w:rPr>
        <w:t xml:space="preserve">                </w:t>
      </w:r>
      <w:r>
        <w:rPr>
          <w:rFonts w:hint="eastAsia" w:ascii="仿宋" w:hAnsi="仿宋" w:eastAsia="仿宋" w:cs="Times New Roman"/>
          <w:color w:val="auto"/>
          <w:sz w:val="24"/>
          <w:szCs w:val="24"/>
          <w:highlight w:val="none"/>
        </w:rPr>
        <w:t>（签字或盖章）</w:t>
      </w:r>
    </w:p>
    <w:p w14:paraId="024150ED">
      <w:pPr>
        <w:spacing w:line="440" w:lineRule="exact"/>
        <w:ind w:firstLine="4108" w:firstLineChars="1712"/>
        <w:rPr>
          <w:rFonts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日      期：</w:t>
      </w:r>
      <w:r>
        <w:rPr>
          <w:rFonts w:hint="eastAsia" w:ascii="仿宋" w:hAnsi="仿宋" w:eastAsia="仿宋" w:cs="Times New Roman"/>
          <w:color w:val="auto"/>
          <w:sz w:val="24"/>
          <w:szCs w:val="24"/>
          <w:highlight w:val="none"/>
          <w:u w:val="single"/>
        </w:rPr>
        <w:t xml:space="preserve">      </w:t>
      </w:r>
      <w:r>
        <w:rPr>
          <w:rFonts w:hint="eastAsia" w:ascii="仿宋" w:hAnsi="仿宋" w:eastAsia="仿宋" w:cs="Times New Roman"/>
          <w:color w:val="auto"/>
          <w:sz w:val="24"/>
          <w:szCs w:val="24"/>
          <w:highlight w:val="none"/>
        </w:rPr>
        <w:t>年</w:t>
      </w:r>
      <w:r>
        <w:rPr>
          <w:rFonts w:hint="eastAsia" w:ascii="仿宋" w:hAnsi="仿宋" w:eastAsia="仿宋" w:cs="Times New Roman"/>
          <w:color w:val="auto"/>
          <w:sz w:val="24"/>
          <w:szCs w:val="24"/>
          <w:highlight w:val="none"/>
          <w:u w:val="single"/>
        </w:rPr>
        <w:t xml:space="preserve">   </w:t>
      </w:r>
      <w:r>
        <w:rPr>
          <w:rFonts w:hint="eastAsia" w:ascii="仿宋" w:hAnsi="仿宋" w:eastAsia="仿宋" w:cs="Times New Roman"/>
          <w:color w:val="auto"/>
          <w:sz w:val="24"/>
          <w:szCs w:val="24"/>
          <w:highlight w:val="none"/>
        </w:rPr>
        <w:t>月</w:t>
      </w:r>
      <w:r>
        <w:rPr>
          <w:rFonts w:hint="eastAsia" w:ascii="仿宋" w:hAnsi="仿宋" w:eastAsia="仿宋" w:cs="Times New Roman"/>
          <w:color w:val="auto"/>
          <w:sz w:val="24"/>
          <w:szCs w:val="24"/>
          <w:highlight w:val="none"/>
          <w:u w:val="single"/>
        </w:rPr>
        <w:t xml:space="preserve">   </w:t>
      </w:r>
      <w:r>
        <w:rPr>
          <w:rFonts w:hint="eastAsia" w:ascii="仿宋" w:hAnsi="仿宋" w:eastAsia="仿宋" w:cs="Times New Roman"/>
          <w:color w:val="auto"/>
          <w:sz w:val="24"/>
          <w:szCs w:val="24"/>
          <w:highlight w:val="none"/>
        </w:rPr>
        <w:t>日</w:t>
      </w:r>
    </w:p>
    <w:p w14:paraId="50576074">
      <w:pPr>
        <w:spacing w:before="100" w:beforeAutospacing="1" w:after="100" w:afterAutospacing="1" w:line="440" w:lineRule="exact"/>
        <w:jc w:val="center"/>
        <w:rPr>
          <w:rFonts w:ascii="仿宋" w:hAnsi="仿宋" w:eastAsia="仿宋" w:cs="仿宋"/>
          <w:color w:val="auto"/>
          <w:kern w:val="1"/>
          <w:sz w:val="24"/>
          <w:szCs w:val="24"/>
          <w:highlight w:val="none"/>
        </w:rPr>
      </w:pPr>
    </w:p>
    <w:p w14:paraId="657B6E43">
      <w:pPr>
        <w:spacing w:afterLines="100" w:line="360" w:lineRule="auto"/>
        <w:jc w:val="center"/>
        <w:rPr>
          <w:rFonts w:ascii="仿宋" w:hAnsi="仿宋" w:eastAsia="仿宋" w:cs="仿宋"/>
          <w:color w:val="auto"/>
          <w:kern w:val="1"/>
          <w:sz w:val="28"/>
          <w:szCs w:val="28"/>
          <w:highlight w:val="none"/>
        </w:rPr>
      </w:pPr>
      <w:r>
        <w:rPr>
          <w:rFonts w:hint="eastAsia" w:ascii="仿宋" w:hAnsi="仿宋" w:eastAsia="仿宋" w:cs="仿宋"/>
          <w:color w:val="auto"/>
          <w:kern w:val="1"/>
          <w:sz w:val="28"/>
          <w:szCs w:val="28"/>
          <w:highlight w:val="none"/>
        </w:rPr>
        <w:br w:type="page"/>
      </w:r>
    </w:p>
    <w:p w14:paraId="27CB4114">
      <w:pPr>
        <w:spacing w:afterLines="100" w:line="360" w:lineRule="auto"/>
        <w:jc w:val="center"/>
        <w:rPr>
          <w:rFonts w:ascii="仿宋" w:hAnsi="仿宋" w:eastAsia="仿宋" w:cs="仿宋"/>
          <w:color w:val="auto"/>
          <w:sz w:val="24"/>
          <w:szCs w:val="24"/>
          <w:highlight w:val="none"/>
        </w:rPr>
      </w:pPr>
      <w:r>
        <w:rPr>
          <w:rFonts w:hint="eastAsia" w:ascii="仿宋" w:hAnsi="仿宋" w:eastAsia="仿宋" w:cs="仿宋"/>
          <w:color w:val="auto"/>
          <w:kern w:val="1"/>
          <w:sz w:val="28"/>
          <w:szCs w:val="28"/>
          <w:highlight w:val="none"/>
        </w:rPr>
        <w:t xml:space="preserve"> 八、</w:t>
      </w:r>
      <w:r>
        <w:rPr>
          <w:rFonts w:hint="eastAsia" w:ascii="仿宋" w:hAnsi="仿宋" w:eastAsia="仿宋" w:cs="仿宋"/>
          <w:color w:val="auto"/>
          <w:sz w:val="28"/>
          <w:szCs w:val="28"/>
          <w:highlight w:val="none"/>
        </w:rPr>
        <w:t>投标人基本情况表（附营业执照等）</w:t>
      </w:r>
    </w:p>
    <w:tbl>
      <w:tblPr>
        <w:tblStyle w:val="15"/>
        <w:tblW w:w="9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3"/>
        <w:gridCol w:w="1350"/>
        <w:gridCol w:w="1138"/>
        <w:gridCol w:w="1406"/>
        <w:gridCol w:w="1426"/>
        <w:gridCol w:w="1059"/>
        <w:gridCol w:w="1568"/>
      </w:tblGrid>
      <w:tr w14:paraId="0994F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773" w:type="dxa"/>
            <w:vAlign w:val="center"/>
          </w:tcPr>
          <w:p w14:paraId="64F1CAC5">
            <w:pPr>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投标人名称</w:t>
            </w:r>
          </w:p>
        </w:tc>
        <w:tc>
          <w:tcPr>
            <w:tcW w:w="7947" w:type="dxa"/>
            <w:gridSpan w:val="6"/>
            <w:vAlign w:val="center"/>
          </w:tcPr>
          <w:p w14:paraId="3F5F85F7">
            <w:pPr>
              <w:jc w:val="center"/>
              <w:rPr>
                <w:rFonts w:ascii="仿宋" w:hAnsi="仿宋" w:eastAsia="仿宋" w:cs="仿宋"/>
                <w:color w:val="auto"/>
                <w:sz w:val="24"/>
                <w:szCs w:val="24"/>
                <w:highlight w:val="none"/>
              </w:rPr>
            </w:pPr>
          </w:p>
        </w:tc>
      </w:tr>
      <w:tr w14:paraId="6D818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773" w:type="dxa"/>
            <w:vAlign w:val="center"/>
          </w:tcPr>
          <w:p w14:paraId="6BFEE2DB">
            <w:pPr>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注册地址</w:t>
            </w:r>
          </w:p>
        </w:tc>
        <w:tc>
          <w:tcPr>
            <w:tcW w:w="3894" w:type="dxa"/>
            <w:gridSpan w:val="3"/>
            <w:vAlign w:val="center"/>
          </w:tcPr>
          <w:p w14:paraId="67F5933F">
            <w:pPr>
              <w:jc w:val="center"/>
              <w:rPr>
                <w:rFonts w:ascii="仿宋" w:hAnsi="仿宋" w:eastAsia="仿宋" w:cs="仿宋"/>
                <w:color w:val="auto"/>
                <w:sz w:val="24"/>
                <w:szCs w:val="24"/>
                <w:highlight w:val="none"/>
              </w:rPr>
            </w:pPr>
          </w:p>
        </w:tc>
        <w:tc>
          <w:tcPr>
            <w:tcW w:w="1426" w:type="dxa"/>
            <w:vAlign w:val="center"/>
          </w:tcPr>
          <w:p w14:paraId="4034C356">
            <w:pPr>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邮政编码</w:t>
            </w:r>
          </w:p>
        </w:tc>
        <w:tc>
          <w:tcPr>
            <w:tcW w:w="2627" w:type="dxa"/>
            <w:gridSpan w:val="2"/>
            <w:vAlign w:val="center"/>
          </w:tcPr>
          <w:p w14:paraId="46919896">
            <w:pPr>
              <w:jc w:val="center"/>
              <w:rPr>
                <w:rFonts w:ascii="仿宋" w:hAnsi="仿宋" w:eastAsia="仿宋" w:cs="仿宋"/>
                <w:color w:val="auto"/>
                <w:sz w:val="24"/>
                <w:szCs w:val="24"/>
                <w:highlight w:val="none"/>
              </w:rPr>
            </w:pPr>
          </w:p>
        </w:tc>
      </w:tr>
      <w:tr w14:paraId="3524A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773" w:type="dxa"/>
            <w:vMerge w:val="restart"/>
            <w:vAlign w:val="center"/>
          </w:tcPr>
          <w:p w14:paraId="635C7EC3">
            <w:pPr>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联系方式</w:t>
            </w:r>
          </w:p>
        </w:tc>
        <w:tc>
          <w:tcPr>
            <w:tcW w:w="1350" w:type="dxa"/>
            <w:vAlign w:val="center"/>
          </w:tcPr>
          <w:p w14:paraId="5C89A7A4">
            <w:pPr>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联系人</w:t>
            </w:r>
          </w:p>
        </w:tc>
        <w:tc>
          <w:tcPr>
            <w:tcW w:w="2544" w:type="dxa"/>
            <w:gridSpan w:val="2"/>
            <w:vAlign w:val="center"/>
          </w:tcPr>
          <w:p w14:paraId="780AB4E5">
            <w:pPr>
              <w:jc w:val="center"/>
              <w:rPr>
                <w:rFonts w:ascii="仿宋" w:hAnsi="仿宋" w:eastAsia="仿宋" w:cs="仿宋"/>
                <w:color w:val="auto"/>
                <w:sz w:val="24"/>
                <w:szCs w:val="24"/>
                <w:highlight w:val="none"/>
              </w:rPr>
            </w:pPr>
          </w:p>
        </w:tc>
        <w:tc>
          <w:tcPr>
            <w:tcW w:w="1426" w:type="dxa"/>
            <w:vAlign w:val="center"/>
          </w:tcPr>
          <w:p w14:paraId="7384249D">
            <w:pPr>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电  话</w:t>
            </w:r>
          </w:p>
        </w:tc>
        <w:tc>
          <w:tcPr>
            <w:tcW w:w="2627" w:type="dxa"/>
            <w:gridSpan w:val="2"/>
            <w:vAlign w:val="center"/>
          </w:tcPr>
          <w:p w14:paraId="4191E86C">
            <w:pPr>
              <w:jc w:val="center"/>
              <w:rPr>
                <w:rFonts w:ascii="仿宋" w:hAnsi="仿宋" w:eastAsia="仿宋" w:cs="仿宋"/>
                <w:color w:val="auto"/>
                <w:sz w:val="24"/>
                <w:szCs w:val="24"/>
                <w:highlight w:val="none"/>
              </w:rPr>
            </w:pPr>
          </w:p>
        </w:tc>
      </w:tr>
      <w:tr w14:paraId="76175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773" w:type="dxa"/>
            <w:vMerge w:val="continue"/>
            <w:vAlign w:val="center"/>
          </w:tcPr>
          <w:p w14:paraId="1797C02B">
            <w:pPr>
              <w:jc w:val="center"/>
              <w:rPr>
                <w:rFonts w:ascii="仿宋" w:hAnsi="仿宋" w:eastAsia="仿宋" w:cs="仿宋"/>
                <w:color w:val="auto"/>
                <w:sz w:val="24"/>
                <w:szCs w:val="24"/>
                <w:highlight w:val="none"/>
              </w:rPr>
            </w:pPr>
          </w:p>
        </w:tc>
        <w:tc>
          <w:tcPr>
            <w:tcW w:w="1350" w:type="dxa"/>
            <w:vAlign w:val="center"/>
          </w:tcPr>
          <w:p w14:paraId="5CD70DAF">
            <w:pPr>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传  真</w:t>
            </w:r>
          </w:p>
        </w:tc>
        <w:tc>
          <w:tcPr>
            <w:tcW w:w="2544" w:type="dxa"/>
            <w:gridSpan w:val="2"/>
            <w:vAlign w:val="center"/>
          </w:tcPr>
          <w:p w14:paraId="44430769">
            <w:pPr>
              <w:jc w:val="center"/>
              <w:rPr>
                <w:rFonts w:ascii="仿宋" w:hAnsi="仿宋" w:eastAsia="仿宋" w:cs="仿宋"/>
                <w:color w:val="auto"/>
                <w:sz w:val="24"/>
                <w:szCs w:val="24"/>
                <w:highlight w:val="none"/>
              </w:rPr>
            </w:pPr>
          </w:p>
        </w:tc>
        <w:tc>
          <w:tcPr>
            <w:tcW w:w="1426" w:type="dxa"/>
            <w:vAlign w:val="center"/>
          </w:tcPr>
          <w:p w14:paraId="0A54C32E">
            <w:pPr>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网  址</w:t>
            </w:r>
          </w:p>
        </w:tc>
        <w:tc>
          <w:tcPr>
            <w:tcW w:w="2627" w:type="dxa"/>
            <w:gridSpan w:val="2"/>
            <w:vAlign w:val="center"/>
          </w:tcPr>
          <w:p w14:paraId="74147058">
            <w:pPr>
              <w:jc w:val="center"/>
              <w:rPr>
                <w:rFonts w:ascii="仿宋" w:hAnsi="仿宋" w:eastAsia="仿宋" w:cs="仿宋"/>
                <w:color w:val="auto"/>
                <w:sz w:val="24"/>
                <w:szCs w:val="24"/>
                <w:highlight w:val="none"/>
              </w:rPr>
            </w:pPr>
          </w:p>
        </w:tc>
      </w:tr>
      <w:tr w14:paraId="39393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773" w:type="dxa"/>
            <w:vAlign w:val="center"/>
          </w:tcPr>
          <w:p w14:paraId="4996E89A">
            <w:pPr>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w:t>
            </w:r>
          </w:p>
        </w:tc>
        <w:tc>
          <w:tcPr>
            <w:tcW w:w="1350" w:type="dxa"/>
            <w:vAlign w:val="center"/>
          </w:tcPr>
          <w:p w14:paraId="2BF4CEB2">
            <w:pPr>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姓名</w:t>
            </w:r>
          </w:p>
        </w:tc>
        <w:tc>
          <w:tcPr>
            <w:tcW w:w="1138" w:type="dxa"/>
            <w:vAlign w:val="center"/>
          </w:tcPr>
          <w:p w14:paraId="5E00FF36">
            <w:pPr>
              <w:jc w:val="center"/>
              <w:rPr>
                <w:rFonts w:ascii="仿宋" w:hAnsi="仿宋" w:eastAsia="仿宋" w:cs="仿宋"/>
                <w:color w:val="auto"/>
                <w:sz w:val="24"/>
                <w:szCs w:val="24"/>
                <w:highlight w:val="none"/>
              </w:rPr>
            </w:pPr>
          </w:p>
        </w:tc>
        <w:tc>
          <w:tcPr>
            <w:tcW w:w="1406" w:type="dxa"/>
            <w:vAlign w:val="center"/>
          </w:tcPr>
          <w:p w14:paraId="1FEDDAEC">
            <w:pPr>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技术职称</w:t>
            </w:r>
          </w:p>
        </w:tc>
        <w:tc>
          <w:tcPr>
            <w:tcW w:w="1426" w:type="dxa"/>
            <w:vAlign w:val="center"/>
          </w:tcPr>
          <w:p w14:paraId="0D13596D">
            <w:pPr>
              <w:jc w:val="center"/>
              <w:rPr>
                <w:rFonts w:ascii="仿宋" w:hAnsi="仿宋" w:eastAsia="仿宋" w:cs="仿宋"/>
                <w:color w:val="auto"/>
                <w:sz w:val="24"/>
                <w:szCs w:val="24"/>
                <w:highlight w:val="none"/>
              </w:rPr>
            </w:pPr>
          </w:p>
        </w:tc>
        <w:tc>
          <w:tcPr>
            <w:tcW w:w="1059" w:type="dxa"/>
            <w:vAlign w:val="center"/>
          </w:tcPr>
          <w:p w14:paraId="0BE5EFF5">
            <w:pPr>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电话</w:t>
            </w:r>
          </w:p>
        </w:tc>
        <w:tc>
          <w:tcPr>
            <w:tcW w:w="1568" w:type="dxa"/>
            <w:vAlign w:val="center"/>
          </w:tcPr>
          <w:p w14:paraId="40F3B28F">
            <w:pPr>
              <w:jc w:val="center"/>
              <w:rPr>
                <w:rFonts w:ascii="仿宋" w:hAnsi="仿宋" w:eastAsia="仿宋" w:cs="仿宋"/>
                <w:color w:val="auto"/>
                <w:sz w:val="24"/>
                <w:szCs w:val="24"/>
                <w:highlight w:val="none"/>
              </w:rPr>
            </w:pPr>
          </w:p>
        </w:tc>
      </w:tr>
      <w:tr w14:paraId="56162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773" w:type="dxa"/>
            <w:vAlign w:val="center"/>
          </w:tcPr>
          <w:p w14:paraId="30343C06">
            <w:pPr>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成立时间</w:t>
            </w:r>
          </w:p>
        </w:tc>
        <w:tc>
          <w:tcPr>
            <w:tcW w:w="7947" w:type="dxa"/>
            <w:gridSpan w:val="6"/>
            <w:vAlign w:val="center"/>
          </w:tcPr>
          <w:p w14:paraId="7072460A">
            <w:pPr>
              <w:jc w:val="center"/>
              <w:rPr>
                <w:rFonts w:ascii="仿宋" w:hAnsi="仿宋" w:eastAsia="仿宋" w:cs="仿宋"/>
                <w:color w:val="auto"/>
                <w:sz w:val="24"/>
                <w:szCs w:val="24"/>
                <w:highlight w:val="none"/>
              </w:rPr>
            </w:pPr>
          </w:p>
        </w:tc>
      </w:tr>
      <w:tr w14:paraId="7D59F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773" w:type="dxa"/>
            <w:vAlign w:val="center"/>
          </w:tcPr>
          <w:p w14:paraId="710611FD">
            <w:pPr>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营业执照号</w:t>
            </w:r>
          </w:p>
        </w:tc>
        <w:tc>
          <w:tcPr>
            <w:tcW w:w="2488" w:type="dxa"/>
            <w:gridSpan w:val="2"/>
            <w:vAlign w:val="center"/>
          </w:tcPr>
          <w:p w14:paraId="68A97978">
            <w:pPr>
              <w:jc w:val="center"/>
              <w:rPr>
                <w:rFonts w:ascii="仿宋" w:hAnsi="仿宋" w:eastAsia="仿宋" w:cs="仿宋"/>
                <w:color w:val="auto"/>
                <w:sz w:val="24"/>
                <w:szCs w:val="24"/>
                <w:highlight w:val="none"/>
              </w:rPr>
            </w:pPr>
          </w:p>
        </w:tc>
        <w:tc>
          <w:tcPr>
            <w:tcW w:w="1406" w:type="dxa"/>
            <w:vMerge w:val="restart"/>
            <w:vAlign w:val="center"/>
          </w:tcPr>
          <w:p w14:paraId="2C00D943">
            <w:pPr>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企业人员</w:t>
            </w:r>
          </w:p>
        </w:tc>
        <w:tc>
          <w:tcPr>
            <w:tcW w:w="1426" w:type="dxa"/>
            <w:vAlign w:val="center"/>
          </w:tcPr>
          <w:p w14:paraId="618F49A0">
            <w:pPr>
              <w:jc w:val="center"/>
              <w:rPr>
                <w:rFonts w:ascii="仿宋" w:hAnsi="仿宋" w:eastAsia="仿宋" w:cs="仿宋"/>
                <w:color w:val="auto"/>
                <w:sz w:val="24"/>
                <w:szCs w:val="24"/>
                <w:highlight w:val="none"/>
              </w:rPr>
            </w:pPr>
          </w:p>
        </w:tc>
        <w:tc>
          <w:tcPr>
            <w:tcW w:w="2627" w:type="dxa"/>
            <w:gridSpan w:val="2"/>
            <w:vAlign w:val="center"/>
          </w:tcPr>
          <w:p w14:paraId="775CD9D0">
            <w:pPr>
              <w:jc w:val="center"/>
              <w:rPr>
                <w:rFonts w:ascii="仿宋" w:hAnsi="仿宋" w:eastAsia="仿宋" w:cs="仿宋"/>
                <w:color w:val="auto"/>
                <w:sz w:val="24"/>
                <w:szCs w:val="24"/>
                <w:highlight w:val="none"/>
              </w:rPr>
            </w:pPr>
          </w:p>
        </w:tc>
      </w:tr>
      <w:tr w14:paraId="1B887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773" w:type="dxa"/>
            <w:vAlign w:val="center"/>
          </w:tcPr>
          <w:p w14:paraId="32F61D45">
            <w:pPr>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注册资金</w:t>
            </w:r>
          </w:p>
        </w:tc>
        <w:tc>
          <w:tcPr>
            <w:tcW w:w="2488" w:type="dxa"/>
            <w:gridSpan w:val="2"/>
            <w:vAlign w:val="center"/>
          </w:tcPr>
          <w:p w14:paraId="0B3CFB32">
            <w:pPr>
              <w:jc w:val="center"/>
              <w:rPr>
                <w:rFonts w:ascii="仿宋" w:hAnsi="仿宋" w:eastAsia="仿宋" w:cs="仿宋"/>
                <w:color w:val="auto"/>
                <w:sz w:val="24"/>
                <w:szCs w:val="24"/>
                <w:highlight w:val="none"/>
              </w:rPr>
            </w:pPr>
          </w:p>
        </w:tc>
        <w:tc>
          <w:tcPr>
            <w:tcW w:w="1406" w:type="dxa"/>
            <w:vMerge w:val="continue"/>
            <w:vAlign w:val="center"/>
          </w:tcPr>
          <w:p w14:paraId="6A79075F">
            <w:pPr>
              <w:jc w:val="center"/>
              <w:rPr>
                <w:rFonts w:ascii="仿宋" w:hAnsi="仿宋" w:eastAsia="仿宋" w:cs="仿宋"/>
                <w:color w:val="auto"/>
                <w:sz w:val="24"/>
                <w:szCs w:val="24"/>
                <w:highlight w:val="none"/>
              </w:rPr>
            </w:pPr>
          </w:p>
        </w:tc>
        <w:tc>
          <w:tcPr>
            <w:tcW w:w="1426" w:type="dxa"/>
            <w:vAlign w:val="center"/>
          </w:tcPr>
          <w:p w14:paraId="57613E30">
            <w:pPr>
              <w:jc w:val="center"/>
              <w:rPr>
                <w:rFonts w:ascii="仿宋" w:hAnsi="仿宋" w:eastAsia="仿宋" w:cs="仿宋"/>
                <w:color w:val="auto"/>
                <w:sz w:val="24"/>
                <w:szCs w:val="24"/>
                <w:highlight w:val="none"/>
              </w:rPr>
            </w:pPr>
          </w:p>
        </w:tc>
        <w:tc>
          <w:tcPr>
            <w:tcW w:w="2627" w:type="dxa"/>
            <w:gridSpan w:val="2"/>
            <w:vAlign w:val="center"/>
          </w:tcPr>
          <w:p w14:paraId="0CA7DB9F">
            <w:pPr>
              <w:jc w:val="center"/>
              <w:rPr>
                <w:rFonts w:ascii="仿宋" w:hAnsi="仿宋" w:eastAsia="仿宋" w:cs="仿宋"/>
                <w:color w:val="auto"/>
                <w:sz w:val="24"/>
                <w:szCs w:val="24"/>
                <w:highlight w:val="none"/>
              </w:rPr>
            </w:pPr>
          </w:p>
        </w:tc>
      </w:tr>
      <w:tr w14:paraId="3F90F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773" w:type="dxa"/>
            <w:vAlign w:val="center"/>
          </w:tcPr>
          <w:p w14:paraId="56490DCD">
            <w:pPr>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w:t>
            </w:r>
          </w:p>
        </w:tc>
        <w:tc>
          <w:tcPr>
            <w:tcW w:w="2488" w:type="dxa"/>
            <w:gridSpan w:val="2"/>
            <w:vAlign w:val="center"/>
          </w:tcPr>
          <w:p w14:paraId="3131DA58">
            <w:pPr>
              <w:jc w:val="center"/>
              <w:rPr>
                <w:rFonts w:ascii="仿宋" w:hAnsi="仿宋" w:eastAsia="仿宋" w:cs="仿宋"/>
                <w:color w:val="auto"/>
                <w:sz w:val="24"/>
                <w:szCs w:val="24"/>
                <w:highlight w:val="none"/>
              </w:rPr>
            </w:pPr>
          </w:p>
        </w:tc>
        <w:tc>
          <w:tcPr>
            <w:tcW w:w="1406" w:type="dxa"/>
            <w:vMerge w:val="continue"/>
            <w:vAlign w:val="center"/>
          </w:tcPr>
          <w:p w14:paraId="672A1EDB">
            <w:pPr>
              <w:jc w:val="center"/>
              <w:rPr>
                <w:rFonts w:ascii="仿宋" w:hAnsi="仿宋" w:eastAsia="仿宋" w:cs="仿宋"/>
                <w:color w:val="auto"/>
                <w:sz w:val="24"/>
                <w:szCs w:val="24"/>
                <w:highlight w:val="none"/>
              </w:rPr>
            </w:pPr>
          </w:p>
        </w:tc>
        <w:tc>
          <w:tcPr>
            <w:tcW w:w="1426" w:type="dxa"/>
            <w:vAlign w:val="center"/>
          </w:tcPr>
          <w:p w14:paraId="29751267">
            <w:pPr>
              <w:jc w:val="center"/>
              <w:rPr>
                <w:rFonts w:ascii="仿宋" w:hAnsi="仿宋" w:eastAsia="仿宋" w:cs="仿宋"/>
                <w:color w:val="auto"/>
                <w:sz w:val="24"/>
                <w:szCs w:val="24"/>
                <w:highlight w:val="none"/>
              </w:rPr>
            </w:pPr>
          </w:p>
        </w:tc>
        <w:tc>
          <w:tcPr>
            <w:tcW w:w="2627" w:type="dxa"/>
            <w:gridSpan w:val="2"/>
            <w:vAlign w:val="center"/>
          </w:tcPr>
          <w:p w14:paraId="50681DC8">
            <w:pPr>
              <w:jc w:val="center"/>
              <w:rPr>
                <w:rFonts w:ascii="仿宋" w:hAnsi="仿宋" w:eastAsia="仿宋" w:cs="仿宋"/>
                <w:color w:val="auto"/>
                <w:sz w:val="24"/>
                <w:szCs w:val="24"/>
                <w:highlight w:val="none"/>
              </w:rPr>
            </w:pPr>
          </w:p>
        </w:tc>
      </w:tr>
      <w:tr w14:paraId="06E20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773" w:type="dxa"/>
            <w:vAlign w:val="center"/>
          </w:tcPr>
          <w:p w14:paraId="78039A0C">
            <w:pPr>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账   号</w:t>
            </w:r>
          </w:p>
        </w:tc>
        <w:tc>
          <w:tcPr>
            <w:tcW w:w="2488" w:type="dxa"/>
            <w:gridSpan w:val="2"/>
            <w:vAlign w:val="center"/>
          </w:tcPr>
          <w:p w14:paraId="0CF647D4">
            <w:pPr>
              <w:jc w:val="center"/>
              <w:rPr>
                <w:rFonts w:ascii="仿宋" w:hAnsi="仿宋" w:eastAsia="仿宋" w:cs="仿宋"/>
                <w:color w:val="auto"/>
                <w:sz w:val="24"/>
                <w:szCs w:val="24"/>
                <w:highlight w:val="none"/>
              </w:rPr>
            </w:pPr>
          </w:p>
        </w:tc>
        <w:tc>
          <w:tcPr>
            <w:tcW w:w="1406" w:type="dxa"/>
            <w:vMerge w:val="continue"/>
            <w:vAlign w:val="center"/>
          </w:tcPr>
          <w:p w14:paraId="3DC07C74">
            <w:pPr>
              <w:jc w:val="center"/>
              <w:rPr>
                <w:rFonts w:ascii="仿宋" w:hAnsi="仿宋" w:eastAsia="仿宋" w:cs="仿宋"/>
                <w:color w:val="auto"/>
                <w:sz w:val="24"/>
                <w:szCs w:val="24"/>
                <w:highlight w:val="none"/>
              </w:rPr>
            </w:pPr>
          </w:p>
        </w:tc>
        <w:tc>
          <w:tcPr>
            <w:tcW w:w="1426" w:type="dxa"/>
            <w:vAlign w:val="center"/>
          </w:tcPr>
          <w:p w14:paraId="5035299B">
            <w:pPr>
              <w:jc w:val="center"/>
              <w:rPr>
                <w:rFonts w:ascii="仿宋" w:hAnsi="仿宋" w:eastAsia="仿宋" w:cs="仿宋"/>
                <w:color w:val="auto"/>
                <w:sz w:val="24"/>
                <w:szCs w:val="24"/>
                <w:highlight w:val="none"/>
              </w:rPr>
            </w:pPr>
          </w:p>
        </w:tc>
        <w:tc>
          <w:tcPr>
            <w:tcW w:w="2627" w:type="dxa"/>
            <w:gridSpan w:val="2"/>
            <w:vAlign w:val="center"/>
          </w:tcPr>
          <w:p w14:paraId="02B18788">
            <w:pPr>
              <w:jc w:val="center"/>
              <w:rPr>
                <w:rFonts w:ascii="仿宋" w:hAnsi="仿宋" w:eastAsia="仿宋" w:cs="仿宋"/>
                <w:color w:val="auto"/>
                <w:sz w:val="24"/>
                <w:szCs w:val="24"/>
                <w:highlight w:val="none"/>
              </w:rPr>
            </w:pPr>
          </w:p>
        </w:tc>
      </w:tr>
      <w:tr w14:paraId="3F74A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4" w:hRule="atLeast"/>
          <w:jc w:val="center"/>
        </w:trPr>
        <w:tc>
          <w:tcPr>
            <w:tcW w:w="1773" w:type="dxa"/>
            <w:vAlign w:val="center"/>
          </w:tcPr>
          <w:p w14:paraId="7F2A843C">
            <w:pPr>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经营范围</w:t>
            </w:r>
          </w:p>
        </w:tc>
        <w:tc>
          <w:tcPr>
            <w:tcW w:w="7947" w:type="dxa"/>
            <w:gridSpan w:val="6"/>
            <w:vAlign w:val="center"/>
          </w:tcPr>
          <w:p w14:paraId="4F158509">
            <w:pPr>
              <w:rPr>
                <w:rFonts w:ascii="仿宋" w:hAnsi="仿宋" w:eastAsia="仿宋" w:cs="仿宋"/>
                <w:color w:val="auto"/>
                <w:sz w:val="24"/>
                <w:szCs w:val="24"/>
                <w:highlight w:val="none"/>
              </w:rPr>
            </w:pPr>
          </w:p>
        </w:tc>
      </w:tr>
      <w:tr w14:paraId="1AFEE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1773" w:type="dxa"/>
            <w:vAlign w:val="center"/>
          </w:tcPr>
          <w:p w14:paraId="6372B80E">
            <w:pPr>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备   注</w:t>
            </w:r>
          </w:p>
        </w:tc>
        <w:tc>
          <w:tcPr>
            <w:tcW w:w="7947" w:type="dxa"/>
            <w:gridSpan w:val="6"/>
            <w:vAlign w:val="center"/>
          </w:tcPr>
          <w:p w14:paraId="2794AF5B">
            <w:pPr>
              <w:rPr>
                <w:rFonts w:ascii="仿宋" w:hAnsi="仿宋" w:eastAsia="仿宋" w:cs="仿宋"/>
                <w:color w:val="auto"/>
                <w:sz w:val="24"/>
                <w:szCs w:val="24"/>
                <w:highlight w:val="none"/>
              </w:rPr>
            </w:pPr>
          </w:p>
        </w:tc>
      </w:tr>
    </w:tbl>
    <w:p w14:paraId="2E1EC86C">
      <w:pPr>
        <w:spacing w:beforeLines="50"/>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注：本表后应附企业法人营业执照副本、开户</w:t>
      </w:r>
      <w:r>
        <w:rPr>
          <w:rFonts w:hint="eastAsia" w:ascii="仿宋" w:hAnsi="仿宋" w:eastAsia="仿宋" w:cs="仿宋"/>
          <w:b/>
          <w:bCs/>
          <w:color w:val="auto"/>
          <w:sz w:val="24"/>
          <w:szCs w:val="24"/>
          <w:highlight w:val="none"/>
          <w:lang w:val="en-US" w:eastAsia="zh-CN"/>
        </w:rPr>
        <w:t>信息</w:t>
      </w:r>
      <w:r>
        <w:rPr>
          <w:rFonts w:hint="eastAsia" w:ascii="仿宋" w:hAnsi="仿宋" w:eastAsia="仿宋" w:cs="仿宋"/>
          <w:b/>
          <w:bCs/>
          <w:color w:val="auto"/>
          <w:sz w:val="24"/>
          <w:szCs w:val="24"/>
          <w:highlight w:val="none"/>
        </w:rPr>
        <w:t>等相关材料的复印件。（投标人可根据本表自行编制）</w:t>
      </w:r>
    </w:p>
    <w:p w14:paraId="29BAB1E0">
      <w:pPr>
        <w:spacing w:before="100" w:beforeAutospacing="1" w:after="100" w:afterAutospacing="1" w:line="440" w:lineRule="exact"/>
        <w:jc w:val="both"/>
        <w:rPr>
          <w:rFonts w:ascii="仿宋" w:hAnsi="仿宋" w:eastAsia="仿宋" w:cs="仿宋"/>
          <w:color w:val="auto"/>
          <w:kern w:val="1"/>
          <w:sz w:val="24"/>
          <w:szCs w:val="24"/>
          <w:highlight w:val="none"/>
        </w:rPr>
      </w:pPr>
    </w:p>
    <w:p w14:paraId="7962D65C">
      <w:pPr>
        <w:rPr>
          <w:rFonts w:ascii="仿宋" w:hAnsi="仿宋" w:eastAsia="仿宋" w:cs="仿宋"/>
          <w:color w:val="auto"/>
          <w:kern w:val="1"/>
          <w:sz w:val="24"/>
          <w:szCs w:val="24"/>
          <w:highlight w:val="none"/>
        </w:rPr>
      </w:pPr>
      <w:r>
        <w:rPr>
          <w:rFonts w:ascii="仿宋" w:hAnsi="仿宋" w:eastAsia="仿宋" w:cs="仿宋"/>
          <w:color w:val="auto"/>
          <w:kern w:val="1"/>
          <w:sz w:val="24"/>
          <w:szCs w:val="24"/>
          <w:highlight w:val="none"/>
        </w:rPr>
        <w:br w:type="page"/>
      </w:r>
    </w:p>
    <w:p w14:paraId="334AF7E0">
      <w:pPr>
        <w:spacing w:before="100" w:beforeAutospacing="1" w:after="100" w:afterAutospacing="1" w:line="440" w:lineRule="exact"/>
        <w:jc w:val="center"/>
        <w:outlineLvl w:val="9"/>
        <w:rPr>
          <w:rFonts w:hint="default" w:ascii="仿宋" w:hAnsi="仿宋" w:eastAsia="仿宋" w:cs="仿宋"/>
          <w:color w:val="auto"/>
          <w:kern w:val="1"/>
          <w:sz w:val="28"/>
          <w:szCs w:val="28"/>
          <w:highlight w:val="none"/>
          <w:lang w:val="en-US" w:eastAsia="zh-CN"/>
        </w:rPr>
      </w:pPr>
      <w:r>
        <w:rPr>
          <w:rFonts w:hint="eastAsia" w:ascii="仿宋" w:hAnsi="仿宋" w:eastAsia="仿宋" w:cs="仿宋"/>
          <w:color w:val="auto"/>
          <w:kern w:val="1"/>
          <w:sz w:val="28"/>
          <w:szCs w:val="28"/>
          <w:highlight w:val="none"/>
          <w:lang w:val="en-US" w:eastAsia="zh-CN"/>
        </w:rPr>
        <w:t>九</w:t>
      </w:r>
      <w:r>
        <w:rPr>
          <w:rFonts w:hint="eastAsia" w:ascii="仿宋" w:hAnsi="仿宋" w:eastAsia="仿宋" w:cs="仿宋"/>
          <w:color w:val="auto"/>
          <w:kern w:val="1"/>
          <w:sz w:val="28"/>
          <w:szCs w:val="28"/>
          <w:highlight w:val="none"/>
        </w:rPr>
        <w:t>、</w:t>
      </w:r>
      <w:r>
        <w:rPr>
          <w:rFonts w:hint="eastAsia" w:ascii="仿宋" w:hAnsi="仿宋" w:eastAsia="仿宋" w:cs="仿宋"/>
          <w:color w:val="auto"/>
          <w:kern w:val="1"/>
          <w:sz w:val="28"/>
          <w:szCs w:val="28"/>
          <w:highlight w:val="none"/>
          <w:lang w:val="en-US" w:eastAsia="zh-CN"/>
        </w:rPr>
        <w:t>社保缴纳凭证、完税证明及</w:t>
      </w:r>
      <w:r>
        <w:rPr>
          <w:rFonts w:hint="eastAsia" w:ascii="仿宋" w:hAnsi="仿宋" w:eastAsia="仿宋" w:cs="仿宋"/>
          <w:color w:val="auto"/>
          <w:kern w:val="1"/>
          <w:sz w:val="28"/>
          <w:szCs w:val="28"/>
          <w:highlight w:val="none"/>
        </w:rPr>
        <w:t>财务状况</w:t>
      </w:r>
    </w:p>
    <w:p w14:paraId="6B7A0607">
      <w:pPr>
        <w:outlineLvl w:val="9"/>
        <w:rPr>
          <w:rFonts w:cs="Times New Roman"/>
          <w:color w:val="auto"/>
          <w:highlight w:val="none"/>
        </w:rPr>
      </w:pPr>
      <w:r>
        <w:rPr>
          <w:rFonts w:hint="eastAsia" w:ascii="仿宋" w:hAnsi="仿宋" w:eastAsia="仿宋" w:cs="仿宋"/>
          <w:color w:val="auto"/>
          <w:kern w:val="1"/>
          <w:sz w:val="24"/>
          <w:szCs w:val="24"/>
          <w:highlight w:val="none"/>
          <w:lang w:val="en-US" w:eastAsia="zh-CN"/>
        </w:rPr>
        <w:t>（附：社保缴纳凭证及完税证明复印件</w:t>
      </w:r>
      <w:r>
        <w:rPr>
          <w:rFonts w:hint="eastAsia" w:ascii="仿宋" w:hAnsi="仿宋" w:eastAsia="仿宋" w:cs="仿宋"/>
          <w:color w:val="auto"/>
          <w:kern w:val="1"/>
          <w:sz w:val="24"/>
          <w:szCs w:val="24"/>
          <w:highlight w:val="none"/>
          <w:lang w:eastAsia="zh-CN"/>
        </w:rPr>
        <w:t>）</w:t>
      </w:r>
    </w:p>
    <w:p w14:paraId="4E611633">
      <w:pPr>
        <w:numPr>
          <w:ilvl w:val="0"/>
          <w:numId w:val="6"/>
        </w:numPr>
        <w:spacing w:before="100" w:beforeAutospacing="1" w:after="100" w:afterAutospacing="1" w:line="440" w:lineRule="exact"/>
        <w:outlineLvl w:val="9"/>
        <w:rPr>
          <w:rFonts w:ascii="仿宋" w:hAnsi="仿宋" w:eastAsia="仿宋" w:cs="仿宋"/>
          <w:color w:val="auto"/>
          <w:kern w:val="1"/>
          <w:sz w:val="24"/>
          <w:szCs w:val="24"/>
          <w:highlight w:val="none"/>
        </w:rPr>
      </w:pPr>
      <w:r>
        <w:rPr>
          <w:rFonts w:ascii="仿宋" w:hAnsi="仿宋" w:eastAsia="仿宋" w:cs="仿宋"/>
          <w:color w:val="auto"/>
          <w:kern w:val="1"/>
          <w:sz w:val="24"/>
          <w:szCs w:val="24"/>
          <w:highlight w:val="none"/>
        </w:rPr>
        <w:br w:type="page"/>
      </w:r>
    </w:p>
    <w:p w14:paraId="0399FE8D">
      <w:pPr>
        <w:spacing w:before="100" w:beforeAutospacing="1" w:after="100" w:afterAutospacing="1" w:line="440" w:lineRule="exact"/>
        <w:jc w:val="center"/>
        <w:rPr>
          <w:rFonts w:ascii="仿宋" w:hAnsi="仿宋" w:eastAsia="仿宋" w:cs="仿宋"/>
          <w:color w:val="auto"/>
          <w:kern w:val="1"/>
          <w:sz w:val="24"/>
          <w:szCs w:val="24"/>
          <w:highlight w:val="none"/>
        </w:rPr>
      </w:pPr>
      <w:r>
        <w:rPr>
          <w:rFonts w:hint="eastAsia" w:ascii="仿宋" w:hAnsi="仿宋" w:eastAsia="仿宋" w:cs="仿宋"/>
          <w:color w:val="auto"/>
          <w:kern w:val="1"/>
          <w:sz w:val="28"/>
          <w:szCs w:val="28"/>
          <w:highlight w:val="none"/>
        </w:rPr>
        <w:t>十、</w:t>
      </w:r>
      <w:r>
        <w:rPr>
          <w:rFonts w:hint="eastAsia" w:ascii="仿宋" w:hAnsi="仿宋" w:eastAsia="仿宋" w:cs="仿宋"/>
          <w:color w:val="auto"/>
          <w:kern w:val="1"/>
          <w:sz w:val="28"/>
          <w:szCs w:val="28"/>
          <w:highlight w:val="none"/>
          <w:lang w:val="en-US" w:eastAsia="zh-CN"/>
        </w:rPr>
        <w:t>企业</w:t>
      </w:r>
      <w:r>
        <w:rPr>
          <w:rFonts w:hint="eastAsia" w:ascii="仿宋" w:hAnsi="仿宋" w:eastAsia="仿宋" w:cs="仿宋"/>
          <w:color w:val="auto"/>
          <w:kern w:val="1"/>
          <w:sz w:val="28"/>
          <w:szCs w:val="28"/>
          <w:highlight w:val="none"/>
        </w:rPr>
        <w:t>业绩</w:t>
      </w:r>
    </w:p>
    <w:p w14:paraId="0D48B4EA">
      <w:pPr>
        <w:spacing w:before="100" w:beforeAutospacing="1" w:after="100" w:afterAutospacing="1" w:line="440" w:lineRule="exact"/>
        <w:rPr>
          <w:rFonts w:ascii="仿宋" w:hAnsi="仿宋" w:eastAsia="仿宋" w:cs="仿宋"/>
          <w:color w:val="auto"/>
          <w:kern w:val="1"/>
          <w:sz w:val="24"/>
          <w:szCs w:val="24"/>
          <w:highlight w:val="none"/>
        </w:rPr>
      </w:pPr>
      <w:r>
        <w:rPr>
          <w:rFonts w:hint="eastAsia" w:ascii="仿宋" w:hAnsi="仿宋" w:eastAsia="仿宋" w:cs="仿宋"/>
          <w:color w:val="auto"/>
          <w:kern w:val="1"/>
          <w:sz w:val="24"/>
          <w:szCs w:val="24"/>
          <w:highlight w:val="none"/>
        </w:rPr>
        <w:br w:type="page"/>
      </w:r>
    </w:p>
    <w:p w14:paraId="5475481F">
      <w:pPr>
        <w:spacing w:before="100" w:beforeAutospacing="1" w:after="100" w:afterAutospacing="1" w:line="440" w:lineRule="exact"/>
        <w:jc w:val="center"/>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十</w:t>
      </w:r>
      <w:r>
        <w:rPr>
          <w:rFonts w:hint="eastAsia" w:ascii="仿宋" w:hAnsi="仿宋" w:eastAsia="仿宋" w:cs="Times New Roman"/>
          <w:color w:val="auto"/>
          <w:sz w:val="28"/>
          <w:szCs w:val="28"/>
          <w:highlight w:val="none"/>
          <w:lang w:val="en-US" w:eastAsia="zh-CN"/>
        </w:rPr>
        <w:t>一</w:t>
      </w:r>
      <w:r>
        <w:rPr>
          <w:rFonts w:hint="eastAsia" w:ascii="仿宋" w:hAnsi="仿宋" w:eastAsia="仿宋" w:cs="Times New Roman"/>
          <w:color w:val="auto"/>
          <w:sz w:val="28"/>
          <w:szCs w:val="28"/>
          <w:highlight w:val="none"/>
        </w:rPr>
        <w:t>、在经营活动中没有重大违法记录的书面声明</w:t>
      </w:r>
    </w:p>
    <w:p w14:paraId="05616A9F">
      <w:pPr>
        <w:spacing w:line="440" w:lineRule="exact"/>
        <w:jc w:val="center"/>
        <w:rPr>
          <w:rFonts w:ascii="仿宋" w:hAnsi="仿宋" w:eastAsia="仿宋" w:cs="Times New Roman"/>
          <w:color w:val="auto"/>
          <w:sz w:val="24"/>
          <w:szCs w:val="24"/>
          <w:highlight w:val="none"/>
        </w:rPr>
      </w:pPr>
    </w:p>
    <w:p w14:paraId="7E89B5F1">
      <w:pPr>
        <w:spacing w:line="440" w:lineRule="exact"/>
        <w:ind w:firstLine="480" w:firstLineChars="200"/>
        <w:rPr>
          <w:rFonts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我方在参加</w:t>
      </w:r>
      <w:r>
        <w:rPr>
          <w:rFonts w:hint="eastAsia" w:ascii="仿宋" w:hAnsi="仿宋" w:eastAsia="仿宋" w:cs="Times New Roman"/>
          <w:color w:val="auto"/>
          <w:sz w:val="24"/>
          <w:szCs w:val="24"/>
          <w:highlight w:val="none"/>
          <w:u w:val="single"/>
        </w:rPr>
        <w:t xml:space="preserve">              </w:t>
      </w:r>
      <w:r>
        <w:rPr>
          <w:rFonts w:hint="eastAsia" w:ascii="仿宋" w:hAnsi="仿宋" w:eastAsia="仿宋" w:cs="Times New Roman"/>
          <w:color w:val="auto"/>
          <w:sz w:val="24"/>
          <w:szCs w:val="24"/>
          <w:highlight w:val="none"/>
        </w:rPr>
        <w:t>（项目名称）政府采购活动前3年内，我方被公开披露或查处的违法违规行为有：</w:t>
      </w:r>
      <w:r>
        <w:rPr>
          <w:rFonts w:hint="eastAsia" w:ascii="仿宋" w:hAnsi="仿宋" w:eastAsia="仿宋" w:cs="Times New Roman"/>
          <w:color w:val="auto"/>
          <w:sz w:val="24"/>
          <w:szCs w:val="24"/>
          <w:highlight w:val="none"/>
          <w:u w:val="single"/>
        </w:rPr>
        <w:t xml:space="preserve">                          </w:t>
      </w:r>
      <w:r>
        <w:rPr>
          <w:rFonts w:hint="eastAsia" w:ascii="仿宋" w:hAnsi="仿宋" w:eastAsia="仿宋" w:cs="Times New Roman"/>
          <w:color w:val="auto"/>
          <w:sz w:val="24"/>
          <w:szCs w:val="24"/>
          <w:highlight w:val="none"/>
        </w:rPr>
        <w:t>，但在经营活动中没有重大违法记录（重大违法记录指</w:t>
      </w:r>
      <w:r>
        <w:rPr>
          <w:rFonts w:hint="eastAsia" w:ascii="仿宋" w:hAnsi="仿宋" w:eastAsia="仿宋" w:cs="宋体"/>
          <w:color w:val="auto"/>
          <w:kern w:val="0"/>
          <w:sz w:val="24"/>
          <w:szCs w:val="24"/>
          <w:highlight w:val="none"/>
        </w:rPr>
        <w:t>投标人因违法经营受到刑事处罚或者责令停产停业、吊销许可证或者执照、较大数额罚款等行政处罚）</w:t>
      </w:r>
      <w:r>
        <w:rPr>
          <w:rFonts w:hint="eastAsia" w:ascii="仿宋" w:hAnsi="仿宋" w:eastAsia="仿宋" w:cs="Times New Roman"/>
          <w:color w:val="auto"/>
          <w:sz w:val="24"/>
          <w:szCs w:val="24"/>
          <w:highlight w:val="none"/>
        </w:rPr>
        <w:t>。</w:t>
      </w:r>
    </w:p>
    <w:p w14:paraId="0B7F0BCD">
      <w:pPr>
        <w:spacing w:line="440" w:lineRule="exact"/>
        <w:ind w:firstLine="480" w:firstLineChars="200"/>
        <w:rPr>
          <w:rFonts w:ascii="仿宋" w:hAnsi="仿宋" w:eastAsia="仿宋" w:cs="Times New Roman"/>
          <w:color w:val="auto"/>
          <w:sz w:val="24"/>
          <w:szCs w:val="24"/>
          <w:highlight w:val="none"/>
        </w:rPr>
      </w:pPr>
    </w:p>
    <w:p w14:paraId="2B845C32">
      <w:pPr>
        <w:spacing w:line="440" w:lineRule="exact"/>
        <w:ind w:firstLine="480" w:firstLineChars="200"/>
        <w:rPr>
          <w:rFonts w:ascii="仿宋" w:hAnsi="仿宋" w:eastAsia="仿宋" w:cs="Times New Roman"/>
          <w:color w:val="auto"/>
          <w:sz w:val="24"/>
          <w:szCs w:val="24"/>
          <w:highlight w:val="none"/>
        </w:rPr>
      </w:pPr>
    </w:p>
    <w:p w14:paraId="46B98334">
      <w:pPr>
        <w:spacing w:line="440" w:lineRule="exact"/>
        <w:ind w:firstLine="4108" w:firstLineChars="1712"/>
        <w:rPr>
          <w:rFonts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投  标  人：</w:t>
      </w:r>
      <w:r>
        <w:rPr>
          <w:rFonts w:hint="eastAsia" w:ascii="仿宋" w:hAnsi="仿宋" w:eastAsia="仿宋" w:cs="Times New Roman"/>
          <w:color w:val="auto"/>
          <w:sz w:val="24"/>
          <w:szCs w:val="24"/>
          <w:highlight w:val="none"/>
          <w:u w:val="single"/>
        </w:rPr>
        <w:t xml:space="preserve">                </w:t>
      </w:r>
      <w:r>
        <w:rPr>
          <w:rFonts w:hint="eastAsia" w:ascii="仿宋" w:hAnsi="仿宋" w:eastAsia="仿宋" w:cs="Times New Roman"/>
          <w:color w:val="auto"/>
          <w:sz w:val="24"/>
          <w:szCs w:val="24"/>
          <w:highlight w:val="none"/>
        </w:rPr>
        <w:t>（盖单位公章）</w:t>
      </w:r>
    </w:p>
    <w:p w14:paraId="47B2A940">
      <w:pPr>
        <w:spacing w:line="440" w:lineRule="exact"/>
        <w:ind w:firstLine="4108" w:firstLineChars="1712"/>
        <w:rPr>
          <w:rFonts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法定代表人：</w:t>
      </w:r>
      <w:r>
        <w:rPr>
          <w:rFonts w:hint="eastAsia" w:ascii="仿宋" w:hAnsi="仿宋" w:eastAsia="仿宋" w:cs="Times New Roman"/>
          <w:color w:val="auto"/>
          <w:sz w:val="24"/>
          <w:szCs w:val="24"/>
          <w:highlight w:val="none"/>
          <w:u w:val="single"/>
        </w:rPr>
        <w:t xml:space="preserve">                </w:t>
      </w:r>
      <w:r>
        <w:rPr>
          <w:rFonts w:hint="eastAsia" w:ascii="仿宋" w:hAnsi="仿宋" w:eastAsia="仿宋" w:cs="Times New Roman"/>
          <w:color w:val="auto"/>
          <w:sz w:val="24"/>
          <w:szCs w:val="24"/>
          <w:highlight w:val="none"/>
        </w:rPr>
        <w:t>（签字或盖章）</w:t>
      </w:r>
    </w:p>
    <w:p w14:paraId="36F6E505">
      <w:pPr>
        <w:spacing w:line="440" w:lineRule="exact"/>
        <w:ind w:firstLine="4108" w:firstLineChars="1712"/>
        <w:rPr>
          <w:rFonts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日      期：</w:t>
      </w:r>
      <w:r>
        <w:rPr>
          <w:rFonts w:hint="eastAsia" w:ascii="仿宋" w:hAnsi="仿宋" w:eastAsia="仿宋" w:cs="Times New Roman"/>
          <w:color w:val="auto"/>
          <w:sz w:val="24"/>
          <w:szCs w:val="24"/>
          <w:highlight w:val="none"/>
          <w:u w:val="single"/>
        </w:rPr>
        <w:t xml:space="preserve">      </w:t>
      </w:r>
      <w:r>
        <w:rPr>
          <w:rFonts w:hint="eastAsia" w:ascii="仿宋" w:hAnsi="仿宋" w:eastAsia="仿宋" w:cs="Times New Roman"/>
          <w:color w:val="auto"/>
          <w:sz w:val="24"/>
          <w:szCs w:val="24"/>
          <w:highlight w:val="none"/>
        </w:rPr>
        <w:t>年</w:t>
      </w:r>
      <w:r>
        <w:rPr>
          <w:rFonts w:hint="eastAsia" w:ascii="仿宋" w:hAnsi="仿宋" w:eastAsia="仿宋" w:cs="Times New Roman"/>
          <w:color w:val="auto"/>
          <w:sz w:val="24"/>
          <w:szCs w:val="24"/>
          <w:highlight w:val="none"/>
          <w:u w:val="single"/>
        </w:rPr>
        <w:t xml:space="preserve">   </w:t>
      </w:r>
      <w:r>
        <w:rPr>
          <w:rFonts w:hint="eastAsia" w:ascii="仿宋" w:hAnsi="仿宋" w:eastAsia="仿宋" w:cs="Times New Roman"/>
          <w:color w:val="auto"/>
          <w:sz w:val="24"/>
          <w:szCs w:val="24"/>
          <w:highlight w:val="none"/>
        </w:rPr>
        <w:t>月</w:t>
      </w:r>
      <w:r>
        <w:rPr>
          <w:rFonts w:hint="eastAsia" w:ascii="仿宋" w:hAnsi="仿宋" w:eastAsia="仿宋" w:cs="Times New Roman"/>
          <w:color w:val="auto"/>
          <w:sz w:val="24"/>
          <w:szCs w:val="24"/>
          <w:highlight w:val="none"/>
          <w:u w:val="single"/>
        </w:rPr>
        <w:t xml:space="preserve">   </w:t>
      </w:r>
      <w:r>
        <w:rPr>
          <w:rFonts w:hint="eastAsia" w:ascii="仿宋" w:hAnsi="仿宋" w:eastAsia="仿宋" w:cs="Times New Roman"/>
          <w:color w:val="auto"/>
          <w:sz w:val="24"/>
          <w:szCs w:val="24"/>
          <w:highlight w:val="none"/>
        </w:rPr>
        <w:t>日</w:t>
      </w:r>
    </w:p>
    <w:p w14:paraId="3C7989ED">
      <w:pPr>
        <w:spacing w:line="440" w:lineRule="exact"/>
        <w:ind w:firstLine="480" w:firstLineChars="200"/>
        <w:rPr>
          <w:rFonts w:ascii="仿宋" w:hAnsi="仿宋" w:eastAsia="仿宋" w:cs="Times New Roman"/>
          <w:color w:val="auto"/>
          <w:sz w:val="24"/>
          <w:szCs w:val="24"/>
          <w:highlight w:val="none"/>
        </w:rPr>
      </w:pPr>
    </w:p>
    <w:p w14:paraId="076787F5">
      <w:pPr>
        <w:spacing w:line="440" w:lineRule="exact"/>
        <w:ind w:firstLine="480" w:firstLineChars="200"/>
        <w:rPr>
          <w:rFonts w:ascii="仿宋" w:hAnsi="仿宋" w:eastAsia="仿宋" w:cs="Times New Roman"/>
          <w:color w:val="auto"/>
          <w:sz w:val="24"/>
          <w:szCs w:val="24"/>
          <w:highlight w:val="none"/>
        </w:rPr>
      </w:pPr>
    </w:p>
    <w:p w14:paraId="7F01DB96">
      <w:pPr>
        <w:spacing w:line="440" w:lineRule="exact"/>
        <w:ind w:firstLine="480" w:firstLineChars="200"/>
        <w:rPr>
          <w:rFonts w:ascii="仿宋" w:hAnsi="仿宋" w:eastAsia="仿宋" w:cs="Times New Roman"/>
          <w:color w:val="auto"/>
          <w:sz w:val="24"/>
          <w:szCs w:val="24"/>
          <w:highlight w:val="none"/>
        </w:rPr>
      </w:pPr>
    </w:p>
    <w:p w14:paraId="002B8CE8">
      <w:pPr>
        <w:spacing w:line="440" w:lineRule="exact"/>
        <w:ind w:firstLine="480" w:firstLineChars="20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备注：投标人没有被公开披露或查处违法违规行为的，注明“无”即可。</w:t>
      </w:r>
    </w:p>
    <w:p w14:paraId="76AFF315">
      <w:pPr>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br w:type="page"/>
      </w:r>
    </w:p>
    <w:p w14:paraId="490D5C99">
      <w:pPr>
        <w:spacing w:before="100" w:beforeAutospacing="1" w:after="100" w:afterAutospacing="1" w:line="440" w:lineRule="exact"/>
        <w:jc w:val="center"/>
        <w:rPr>
          <w:rFonts w:hint="eastAsia"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具有履行合同所必需的设备和专业技术能力声明函</w:t>
      </w:r>
    </w:p>
    <w:p w14:paraId="61835E37">
      <w:pPr>
        <w:spacing w:line="440" w:lineRule="exact"/>
        <w:ind w:firstLine="480" w:firstLineChars="20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我公司参与贵方组织的</w:t>
      </w:r>
      <w:r>
        <w:rPr>
          <w:rFonts w:hint="eastAsia" w:ascii="仿宋" w:hAnsi="仿宋" w:eastAsia="仿宋" w:cs="Times New Roman"/>
          <w:color w:val="auto"/>
          <w:sz w:val="24"/>
          <w:szCs w:val="24"/>
          <w:highlight w:val="none"/>
          <w:u w:val="single"/>
        </w:rPr>
        <w:t xml:space="preserve">                               </w:t>
      </w:r>
      <w:r>
        <w:rPr>
          <w:rFonts w:hint="eastAsia" w:ascii="仿宋" w:hAnsi="仿宋" w:eastAsia="仿宋" w:cs="Times New Roman"/>
          <w:color w:val="auto"/>
          <w:sz w:val="24"/>
          <w:szCs w:val="24"/>
          <w:highlight w:val="none"/>
        </w:rPr>
        <w:t>活动中，如 我方获得中标资格，我方保证具备履行合同所必需的设备和专业技术力 量，并承诺如下：</w:t>
      </w:r>
    </w:p>
    <w:p w14:paraId="64946C85">
      <w:pPr>
        <w:spacing w:line="440" w:lineRule="exact"/>
        <w:ind w:firstLine="480" w:firstLineChars="20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（一）具有独立承担民事责任的能力；</w:t>
      </w:r>
    </w:p>
    <w:p w14:paraId="139DC7C9">
      <w:pPr>
        <w:spacing w:line="440" w:lineRule="exact"/>
        <w:ind w:firstLine="480" w:firstLineChars="20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（二）具有良好的商业信誉和健全的财务会计制度；</w:t>
      </w:r>
    </w:p>
    <w:p w14:paraId="31F7AFB0">
      <w:pPr>
        <w:spacing w:line="440" w:lineRule="exact"/>
        <w:ind w:firstLine="480" w:firstLineChars="20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（三）具有履行合同所必需的设备和专业技术能力；</w:t>
      </w:r>
    </w:p>
    <w:p w14:paraId="6B820DA9">
      <w:pPr>
        <w:spacing w:line="440" w:lineRule="exact"/>
        <w:ind w:firstLine="480" w:firstLineChars="20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（四）有依法缴纳税收和社会保障资金的良好记录；</w:t>
      </w:r>
    </w:p>
    <w:p w14:paraId="50EC4C51">
      <w:pPr>
        <w:spacing w:line="440" w:lineRule="exact"/>
        <w:ind w:firstLine="480" w:firstLineChars="20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（五）参加政府采购活动前三年内，在经营活动中没有重大违法记录；</w:t>
      </w:r>
    </w:p>
    <w:p w14:paraId="3B844AFD">
      <w:pPr>
        <w:spacing w:line="440" w:lineRule="exact"/>
        <w:ind w:firstLine="480" w:firstLineChars="20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（六）法律、行政法规规定的其他条件。</w:t>
      </w:r>
    </w:p>
    <w:p w14:paraId="066E1DD9">
      <w:pPr>
        <w:spacing w:line="440" w:lineRule="exact"/>
        <w:ind w:firstLine="480" w:firstLineChars="20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本公司对上述声明的真实性负责。如有虚假，我公司依法承担相应法 律责任。</w:t>
      </w:r>
    </w:p>
    <w:p w14:paraId="57D13040">
      <w:pPr>
        <w:spacing w:line="440" w:lineRule="exact"/>
        <w:ind w:firstLine="480" w:firstLineChars="200"/>
        <w:rPr>
          <w:rFonts w:hint="eastAsia" w:ascii="仿宋" w:hAnsi="仿宋" w:eastAsia="仿宋" w:cs="Times New Roman"/>
          <w:color w:val="auto"/>
          <w:sz w:val="24"/>
          <w:szCs w:val="24"/>
          <w:highlight w:val="none"/>
        </w:rPr>
      </w:pPr>
    </w:p>
    <w:p w14:paraId="6B17F186">
      <w:pPr>
        <w:spacing w:line="440" w:lineRule="exact"/>
        <w:ind w:firstLine="480" w:firstLineChars="200"/>
        <w:rPr>
          <w:rFonts w:hint="eastAsia" w:ascii="仿宋" w:hAnsi="仿宋" w:eastAsia="仿宋" w:cs="Times New Roman"/>
          <w:color w:val="auto"/>
          <w:sz w:val="24"/>
          <w:szCs w:val="24"/>
          <w:highlight w:val="none"/>
        </w:rPr>
      </w:pPr>
    </w:p>
    <w:p w14:paraId="05B2B0E9">
      <w:pPr>
        <w:spacing w:line="440" w:lineRule="exact"/>
        <w:ind w:firstLine="480" w:firstLineChars="20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供应商名称（签章）：</w:t>
      </w:r>
    </w:p>
    <w:p w14:paraId="42FC7486">
      <w:pPr>
        <w:spacing w:line="440" w:lineRule="exact"/>
        <w:ind w:firstLine="480" w:firstLineChars="20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法定代表人或授权委托人（签章）： 日期：     年     月    日</w:t>
      </w:r>
    </w:p>
    <w:p w14:paraId="766EB0A1">
      <w:pPr>
        <w:spacing w:line="440" w:lineRule="exact"/>
        <w:ind w:firstLine="480" w:firstLineChars="200"/>
        <w:rPr>
          <w:rFonts w:hint="eastAsia" w:ascii="仿宋" w:hAnsi="仿宋" w:eastAsia="仿宋" w:cs="Times New Roman"/>
          <w:color w:val="auto"/>
          <w:sz w:val="24"/>
          <w:szCs w:val="24"/>
          <w:highlight w:val="none"/>
        </w:rPr>
      </w:pPr>
    </w:p>
    <w:p w14:paraId="25608E10">
      <w:pPr>
        <w:widowControl/>
        <w:autoSpaceDE w:val="0"/>
        <w:autoSpaceDN w:val="0"/>
        <w:adjustRightInd w:val="0"/>
        <w:spacing w:line="440" w:lineRule="exact"/>
        <w:ind w:right="-481"/>
        <w:jc w:val="left"/>
        <w:rPr>
          <w:rStyle w:val="20"/>
          <w:rFonts w:cs="Times New Roman"/>
          <w:color w:val="auto"/>
          <w:sz w:val="24"/>
          <w:szCs w:val="24"/>
          <w:highlight w:val="none"/>
        </w:rPr>
      </w:pPr>
    </w:p>
    <w:p w14:paraId="76B96BCF">
      <w:pPr>
        <w:widowControl/>
        <w:autoSpaceDE w:val="0"/>
        <w:autoSpaceDN w:val="0"/>
        <w:adjustRightInd w:val="0"/>
        <w:spacing w:line="440" w:lineRule="exact"/>
        <w:rPr>
          <w:rStyle w:val="20"/>
          <w:rFonts w:cs="Times New Roman"/>
          <w:color w:val="auto"/>
          <w:sz w:val="24"/>
          <w:szCs w:val="24"/>
          <w:highlight w:val="none"/>
        </w:rPr>
      </w:pPr>
      <w:r>
        <w:rPr>
          <w:rFonts w:ascii="仿宋" w:hAnsi="仿宋" w:eastAsia="仿宋" w:cs="Times New Roman"/>
          <w:color w:val="auto"/>
          <w:kern w:val="1"/>
          <w:sz w:val="24"/>
          <w:szCs w:val="24"/>
          <w:highlight w:val="none"/>
        </w:rPr>
        <w:br w:type="page"/>
      </w:r>
    </w:p>
    <w:p w14:paraId="06237CCD">
      <w:pPr>
        <w:widowControl/>
        <w:autoSpaceDE w:val="0"/>
        <w:autoSpaceDN w:val="0"/>
        <w:adjustRightInd w:val="0"/>
        <w:spacing w:line="440" w:lineRule="exact"/>
        <w:jc w:val="center"/>
        <w:rPr>
          <w:rFonts w:ascii="仿宋" w:hAnsi="仿宋" w:eastAsia="仿宋" w:cs="Times New Roman"/>
          <w:color w:val="auto"/>
          <w:kern w:val="1"/>
          <w:sz w:val="28"/>
          <w:szCs w:val="28"/>
          <w:highlight w:val="none"/>
        </w:rPr>
      </w:pPr>
      <w:r>
        <w:rPr>
          <w:rFonts w:hint="eastAsia" w:ascii="仿宋" w:hAnsi="仿宋" w:eastAsia="仿宋" w:cs="宋体"/>
          <w:color w:val="auto"/>
          <w:kern w:val="1"/>
          <w:sz w:val="28"/>
          <w:szCs w:val="28"/>
          <w:highlight w:val="none"/>
        </w:rPr>
        <w:t>十</w:t>
      </w:r>
      <w:r>
        <w:rPr>
          <w:rFonts w:hint="eastAsia" w:ascii="仿宋" w:hAnsi="仿宋" w:eastAsia="仿宋" w:cs="宋体"/>
          <w:color w:val="auto"/>
          <w:kern w:val="1"/>
          <w:sz w:val="28"/>
          <w:szCs w:val="28"/>
          <w:highlight w:val="none"/>
          <w:lang w:val="en-US" w:eastAsia="zh-CN"/>
        </w:rPr>
        <w:t>二</w:t>
      </w:r>
      <w:r>
        <w:rPr>
          <w:rFonts w:hint="eastAsia" w:ascii="仿宋" w:hAnsi="仿宋" w:eastAsia="仿宋" w:cs="宋体"/>
          <w:color w:val="auto"/>
          <w:kern w:val="1"/>
          <w:sz w:val="28"/>
          <w:szCs w:val="28"/>
          <w:highlight w:val="none"/>
        </w:rPr>
        <w:t>、政府采购诚信承诺书</w:t>
      </w:r>
    </w:p>
    <w:p w14:paraId="31ACFF84">
      <w:pPr>
        <w:widowControl/>
        <w:autoSpaceDE w:val="0"/>
        <w:autoSpaceDN w:val="0"/>
        <w:adjustRightInd w:val="0"/>
        <w:spacing w:line="440" w:lineRule="exact"/>
        <w:rPr>
          <w:rFonts w:ascii="仿宋" w:hAnsi="仿宋" w:eastAsia="仿宋" w:cs="Arial"/>
          <w:b/>
          <w:bCs/>
          <w:color w:val="auto"/>
          <w:kern w:val="1"/>
          <w:sz w:val="24"/>
          <w:szCs w:val="24"/>
          <w:highlight w:val="none"/>
        </w:rPr>
      </w:pPr>
    </w:p>
    <w:p w14:paraId="7D56B959">
      <w:pPr>
        <w:widowControl/>
        <w:autoSpaceDE w:val="0"/>
        <w:autoSpaceDN w:val="0"/>
        <w:adjustRightInd w:val="0"/>
        <w:spacing w:line="440" w:lineRule="exact"/>
        <w:rPr>
          <w:rFonts w:ascii="仿宋" w:hAnsi="仿宋" w:eastAsia="仿宋" w:cs="Times New Roman"/>
          <w:color w:val="auto"/>
          <w:kern w:val="1"/>
          <w:sz w:val="24"/>
          <w:szCs w:val="24"/>
          <w:highlight w:val="none"/>
        </w:rPr>
      </w:pPr>
      <w:r>
        <w:rPr>
          <w:rFonts w:ascii="仿宋" w:hAnsi="仿宋" w:eastAsia="仿宋" w:cs="仿宋"/>
          <w:color w:val="auto"/>
          <w:kern w:val="1"/>
          <w:sz w:val="24"/>
          <w:szCs w:val="24"/>
          <w:highlight w:val="none"/>
          <w:u w:val="single"/>
        </w:rPr>
        <w:t xml:space="preserve"> </w:t>
      </w:r>
      <w:r>
        <w:rPr>
          <w:rFonts w:hint="eastAsia" w:ascii="仿宋" w:hAnsi="仿宋" w:eastAsia="仿宋" w:cs="仿宋"/>
          <w:color w:val="auto"/>
          <w:kern w:val="1"/>
          <w:sz w:val="24"/>
          <w:szCs w:val="24"/>
          <w:highlight w:val="none"/>
          <w:u w:val="single"/>
        </w:rPr>
        <w:t>（采购人）</w:t>
      </w:r>
      <w:r>
        <w:rPr>
          <w:rFonts w:ascii="仿宋" w:hAnsi="仿宋" w:eastAsia="仿宋" w:cs="仿宋"/>
          <w:color w:val="auto"/>
          <w:kern w:val="1"/>
          <w:sz w:val="24"/>
          <w:szCs w:val="24"/>
          <w:highlight w:val="none"/>
          <w:u w:val="single"/>
        </w:rPr>
        <w:t xml:space="preserve"> </w:t>
      </w:r>
      <w:r>
        <w:rPr>
          <w:rFonts w:hint="eastAsia" w:ascii="仿宋" w:hAnsi="仿宋" w:eastAsia="仿宋" w:cs="仿宋"/>
          <w:color w:val="auto"/>
          <w:kern w:val="1"/>
          <w:sz w:val="24"/>
          <w:szCs w:val="24"/>
          <w:highlight w:val="none"/>
        </w:rPr>
        <w:t>：</w:t>
      </w:r>
    </w:p>
    <w:p w14:paraId="4FE91595">
      <w:pPr>
        <w:widowControl/>
        <w:autoSpaceDE w:val="0"/>
        <w:autoSpaceDN w:val="0"/>
        <w:adjustRightInd w:val="0"/>
        <w:spacing w:line="440" w:lineRule="exact"/>
        <w:ind w:firstLine="480"/>
        <w:rPr>
          <w:rFonts w:ascii="仿宋" w:hAnsi="仿宋" w:eastAsia="仿宋" w:cs="Times New Roman"/>
          <w:color w:val="auto"/>
          <w:kern w:val="1"/>
          <w:sz w:val="24"/>
          <w:szCs w:val="24"/>
          <w:highlight w:val="none"/>
        </w:rPr>
      </w:pPr>
      <w:r>
        <w:rPr>
          <w:rStyle w:val="20"/>
          <w:rFonts w:hint="eastAsia" w:cs="Times New Roman"/>
          <w:color w:val="auto"/>
          <w:sz w:val="24"/>
          <w:szCs w:val="24"/>
          <w:highlight w:val="none"/>
        </w:rPr>
        <w:t>我公司</w:t>
      </w:r>
      <w:r>
        <w:rPr>
          <w:rFonts w:ascii="仿宋" w:hAnsi="仿宋" w:eastAsia="仿宋" w:cs="仿宋"/>
          <w:color w:val="auto"/>
          <w:kern w:val="1"/>
          <w:sz w:val="24"/>
          <w:szCs w:val="24"/>
          <w:highlight w:val="none"/>
          <w:u w:val="single"/>
        </w:rPr>
        <w:t xml:space="preserve">               </w:t>
      </w:r>
      <w:r>
        <w:rPr>
          <w:rStyle w:val="20"/>
          <w:rFonts w:hint="eastAsia" w:cs="Times New Roman"/>
          <w:color w:val="auto"/>
          <w:sz w:val="24"/>
          <w:szCs w:val="24"/>
          <w:highlight w:val="none"/>
        </w:rPr>
        <w:t>（投标人名称）已详细阅读了</w:t>
      </w:r>
      <w:r>
        <w:rPr>
          <w:rFonts w:ascii="仿宋" w:hAnsi="仿宋" w:eastAsia="仿宋" w:cs="仿宋"/>
          <w:color w:val="auto"/>
          <w:kern w:val="1"/>
          <w:sz w:val="24"/>
          <w:szCs w:val="24"/>
          <w:highlight w:val="none"/>
          <w:u w:val="single"/>
        </w:rPr>
        <w:t xml:space="preserve">             </w:t>
      </w:r>
      <w:r>
        <w:rPr>
          <w:rStyle w:val="20"/>
          <w:rFonts w:hint="eastAsia" w:cs="Times New Roman"/>
          <w:color w:val="auto"/>
          <w:sz w:val="24"/>
          <w:szCs w:val="24"/>
          <w:highlight w:val="none"/>
        </w:rPr>
        <w:t>项目（项目编号：</w:t>
      </w:r>
      <w:r>
        <w:rPr>
          <w:rFonts w:ascii="仿宋" w:hAnsi="仿宋" w:eastAsia="仿宋" w:cs="仿宋"/>
          <w:color w:val="auto"/>
          <w:kern w:val="1"/>
          <w:sz w:val="24"/>
          <w:szCs w:val="24"/>
          <w:highlight w:val="none"/>
          <w:u w:val="single"/>
        </w:rPr>
        <w:t xml:space="preserve">          </w:t>
      </w:r>
      <w:r>
        <w:rPr>
          <w:rStyle w:val="20"/>
          <w:rFonts w:hint="eastAsia" w:cs="Times New Roman"/>
          <w:color w:val="auto"/>
          <w:sz w:val="24"/>
          <w:szCs w:val="24"/>
          <w:highlight w:val="none"/>
        </w:rPr>
        <w:t>）招标文件，自愿参加本次投标，现就有关事项做出郑重承诺如下：</w:t>
      </w:r>
    </w:p>
    <w:p w14:paraId="2D52F8E3">
      <w:pPr>
        <w:widowControl/>
        <w:autoSpaceDE w:val="0"/>
        <w:autoSpaceDN w:val="0"/>
        <w:adjustRightInd w:val="0"/>
        <w:spacing w:line="440" w:lineRule="exact"/>
        <w:ind w:firstLine="480"/>
        <w:rPr>
          <w:rStyle w:val="20"/>
          <w:rFonts w:cs="Times New Roman"/>
          <w:color w:val="auto"/>
          <w:sz w:val="24"/>
          <w:szCs w:val="24"/>
          <w:highlight w:val="none"/>
        </w:rPr>
      </w:pPr>
      <w:r>
        <w:rPr>
          <w:rStyle w:val="20"/>
          <w:rFonts w:hint="eastAsia" w:cs="Times New Roman"/>
          <w:color w:val="auto"/>
          <w:sz w:val="24"/>
          <w:szCs w:val="24"/>
          <w:highlight w:val="none"/>
        </w:rPr>
        <w:t>一、诚信投标，材料真实。我公司保证所提供的全部材料、投标内容均真实、合法、有效，保证不出借或者借用其他企业资质，不以他人名义投标，不弄虚作假；</w:t>
      </w:r>
    </w:p>
    <w:p w14:paraId="64E0006B">
      <w:pPr>
        <w:widowControl/>
        <w:autoSpaceDE w:val="0"/>
        <w:autoSpaceDN w:val="0"/>
        <w:adjustRightInd w:val="0"/>
        <w:spacing w:line="440" w:lineRule="exact"/>
        <w:ind w:firstLine="480"/>
        <w:rPr>
          <w:rFonts w:ascii="仿宋" w:hAnsi="仿宋" w:eastAsia="仿宋" w:cs="Times New Roman"/>
          <w:color w:val="auto"/>
          <w:kern w:val="1"/>
          <w:sz w:val="24"/>
          <w:szCs w:val="24"/>
          <w:highlight w:val="none"/>
        </w:rPr>
      </w:pPr>
      <w:r>
        <w:rPr>
          <w:rStyle w:val="20"/>
          <w:rFonts w:hint="eastAsia" w:cs="Times New Roman"/>
          <w:color w:val="auto"/>
          <w:sz w:val="24"/>
          <w:szCs w:val="24"/>
          <w:highlight w:val="none"/>
        </w:rPr>
        <w:t>二、遵纪守法，公平竞争。不与其他投标人相互串通、</w:t>
      </w:r>
      <w:r>
        <w:rPr>
          <w:rFonts w:hint="eastAsia" w:ascii="仿宋" w:hAnsi="仿宋" w:eastAsia="仿宋" w:cs="仿宋"/>
          <w:color w:val="auto"/>
          <w:kern w:val="0"/>
          <w:sz w:val="24"/>
          <w:szCs w:val="24"/>
          <w:highlight w:val="none"/>
        </w:rPr>
        <w:t>哄抬价格，</w:t>
      </w:r>
      <w:r>
        <w:rPr>
          <w:rStyle w:val="20"/>
          <w:rFonts w:hint="eastAsia" w:cs="Times New Roman"/>
          <w:color w:val="auto"/>
          <w:sz w:val="24"/>
          <w:szCs w:val="24"/>
          <w:highlight w:val="none"/>
        </w:rPr>
        <w:t>不排挤其他投标人，不损害采购人的合法权益；不向评标委员会、采购人提供利益以牟取中标。</w:t>
      </w:r>
    </w:p>
    <w:p w14:paraId="63B08D9B">
      <w:pPr>
        <w:widowControl/>
        <w:autoSpaceDE w:val="0"/>
        <w:autoSpaceDN w:val="0"/>
        <w:adjustRightInd w:val="0"/>
        <w:spacing w:line="440" w:lineRule="exact"/>
        <w:ind w:firstLine="480"/>
        <w:rPr>
          <w:rFonts w:ascii="仿宋" w:hAnsi="仿宋" w:eastAsia="仿宋" w:cs="Times New Roman"/>
          <w:color w:val="auto"/>
          <w:kern w:val="1"/>
          <w:sz w:val="24"/>
          <w:szCs w:val="24"/>
          <w:highlight w:val="none"/>
        </w:rPr>
      </w:pPr>
      <w:r>
        <w:rPr>
          <w:rFonts w:hint="eastAsia" w:ascii="仿宋" w:hAnsi="仿宋" w:eastAsia="仿宋" w:cs="仿宋"/>
          <w:color w:val="auto"/>
          <w:kern w:val="0"/>
          <w:sz w:val="24"/>
          <w:szCs w:val="24"/>
          <w:highlight w:val="none"/>
        </w:rPr>
        <w:t>三、若中标后，将按照规定及时与采购人签订政府采购合同，不与采购人订立有悖于采购结果的合同或协议；严格履行政府采购合同，不降低合同约定的产品质量和服务，不擅自变更、中止、终止合同，或者拒绝履行合同义务；</w:t>
      </w:r>
    </w:p>
    <w:p w14:paraId="31151F2C">
      <w:pPr>
        <w:widowControl/>
        <w:autoSpaceDE w:val="0"/>
        <w:autoSpaceDN w:val="0"/>
        <w:adjustRightInd w:val="0"/>
        <w:spacing w:line="440" w:lineRule="exact"/>
        <w:ind w:firstLine="480"/>
        <w:rPr>
          <w:rStyle w:val="20"/>
          <w:rFonts w:cs="Times New Roman"/>
          <w:color w:val="auto"/>
          <w:sz w:val="24"/>
          <w:szCs w:val="24"/>
          <w:highlight w:val="none"/>
        </w:rPr>
      </w:pPr>
      <w:r>
        <w:rPr>
          <w:rStyle w:val="20"/>
          <w:rFonts w:hint="eastAsia" w:cs="Times New Roman"/>
          <w:color w:val="auto"/>
          <w:sz w:val="24"/>
          <w:szCs w:val="24"/>
          <w:highlight w:val="none"/>
        </w:rPr>
        <w:t>若有违反以上承诺内容的行为，我公司自愿接受取消投标资格、记入信用档案、没收投标保证金、媒体通报、</w:t>
      </w:r>
      <w:r>
        <w:rPr>
          <w:rStyle w:val="20"/>
          <w:rFonts w:cs="Times New Roman"/>
          <w:color w:val="auto"/>
          <w:sz w:val="24"/>
          <w:szCs w:val="24"/>
          <w:highlight w:val="none"/>
        </w:rPr>
        <w:t>1-3</w:t>
      </w:r>
      <w:r>
        <w:rPr>
          <w:rStyle w:val="20"/>
          <w:rFonts w:hint="eastAsia" w:cs="Times New Roman"/>
          <w:color w:val="auto"/>
          <w:sz w:val="24"/>
          <w:szCs w:val="24"/>
          <w:highlight w:val="none"/>
        </w:rPr>
        <w:t>年内禁止参与政府采购等处罚；如已中标的，自动放弃中标资格，并承担全部法律责任；给采购人造成损失的，依法承担赔偿责任。</w:t>
      </w:r>
    </w:p>
    <w:p w14:paraId="4791AAC5">
      <w:pPr>
        <w:widowControl/>
        <w:autoSpaceDE w:val="0"/>
        <w:autoSpaceDN w:val="0"/>
        <w:adjustRightInd w:val="0"/>
        <w:spacing w:line="440" w:lineRule="exact"/>
        <w:ind w:right="-481" w:firstLine="420"/>
        <w:rPr>
          <w:rFonts w:ascii="仿宋" w:hAnsi="仿宋" w:eastAsia="仿宋" w:cs="Times New Roman"/>
          <w:color w:val="auto"/>
          <w:kern w:val="1"/>
          <w:sz w:val="24"/>
          <w:szCs w:val="24"/>
          <w:highlight w:val="none"/>
        </w:rPr>
      </w:pPr>
    </w:p>
    <w:p w14:paraId="70BB6C2C">
      <w:pPr>
        <w:widowControl/>
        <w:autoSpaceDE w:val="0"/>
        <w:autoSpaceDN w:val="0"/>
        <w:adjustRightInd w:val="0"/>
        <w:spacing w:line="440" w:lineRule="exact"/>
        <w:ind w:right="-481"/>
        <w:rPr>
          <w:rFonts w:ascii="仿宋" w:hAnsi="仿宋" w:eastAsia="仿宋" w:cs="Times New Roman"/>
          <w:color w:val="auto"/>
          <w:kern w:val="1"/>
          <w:sz w:val="24"/>
          <w:szCs w:val="24"/>
          <w:highlight w:val="none"/>
        </w:rPr>
      </w:pPr>
    </w:p>
    <w:p w14:paraId="27632DF1">
      <w:pPr>
        <w:widowControl/>
        <w:autoSpaceDE w:val="0"/>
        <w:autoSpaceDN w:val="0"/>
        <w:adjustRightInd w:val="0"/>
        <w:spacing w:line="440" w:lineRule="exact"/>
        <w:ind w:right="-481"/>
        <w:rPr>
          <w:rFonts w:ascii="仿宋" w:hAnsi="仿宋" w:eastAsia="仿宋" w:cs="Times New Roman"/>
          <w:color w:val="auto"/>
          <w:kern w:val="1"/>
          <w:sz w:val="24"/>
          <w:szCs w:val="24"/>
          <w:highlight w:val="none"/>
        </w:rPr>
      </w:pPr>
    </w:p>
    <w:p w14:paraId="378764EE">
      <w:pPr>
        <w:spacing w:line="440" w:lineRule="exact"/>
        <w:ind w:firstLine="4108" w:firstLineChars="1712"/>
        <w:rPr>
          <w:rFonts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投  标  人：</w:t>
      </w:r>
      <w:r>
        <w:rPr>
          <w:rFonts w:hint="eastAsia" w:ascii="仿宋" w:hAnsi="仿宋" w:eastAsia="仿宋" w:cs="Times New Roman"/>
          <w:color w:val="auto"/>
          <w:sz w:val="24"/>
          <w:szCs w:val="24"/>
          <w:highlight w:val="none"/>
          <w:u w:val="single"/>
        </w:rPr>
        <w:t xml:space="preserve">                </w:t>
      </w:r>
      <w:r>
        <w:rPr>
          <w:rFonts w:hint="eastAsia" w:ascii="仿宋" w:hAnsi="仿宋" w:eastAsia="仿宋" w:cs="Times New Roman"/>
          <w:color w:val="auto"/>
          <w:sz w:val="24"/>
          <w:szCs w:val="24"/>
          <w:highlight w:val="none"/>
        </w:rPr>
        <w:t>（盖单位公章）</w:t>
      </w:r>
    </w:p>
    <w:p w14:paraId="2C0D862A">
      <w:pPr>
        <w:spacing w:line="440" w:lineRule="exact"/>
        <w:ind w:firstLine="4108" w:firstLineChars="1712"/>
        <w:rPr>
          <w:rFonts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法定代表人：</w:t>
      </w:r>
      <w:r>
        <w:rPr>
          <w:rFonts w:hint="eastAsia" w:ascii="仿宋" w:hAnsi="仿宋" w:eastAsia="仿宋" w:cs="Times New Roman"/>
          <w:color w:val="auto"/>
          <w:sz w:val="24"/>
          <w:szCs w:val="24"/>
          <w:highlight w:val="none"/>
          <w:u w:val="single"/>
        </w:rPr>
        <w:t xml:space="preserve">                </w:t>
      </w:r>
      <w:r>
        <w:rPr>
          <w:rFonts w:hint="eastAsia" w:ascii="仿宋" w:hAnsi="仿宋" w:eastAsia="仿宋" w:cs="Times New Roman"/>
          <w:color w:val="auto"/>
          <w:sz w:val="24"/>
          <w:szCs w:val="24"/>
          <w:highlight w:val="none"/>
        </w:rPr>
        <w:t>（签字或盖章）</w:t>
      </w:r>
    </w:p>
    <w:p w14:paraId="518D9132">
      <w:pPr>
        <w:spacing w:line="440" w:lineRule="exact"/>
        <w:ind w:firstLine="4108" w:firstLineChars="1712"/>
        <w:rPr>
          <w:rFonts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日      期：</w:t>
      </w:r>
      <w:r>
        <w:rPr>
          <w:rFonts w:hint="eastAsia" w:ascii="仿宋" w:hAnsi="仿宋" w:eastAsia="仿宋" w:cs="Times New Roman"/>
          <w:color w:val="auto"/>
          <w:sz w:val="24"/>
          <w:szCs w:val="24"/>
          <w:highlight w:val="none"/>
          <w:u w:val="single"/>
        </w:rPr>
        <w:t xml:space="preserve">      </w:t>
      </w:r>
      <w:r>
        <w:rPr>
          <w:rFonts w:hint="eastAsia" w:ascii="仿宋" w:hAnsi="仿宋" w:eastAsia="仿宋" w:cs="Times New Roman"/>
          <w:color w:val="auto"/>
          <w:sz w:val="24"/>
          <w:szCs w:val="24"/>
          <w:highlight w:val="none"/>
        </w:rPr>
        <w:t>年</w:t>
      </w:r>
      <w:r>
        <w:rPr>
          <w:rFonts w:hint="eastAsia" w:ascii="仿宋" w:hAnsi="仿宋" w:eastAsia="仿宋" w:cs="Times New Roman"/>
          <w:color w:val="auto"/>
          <w:sz w:val="24"/>
          <w:szCs w:val="24"/>
          <w:highlight w:val="none"/>
          <w:u w:val="single"/>
        </w:rPr>
        <w:t xml:space="preserve">   </w:t>
      </w:r>
      <w:r>
        <w:rPr>
          <w:rFonts w:hint="eastAsia" w:ascii="仿宋" w:hAnsi="仿宋" w:eastAsia="仿宋" w:cs="Times New Roman"/>
          <w:color w:val="auto"/>
          <w:sz w:val="24"/>
          <w:szCs w:val="24"/>
          <w:highlight w:val="none"/>
        </w:rPr>
        <w:t>月</w:t>
      </w:r>
      <w:r>
        <w:rPr>
          <w:rFonts w:hint="eastAsia" w:ascii="仿宋" w:hAnsi="仿宋" w:eastAsia="仿宋" w:cs="Times New Roman"/>
          <w:color w:val="auto"/>
          <w:sz w:val="24"/>
          <w:szCs w:val="24"/>
          <w:highlight w:val="none"/>
          <w:u w:val="single"/>
        </w:rPr>
        <w:t xml:space="preserve">   </w:t>
      </w:r>
      <w:r>
        <w:rPr>
          <w:rFonts w:hint="eastAsia" w:ascii="仿宋" w:hAnsi="仿宋" w:eastAsia="仿宋" w:cs="Times New Roman"/>
          <w:color w:val="auto"/>
          <w:sz w:val="24"/>
          <w:szCs w:val="24"/>
          <w:highlight w:val="none"/>
        </w:rPr>
        <w:t>日</w:t>
      </w:r>
    </w:p>
    <w:p w14:paraId="1A1C9E97">
      <w:pPr>
        <w:widowControl/>
        <w:autoSpaceDE w:val="0"/>
        <w:autoSpaceDN w:val="0"/>
        <w:adjustRightInd w:val="0"/>
        <w:spacing w:line="440" w:lineRule="exact"/>
        <w:rPr>
          <w:rStyle w:val="20"/>
          <w:rFonts w:cs="Times New Roman"/>
          <w:color w:val="auto"/>
          <w:sz w:val="24"/>
          <w:szCs w:val="24"/>
          <w:highlight w:val="none"/>
        </w:rPr>
      </w:pPr>
    </w:p>
    <w:p w14:paraId="3606C585">
      <w:pPr>
        <w:widowControl/>
        <w:autoSpaceDE w:val="0"/>
        <w:autoSpaceDN w:val="0"/>
        <w:adjustRightInd w:val="0"/>
        <w:spacing w:line="440" w:lineRule="exact"/>
        <w:ind w:firstLine="630"/>
        <w:jc w:val="center"/>
        <w:rPr>
          <w:rFonts w:ascii="仿宋" w:hAnsi="仿宋" w:eastAsia="仿宋" w:cs="宋体"/>
          <w:color w:val="auto"/>
          <w:kern w:val="1"/>
          <w:sz w:val="28"/>
          <w:szCs w:val="28"/>
          <w:highlight w:val="none"/>
        </w:rPr>
      </w:pPr>
      <w:r>
        <w:rPr>
          <w:rFonts w:hint="eastAsia" w:ascii="仿宋" w:hAnsi="仿宋" w:eastAsia="仿宋" w:cs="宋体"/>
          <w:color w:val="auto"/>
          <w:kern w:val="1"/>
          <w:sz w:val="28"/>
          <w:szCs w:val="28"/>
          <w:highlight w:val="none"/>
        </w:rPr>
        <w:br w:type="page"/>
      </w:r>
    </w:p>
    <w:p w14:paraId="2A206A43">
      <w:pPr>
        <w:widowControl/>
        <w:autoSpaceDE w:val="0"/>
        <w:autoSpaceDN w:val="0"/>
        <w:adjustRightInd w:val="0"/>
        <w:spacing w:line="440" w:lineRule="exact"/>
        <w:rPr>
          <w:rStyle w:val="20"/>
          <w:rFonts w:cs="仿宋"/>
          <w:color w:val="auto"/>
          <w:sz w:val="24"/>
          <w:szCs w:val="24"/>
          <w:highlight w:val="none"/>
        </w:rPr>
      </w:pPr>
    </w:p>
    <w:p w14:paraId="5CD4BC89">
      <w:pPr>
        <w:widowControl/>
        <w:autoSpaceDE w:val="0"/>
        <w:autoSpaceDN w:val="0"/>
        <w:adjustRightInd w:val="0"/>
        <w:spacing w:afterLines="100" w:line="440" w:lineRule="exact"/>
        <w:jc w:val="center"/>
        <w:rPr>
          <w:rStyle w:val="20"/>
          <w:rFonts w:cs="仿宋"/>
          <w:color w:val="auto"/>
          <w:sz w:val="24"/>
          <w:szCs w:val="24"/>
          <w:highlight w:val="none"/>
        </w:rPr>
      </w:pPr>
      <w:r>
        <w:rPr>
          <w:rStyle w:val="20"/>
          <w:rFonts w:hint="eastAsia" w:eastAsia="仿宋" w:cs="仿宋"/>
          <w:color w:val="auto"/>
          <w:sz w:val="28"/>
          <w:szCs w:val="28"/>
          <w:highlight w:val="none"/>
          <w:lang w:val="en-US" w:eastAsia="zh-CN"/>
        </w:rPr>
        <w:t>十三</w:t>
      </w:r>
      <w:r>
        <w:rPr>
          <w:rStyle w:val="20"/>
          <w:rFonts w:hint="eastAsia" w:cs="仿宋"/>
          <w:color w:val="auto"/>
          <w:sz w:val="28"/>
          <w:szCs w:val="28"/>
          <w:highlight w:val="none"/>
        </w:rPr>
        <w:t>、技术偏离表</w:t>
      </w:r>
    </w:p>
    <w:tbl>
      <w:tblPr>
        <w:tblStyle w:val="15"/>
        <w:tblW w:w="95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
        <w:gridCol w:w="3133"/>
        <w:gridCol w:w="2733"/>
        <w:gridCol w:w="1641"/>
        <w:gridCol w:w="1166"/>
      </w:tblGrid>
      <w:tr w14:paraId="281C3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24" w:type="dxa"/>
            <w:vAlign w:val="center"/>
          </w:tcPr>
          <w:p w14:paraId="7A85E96D">
            <w:pPr>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133" w:type="dxa"/>
            <w:vAlign w:val="center"/>
          </w:tcPr>
          <w:p w14:paraId="0889FE8C">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招标文件</w:t>
            </w:r>
            <w:r>
              <w:rPr>
                <w:rFonts w:hint="eastAsia" w:ascii="仿宋" w:hAnsi="仿宋" w:eastAsia="仿宋" w:cs="仿宋"/>
                <w:color w:val="auto"/>
                <w:sz w:val="24"/>
                <w:szCs w:val="24"/>
                <w:highlight w:val="none"/>
                <w:lang w:val="en-US" w:eastAsia="zh-CN"/>
              </w:rPr>
              <w:t>内容</w:t>
            </w:r>
          </w:p>
        </w:tc>
        <w:tc>
          <w:tcPr>
            <w:tcW w:w="2733" w:type="dxa"/>
            <w:vAlign w:val="center"/>
          </w:tcPr>
          <w:p w14:paraId="7C1A3AF1">
            <w:pPr>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w:t>
            </w:r>
            <w:r>
              <w:rPr>
                <w:rFonts w:hint="eastAsia" w:ascii="仿宋" w:hAnsi="仿宋" w:eastAsia="仿宋" w:cs="仿宋"/>
                <w:color w:val="auto"/>
                <w:sz w:val="24"/>
                <w:szCs w:val="24"/>
                <w:highlight w:val="none"/>
                <w:lang w:val="en-US" w:eastAsia="zh-CN"/>
              </w:rPr>
              <w:t>内容</w:t>
            </w:r>
          </w:p>
        </w:tc>
        <w:tc>
          <w:tcPr>
            <w:tcW w:w="1641" w:type="dxa"/>
            <w:vAlign w:val="center"/>
          </w:tcPr>
          <w:p w14:paraId="632D470D">
            <w:pPr>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偏离情况</w:t>
            </w:r>
          </w:p>
        </w:tc>
        <w:tc>
          <w:tcPr>
            <w:tcW w:w="1166" w:type="dxa"/>
            <w:vAlign w:val="center"/>
          </w:tcPr>
          <w:p w14:paraId="1C8E71E9">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说明</w:t>
            </w:r>
          </w:p>
        </w:tc>
      </w:tr>
      <w:tr w14:paraId="472D8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24" w:type="dxa"/>
            <w:vAlign w:val="center"/>
          </w:tcPr>
          <w:p w14:paraId="3B3AFD09">
            <w:pPr>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3133" w:type="dxa"/>
            <w:vAlign w:val="center"/>
          </w:tcPr>
          <w:p w14:paraId="7E006E8A">
            <w:pPr>
              <w:widowControl/>
              <w:autoSpaceDE w:val="0"/>
              <w:autoSpaceDN w:val="0"/>
              <w:adjustRightInd w:val="0"/>
              <w:spacing w:line="440" w:lineRule="exact"/>
              <w:rPr>
                <w:rFonts w:ascii="仿宋" w:hAnsi="仿宋" w:eastAsia="仿宋" w:cs="仿宋"/>
                <w:color w:val="auto"/>
                <w:sz w:val="24"/>
                <w:szCs w:val="24"/>
                <w:highlight w:val="none"/>
              </w:rPr>
            </w:pPr>
          </w:p>
        </w:tc>
        <w:tc>
          <w:tcPr>
            <w:tcW w:w="2733" w:type="dxa"/>
            <w:vAlign w:val="center"/>
          </w:tcPr>
          <w:p w14:paraId="7207E0A3">
            <w:pPr>
              <w:spacing w:line="360" w:lineRule="auto"/>
              <w:jc w:val="center"/>
              <w:rPr>
                <w:rFonts w:ascii="仿宋" w:hAnsi="仿宋" w:eastAsia="仿宋" w:cs="仿宋"/>
                <w:color w:val="auto"/>
                <w:sz w:val="24"/>
                <w:szCs w:val="24"/>
                <w:highlight w:val="none"/>
              </w:rPr>
            </w:pPr>
          </w:p>
        </w:tc>
        <w:tc>
          <w:tcPr>
            <w:tcW w:w="1641" w:type="dxa"/>
            <w:vAlign w:val="center"/>
          </w:tcPr>
          <w:p w14:paraId="5354555C">
            <w:pPr>
              <w:spacing w:line="360" w:lineRule="auto"/>
              <w:jc w:val="center"/>
              <w:rPr>
                <w:rFonts w:ascii="仿宋" w:hAnsi="仿宋" w:eastAsia="仿宋" w:cs="仿宋"/>
                <w:color w:val="auto"/>
                <w:sz w:val="24"/>
                <w:szCs w:val="24"/>
                <w:highlight w:val="none"/>
              </w:rPr>
            </w:pPr>
          </w:p>
        </w:tc>
        <w:tc>
          <w:tcPr>
            <w:tcW w:w="1166" w:type="dxa"/>
            <w:vAlign w:val="center"/>
          </w:tcPr>
          <w:p w14:paraId="0910AD88">
            <w:pPr>
              <w:spacing w:line="360" w:lineRule="auto"/>
              <w:jc w:val="center"/>
              <w:rPr>
                <w:rFonts w:ascii="仿宋" w:hAnsi="仿宋" w:eastAsia="仿宋" w:cs="仿宋"/>
                <w:color w:val="auto"/>
                <w:sz w:val="24"/>
                <w:szCs w:val="24"/>
                <w:highlight w:val="none"/>
              </w:rPr>
            </w:pPr>
          </w:p>
        </w:tc>
      </w:tr>
      <w:tr w14:paraId="1604C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24" w:type="dxa"/>
            <w:vAlign w:val="center"/>
          </w:tcPr>
          <w:p w14:paraId="41B796EB">
            <w:pPr>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w:t>
            </w:r>
          </w:p>
        </w:tc>
        <w:tc>
          <w:tcPr>
            <w:tcW w:w="3133" w:type="dxa"/>
            <w:vAlign w:val="center"/>
          </w:tcPr>
          <w:p w14:paraId="5281613E">
            <w:pPr>
              <w:widowControl/>
              <w:autoSpaceDE w:val="0"/>
              <w:autoSpaceDN w:val="0"/>
              <w:adjustRightInd w:val="0"/>
              <w:spacing w:line="440" w:lineRule="exact"/>
              <w:rPr>
                <w:rFonts w:ascii="仿宋" w:hAnsi="仿宋" w:eastAsia="仿宋" w:cs="仿宋"/>
                <w:color w:val="auto"/>
                <w:sz w:val="24"/>
                <w:szCs w:val="24"/>
                <w:highlight w:val="none"/>
              </w:rPr>
            </w:pPr>
          </w:p>
        </w:tc>
        <w:tc>
          <w:tcPr>
            <w:tcW w:w="2733" w:type="dxa"/>
            <w:vAlign w:val="center"/>
          </w:tcPr>
          <w:p w14:paraId="259F36CA">
            <w:pPr>
              <w:spacing w:line="360" w:lineRule="auto"/>
              <w:jc w:val="center"/>
              <w:rPr>
                <w:rFonts w:ascii="仿宋" w:hAnsi="仿宋" w:eastAsia="仿宋" w:cs="仿宋"/>
                <w:color w:val="auto"/>
                <w:sz w:val="24"/>
                <w:szCs w:val="24"/>
                <w:highlight w:val="none"/>
              </w:rPr>
            </w:pPr>
          </w:p>
        </w:tc>
        <w:tc>
          <w:tcPr>
            <w:tcW w:w="1641" w:type="dxa"/>
            <w:vAlign w:val="center"/>
          </w:tcPr>
          <w:p w14:paraId="4CCDE6E4">
            <w:pPr>
              <w:spacing w:line="360" w:lineRule="auto"/>
              <w:jc w:val="center"/>
              <w:rPr>
                <w:rFonts w:ascii="仿宋" w:hAnsi="仿宋" w:eastAsia="仿宋" w:cs="仿宋"/>
                <w:color w:val="auto"/>
                <w:sz w:val="24"/>
                <w:szCs w:val="24"/>
                <w:highlight w:val="none"/>
              </w:rPr>
            </w:pPr>
          </w:p>
        </w:tc>
        <w:tc>
          <w:tcPr>
            <w:tcW w:w="1166" w:type="dxa"/>
            <w:vAlign w:val="center"/>
          </w:tcPr>
          <w:p w14:paraId="4141378A">
            <w:pPr>
              <w:spacing w:line="360" w:lineRule="auto"/>
              <w:jc w:val="center"/>
              <w:rPr>
                <w:rFonts w:ascii="仿宋" w:hAnsi="仿宋" w:eastAsia="仿宋" w:cs="仿宋"/>
                <w:color w:val="auto"/>
                <w:sz w:val="24"/>
                <w:szCs w:val="24"/>
                <w:highlight w:val="none"/>
              </w:rPr>
            </w:pPr>
          </w:p>
        </w:tc>
      </w:tr>
      <w:tr w14:paraId="12707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24" w:type="dxa"/>
            <w:vAlign w:val="center"/>
          </w:tcPr>
          <w:p w14:paraId="5EC59E28">
            <w:pPr>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3133" w:type="dxa"/>
            <w:vAlign w:val="center"/>
          </w:tcPr>
          <w:p w14:paraId="643BE2B9">
            <w:pPr>
              <w:widowControl/>
              <w:autoSpaceDE w:val="0"/>
              <w:autoSpaceDN w:val="0"/>
              <w:adjustRightInd w:val="0"/>
              <w:spacing w:line="440" w:lineRule="exact"/>
              <w:rPr>
                <w:rFonts w:ascii="仿宋" w:hAnsi="仿宋" w:eastAsia="仿宋" w:cs="仿宋"/>
                <w:color w:val="auto"/>
                <w:sz w:val="24"/>
                <w:szCs w:val="24"/>
                <w:highlight w:val="none"/>
              </w:rPr>
            </w:pPr>
          </w:p>
        </w:tc>
        <w:tc>
          <w:tcPr>
            <w:tcW w:w="2733" w:type="dxa"/>
            <w:vAlign w:val="center"/>
          </w:tcPr>
          <w:p w14:paraId="1C99D050">
            <w:pPr>
              <w:spacing w:line="360" w:lineRule="auto"/>
              <w:jc w:val="center"/>
              <w:rPr>
                <w:rFonts w:ascii="仿宋" w:hAnsi="仿宋" w:eastAsia="仿宋" w:cs="仿宋"/>
                <w:color w:val="auto"/>
                <w:sz w:val="24"/>
                <w:szCs w:val="24"/>
                <w:highlight w:val="none"/>
              </w:rPr>
            </w:pPr>
          </w:p>
        </w:tc>
        <w:tc>
          <w:tcPr>
            <w:tcW w:w="1641" w:type="dxa"/>
            <w:vAlign w:val="center"/>
          </w:tcPr>
          <w:p w14:paraId="19572022">
            <w:pPr>
              <w:spacing w:line="360" w:lineRule="auto"/>
              <w:jc w:val="center"/>
              <w:rPr>
                <w:rFonts w:ascii="仿宋" w:hAnsi="仿宋" w:eastAsia="仿宋" w:cs="仿宋"/>
                <w:color w:val="auto"/>
                <w:sz w:val="24"/>
                <w:szCs w:val="24"/>
                <w:highlight w:val="none"/>
              </w:rPr>
            </w:pPr>
          </w:p>
        </w:tc>
        <w:tc>
          <w:tcPr>
            <w:tcW w:w="1166" w:type="dxa"/>
            <w:vAlign w:val="center"/>
          </w:tcPr>
          <w:p w14:paraId="3D6D1FA5">
            <w:pPr>
              <w:spacing w:line="360" w:lineRule="auto"/>
              <w:jc w:val="center"/>
              <w:rPr>
                <w:rFonts w:ascii="仿宋" w:hAnsi="仿宋" w:eastAsia="仿宋" w:cs="仿宋"/>
                <w:color w:val="auto"/>
                <w:sz w:val="24"/>
                <w:szCs w:val="24"/>
                <w:highlight w:val="none"/>
              </w:rPr>
            </w:pPr>
          </w:p>
        </w:tc>
      </w:tr>
      <w:tr w14:paraId="1F7E5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24" w:type="dxa"/>
            <w:vAlign w:val="center"/>
          </w:tcPr>
          <w:p w14:paraId="37383177">
            <w:pPr>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3133" w:type="dxa"/>
            <w:vAlign w:val="center"/>
          </w:tcPr>
          <w:p w14:paraId="6A1279E0">
            <w:pPr>
              <w:widowControl/>
              <w:autoSpaceDE w:val="0"/>
              <w:autoSpaceDN w:val="0"/>
              <w:adjustRightInd w:val="0"/>
              <w:spacing w:line="440" w:lineRule="exact"/>
              <w:rPr>
                <w:rFonts w:ascii="仿宋" w:hAnsi="仿宋" w:eastAsia="仿宋" w:cs="仿宋"/>
                <w:color w:val="auto"/>
                <w:sz w:val="24"/>
                <w:szCs w:val="24"/>
                <w:highlight w:val="none"/>
              </w:rPr>
            </w:pPr>
          </w:p>
        </w:tc>
        <w:tc>
          <w:tcPr>
            <w:tcW w:w="2733" w:type="dxa"/>
            <w:vAlign w:val="center"/>
          </w:tcPr>
          <w:p w14:paraId="12F824D6">
            <w:pPr>
              <w:spacing w:line="360" w:lineRule="auto"/>
              <w:jc w:val="center"/>
              <w:rPr>
                <w:rFonts w:ascii="仿宋" w:hAnsi="仿宋" w:eastAsia="仿宋" w:cs="仿宋"/>
                <w:color w:val="auto"/>
                <w:sz w:val="24"/>
                <w:szCs w:val="24"/>
                <w:highlight w:val="none"/>
              </w:rPr>
            </w:pPr>
          </w:p>
        </w:tc>
        <w:tc>
          <w:tcPr>
            <w:tcW w:w="1641" w:type="dxa"/>
            <w:vAlign w:val="center"/>
          </w:tcPr>
          <w:p w14:paraId="707FCC0D">
            <w:pPr>
              <w:spacing w:line="360" w:lineRule="auto"/>
              <w:jc w:val="center"/>
              <w:rPr>
                <w:rFonts w:ascii="仿宋" w:hAnsi="仿宋" w:eastAsia="仿宋" w:cs="仿宋"/>
                <w:color w:val="auto"/>
                <w:sz w:val="24"/>
                <w:szCs w:val="24"/>
                <w:highlight w:val="none"/>
              </w:rPr>
            </w:pPr>
          </w:p>
        </w:tc>
        <w:tc>
          <w:tcPr>
            <w:tcW w:w="1166" w:type="dxa"/>
            <w:vAlign w:val="center"/>
          </w:tcPr>
          <w:p w14:paraId="6ACB7DAE">
            <w:pPr>
              <w:spacing w:line="360" w:lineRule="auto"/>
              <w:jc w:val="center"/>
              <w:rPr>
                <w:rFonts w:ascii="仿宋" w:hAnsi="仿宋" w:eastAsia="仿宋" w:cs="仿宋"/>
                <w:color w:val="auto"/>
                <w:sz w:val="24"/>
                <w:szCs w:val="24"/>
                <w:highlight w:val="none"/>
              </w:rPr>
            </w:pPr>
          </w:p>
        </w:tc>
      </w:tr>
      <w:tr w14:paraId="3B8BF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24" w:type="dxa"/>
            <w:vAlign w:val="center"/>
          </w:tcPr>
          <w:p w14:paraId="6A235FFF">
            <w:pPr>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3133" w:type="dxa"/>
            <w:vAlign w:val="center"/>
          </w:tcPr>
          <w:p w14:paraId="414B219B">
            <w:pPr>
              <w:widowControl/>
              <w:autoSpaceDE w:val="0"/>
              <w:autoSpaceDN w:val="0"/>
              <w:adjustRightInd w:val="0"/>
              <w:spacing w:line="440" w:lineRule="exact"/>
              <w:rPr>
                <w:rFonts w:ascii="仿宋" w:hAnsi="仿宋" w:eastAsia="仿宋" w:cs="仿宋"/>
                <w:color w:val="auto"/>
                <w:sz w:val="24"/>
                <w:szCs w:val="24"/>
                <w:highlight w:val="none"/>
              </w:rPr>
            </w:pPr>
          </w:p>
        </w:tc>
        <w:tc>
          <w:tcPr>
            <w:tcW w:w="2733" w:type="dxa"/>
            <w:vAlign w:val="center"/>
          </w:tcPr>
          <w:p w14:paraId="191CD98E">
            <w:pPr>
              <w:spacing w:line="360" w:lineRule="auto"/>
              <w:jc w:val="center"/>
              <w:rPr>
                <w:rFonts w:ascii="仿宋" w:hAnsi="仿宋" w:eastAsia="仿宋" w:cs="仿宋"/>
                <w:color w:val="auto"/>
                <w:sz w:val="24"/>
                <w:szCs w:val="24"/>
                <w:highlight w:val="none"/>
              </w:rPr>
            </w:pPr>
          </w:p>
        </w:tc>
        <w:tc>
          <w:tcPr>
            <w:tcW w:w="1641" w:type="dxa"/>
            <w:vAlign w:val="center"/>
          </w:tcPr>
          <w:p w14:paraId="1D01FB63">
            <w:pPr>
              <w:spacing w:line="360" w:lineRule="auto"/>
              <w:jc w:val="center"/>
              <w:rPr>
                <w:rFonts w:ascii="仿宋" w:hAnsi="仿宋" w:eastAsia="仿宋" w:cs="仿宋"/>
                <w:color w:val="auto"/>
                <w:sz w:val="24"/>
                <w:szCs w:val="24"/>
                <w:highlight w:val="none"/>
              </w:rPr>
            </w:pPr>
          </w:p>
        </w:tc>
        <w:tc>
          <w:tcPr>
            <w:tcW w:w="1166" w:type="dxa"/>
            <w:vAlign w:val="center"/>
          </w:tcPr>
          <w:p w14:paraId="27A6D350">
            <w:pPr>
              <w:spacing w:line="360" w:lineRule="auto"/>
              <w:jc w:val="center"/>
              <w:rPr>
                <w:rFonts w:ascii="仿宋" w:hAnsi="仿宋" w:eastAsia="仿宋" w:cs="仿宋"/>
                <w:color w:val="auto"/>
                <w:sz w:val="24"/>
                <w:szCs w:val="24"/>
                <w:highlight w:val="none"/>
              </w:rPr>
            </w:pPr>
          </w:p>
        </w:tc>
      </w:tr>
      <w:tr w14:paraId="2384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24" w:type="dxa"/>
          </w:tcPr>
          <w:p w14:paraId="6C01CE0F">
            <w:pPr>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3133" w:type="dxa"/>
            <w:vAlign w:val="center"/>
          </w:tcPr>
          <w:p w14:paraId="0349491A">
            <w:pPr>
              <w:widowControl/>
              <w:autoSpaceDE w:val="0"/>
              <w:autoSpaceDN w:val="0"/>
              <w:adjustRightInd w:val="0"/>
              <w:spacing w:line="440" w:lineRule="exact"/>
              <w:rPr>
                <w:rFonts w:ascii="仿宋" w:hAnsi="仿宋" w:eastAsia="仿宋" w:cs="仿宋"/>
                <w:color w:val="auto"/>
                <w:sz w:val="24"/>
                <w:szCs w:val="24"/>
                <w:highlight w:val="none"/>
              </w:rPr>
            </w:pPr>
          </w:p>
        </w:tc>
        <w:tc>
          <w:tcPr>
            <w:tcW w:w="2733" w:type="dxa"/>
          </w:tcPr>
          <w:p w14:paraId="4CD9B067">
            <w:pPr>
              <w:spacing w:line="360" w:lineRule="auto"/>
              <w:jc w:val="center"/>
              <w:rPr>
                <w:rFonts w:ascii="仿宋" w:hAnsi="仿宋" w:eastAsia="仿宋" w:cs="仿宋"/>
                <w:color w:val="auto"/>
                <w:sz w:val="24"/>
                <w:szCs w:val="24"/>
                <w:highlight w:val="none"/>
              </w:rPr>
            </w:pPr>
          </w:p>
        </w:tc>
        <w:tc>
          <w:tcPr>
            <w:tcW w:w="1641" w:type="dxa"/>
          </w:tcPr>
          <w:p w14:paraId="0E31465E">
            <w:pPr>
              <w:spacing w:line="360" w:lineRule="auto"/>
              <w:jc w:val="center"/>
              <w:rPr>
                <w:rFonts w:ascii="仿宋" w:hAnsi="仿宋" w:eastAsia="仿宋" w:cs="仿宋"/>
                <w:color w:val="auto"/>
                <w:sz w:val="24"/>
                <w:szCs w:val="24"/>
                <w:highlight w:val="none"/>
              </w:rPr>
            </w:pPr>
          </w:p>
        </w:tc>
        <w:tc>
          <w:tcPr>
            <w:tcW w:w="1166" w:type="dxa"/>
          </w:tcPr>
          <w:p w14:paraId="585616B1">
            <w:pPr>
              <w:spacing w:line="360" w:lineRule="auto"/>
              <w:jc w:val="center"/>
              <w:rPr>
                <w:rFonts w:ascii="仿宋" w:hAnsi="仿宋" w:eastAsia="仿宋" w:cs="仿宋"/>
                <w:color w:val="auto"/>
                <w:sz w:val="24"/>
                <w:szCs w:val="24"/>
                <w:highlight w:val="none"/>
              </w:rPr>
            </w:pPr>
          </w:p>
        </w:tc>
      </w:tr>
      <w:tr w14:paraId="74D5F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24" w:type="dxa"/>
          </w:tcPr>
          <w:p w14:paraId="05FF8E1E">
            <w:pPr>
              <w:spacing w:line="360" w:lineRule="auto"/>
              <w:jc w:val="center"/>
              <w:rPr>
                <w:rFonts w:ascii="仿宋" w:hAnsi="仿宋" w:eastAsia="仿宋" w:cs="仿宋"/>
                <w:color w:val="auto"/>
                <w:sz w:val="24"/>
                <w:szCs w:val="24"/>
                <w:highlight w:val="none"/>
              </w:rPr>
            </w:pPr>
          </w:p>
        </w:tc>
        <w:tc>
          <w:tcPr>
            <w:tcW w:w="3133" w:type="dxa"/>
            <w:vAlign w:val="center"/>
          </w:tcPr>
          <w:p w14:paraId="1BA08994">
            <w:pPr>
              <w:widowControl/>
              <w:autoSpaceDE w:val="0"/>
              <w:autoSpaceDN w:val="0"/>
              <w:adjustRightInd w:val="0"/>
              <w:spacing w:line="440" w:lineRule="exact"/>
              <w:rPr>
                <w:rFonts w:ascii="仿宋" w:hAnsi="仿宋" w:eastAsia="仿宋" w:cs="仿宋"/>
                <w:color w:val="auto"/>
                <w:sz w:val="24"/>
                <w:szCs w:val="24"/>
                <w:highlight w:val="none"/>
              </w:rPr>
            </w:pPr>
          </w:p>
        </w:tc>
        <w:tc>
          <w:tcPr>
            <w:tcW w:w="2733" w:type="dxa"/>
          </w:tcPr>
          <w:p w14:paraId="3D9208DA">
            <w:pPr>
              <w:spacing w:line="360" w:lineRule="auto"/>
              <w:jc w:val="center"/>
              <w:rPr>
                <w:rFonts w:ascii="仿宋" w:hAnsi="仿宋" w:eastAsia="仿宋" w:cs="仿宋"/>
                <w:color w:val="auto"/>
                <w:sz w:val="24"/>
                <w:szCs w:val="24"/>
                <w:highlight w:val="none"/>
              </w:rPr>
            </w:pPr>
          </w:p>
        </w:tc>
        <w:tc>
          <w:tcPr>
            <w:tcW w:w="1641" w:type="dxa"/>
          </w:tcPr>
          <w:p w14:paraId="1EDAEF78">
            <w:pPr>
              <w:spacing w:line="360" w:lineRule="auto"/>
              <w:jc w:val="center"/>
              <w:rPr>
                <w:rFonts w:ascii="仿宋" w:hAnsi="仿宋" w:eastAsia="仿宋" w:cs="仿宋"/>
                <w:color w:val="auto"/>
                <w:sz w:val="24"/>
                <w:szCs w:val="24"/>
                <w:highlight w:val="none"/>
              </w:rPr>
            </w:pPr>
          </w:p>
        </w:tc>
        <w:tc>
          <w:tcPr>
            <w:tcW w:w="1166" w:type="dxa"/>
          </w:tcPr>
          <w:p w14:paraId="73EBA810">
            <w:pPr>
              <w:spacing w:line="360" w:lineRule="auto"/>
              <w:jc w:val="center"/>
              <w:rPr>
                <w:rFonts w:ascii="仿宋" w:hAnsi="仿宋" w:eastAsia="仿宋" w:cs="仿宋"/>
                <w:color w:val="auto"/>
                <w:sz w:val="24"/>
                <w:szCs w:val="24"/>
                <w:highlight w:val="none"/>
              </w:rPr>
            </w:pPr>
          </w:p>
        </w:tc>
      </w:tr>
      <w:tr w14:paraId="2496C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24" w:type="dxa"/>
          </w:tcPr>
          <w:p w14:paraId="7890182B">
            <w:pPr>
              <w:spacing w:line="360" w:lineRule="auto"/>
              <w:jc w:val="center"/>
              <w:rPr>
                <w:rFonts w:ascii="仿宋" w:hAnsi="仿宋" w:eastAsia="仿宋" w:cs="仿宋"/>
                <w:color w:val="auto"/>
                <w:sz w:val="24"/>
                <w:szCs w:val="24"/>
                <w:highlight w:val="none"/>
              </w:rPr>
            </w:pPr>
          </w:p>
        </w:tc>
        <w:tc>
          <w:tcPr>
            <w:tcW w:w="3133" w:type="dxa"/>
            <w:vAlign w:val="center"/>
          </w:tcPr>
          <w:p w14:paraId="54DAE5E1">
            <w:pPr>
              <w:widowControl/>
              <w:autoSpaceDE w:val="0"/>
              <w:autoSpaceDN w:val="0"/>
              <w:adjustRightInd w:val="0"/>
              <w:spacing w:line="440" w:lineRule="exact"/>
              <w:rPr>
                <w:rFonts w:ascii="仿宋" w:hAnsi="仿宋" w:eastAsia="仿宋" w:cs="仿宋"/>
                <w:color w:val="auto"/>
                <w:sz w:val="24"/>
                <w:szCs w:val="24"/>
                <w:highlight w:val="none"/>
              </w:rPr>
            </w:pPr>
          </w:p>
        </w:tc>
        <w:tc>
          <w:tcPr>
            <w:tcW w:w="2733" w:type="dxa"/>
          </w:tcPr>
          <w:p w14:paraId="7E97CAC0">
            <w:pPr>
              <w:spacing w:line="360" w:lineRule="auto"/>
              <w:jc w:val="center"/>
              <w:rPr>
                <w:rFonts w:ascii="仿宋" w:hAnsi="仿宋" w:eastAsia="仿宋" w:cs="仿宋"/>
                <w:color w:val="auto"/>
                <w:sz w:val="24"/>
                <w:szCs w:val="24"/>
                <w:highlight w:val="none"/>
              </w:rPr>
            </w:pPr>
          </w:p>
        </w:tc>
        <w:tc>
          <w:tcPr>
            <w:tcW w:w="1641" w:type="dxa"/>
          </w:tcPr>
          <w:p w14:paraId="30D6BB98">
            <w:pPr>
              <w:spacing w:line="360" w:lineRule="auto"/>
              <w:jc w:val="center"/>
              <w:rPr>
                <w:rFonts w:ascii="仿宋" w:hAnsi="仿宋" w:eastAsia="仿宋" w:cs="仿宋"/>
                <w:color w:val="auto"/>
                <w:sz w:val="24"/>
                <w:szCs w:val="24"/>
                <w:highlight w:val="none"/>
              </w:rPr>
            </w:pPr>
          </w:p>
        </w:tc>
        <w:tc>
          <w:tcPr>
            <w:tcW w:w="1166" w:type="dxa"/>
          </w:tcPr>
          <w:p w14:paraId="7CC1A827">
            <w:pPr>
              <w:spacing w:line="360" w:lineRule="auto"/>
              <w:jc w:val="center"/>
              <w:rPr>
                <w:rFonts w:ascii="仿宋" w:hAnsi="仿宋" w:eastAsia="仿宋" w:cs="仿宋"/>
                <w:color w:val="auto"/>
                <w:sz w:val="24"/>
                <w:szCs w:val="24"/>
                <w:highlight w:val="none"/>
              </w:rPr>
            </w:pPr>
          </w:p>
        </w:tc>
      </w:tr>
      <w:tr w14:paraId="74672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24" w:type="dxa"/>
          </w:tcPr>
          <w:p w14:paraId="223362BF">
            <w:pPr>
              <w:spacing w:line="360" w:lineRule="auto"/>
              <w:jc w:val="center"/>
              <w:rPr>
                <w:rFonts w:ascii="仿宋" w:hAnsi="仿宋" w:eastAsia="仿宋" w:cs="仿宋"/>
                <w:color w:val="auto"/>
                <w:sz w:val="24"/>
                <w:szCs w:val="24"/>
                <w:highlight w:val="none"/>
              </w:rPr>
            </w:pPr>
          </w:p>
        </w:tc>
        <w:tc>
          <w:tcPr>
            <w:tcW w:w="3133" w:type="dxa"/>
            <w:vAlign w:val="center"/>
          </w:tcPr>
          <w:p w14:paraId="43961AD9">
            <w:pPr>
              <w:widowControl/>
              <w:autoSpaceDE w:val="0"/>
              <w:autoSpaceDN w:val="0"/>
              <w:adjustRightInd w:val="0"/>
              <w:spacing w:line="440" w:lineRule="exact"/>
              <w:rPr>
                <w:rFonts w:ascii="仿宋" w:hAnsi="仿宋" w:eastAsia="仿宋" w:cs="仿宋"/>
                <w:color w:val="auto"/>
                <w:sz w:val="24"/>
                <w:szCs w:val="24"/>
                <w:highlight w:val="none"/>
              </w:rPr>
            </w:pPr>
          </w:p>
        </w:tc>
        <w:tc>
          <w:tcPr>
            <w:tcW w:w="2733" w:type="dxa"/>
          </w:tcPr>
          <w:p w14:paraId="04AB92A5">
            <w:pPr>
              <w:spacing w:line="360" w:lineRule="auto"/>
              <w:jc w:val="center"/>
              <w:rPr>
                <w:rFonts w:ascii="仿宋" w:hAnsi="仿宋" w:eastAsia="仿宋" w:cs="仿宋"/>
                <w:color w:val="auto"/>
                <w:sz w:val="24"/>
                <w:szCs w:val="24"/>
                <w:highlight w:val="none"/>
              </w:rPr>
            </w:pPr>
          </w:p>
        </w:tc>
        <w:tc>
          <w:tcPr>
            <w:tcW w:w="1641" w:type="dxa"/>
          </w:tcPr>
          <w:p w14:paraId="4F5F941B">
            <w:pPr>
              <w:spacing w:line="360" w:lineRule="auto"/>
              <w:jc w:val="center"/>
              <w:rPr>
                <w:rFonts w:ascii="仿宋" w:hAnsi="仿宋" w:eastAsia="仿宋" w:cs="仿宋"/>
                <w:color w:val="auto"/>
                <w:sz w:val="24"/>
                <w:szCs w:val="24"/>
                <w:highlight w:val="none"/>
              </w:rPr>
            </w:pPr>
          </w:p>
        </w:tc>
        <w:tc>
          <w:tcPr>
            <w:tcW w:w="1166" w:type="dxa"/>
          </w:tcPr>
          <w:p w14:paraId="64B4CE38">
            <w:pPr>
              <w:spacing w:line="360" w:lineRule="auto"/>
              <w:jc w:val="center"/>
              <w:rPr>
                <w:rFonts w:ascii="仿宋" w:hAnsi="仿宋" w:eastAsia="仿宋" w:cs="仿宋"/>
                <w:color w:val="auto"/>
                <w:sz w:val="24"/>
                <w:szCs w:val="24"/>
                <w:highlight w:val="none"/>
              </w:rPr>
            </w:pPr>
          </w:p>
        </w:tc>
      </w:tr>
    </w:tbl>
    <w:p w14:paraId="7A9CB79D">
      <w:pPr>
        <w:widowControl/>
        <w:autoSpaceDE w:val="0"/>
        <w:autoSpaceDN w:val="0"/>
        <w:adjustRightInd w:val="0"/>
        <w:spacing w:line="440" w:lineRule="exact"/>
        <w:rPr>
          <w:rStyle w:val="20"/>
          <w:rFonts w:cs="仿宋"/>
          <w:color w:val="auto"/>
          <w:sz w:val="24"/>
          <w:szCs w:val="24"/>
          <w:highlight w:val="none"/>
        </w:rPr>
      </w:pPr>
      <w:r>
        <w:rPr>
          <w:rFonts w:hint="eastAsia" w:ascii="仿宋" w:hAnsi="仿宋" w:eastAsia="仿宋" w:cs="仿宋"/>
          <w:color w:val="auto"/>
          <w:sz w:val="24"/>
          <w:szCs w:val="24"/>
          <w:highlight w:val="none"/>
        </w:rPr>
        <w:t>注：偏离情况填写为正偏离、负偏离、无偏离。</w:t>
      </w:r>
    </w:p>
    <w:p w14:paraId="0D44F70B">
      <w:pPr>
        <w:widowControl/>
        <w:autoSpaceDE w:val="0"/>
        <w:autoSpaceDN w:val="0"/>
        <w:adjustRightInd w:val="0"/>
        <w:spacing w:line="44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1、投标人应根据投标设备的性能指标，对照招标文件中“第三章</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zh-CN"/>
        </w:rPr>
        <w:t>采购需求</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技术部分（技术参数）</w:t>
      </w:r>
      <w:r>
        <w:rPr>
          <w:rFonts w:hint="eastAsia" w:ascii="仿宋" w:hAnsi="仿宋" w:eastAsia="仿宋" w:cs="仿宋"/>
          <w:color w:val="auto"/>
          <w:sz w:val="24"/>
          <w:szCs w:val="24"/>
          <w:highlight w:val="none"/>
          <w:lang w:val="zh-CN"/>
        </w:rPr>
        <w:t>”中的各项技术参数要求，如实逐条一一对应填写响应情况，如有未响应技术指标</w:t>
      </w:r>
      <w:r>
        <w:rPr>
          <w:rFonts w:hint="eastAsia" w:ascii="仿宋" w:hAnsi="仿宋" w:eastAsia="仿宋" w:cs="仿宋"/>
          <w:color w:val="auto"/>
          <w:sz w:val="24"/>
          <w:szCs w:val="24"/>
          <w:highlight w:val="none"/>
          <w:lang w:val="en-US" w:eastAsia="zh-CN"/>
        </w:rPr>
        <w:t>或前后不一致</w:t>
      </w:r>
      <w:r>
        <w:rPr>
          <w:rFonts w:hint="eastAsia" w:ascii="仿宋" w:hAnsi="仿宋" w:eastAsia="仿宋" w:cs="仿宋"/>
          <w:color w:val="auto"/>
          <w:sz w:val="24"/>
          <w:szCs w:val="24"/>
          <w:highlight w:val="none"/>
          <w:lang w:val="zh-CN"/>
        </w:rPr>
        <w:t>，评标委员会有权视其为负偏离；</w:t>
      </w:r>
    </w:p>
    <w:p w14:paraId="24085CFF">
      <w:pPr>
        <w:widowControl/>
        <w:autoSpaceDE w:val="0"/>
        <w:autoSpaceDN w:val="0"/>
        <w:adjustRightInd w:val="0"/>
        <w:spacing w:line="44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2、请投标人在“偏离情况”一栏详细描述存在正偏离或负偏离技术指标，并标明偏离情况；</w:t>
      </w:r>
    </w:p>
    <w:p w14:paraId="538BD40A">
      <w:pPr>
        <w:widowControl/>
        <w:autoSpaceDE w:val="0"/>
        <w:autoSpaceDN w:val="0"/>
        <w:adjustRightInd w:val="0"/>
        <w:spacing w:line="44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3、招标文件技术指标未做要求的，不视为正偏离。</w:t>
      </w:r>
    </w:p>
    <w:p w14:paraId="7082BB36">
      <w:pPr>
        <w:widowControl/>
        <w:autoSpaceDE w:val="0"/>
        <w:autoSpaceDN w:val="0"/>
        <w:adjustRightInd w:val="0"/>
        <w:spacing w:line="440" w:lineRule="exact"/>
        <w:ind w:firstLine="480" w:firstLineChars="200"/>
        <w:rPr>
          <w:rFonts w:ascii="仿宋" w:hAnsi="仿宋" w:eastAsia="仿宋" w:cs="仿宋"/>
          <w:color w:val="auto"/>
          <w:sz w:val="24"/>
          <w:szCs w:val="24"/>
          <w:highlight w:val="none"/>
        </w:rPr>
      </w:pPr>
    </w:p>
    <w:p w14:paraId="36310333">
      <w:pPr>
        <w:widowControl/>
        <w:autoSpaceDE w:val="0"/>
        <w:autoSpaceDN w:val="0"/>
        <w:adjustRightInd w:val="0"/>
        <w:spacing w:line="440" w:lineRule="exact"/>
        <w:ind w:firstLine="480" w:firstLineChars="200"/>
        <w:rPr>
          <w:rFonts w:ascii="仿宋" w:hAnsi="仿宋" w:eastAsia="仿宋" w:cs="仿宋"/>
          <w:color w:val="auto"/>
          <w:sz w:val="24"/>
          <w:szCs w:val="24"/>
          <w:highlight w:val="none"/>
        </w:rPr>
      </w:pPr>
    </w:p>
    <w:p w14:paraId="267A08E2">
      <w:pPr>
        <w:spacing w:line="440" w:lineRule="exact"/>
        <w:ind w:firstLine="4108" w:firstLineChars="1712"/>
        <w:rPr>
          <w:rFonts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投  标  人：</w:t>
      </w:r>
      <w:r>
        <w:rPr>
          <w:rFonts w:hint="eastAsia" w:ascii="仿宋" w:hAnsi="仿宋" w:eastAsia="仿宋" w:cs="Times New Roman"/>
          <w:color w:val="auto"/>
          <w:sz w:val="24"/>
          <w:szCs w:val="24"/>
          <w:highlight w:val="none"/>
          <w:u w:val="single"/>
        </w:rPr>
        <w:t xml:space="preserve">                </w:t>
      </w:r>
      <w:r>
        <w:rPr>
          <w:rFonts w:hint="eastAsia" w:ascii="仿宋" w:hAnsi="仿宋" w:eastAsia="仿宋" w:cs="Times New Roman"/>
          <w:color w:val="auto"/>
          <w:sz w:val="24"/>
          <w:szCs w:val="24"/>
          <w:highlight w:val="none"/>
        </w:rPr>
        <w:t>（盖单位公章）</w:t>
      </w:r>
    </w:p>
    <w:p w14:paraId="698AD0CD">
      <w:pPr>
        <w:spacing w:line="440" w:lineRule="exact"/>
        <w:ind w:firstLine="4108" w:firstLineChars="1712"/>
        <w:rPr>
          <w:rFonts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法定代表人：</w:t>
      </w:r>
      <w:r>
        <w:rPr>
          <w:rFonts w:hint="eastAsia" w:ascii="仿宋" w:hAnsi="仿宋" w:eastAsia="仿宋" w:cs="Times New Roman"/>
          <w:color w:val="auto"/>
          <w:sz w:val="24"/>
          <w:szCs w:val="24"/>
          <w:highlight w:val="none"/>
          <w:u w:val="single"/>
        </w:rPr>
        <w:t xml:space="preserve">                </w:t>
      </w:r>
      <w:r>
        <w:rPr>
          <w:rFonts w:hint="eastAsia" w:ascii="仿宋" w:hAnsi="仿宋" w:eastAsia="仿宋" w:cs="Times New Roman"/>
          <w:color w:val="auto"/>
          <w:sz w:val="24"/>
          <w:szCs w:val="24"/>
          <w:highlight w:val="none"/>
        </w:rPr>
        <w:t>（签字或盖章）</w:t>
      </w:r>
    </w:p>
    <w:p w14:paraId="7D82F037">
      <w:pPr>
        <w:widowControl/>
        <w:autoSpaceDE w:val="0"/>
        <w:autoSpaceDN w:val="0"/>
        <w:adjustRightInd w:val="0"/>
        <w:spacing w:line="440" w:lineRule="exact"/>
        <w:ind w:firstLine="4080" w:firstLineChars="1700"/>
        <w:rPr>
          <w:rFonts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日      期：</w:t>
      </w:r>
      <w:r>
        <w:rPr>
          <w:rFonts w:hint="eastAsia" w:ascii="仿宋" w:hAnsi="仿宋" w:eastAsia="仿宋" w:cs="Times New Roman"/>
          <w:color w:val="auto"/>
          <w:sz w:val="24"/>
          <w:szCs w:val="24"/>
          <w:highlight w:val="none"/>
          <w:u w:val="single"/>
        </w:rPr>
        <w:t xml:space="preserve">      </w:t>
      </w:r>
      <w:r>
        <w:rPr>
          <w:rFonts w:hint="eastAsia" w:ascii="仿宋" w:hAnsi="仿宋" w:eastAsia="仿宋" w:cs="Times New Roman"/>
          <w:color w:val="auto"/>
          <w:sz w:val="24"/>
          <w:szCs w:val="24"/>
          <w:highlight w:val="none"/>
        </w:rPr>
        <w:t>年</w:t>
      </w:r>
      <w:r>
        <w:rPr>
          <w:rFonts w:hint="eastAsia" w:ascii="仿宋" w:hAnsi="仿宋" w:eastAsia="仿宋" w:cs="Times New Roman"/>
          <w:color w:val="auto"/>
          <w:sz w:val="24"/>
          <w:szCs w:val="24"/>
          <w:highlight w:val="none"/>
          <w:u w:val="single"/>
        </w:rPr>
        <w:t xml:space="preserve">   </w:t>
      </w:r>
      <w:r>
        <w:rPr>
          <w:rFonts w:hint="eastAsia" w:ascii="仿宋" w:hAnsi="仿宋" w:eastAsia="仿宋" w:cs="Times New Roman"/>
          <w:color w:val="auto"/>
          <w:sz w:val="24"/>
          <w:szCs w:val="24"/>
          <w:highlight w:val="none"/>
        </w:rPr>
        <w:t>月</w:t>
      </w:r>
      <w:r>
        <w:rPr>
          <w:rFonts w:hint="eastAsia" w:ascii="仿宋" w:hAnsi="仿宋" w:eastAsia="仿宋" w:cs="Times New Roman"/>
          <w:color w:val="auto"/>
          <w:sz w:val="24"/>
          <w:szCs w:val="24"/>
          <w:highlight w:val="none"/>
          <w:u w:val="single"/>
        </w:rPr>
        <w:t xml:space="preserve">   </w:t>
      </w:r>
      <w:r>
        <w:rPr>
          <w:rFonts w:hint="eastAsia" w:ascii="仿宋" w:hAnsi="仿宋" w:eastAsia="仿宋" w:cs="Times New Roman"/>
          <w:color w:val="auto"/>
          <w:sz w:val="24"/>
          <w:szCs w:val="24"/>
          <w:highlight w:val="none"/>
        </w:rPr>
        <w:t>日</w:t>
      </w:r>
    </w:p>
    <w:p w14:paraId="1037C092">
      <w:pPr>
        <w:widowControl/>
        <w:autoSpaceDE w:val="0"/>
        <w:autoSpaceDN w:val="0"/>
        <w:adjustRightInd w:val="0"/>
        <w:spacing w:line="440" w:lineRule="exact"/>
        <w:rPr>
          <w:rFonts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br w:type="page"/>
      </w:r>
    </w:p>
    <w:p w14:paraId="385EC941">
      <w:pPr>
        <w:widowControl/>
        <w:numPr>
          <w:ilvl w:val="0"/>
          <w:numId w:val="0"/>
        </w:numPr>
        <w:autoSpaceDE w:val="0"/>
        <w:autoSpaceDN w:val="0"/>
        <w:adjustRightInd w:val="0"/>
        <w:spacing w:before="120" w:after="120" w:line="440" w:lineRule="exact"/>
        <w:ind w:leftChars="0" w:right="-481" w:rightChars="0"/>
        <w:jc w:val="center"/>
        <w:rPr>
          <w:rFonts w:hint="eastAsia" w:ascii="仿宋" w:hAnsi="仿宋" w:eastAsia="仿宋" w:cs="宋体"/>
          <w:color w:val="auto"/>
          <w:kern w:val="1"/>
          <w:sz w:val="28"/>
          <w:szCs w:val="28"/>
          <w:highlight w:val="none"/>
        </w:rPr>
        <w:sectPr>
          <w:pgSz w:w="11906" w:h="16838"/>
          <w:pgMar w:top="1440" w:right="1440" w:bottom="1440" w:left="1440" w:header="851" w:footer="992" w:gutter="0"/>
          <w:pgNumType w:fmt="decimal"/>
          <w:cols w:space="0" w:num="1"/>
          <w:docGrid w:type="lines" w:linePitch="317" w:charSpace="0"/>
        </w:sectPr>
      </w:pPr>
      <w:r>
        <w:rPr>
          <w:rFonts w:hint="eastAsia" w:ascii="仿宋" w:hAnsi="仿宋" w:eastAsia="仿宋" w:cs="宋体"/>
          <w:color w:val="auto"/>
          <w:kern w:val="1"/>
          <w:sz w:val="28"/>
          <w:szCs w:val="28"/>
          <w:highlight w:val="none"/>
          <w:lang w:val="en-US" w:eastAsia="zh-CN"/>
        </w:rPr>
        <w:t>十四、</w:t>
      </w:r>
      <w:r>
        <w:rPr>
          <w:rFonts w:hint="eastAsia" w:ascii="仿宋" w:hAnsi="仿宋" w:eastAsia="仿宋" w:cs="宋体"/>
          <w:color w:val="auto"/>
          <w:kern w:val="1"/>
          <w:sz w:val="28"/>
          <w:szCs w:val="28"/>
          <w:highlight w:val="none"/>
        </w:rPr>
        <w:t>技术服务方案</w:t>
      </w:r>
    </w:p>
    <w:p w14:paraId="5E67E441">
      <w:pPr>
        <w:widowControl/>
        <w:autoSpaceDE w:val="0"/>
        <w:autoSpaceDN w:val="0"/>
        <w:adjustRightInd w:val="0"/>
        <w:spacing w:line="440" w:lineRule="exact"/>
        <w:jc w:val="center"/>
        <w:rPr>
          <w:rFonts w:hint="eastAsia" w:ascii="仿宋" w:hAnsi="仿宋" w:eastAsia="仿宋" w:cs="宋体"/>
          <w:color w:val="auto"/>
          <w:kern w:val="1"/>
          <w:sz w:val="28"/>
          <w:szCs w:val="28"/>
          <w:highlight w:val="none"/>
          <w:lang w:val="en-US" w:eastAsia="zh-CN"/>
        </w:rPr>
      </w:pPr>
      <w:r>
        <w:rPr>
          <w:rFonts w:hint="eastAsia" w:ascii="仿宋" w:hAnsi="仿宋" w:eastAsia="仿宋" w:cs="宋体"/>
          <w:color w:val="auto"/>
          <w:kern w:val="1"/>
          <w:sz w:val="28"/>
          <w:szCs w:val="28"/>
          <w:highlight w:val="none"/>
          <w:lang w:val="en-US" w:eastAsia="zh-CN"/>
        </w:rPr>
        <w:t>十五、其他资料</w:t>
      </w:r>
    </w:p>
    <w:p w14:paraId="669391DA">
      <w:pPr>
        <w:widowControl/>
        <w:autoSpaceDE w:val="0"/>
        <w:autoSpaceDN w:val="0"/>
        <w:adjustRightInd w:val="0"/>
        <w:spacing w:line="440" w:lineRule="exact"/>
        <w:jc w:val="center"/>
        <w:rPr>
          <w:rFonts w:hint="default" w:ascii="仿宋" w:hAnsi="仿宋" w:eastAsia="仿宋" w:cs="宋体"/>
          <w:color w:val="auto"/>
          <w:kern w:val="1"/>
          <w:sz w:val="28"/>
          <w:szCs w:val="28"/>
          <w:highlight w:val="none"/>
          <w:lang w:val="en-US" w:eastAsia="zh-CN"/>
        </w:rPr>
      </w:pPr>
      <w:r>
        <w:rPr>
          <w:rFonts w:hint="eastAsia" w:ascii="仿宋" w:hAnsi="仿宋" w:eastAsia="仿宋" w:cs="宋体"/>
          <w:color w:val="auto"/>
          <w:kern w:val="1"/>
          <w:sz w:val="28"/>
          <w:szCs w:val="28"/>
          <w:highlight w:val="none"/>
          <w:lang w:val="en-US" w:eastAsia="zh-CN"/>
        </w:rPr>
        <w:t>（自拟）</w:t>
      </w:r>
    </w:p>
    <w:p w14:paraId="1B14B84A">
      <w:pPr>
        <w:widowControl/>
        <w:autoSpaceDE w:val="0"/>
        <w:autoSpaceDN w:val="0"/>
        <w:adjustRightInd w:val="0"/>
        <w:spacing w:line="440" w:lineRule="exact"/>
        <w:jc w:val="center"/>
        <w:rPr>
          <w:rStyle w:val="20"/>
          <w:rFonts w:hint="eastAsia" w:cs="Times New Roman"/>
          <w:color w:val="auto"/>
          <w:sz w:val="24"/>
          <w:szCs w:val="24"/>
          <w:highlight w:val="none"/>
        </w:rPr>
      </w:pPr>
      <w:r>
        <w:rPr>
          <w:rFonts w:hint="eastAsia" w:ascii="仿宋" w:hAnsi="仿宋" w:eastAsia="仿宋" w:cs="宋体"/>
          <w:color w:val="auto"/>
          <w:kern w:val="1"/>
          <w:sz w:val="28"/>
          <w:szCs w:val="28"/>
          <w:highlight w:val="none"/>
        </w:rPr>
        <w:t>中小企业声明函（货物）</w:t>
      </w:r>
    </w:p>
    <w:p w14:paraId="62FB367B">
      <w:pPr>
        <w:widowControl/>
        <w:autoSpaceDE w:val="0"/>
        <w:autoSpaceDN w:val="0"/>
        <w:adjustRightInd w:val="0"/>
        <w:spacing w:line="440" w:lineRule="exact"/>
        <w:jc w:val="center"/>
        <w:rPr>
          <w:rFonts w:hint="eastAsia" w:ascii="仿宋" w:hAnsi="仿宋" w:eastAsia="仿宋" w:cs="宋体"/>
          <w:color w:val="auto"/>
          <w:kern w:val="1"/>
          <w:sz w:val="28"/>
          <w:szCs w:val="28"/>
          <w:highlight w:val="none"/>
          <w:lang w:eastAsia="zh-CN"/>
        </w:rPr>
      </w:pPr>
      <w:r>
        <w:rPr>
          <w:rFonts w:hint="eastAsia" w:ascii="仿宋" w:hAnsi="仿宋" w:eastAsia="仿宋" w:cs="宋体"/>
          <w:color w:val="auto"/>
          <w:kern w:val="1"/>
          <w:sz w:val="28"/>
          <w:szCs w:val="28"/>
          <w:highlight w:val="none"/>
          <w:lang w:eastAsia="zh-CN"/>
        </w:rPr>
        <w:t>（</w:t>
      </w:r>
      <w:r>
        <w:rPr>
          <w:rFonts w:hint="eastAsia" w:ascii="仿宋" w:hAnsi="仿宋" w:eastAsia="仿宋" w:cs="宋体"/>
          <w:color w:val="auto"/>
          <w:kern w:val="1"/>
          <w:sz w:val="28"/>
          <w:szCs w:val="28"/>
          <w:highlight w:val="none"/>
          <w:lang w:val="en-US" w:eastAsia="zh-CN"/>
        </w:rPr>
        <w:t>非中小微企业不提供</w:t>
      </w:r>
      <w:r>
        <w:rPr>
          <w:rFonts w:hint="eastAsia" w:ascii="仿宋" w:hAnsi="仿宋" w:eastAsia="仿宋" w:cs="宋体"/>
          <w:color w:val="auto"/>
          <w:kern w:val="1"/>
          <w:sz w:val="28"/>
          <w:szCs w:val="28"/>
          <w:highlight w:val="none"/>
          <w:lang w:eastAsia="zh-CN"/>
        </w:rPr>
        <w:t>）</w:t>
      </w:r>
    </w:p>
    <w:p w14:paraId="308352C1">
      <w:pPr>
        <w:widowControl/>
        <w:autoSpaceDE w:val="0"/>
        <w:autoSpaceDN w:val="0"/>
        <w:adjustRightInd w:val="0"/>
        <w:spacing w:line="440" w:lineRule="exact"/>
        <w:ind w:firstLine="480"/>
        <w:rPr>
          <w:rStyle w:val="20"/>
          <w:rFonts w:hint="eastAsia" w:cs="Times New Roman"/>
          <w:color w:val="auto"/>
          <w:sz w:val="24"/>
          <w:szCs w:val="24"/>
          <w:highlight w:val="none"/>
        </w:rPr>
      </w:pPr>
      <w:r>
        <w:rPr>
          <w:rStyle w:val="20"/>
          <w:rFonts w:hint="eastAsia" w:cs="Times New Roman"/>
          <w:color w:val="auto"/>
          <w:sz w:val="24"/>
          <w:szCs w:val="24"/>
          <w:highlight w:val="none"/>
        </w:rPr>
        <w:t>本公司（联合体）郑重声明，根据《政府采购促进中小 企业发展管理办法》（财库﹝2020﹞46 号）的规定，本公司（联合体）参加</w:t>
      </w:r>
      <w:r>
        <w:rPr>
          <w:rStyle w:val="20"/>
          <w:rFonts w:hint="eastAsia" w:cs="Times New Roman"/>
          <w:color w:val="auto"/>
          <w:sz w:val="24"/>
          <w:szCs w:val="24"/>
          <w:highlight w:val="none"/>
          <w:u w:val="single"/>
        </w:rPr>
        <w:t>（单位名称）</w:t>
      </w:r>
      <w:r>
        <w:rPr>
          <w:rStyle w:val="20"/>
          <w:rFonts w:hint="eastAsia" w:cs="Times New Roman"/>
          <w:color w:val="auto"/>
          <w:sz w:val="24"/>
          <w:szCs w:val="24"/>
          <w:highlight w:val="none"/>
        </w:rPr>
        <w:t>的</w:t>
      </w:r>
      <w:r>
        <w:rPr>
          <w:rStyle w:val="20"/>
          <w:rFonts w:hint="eastAsia" w:cs="Times New Roman"/>
          <w:color w:val="auto"/>
          <w:sz w:val="24"/>
          <w:szCs w:val="24"/>
          <w:highlight w:val="none"/>
          <w:u w:val="single"/>
        </w:rPr>
        <w:t>（项目名称）</w:t>
      </w:r>
      <w:r>
        <w:rPr>
          <w:rStyle w:val="20"/>
          <w:rFonts w:hint="eastAsia" w:cs="Times New Roman"/>
          <w:color w:val="auto"/>
          <w:sz w:val="24"/>
          <w:szCs w:val="24"/>
          <w:highlight w:val="none"/>
        </w:rPr>
        <w:t>采购活动，提供的货物全部由符合政策要求的中小企业制造。相关企业（含联合体中的中小企业、签订分包意向协议的中小企业） 的具体情况如下：</w:t>
      </w:r>
    </w:p>
    <w:p w14:paraId="3BBB7926">
      <w:pPr>
        <w:widowControl/>
        <w:autoSpaceDE w:val="0"/>
        <w:autoSpaceDN w:val="0"/>
        <w:adjustRightInd w:val="0"/>
        <w:spacing w:line="440" w:lineRule="exact"/>
        <w:ind w:firstLine="480"/>
        <w:rPr>
          <w:rStyle w:val="20"/>
          <w:rFonts w:hint="eastAsia" w:cs="Times New Roman"/>
          <w:color w:val="auto"/>
          <w:sz w:val="24"/>
          <w:szCs w:val="24"/>
          <w:highlight w:val="none"/>
        </w:rPr>
      </w:pPr>
      <w:r>
        <w:rPr>
          <w:rStyle w:val="20"/>
          <w:rFonts w:hint="eastAsia" w:cs="Times New Roman"/>
          <w:color w:val="auto"/>
          <w:sz w:val="24"/>
          <w:szCs w:val="24"/>
          <w:highlight w:val="none"/>
        </w:rPr>
        <w:t>1.</w:t>
      </w:r>
      <w:r>
        <w:rPr>
          <w:rStyle w:val="20"/>
          <w:rFonts w:hint="eastAsia" w:cs="Times New Roman"/>
          <w:color w:val="auto"/>
          <w:sz w:val="24"/>
          <w:szCs w:val="24"/>
          <w:highlight w:val="none"/>
          <w:u w:val="single"/>
        </w:rPr>
        <w:t xml:space="preserve">  （标的名称）  </w:t>
      </w:r>
      <w:r>
        <w:rPr>
          <w:rStyle w:val="20"/>
          <w:rFonts w:hint="eastAsia" w:cs="Times New Roman"/>
          <w:color w:val="auto"/>
          <w:sz w:val="24"/>
          <w:szCs w:val="24"/>
          <w:highlight w:val="none"/>
        </w:rPr>
        <w:t>，属于</w:t>
      </w:r>
      <w:r>
        <w:rPr>
          <w:rStyle w:val="20"/>
          <w:rFonts w:hint="eastAsia" w:cs="Times New Roman"/>
          <w:color w:val="auto"/>
          <w:sz w:val="24"/>
          <w:szCs w:val="24"/>
          <w:highlight w:val="none"/>
          <w:u w:val="single"/>
        </w:rPr>
        <w:t xml:space="preserve">（采购文件中明确的所属行业） </w:t>
      </w:r>
      <w:r>
        <w:rPr>
          <w:rStyle w:val="20"/>
          <w:rFonts w:hint="eastAsia" w:cs="Times New Roman"/>
          <w:color w:val="auto"/>
          <w:sz w:val="24"/>
          <w:szCs w:val="24"/>
          <w:highlight w:val="none"/>
        </w:rPr>
        <w:t>行业；制造商为</w:t>
      </w:r>
      <w:r>
        <w:rPr>
          <w:rStyle w:val="20"/>
          <w:rFonts w:hint="eastAsia" w:cs="Times New Roman"/>
          <w:color w:val="auto"/>
          <w:sz w:val="24"/>
          <w:szCs w:val="24"/>
          <w:highlight w:val="none"/>
          <w:u w:val="single"/>
        </w:rPr>
        <w:t>（企业名称）</w:t>
      </w:r>
      <w:r>
        <w:rPr>
          <w:rStyle w:val="20"/>
          <w:rFonts w:hint="eastAsia" w:cs="Times New Roman"/>
          <w:color w:val="auto"/>
          <w:sz w:val="24"/>
          <w:szCs w:val="24"/>
          <w:highlight w:val="none"/>
        </w:rPr>
        <w:t>，从业人员</w:t>
      </w:r>
      <w:r>
        <w:rPr>
          <w:rStyle w:val="20"/>
          <w:rFonts w:hint="eastAsia" w:cs="Times New Roman"/>
          <w:color w:val="auto"/>
          <w:sz w:val="24"/>
          <w:szCs w:val="24"/>
          <w:highlight w:val="none"/>
          <w:u w:val="single"/>
        </w:rPr>
        <w:t xml:space="preserve"> </w:t>
      </w:r>
      <w:r>
        <w:rPr>
          <w:rStyle w:val="20"/>
          <w:rFonts w:hint="eastAsia" w:eastAsia="仿宋" w:cs="Times New Roman"/>
          <w:color w:val="auto"/>
          <w:sz w:val="24"/>
          <w:szCs w:val="24"/>
          <w:highlight w:val="none"/>
          <w:u w:val="single"/>
          <w:lang w:val="en-US" w:eastAsia="zh-CN"/>
        </w:rPr>
        <w:t xml:space="preserve">  </w:t>
      </w:r>
      <w:r>
        <w:rPr>
          <w:rStyle w:val="20"/>
          <w:rFonts w:hint="eastAsia" w:cs="Times New Roman"/>
          <w:color w:val="auto"/>
          <w:sz w:val="24"/>
          <w:szCs w:val="24"/>
          <w:highlight w:val="none"/>
          <w:u w:val="single"/>
        </w:rPr>
        <w:t xml:space="preserve"> </w:t>
      </w:r>
      <w:r>
        <w:rPr>
          <w:rStyle w:val="20"/>
          <w:rFonts w:hint="eastAsia" w:cs="Times New Roman"/>
          <w:color w:val="auto"/>
          <w:sz w:val="24"/>
          <w:szCs w:val="24"/>
          <w:highlight w:val="none"/>
        </w:rPr>
        <w:t>人，营业收入为</w:t>
      </w:r>
      <w:r>
        <w:rPr>
          <w:rStyle w:val="20"/>
          <w:rFonts w:hint="eastAsia" w:cs="Times New Roman"/>
          <w:color w:val="auto"/>
          <w:sz w:val="24"/>
          <w:szCs w:val="24"/>
          <w:highlight w:val="none"/>
          <w:u w:val="single"/>
        </w:rPr>
        <w:t xml:space="preserve">     </w:t>
      </w:r>
      <w:r>
        <w:rPr>
          <w:rStyle w:val="20"/>
          <w:rFonts w:hint="eastAsia" w:cs="Times New Roman"/>
          <w:color w:val="auto"/>
          <w:sz w:val="24"/>
          <w:szCs w:val="24"/>
          <w:highlight w:val="none"/>
        </w:rPr>
        <w:t>万元，资产总额为</w:t>
      </w:r>
      <w:r>
        <w:rPr>
          <w:rStyle w:val="20"/>
          <w:rFonts w:hint="eastAsia" w:cs="Times New Roman"/>
          <w:color w:val="auto"/>
          <w:sz w:val="24"/>
          <w:szCs w:val="24"/>
          <w:highlight w:val="none"/>
          <w:u w:val="single"/>
        </w:rPr>
        <w:t xml:space="preserve">    </w:t>
      </w:r>
      <w:r>
        <w:rPr>
          <w:rStyle w:val="20"/>
          <w:rFonts w:hint="eastAsia" w:cs="Times New Roman"/>
          <w:color w:val="auto"/>
          <w:sz w:val="24"/>
          <w:szCs w:val="24"/>
          <w:highlight w:val="none"/>
        </w:rPr>
        <w:t>万元，属于</w:t>
      </w:r>
      <w:r>
        <w:rPr>
          <w:rStyle w:val="20"/>
          <w:rFonts w:hint="eastAsia" w:eastAsia="仿宋" w:cs="Times New Roman"/>
          <w:color w:val="auto"/>
          <w:sz w:val="24"/>
          <w:szCs w:val="24"/>
          <w:highlight w:val="none"/>
          <w:u w:val="single"/>
          <w:lang w:val="en-US" w:eastAsia="zh-CN"/>
        </w:rPr>
        <w:t xml:space="preserve"> </w:t>
      </w:r>
      <w:r>
        <w:rPr>
          <w:rStyle w:val="20"/>
          <w:rFonts w:hint="eastAsia" w:cs="Times New Roman"/>
          <w:color w:val="auto"/>
          <w:sz w:val="24"/>
          <w:szCs w:val="24"/>
          <w:highlight w:val="none"/>
          <w:u w:val="single"/>
        </w:rPr>
        <w:t>（中型企业、小型企业、微型企业）</w:t>
      </w:r>
      <w:r>
        <w:rPr>
          <w:rStyle w:val="20"/>
          <w:rFonts w:hint="eastAsia" w:cs="Times New Roman"/>
          <w:color w:val="auto"/>
          <w:sz w:val="24"/>
          <w:szCs w:val="24"/>
          <w:highlight w:val="none"/>
        </w:rPr>
        <w:t>；</w:t>
      </w:r>
    </w:p>
    <w:p w14:paraId="42CAD1F3">
      <w:pPr>
        <w:widowControl/>
        <w:autoSpaceDE w:val="0"/>
        <w:autoSpaceDN w:val="0"/>
        <w:adjustRightInd w:val="0"/>
        <w:spacing w:line="440" w:lineRule="exact"/>
        <w:ind w:firstLine="480"/>
        <w:rPr>
          <w:rStyle w:val="20"/>
          <w:rFonts w:hint="eastAsia" w:cs="Times New Roman"/>
          <w:color w:val="auto"/>
          <w:sz w:val="24"/>
          <w:szCs w:val="24"/>
          <w:highlight w:val="none"/>
        </w:rPr>
      </w:pPr>
      <w:r>
        <w:rPr>
          <w:rStyle w:val="20"/>
          <w:rFonts w:hint="eastAsia" w:cs="Times New Roman"/>
          <w:color w:val="auto"/>
          <w:sz w:val="24"/>
          <w:szCs w:val="24"/>
          <w:highlight w:val="none"/>
        </w:rPr>
        <w:t>2.</w:t>
      </w:r>
      <w:r>
        <w:rPr>
          <w:rStyle w:val="20"/>
          <w:rFonts w:hint="eastAsia" w:cs="Times New Roman"/>
          <w:color w:val="auto"/>
          <w:sz w:val="24"/>
          <w:szCs w:val="24"/>
          <w:highlight w:val="none"/>
          <w:u w:val="single"/>
        </w:rPr>
        <w:t xml:space="preserve">  （标的名称）  </w:t>
      </w:r>
      <w:r>
        <w:rPr>
          <w:rStyle w:val="20"/>
          <w:rFonts w:hint="eastAsia" w:cs="Times New Roman"/>
          <w:color w:val="auto"/>
          <w:sz w:val="24"/>
          <w:szCs w:val="24"/>
          <w:highlight w:val="none"/>
        </w:rPr>
        <w:t>，属于</w:t>
      </w:r>
      <w:r>
        <w:rPr>
          <w:rStyle w:val="20"/>
          <w:rFonts w:hint="eastAsia" w:cs="Times New Roman"/>
          <w:color w:val="auto"/>
          <w:sz w:val="24"/>
          <w:szCs w:val="24"/>
          <w:highlight w:val="none"/>
          <w:u w:val="single"/>
        </w:rPr>
        <w:t>（采购文件中明确的所属行业） 行业</w:t>
      </w:r>
      <w:r>
        <w:rPr>
          <w:rStyle w:val="20"/>
          <w:rFonts w:hint="eastAsia" w:cs="Times New Roman"/>
          <w:color w:val="auto"/>
          <w:sz w:val="24"/>
          <w:szCs w:val="24"/>
          <w:highlight w:val="none"/>
        </w:rPr>
        <w:t>；制造商为</w:t>
      </w:r>
      <w:r>
        <w:rPr>
          <w:rStyle w:val="20"/>
          <w:rFonts w:hint="eastAsia" w:cs="Times New Roman"/>
          <w:color w:val="auto"/>
          <w:sz w:val="24"/>
          <w:szCs w:val="24"/>
          <w:highlight w:val="none"/>
          <w:u w:val="single"/>
        </w:rPr>
        <w:t>（企业名称）</w:t>
      </w:r>
      <w:r>
        <w:rPr>
          <w:rStyle w:val="20"/>
          <w:rFonts w:hint="eastAsia" w:cs="Times New Roman"/>
          <w:color w:val="auto"/>
          <w:sz w:val="24"/>
          <w:szCs w:val="24"/>
          <w:highlight w:val="none"/>
        </w:rPr>
        <w:t>，从业人员</w:t>
      </w:r>
      <w:r>
        <w:rPr>
          <w:rStyle w:val="20"/>
          <w:rFonts w:hint="eastAsia" w:cs="Times New Roman"/>
          <w:color w:val="auto"/>
          <w:sz w:val="24"/>
          <w:szCs w:val="24"/>
          <w:highlight w:val="none"/>
          <w:u w:val="single"/>
        </w:rPr>
        <w:t xml:space="preserve">    </w:t>
      </w:r>
      <w:r>
        <w:rPr>
          <w:rStyle w:val="20"/>
          <w:rFonts w:hint="eastAsia" w:cs="Times New Roman"/>
          <w:color w:val="auto"/>
          <w:sz w:val="24"/>
          <w:szCs w:val="24"/>
          <w:highlight w:val="none"/>
        </w:rPr>
        <w:t>人，营业收入为</w:t>
      </w:r>
      <w:r>
        <w:rPr>
          <w:rStyle w:val="20"/>
          <w:rFonts w:hint="eastAsia" w:cs="Times New Roman"/>
          <w:color w:val="auto"/>
          <w:sz w:val="24"/>
          <w:szCs w:val="24"/>
          <w:highlight w:val="none"/>
          <w:u w:val="single"/>
        </w:rPr>
        <w:t xml:space="preserve">    </w:t>
      </w:r>
      <w:r>
        <w:rPr>
          <w:rStyle w:val="20"/>
          <w:rFonts w:hint="eastAsia" w:cs="Times New Roman"/>
          <w:color w:val="auto"/>
          <w:sz w:val="24"/>
          <w:szCs w:val="24"/>
          <w:highlight w:val="none"/>
        </w:rPr>
        <w:t>万元，资产总额为</w:t>
      </w:r>
      <w:r>
        <w:rPr>
          <w:rStyle w:val="20"/>
          <w:rFonts w:hint="eastAsia" w:cs="Times New Roman"/>
          <w:color w:val="auto"/>
          <w:sz w:val="24"/>
          <w:szCs w:val="24"/>
          <w:highlight w:val="none"/>
          <w:u w:val="single"/>
        </w:rPr>
        <w:t xml:space="preserve">    </w:t>
      </w:r>
      <w:r>
        <w:rPr>
          <w:rStyle w:val="20"/>
          <w:rFonts w:hint="eastAsia" w:cs="Times New Roman"/>
          <w:color w:val="auto"/>
          <w:sz w:val="24"/>
          <w:szCs w:val="24"/>
          <w:highlight w:val="none"/>
        </w:rPr>
        <w:t>万元，属于</w:t>
      </w:r>
      <w:r>
        <w:rPr>
          <w:rStyle w:val="20"/>
          <w:rFonts w:hint="eastAsia" w:cs="Times New Roman"/>
          <w:color w:val="auto"/>
          <w:sz w:val="24"/>
          <w:szCs w:val="24"/>
          <w:highlight w:val="none"/>
          <w:u w:val="single"/>
        </w:rPr>
        <w:t>（中型企业、小型 企业、微型企业）</w:t>
      </w:r>
      <w:r>
        <w:rPr>
          <w:rStyle w:val="20"/>
          <w:rFonts w:hint="eastAsia" w:cs="Times New Roman"/>
          <w:color w:val="auto"/>
          <w:sz w:val="24"/>
          <w:szCs w:val="24"/>
          <w:highlight w:val="none"/>
        </w:rPr>
        <w:t>；</w:t>
      </w:r>
    </w:p>
    <w:p w14:paraId="327FFEDA">
      <w:pPr>
        <w:widowControl/>
        <w:autoSpaceDE w:val="0"/>
        <w:autoSpaceDN w:val="0"/>
        <w:adjustRightInd w:val="0"/>
        <w:spacing w:line="440" w:lineRule="exact"/>
        <w:ind w:firstLine="480"/>
        <w:rPr>
          <w:rStyle w:val="20"/>
          <w:rFonts w:hint="eastAsia" w:cs="Times New Roman"/>
          <w:color w:val="auto"/>
          <w:sz w:val="24"/>
          <w:szCs w:val="24"/>
          <w:highlight w:val="none"/>
        </w:rPr>
      </w:pPr>
      <w:r>
        <w:rPr>
          <w:rStyle w:val="20"/>
          <w:rFonts w:hint="eastAsia" w:cs="Times New Roman"/>
          <w:color w:val="auto"/>
          <w:sz w:val="24"/>
          <w:szCs w:val="24"/>
          <w:highlight w:val="none"/>
        </w:rPr>
        <w:t>……</w:t>
      </w:r>
    </w:p>
    <w:p w14:paraId="4EAC80C9">
      <w:pPr>
        <w:widowControl/>
        <w:autoSpaceDE w:val="0"/>
        <w:autoSpaceDN w:val="0"/>
        <w:adjustRightInd w:val="0"/>
        <w:spacing w:line="440" w:lineRule="exact"/>
        <w:ind w:firstLine="480"/>
        <w:rPr>
          <w:rStyle w:val="20"/>
          <w:rFonts w:hint="eastAsia" w:cs="Times New Roman"/>
          <w:color w:val="auto"/>
          <w:sz w:val="24"/>
          <w:szCs w:val="24"/>
          <w:highlight w:val="none"/>
        </w:rPr>
      </w:pPr>
      <w:r>
        <w:rPr>
          <w:rStyle w:val="20"/>
          <w:rFonts w:hint="eastAsia" w:cs="Times New Roman"/>
          <w:color w:val="auto"/>
          <w:sz w:val="24"/>
          <w:szCs w:val="24"/>
          <w:highlight w:val="none"/>
        </w:rPr>
        <w:t>以上企业，不属于大企业的分支机构，不存在控股股东为大企业的情形，也不存在与大企业的负责人为同一人的情 形。</w:t>
      </w:r>
    </w:p>
    <w:p w14:paraId="56DEEE4C">
      <w:pPr>
        <w:widowControl/>
        <w:autoSpaceDE w:val="0"/>
        <w:autoSpaceDN w:val="0"/>
        <w:adjustRightInd w:val="0"/>
        <w:spacing w:line="440" w:lineRule="exact"/>
        <w:ind w:firstLine="480"/>
        <w:rPr>
          <w:rStyle w:val="20"/>
          <w:rFonts w:hint="eastAsia" w:cs="Times New Roman"/>
          <w:color w:val="auto"/>
          <w:sz w:val="24"/>
          <w:szCs w:val="24"/>
          <w:highlight w:val="none"/>
        </w:rPr>
      </w:pPr>
      <w:r>
        <w:rPr>
          <w:rStyle w:val="20"/>
          <w:rFonts w:hint="eastAsia" w:cs="Times New Roman"/>
          <w:color w:val="auto"/>
          <w:sz w:val="24"/>
          <w:szCs w:val="24"/>
          <w:highlight w:val="none"/>
        </w:rPr>
        <w:t>本企业对上述声明内容的真实性负责。如有虚假，将依 法承担相应责任。</w:t>
      </w:r>
    </w:p>
    <w:p w14:paraId="43BF598F">
      <w:pPr>
        <w:widowControl/>
        <w:autoSpaceDE w:val="0"/>
        <w:autoSpaceDN w:val="0"/>
        <w:adjustRightInd w:val="0"/>
        <w:spacing w:line="440" w:lineRule="exact"/>
        <w:ind w:firstLine="480"/>
        <w:rPr>
          <w:rStyle w:val="20"/>
          <w:rFonts w:hint="eastAsia" w:cs="Times New Roman"/>
          <w:color w:val="auto"/>
          <w:sz w:val="24"/>
          <w:szCs w:val="24"/>
          <w:highlight w:val="none"/>
        </w:rPr>
      </w:pPr>
    </w:p>
    <w:p w14:paraId="7DA716AA">
      <w:pPr>
        <w:widowControl/>
        <w:autoSpaceDE w:val="0"/>
        <w:autoSpaceDN w:val="0"/>
        <w:adjustRightInd w:val="0"/>
        <w:spacing w:line="440" w:lineRule="exact"/>
        <w:ind w:firstLine="480"/>
        <w:rPr>
          <w:rStyle w:val="20"/>
          <w:rFonts w:hint="eastAsia" w:cs="Times New Roman"/>
          <w:color w:val="auto"/>
          <w:sz w:val="24"/>
          <w:szCs w:val="24"/>
          <w:highlight w:val="none"/>
        </w:rPr>
      </w:pPr>
    </w:p>
    <w:p w14:paraId="678EDE2F">
      <w:pPr>
        <w:widowControl/>
        <w:autoSpaceDE w:val="0"/>
        <w:autoSpaceDN w:val="0"/>
        <w:adjustRightInd w:val="0"/>
        <w:spacing w:line="440" w:lineRule="exact"/>
        <w:ind w:firstLine="480"/>
        <w:rPr>
          <w:rStyle w:val="20"/>
          <w:rFonts w:hint="eastAsia" w:cs="Times New Roman"/>
          <w:color w:val="auto"/>
          <w:sz w:val="24"/>
          <w:szCs w:val="24"/>
          <w:highlight w:val="none"/>
        </w:rPr>
      </w:pPr>
      <w:r>
        <w:rPr>
          <w:rStyle w:val="20"/>
          <w:rFonts w:hint="eastAsia" w:cs="Times New Roman"/>
          <w:color w:val="auto"/>
          <w:sz w:val="24"/>
          <w:szCs w:val="24"/>
          <w:highlight w:val="none"/>
        </w:rPr>
        <w:t>企业名称（盖章）：</w:t>
      </w:r>
    </w:p>
    <w:p w14:paraId="6A0CD024">
      <w:pPr>
        <w:widowControl/>
        <w:autoSpaceDE w:val="0"/>
        <w:autoSpaceDN w:val="0"/>
        <w:adjustRightInd w:val="0"/>
        <w:spacing w:line="440" w:lineRule="exact"/>
        <w:ind w:firstLine="480"/>
        <w:rPr>
          <w:rStyle w:val="20"/>
          <w:rFonts w:hint="eastAsia" w:cs="Times New Roman"/>
          <w:color w:val="auto"/>
          <w:sz w:val="24"/>
          <w:szCs w:val="24"/>
          <w:highlight w:val="none"/>
        </w:rPr>
      </w:pPr>
      <w:r>
        <w:rPr>
          <w:rStyle w:val="20"/>
          <w:rFonts w:hint="eastAsia" w:cs="Times New Roman"/>
          <w:color w:val="auto"/>
          <w:sz w:val="24"/>
          <w:szCs w:val="24"/>
          <w:highlight w:val="none"/>
        </w:rPr>
        <w:t xml:space="preserve">日 期：   </w:t>
      </w:r>
    </w:p>
    <w:p w14:paraId="17D7A1B8">
      <w:pPr>
        <w:spacing w:line="440" w:lineRule="exact"/>
        <w:rPr>
          <w:rStyle w:val="20"/>
          <w:rFonts w:cs="Times New Roman"/>
          <w:color w:val="auto"/>
          <w:sz w:val="24"/>
          <w:szCs w:val="24"/>
          <w:highlight w:val="none"/>
        </w:rPr>
      </w:pPr>
      <w:r>
        <w:rPr>
          <w:rStyle w:val="20"/>
          <w:rFonts w:cs="Times New Roman"/>
          <w:color w:val="auto"/>
          <w:sz w:val="24"/>
          <w:szCs w:val="24"/>
          <w:highlight w:val="none"/>
        </w:rPr>
        <w:t xml:space="preserve"> </w:t>
      </w:r>
    </w:p>
    <w:p w14:paraId="694904E7">
      <w:pPr>
        <w:spacing w:line="360" w:lineRule="auto"/>
        <w:jc w:val="both"/>
        <w:rPr>
          <w:rStyle w:val="20"/>
          <w:rFonts w:cs="Times New Roman"/>
          <w:color w:val="auto"/>
          <w:sz w:val="24"/>
          <w:szCs w:val="24"/>
          <w:highlight w:val="none"/>
        </w:rPr>
      </w:pPr>
    </w:p>
    <w:p w14:paraId="2216BD1B">
      <w:pPr>
        <w:spacing w:line="360" w:lineRule="auto"/>
        <w:jc w:val="both"/>
        <w:rPr>
          <w:rStyle w:val="20"/>
          <w:rFonts w:cs="Times New Roman"/>
          <w:color w:val="auto"/>
          <w:sz w:val="24"/>
          <w:szCs w:val="24"/>
          <w:highlight w:val="none"/>
        </w:rPr>
      </w:pPr>
    </w:p>
    <w:p w14:paraId="55D382C3">
      <w:pPr>
        <w:spacing w:line="360" w:lineRule="auto"/>
        <w:jc w:val="both"/>
        <w:rPr>
          <w:rStyle w:val="20"/>
          <w:rFonts w:cs="Times New Roman"/>
          <w:color w:val="auto"/>
          <w:sz w:val="24"/>
          <w:szCs w:val="24"/>
          <w:highlight w:val="none"/>
        </w:rPr>
      </w:pPr>
    </w:p>
    <w:p w14:paraId="315A7816">
      <w:pPr>
        <w:widowControl/>
        <w:autoSpaceDE w:val="0"/>
        <w:autoSpaceDN w:val="0"/>
        <w:adjustRightInd w:val="0"/>
        <w:spacing w:line="440" w:lineRule="exact"/>
        <w:ind w:right="-481"/>
        <w:jc w:val="both"/>
        <w:rPr>
          <w:rStyle w:val="20"/>
          <w:rFonts w:cs="Times New Roman"/>
          <w:color w:val="auto"/>
          <w:sz w:val="24"/>
          <w:szCs w:val="24"/>
          <w:highlight w:val="none"/>
        </w:rPr>
      </w:pPr>
      <w:r>
        <w:rPr>
          <w:rStyle w:val="20"/>
          <w:rFonts w:hint="eastAsia" w:eastAsia="仿宋" w:cs="Times New Roman"/>
          <w:color w:val="auto"/>
          <w:sz w:val="22"/>
          <w:szCs w:val="22"/>
          <w:highlight w:val="none"/>
          <w:lang w:val="en-US" w:eastAsia="zh-CN"/>
        </w:rPr>
        <w:t>注：</w:t>
      </w:r>
      <w:r>
        <w:rPr>
          <w:rStyle w:val="20"/>
          <w:rFonts w:hint="eastAsia" w:cs="Times New Roman"/>
          <w:color w:val="auto"/>
          <w:sz w:val="22"/>
          <w:szCs w:val="22"/>
          <w:highlight w:val="none"/>
        </w:rPr>
        <w:t>从业人员、营业收入、资产总额填报上一年度数据，无上一年度数据的新成立企业可不填报</w:t>
      </w:r>
      <w:r>
        <w:rPr>
          <w:rStyle w:val="20"/>
          <w:rFonts w:hint="eastAsia" w:eastAsia="仿宋" w:cs="Times New Roman"/>
          <w:color w:val="auto"/>
          <w:sz w:val="22"/>
          <w:szCs w:val="22"/>
          <w:highlight w:val="none"/>
          <w:lang w:eastAsia="zh-CN"/>
        </w:rPr>
        <w:t>。</w:t>
      </w:r>
      <w:r>
        <w:rPr>
          <w:rStyle w:val="20"/>
          <w:rFonts w:cs="Times New Roman"/>
          <w:color w:val="auto"/>
          <w:sz w:val="24"/>
          <w:szCs w:val="24"/>
          <w:highlight w:val="none"/>
        </w:rPr>
        <w:t xml:space="preserve">   </w:t>
      </w:r>
    </w:p>
    <w:p w14:paraId="0A7BB2DB">
      <w:pPr>
        <w:rPr>
          <w:rStyle w:val="20"/>
          <w:rFonts w:cs="Times New Roman"/>
          <w:color w:val="auto"/>
          <w:sz w:val="24"/>
          <w:szCs w:val="24"/>
          <w:highlight w:val="none"/>
        </w:rPr>
      </w:pPr>
      <w:r>
        <w:rPr>
          <w:rStyle w:val="20"/>
          <w:rFonts w:cs="Times New Roman"/>
          <w:color w:val="auto"/>
          <w:sz w:val="24"/>
          <w:szCs w:val="24"/>
          <w:highlight w:val="none"/>
        </w:rPr>
        <w:br w:type="page"/>
      </w:r>
    </w:p>
    <w:p w14:paraId="3A961F56">
      <w:pPr>
        <w:spacing w:line="360"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附 件 1</w:t>
      </w:r>
    </w:p>
    <w:p w14:paraId="2C6C5BA6">
      <w:pPr>
        <w:keepNext w:val="0"/>
        <w:keepLines w:val="0"/>
        <w:widowControl/>
        <w:suppressLineNumbers w:val="0"/>
        <w:shd w:val="clear" w:color="auto" w:fill="FFFFFF"/>
        <w:adjustRightInd w:val="0"/>
        <w:snapToGrid w:val="0"/>
        <w:spacing w:beforeAutospacing="1" w:afterAutospacing="1" w:line="360" w:lineRule="auto"/>
        <w:ind w:left="0" w:firstLine="723" w:firstLineChars="200"/>
        <w:jc w:val="center"/>
        <w:rPr>
          <w:rFonts w:hint="eastAsia" w:ascii="宋体" w:hAnsi="宋体" w:eastAsia="宋体" w:cs="宋体"/>
          <w:i w:val="0"/>
          <w:iCs w:val="0"/>
          <w:caps w:val="0"/>
          <w:color w:val="auto"/>
          <w:spacing w:val="0"/>
          <w:kern w:val="0"/>
          <w:sz w:val="24"/>
          <w:szCs w:val="24"/>
          <w:highlight w:val="none"/>
          <w:lang w:val="en-US" w:eastAsia="zh-CN" w:bidi="ar-SA"/>
        </w:rPr>
      </w:pPr>
      <w:r>
        <w:rPr>
          <w:rStyle w:val="18"/>
          <w:rFonts w:hint="eastAsia" w:ascii="宋体" w:hAnsi="宋体" w:eastAsia="宋体" w:cs="宋体"/>
          <w:i w:val="0"/>
          <w:iCs w:val="0"/>
          <w:caps w:val="0"/>
          <w:color w:val="auto"/>
          <w:spacing w:val="0"/>
          <w:kern w:val="2"/>
          <w:sz w:val="36"/>
          <w:szCs w:val="36"/>
          <w:highlight w:val="none"/>
          <w:shd w:val="clear" w:color="auto" w:fill="FFFFFF"/>
          <w:lang w:val="en-US" w:eastAsia="zh-CN" w:bidi="ar-SA"/>
        </w:rPr>
        <w:t>中小企业划型标准规定</w:t>
      </w:r>
    </w:p>
    <w:p w14:paraId="4EDFD43D">
      <w:pPr>
        <w:spacing w:line="360" w:lineRule="auto"/>
        <w:rPr>
          <w:rFonts w:hint="eastAsia" w:ascii="仿宋" w:hAnsi="仿宋" w:eastAsia="仿宋" w:cs="仿宋"/>
          <w:color w:val="auto"/>
          <w:sz w:val="24"/>
          <w:szCs w:val="24"/>
          <w:highlight w:val="none"/>
          <w:lang w:val="zh-CN"/>
        </w:rPr>
      </w:pPr>
      <w:r>
        <w:rPr>
          <w:rFonts w:hint="eastAsia" w:ascii="宋体" w:hAnsi="宋体" w:eastAsia="宋体" w:cs="宋体"/>
          <w:i w:val="0"/>
          <w:iCs w:val="0"/>
          <w:caps w:val="0"/>
          <w:color w:val="auto"/>
          <w:spacing w:val="0"/>
          <w:sz w:val="24"/>
          <w:szCs w:val="24"/>
          <w:highlight w:val="none"/>
          <w:shd w:val="clear" w:color="auto" w:fill="FFFFFF"/>
        </w:rPr>
        <w:t>　</w:t>
      </w:r>
      <w:r>
        <w:rPr>
          <w:rFonts w:hint="eastAsia" w:ascii="仿宋" w:hAnsi="仿宋" w:eastAsia="仿宋" w:cs="仿宋"/>
          <w:i w:val="0"/>
          <w:iCs w:val="0"/>
          <w:caps w:val="0"/>
          <w:color w:val="auto"/>
          <w:spacing w:val="0"/>
          <w:sz w:val="28"/>
          <w:szCs w:val="28"/>
          <w:highlight w:val="none"/>
          <w:shd w:val="clear" w:color="auto" w:fill="FFFFFF"/>
        </w:rPr>
        <w:t>　行业：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r>
        <w:rPr>
          <w:rFonts w:hint="eastAsia" w:ascii="仿宋" w:hAnsi="仿宋" w:eastAsia="仿宋" w:cs="仿宋"/>
          <w:i w:val="0"/>
          <w:iCs w:val="0"/>
          <w:caps w:val="0"/>
          <w:color w:val="auto"/>
          <w:spacing w:val="0"/>
          <w:sz w:val="28"/>
          <w:szCs w:val="28"/>
          <w:highlight w:val="none"/>
          <w:shd w:val="clear" w:color="auto" w:fill="FFFFFF"/>
        </w:rPr>
        <w:br w:type="textWrapping"/>
      </w:r>
      <w:r>
        <w:rPr>
          <w:rFonts w:hint="eastAsia" w:ascii="仿宋" w:hAnsi="仿宋" w:eastAsia="仿宋" w:cs="仿宋"/>
          <w:i w:val="0"/>
          <w:iCs w:val="0"/>
          <w:caps w:val="0"/>
          <w:color w:val="auto"/>
          <w:spacing w:val="0"/>
          <w:sz w:val="28"/>
          <w:szCs w:val="28"/>
          <w:highlight w:val="none"/>
          <w:shd w:val="clear" w:color="auto" w:fill="FFFFFF"/>
          <w:lang w:val="en-US" w:eastAsia="zh-CN"/>
        </w:rPr>
        <w:t xml:space="preserve">    </w:t>
      </w:r>
      <w:r>
        <w:rPr>
          <w:rFonts w:hint="eastAsia" w:ascii="仿宋" w:hAnsi="仿宋" w:eastAsia="仿宋" w:cs="仿宋"/>
          <w:i w:val="0"/>
          <w:iCs w:val="0"/>
          <w:caps w:val="0"/>
          <w:color w:val="auto"/>
          <w:spacing w:val="0"/>
          <w:sz w:val="28"/>
          <w:szCs w:val="28"/>
          <w:highlight w:val="none"/>
          <w:shd w:val="clear" w:color="auto" w:fill="FFFFFF"/>
        </w:rPr>
        <w:t>各行业划型标准为：</w:t>
      </w:r>
      <w:r>
        <w:rPr>
          <w:rFonts w:hint="eastAsia" w:ascii="仿宋" w:hAnsi="仿宋" w:eastAsia="仿宋" w:cs="仿宋"/>
          <w:i w:val="0"/>
          <w:iCs w:val="0"/>
          <w:caps w:val="0"/>
          <w:color w:val="auto"/>
          <w:spacing w:val="0"/>
          <w:sz w:val="28"/>
          <w:szCs w:val="28"/>
          <w:highlight w:val="none"/>
          <w:shd w:val="clear" w:color="auto" w:fill="FFFFFF"/>
        </w:rPr>
        <w:br w:type="textWrapping"/>
      </w:r>
      <w:r>
        <w:rPr>
          <w:rFonts w:hint="eastAsia" w:ascii="仿宋" w:hAnsi="仿宋" w:eastAsia="仿宋" w:cs="仿宋"/>
          <w:i w:val="0"/>
          <w:iCs w:val="0"/>
          <w:caps w:val="0"/>
          <w:color w:val="auto"/>
          <w:spacing w:val="0"/>
          <w:sz w:val="28"/>
          <w:szCs w:val="28"/>
          <w:highlight w:val="none"/>
          <w:shd w:val="clear" w:color="auto" w:fill="FFFFFF"/>
        </w:rPr>
        <w:t>　　（一）农、林、牧、渔业。营业收入20000万元以下的为中小微型企业。其中，营业收入500万元及以上的为中型企业，营业收入50万元及以上的为小型企业，营业收入50万元以下的为微型企业。</w:t>
      </w:r>
      <w:r>
        <w:rPr>
          <w:rFonts w:hint="eastAsia" w:ascii="仿宋" w:hAnsi="仿宋" w:eastAsia="仿宋" w:cs="仿宋"/>
          <w:i w:val="0"/>
          <w:iCs w:val="0"/>
          <w:caps w:val="0"/>
          <w:color w:val="auto"/>
          <w:spacing w:val="0"/>
          <w:sz w:val="28"/>
          <w:szCs w:val="28"/>
          <w:highlight w:val="none"/>
          <w:shd w:val="clear" w:color="auto" w:fill="FFFFFF"/>
        </w:rPr>
        <w:br w:type="textWrapping"/>
      </w:r>
      <w:r>
        <w:rPr>
          <w:rFonts w:hint="eastAsia" w:ascii="仿宋" w:hAnsi="仿宋" w:eastAsia="仿宋" w:cs="仿宋"/>
          <w:i w:val="0"/>
          <w:iCs w:val="0"/>
          <w:caps w:val="0"/>
          <w:color w:val="auto"/>
          <w:spacing w:val="0"/>
          <w:sz w:val="28"/>
          <w:szCs w:val="28"/>
          <w:highlight w:val="none"/>
          <w:shd w:val="clear" w:color="auto" w:fill="FFFFFF"/>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r>
        <w:rPr>
          <w:rFonts w:hint="eastAsia" w:ascii="仿宋" w:hAnsi="仿宋" w:eastAsia="仿宋" w:cs="仿宋"/>
          <w:i w:val="0"/>
          <w:iCs w:val="0"/>
          <w:caps w:val="0"/>
          <w:color w:val="auto"/>
          <w:spacing w:val="0"/>
          <w:sz w:val="28"/>
          <w:szCs w:val="28"/>
          <w:highlight w:val="none"/>
          <w:shd w:val="clear" w:color="auto" w:fill="FFFFFF"/>
        </w:rPr>
        <w:br w:type="textWrapping"/>
      </w:r>
      <w:r>
        <w:rPr>
          <w:rFonts w:hint="eastAsia" w:ascii="仿宋" w:hAnsi="仿宋" w:eastAsia="仿宋" w:cs="仿宋"/>
          <w:i w:val="0"/>
          <w:iCs w:val="0"/>
          <w:caps w:val="0"/>
          <w:color w:val="auto"/>
          <w:spacing w:val="0"/>
          <w:sz w:val="28"/>
          <w:szCs w:val="28"/>
          <w:highlight w:val="none"/>
          <w:shd w:val="clear" w:color="auto" w:fill="FFFFFF"/>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r>
        <w:rPr>
          <w:rFonts w:hint="eastAsia" w:ascii="仿宋" w:hAnsi="仿宋" w:eastAsia="仿宋" w:cs="仿宋"/>
          <w:i w:val="0"/>
          <w:iCs w:val="0"/>
          <w:caps w:val="0"/>
          <w:color w:val="auto"/>
          <w:spacing w:val="0"/>
          <w:sz w:val="28"/>
          <w:szCs w:val="28"/>
          <w:highlight w:val="none"/>
          <w:shd w:val="clear" w:color="auto" w:fill="FFFFFF"/>
        </w:rPr>
        <w:br w:type="textWrapping"/>
      </w:r>
      <w:r>
        <w:rPr>
          <w:rFonts w:hint="eastAsia" w:ascii="仿宋" w:hAnsi="仿宋" w:eastAsia="仿宋" w:cs="仿宋"/>
          <w:i w:val="0"/>
          <w:iCs w:val="0"/>
          <w:caps w:val="0"/>
          <w:color w:val="auto"/>
          <w:spacing w:val="0"/>
          <w:sz w:val="28"/>
          <w:szCs w:val="28"/>
          <w:highlight w:val="none"/>
          <w:shd w:val="clear" w:color="auto" w:fill="FFFFFF"/>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r>
        <w:rPr>
          <w:rFonts w:hint="eastAsia" w:ascii="仿宋" w:hAnsi="仿宋" w:eastAsia="仿宋" w:cs="仿宋"/>
          <w:i w:val="0"/>
          <w:iCs w:val="0"/>
          <w:caps w:val="0"/>
          <w:color w:val="auto"/>
          <w:spacing w:val="0"/>
          <w:sz w:val="28"/>
          <w:szCs w:val="28"/>
          <w:highlight w:val="none"/>
          <w:shd w:val="clear" w:color="auto" w:fill="FFFFFF"/>
        </w:rPr>
        <w:br w:type="textWrapping"/>
      </w:r>
      <w:r>
        <w:rPr>
          <w:rFonts w:hint="eastAsia" w:ascii="仿宋" w:hAnsi="仿宋" w:eastAsia="仿宋" w:cs="仿宋"/>
          <w:i w:val="0"/>
          <w:iCs w:val="0"/>
          <w:caps w:val="0"/>
          <w:color w:val="auto"/>
          <w:spacing w:val="0"/>
          <w:sz w:val="28"/>
          <w:szCs w:val="28"/>
          <w:highlight w:val="none"/>
          <w:shd w:val="clear" w:color="auto" w:fill="FFFFFF"/>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r>
        <w:rPr>
          <w:rFonts w:hint="eastAsia" w:ascii="仿宋" w:hAnsi="仿宋" w:eastAsia="仿宋" w:cs="仿宋"/>
          <w:i w:val="0"/>
          <w:iCs w:val="0"/>
          <w:caps w:val="0"/>
          <w:color w:val="auto"/>
          <w:spacing w:val="0"/>
          <w:sz w:val="28"/>
          <w:szCs w:val="28"/>
          <w:highlight w:val="none"/>
          <w:shd w:val="clear" w:color="auto" w:fill="FFFFFF"/>
        </w:rPr>
        <w:br w:type="textWrapping"/>
      </w:r>
      <w:r>
        <w:rPr>
          <w:rFonts w:hint="eastAsia" w:ascii="仿宋" w:hAnsi="仿宋" w:eastAsia="仿宋" w:cs="仿宋"/>
          <w:i w:val="0"/>
          <w:iCs w:val="0"/>
          <w:caps w:val="0"/>
          <w:color w:val="auto"/>
          <w:spacing w:val="0"/>
          <w:sz w:val="28"/>
          <w:szCs w:val="28"/>
          <w:highlight w:val="none"/>
          <w:shd w:val="clear" w:color="auto" w:fill="FFFFFF"/>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r>
        <w:rPr>
          <w:rFonts w:hint="eastAsia" w:ascii="仿宋" w:hAnsi="仿宋" w:eastAsia="仿宋" w:cs="仿宋"/>
          <w:i w:val="0"/>
          <w:iCs w:val="0"/>
          <w:caps w:val="0"/>
          <w:color w:val="auto"/>
          <w:spacing w:val="0"/>
          <w:sz w:val="28"/>
          <w:szCs w:val="28"/>
          <w:highlight w:val="none"/>
          <w:shd w:val="clear" w:color="auto" w:fill="FFFFFF"/>
        </w:rPr>
        <w:br w:type="textWrapping"/>
      </w:r>
      <w:r>
        <w:rPr>
          <w:rFonts w:hint="eastAsia" w:ascii="仿宋" w:hAnsi="仿宋" w:eastAsia="仿宋" w:cs="仿宋"/>
          <w:i w:val="0"/>
          <w:iCs w:val="0"/>
          <w:caps w:val="0"/>
          <w:color w:val="auto"/>
          <w:spacing w:val="0"/>
          <w:sz w:val="28"/>
          <w:szCs w:val="28"/>
          <w:highlight w:val="none"/>
          <w:shd w:val="clear" w:color="auto" w:fill="FFFFFF"/>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r>
        <w:rPr>
          <w:rFonts w:hint="eastAsia" w:ascii="仿宋" w:hAnsi="仿宋" w:eastAsia="仿宋" w:cs="仿宋"/>
          <w:i w:val="0"/>
          <w:iCs w:val="0"/>
          <w:caps w:val="0"/>
          <w:color w:val="auto"/>
          <w:spacing w:val="0"/>
          <w:sz w:val="28"/>
          <w:szCs w:val="28"/>
          <w:highlight w:val="none"/>
          <w:shd w:val="clear" w:color="auto" w:fill="FFFFFF"/>
        </w:rPr>
        <w:br w:type="textWrapping"/>
      </w:r>
      <w:r>
        <w:rPr>
          <w:rFonts w:hint="eastAsia" w:ascii="仿宋" w:hAnsi="仿宋" w:eastAsia="仿宋" w:cs="仿宋"/>
          <w:i w:val="0"/>
          <w:iCs w:val="0"/>
          <w:caps w:val="0"/>
          <w:color w:val="auto"/>
          <w:spacing w:val="0"/>
          <w:sz w:val="28"/>
          <w:szCs w:val="28"/>
          <w:highlight w:val="none"/>
          <w:shd w:val="clear" w:color="auto" w:fill="FFFFFF"/>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r>
        <w:rPr>
          <w:rFonts w:hint="eastAsia" w:ascii="仿宋" w:hAnsi="仿宋" w:eastAsia="仿宋" w:cs="仿宋"/>
          <w:i w:val="0"/>
          <w:iCs w:val="0"/>
          <w:caps w:val="0"/>
          <w:color w:val="auto"/>
          <w:spacing w:val="0"/>
          <w:sz w:val="28"/>
          <w:szCs w:val="28"/>
          <w:highlight w:val="none"/>
          <w:shd w:val="clear" w:color="auto" w:fill="FFFFFF"/>
        </w:rPr>
        <w:br w:type="textWrapping"/>
      </w:r>
      <w:r>
        <w:rPr>
          <w:rFonts w:hint="eastAsia" w:ascii="仿宋" w:hAnsi="仿宋" w:eastAsia="仿宋" w:cs="仿宋"/>
          <w:i w:val="0"/>
          <w:iCs w:val="0"/>
          <w:caps w:val="0"/>
          <w:color w:val="auto"/>
          <w:spacing w:val="0"/>
          <w:sz w:val="28"/>
          <w:szCs w:val="28"/>
          <w:highlight w:val="none"/>
          <w:shd w:val="clear" w:color="auto" w:fill="FFFFFF"/>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仿宋" w:hAnsi="仿宋" w:eastAsia="仿宋" w:cs="仿宋"/>
          <w:i w:val="0"/>
          <w:iCs w:val="0"/>
          <w:caps w:val="0"/>
          <w:color w:val="auto"/>
          <w:spacing w:val="0"/>
          <w:sz w:val="28"/>
          <w:szCs w:val="28"/>
          <w:highlight w:val="none"/>
          <w:shd w:val="clear" w:color="auto" w:fill="FFFFFF"/>
        </w:rPr>
        <w:br w:type="textWrapping"/>
      </w:r>
      <w:r>
        <w:rPr>
          <w:rFonts w:hint="eastAsia" w:ascii="仿宋" w:hAnsi="仿宋" w:eastAsia="仿宋" w:cs="仿宋"/>
          <w:i w:val="0"/>
          <w:iCs w:val="0"/>
          <w:caps w:val="0"/>
          <w:color w:val="auto"/>
          <w:spacing w:val="0"/>
          <w:sz w:val="28"/>
          <w:szCs w:val="28"/>
          <w:highlight w:val="none"/>
          <w:shd w:val="clear" w:color="auto" w:fill="FFFFFF"/>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仿宋" w:hAnsi="仿宋" w:eastAsia="仿宋" w:cs="仿宋"/>
          <w:i w:val="0"/>
          <w:iCs w:val="0"/>
          <w:caps w:val="0"/>
          <w:color w:val="auto"/>
          <w:spacing w:val="0"/>
          <w:sz w:val="28"/>
          <w:szCs w:val="28"/>
          <w:highlight w:val="none"/>
          <w:shd w:val="clear" w:color="auto" w:fill="FFFFFF"/>
        </w:rPr>
        <w:br w:type="textWrapping"/>
      </w:r>
      <w:r>
        <w:rPr>
          <w:rFonts w:hint="eastAsia" w:ascii="仿宋" w:hAnsi="仿宋" w:eastAsia="仿宋" w:cs="仿宋"/>
          <w:i w:val="0"/>
          <w:iCs w:val="0"/>
          <w:caps w:val="0"/>
          <w:color w:val="auto"/>
          <w:spacing w:val="0"/>
          <w:sz w:val="28"/>
          <w:szCs w:val="28"/>
          <w:highlight w:val="none"/>
          <w:shd w:val="clear" w:color="auto" w:fill="FFFFFF"/>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r>
        <w:rPr>
          <w:rFonts w:hint="eastAsia" w:ascii="仿宋" w:hAnsi="仿宋" w:eastAsia="仿宋" w:cs="仿宋"/>
          <w:i w:val="0"/>
          <w:iCs w:val="0"/>
          <w:caps w:val="0"/>
          <w:color w:val="auto"/>
          <w:spacing w:val="0"/>
          <w:sz w:val="28"/>
          <w:szCs w:val="28"/>
          <w:highlight w:val="none"/>
          <w:shd w:val="clear" w:color="auto" w:fill="FFFFFF"/>
        </w:rPr>
        <w:br w:type="textWrapping"/>
      </w:r>
      <w:r>
        <w:rPr>
          <w:rFonts w:hint="eastAsia" w:ascii="仿宋" w:hAnsi="仿宋" w:eastAsia="仿宋" w:cs="仿宋"/>
          <w:i w:val="0"/>
          <w:iCs w:val="0"/>
          <w:caps w:val="0"/>
          <w:color w:val="auto"/>
          <w:spacing w:val="0"/>
          <w:sz w:val="28"/>
          <w:szCs w:val="28"/>
          <w:highlight w:val="none"/>
          <w:shd w:val="clear" w:color="auto" w:fill="FFFFFF"/>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r>
        <w:rPr>
          <w:rFonts w:hint="eastAsia" w:ascii="仿宋" w:hAnsi="仿宋" w:eastAsia="仿宋" w:cs="仿宋"/>
          <w:i w:val="0"/>
          <w:iCs w:val="0"/>
          <w:caps w:val="0"/>
          <w:color w:val="auto"/>
          <w:spacing w:val="0"/>
          <w:sz w:val="28"/>
          <w:szCs w:val="28"/>
          <w:highlight w:val="none"/>
          <w:shd w:val="clear" w:color="auto" w:fill="FFFFFF"/>
        </w:rPr>
        <w:br w:type="textWrapping"/>
      </w:r>
      <w:r>
        <w:rPr>
          <w:rFonts w:hint="eastAsia" w:ascii="仿宋" w:hAnsi="仿宋" w:eastAsia="仿宋" w:cs="仿宋"/>
          <w:i w:val="0"/>
          <w:iCs w:val="0"/>
          <w:caps w:val="0"/>
          <w:color w:val="auto"/>
          <w:spacing w:val="0"/>
          <w:sz w:val="28"/>
          <w:szCs w:val="28"/>
          <w:highlight w:val="none"/>
          <w:shd w:val="clear" w:color="auto" w:fill="FFFFFF"/>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r>
        <w:rPr>
          <w:rFonts w:hint="eastAsia" w:ascii="仿宋" w:hAnsi="仿宋" w:eastAsia="仿宋" w:cs="仿宋"/>
          <w:i w:val="0"/>
          <w:iCs w:val="0"/>
          <w:caps w:val="0"/>
          <w:color w:val="auto"/>
          <w:spacing w:val="0"/>
          <w:sz w:val="28"/>
          <w:szCs w:val="28"/>
          <w:highlight w:val="none"/>
          <w:shd w:val="clear" w:color="auto" w:fill="FFFFFF"/>
        </w:rPr>
        <w:br w:type="textWrapping"/>
      </w:r>
      <w:r>
        <w:rPr>
          <w:rFonts w:hint="eastAsia" w:ascii="仿宋" w:hAnsi="仿宋" w:eastAsia="仿宋" w:cs="仿宋"/>
          <w:i w:val="0"/>
          <w:iCs w:val="0"/>
          <w:caps w:val="0"/>
          <w:color w:val="auto"/>
          <w:spacing w:val="0"/>
          <w:sz w:val="28"/>
          <w:szCs w:val="28"/>
          <w:highlight w:val="none"/>
          <w:shd w:val="clear" w:color="auto" w:fill="FFFFFF"/>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r>
        <w:rPr>
          <w:rFonts w:hint="eastAsia" w:ascii="仿宋" w:hAnsi="仿宋" w:eastAsia="仿宋" w:cs="仿宋"/>
          <w:i w:val="0"/>
          <w:iCs w:val="0"/>
          <w:caps w:val="0"/>
          <w:color w:val="auto"/>
          <w:spacing w:val="0"/>
          <w:sz w:val="28"/>
          <w:szCs w:val="28"/>
          <w:highlight w:val="none"/>
          <w:shd w:val="clear" w:color="auto" w:fill="FFFFFF"/>
        </w:rPr>
        <w:br w:type="textWrapping"/>
      </w:r>
      <w:r>
        <w:rPr>
          <w:rFonts w:hint="eastAsia" w:ascii="仿宋" w:hAnsi="仿宋" w:eastAsia="仿宋" w:cs="仿宋"/>
          <w:i w:val="0"/>
          <w:iCs w:val="0"/>
          <w:caps w:val="0"/>
          <w:color w:val="auto"/>
          <w:spacing w:val="0"/>
          <w:sz w:val="28"/>
          <w:szCs w:val="28"/>
          <w:highlight w:val="none"/>
          <w:shd w:val="clear" w:color="auto" w:fill="FFFFFF"/>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r>
        <w:rPr>
          <w:rFonts w:hint="eastAsia" w:ascii="仿宋" w:hAnsi="仿宋" w:eastAsia="仿宋" w:cs="仿宋"/>
          <w:i w:val="0"/>
          <w:iCs w:val="0"/>
          <w:caps w:val="0"/>
          <w:color w:val="auto"/>
          <w:spacing w:val="0"/>
          <w:sz w:val="28"/>
          <w:szCs w:val="28"/>
          <w:highlight w:val="none"/>
          <w:shd w:val="clear" w:color="auto" w:fill="FFFFFF"/>
        </w:rPr>
        <w:br w:type="textWrapping"/>
      </w:r>
      <w:r>
        <w:rPr>
          <w:rFonts w:hint="eastAsia" w:ascii="仿宋" w:hAnsi="仿宋" w:eastAsia="仿宋" w:cs="仿宋"/>
          <w:i w:val="0"/>
          <w:iCs w:val="0"/>
          <w:caps w:val="0"/>
          <w:color w:val="auto"/>
          <w:spacing w:val="0"/>
          <w:sz w:val="28"/>
          <w:szCs w:val="28"/>
          <w:highlight w:val="none"/>
          <w:shd w:val="clear" w:color="auto" w:fill="FFFFFF"/>
        </w:rPr>
        <w:t>　　（十六）其他未列明行业。从业人员300人以下的为中小微型企业。其中，从业人员100人及以上的为中型企业；从业人员10人及以上的为小型企业；从业人员10人以下的为微型企业。</w:t>
      </w:r>
    </w:p>
    <w:p w14:paraId="49E76E8E">
      <w:pPr>
        <w:widowControl/>
        <w:autoSpaceDE w:val="0"/>
        <w:autoSpaceDN w:val="0"/>
        <w:adjustRightInd w:val="0"/>
        <w:spacing w:line="440" w:lineRule="exact"/>
        <w:rPr>
          <w:rStyle w:val="20"/>
          <w:color w:val="auto"/>
          <w:sz w:val="28"/>
          <w:szCs w:val="28"/>
          <w:highlight w:val="none"/>
          <w:lang w:val="en-GB"/>
        </w:rPr>
      </w:pPr>
    </w:p>
    <w:sectPr>
      <w:pgSz w:w="11906" w:h="16838"/>
      <w:pgMar w:top="1440" w:right="1440" w:bottom="1440" w:left="1440" w:header="851" w:footer="992" w:gutter="0"/>
      <w:pgNumType w:fmt="decimal"/>
      <w:cols w:space="0" w:num="1"/>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52D312CC-1364-429B-B42F-440C2E1AAF96}"/>
  </w:font>
  <w:font w:name="黑体">
    <w:panose1 w:val="02010609060101010101"/>
    <w:charset w:val="86"/>
    <w:family w:val="auto"/>
    <w:pitch w:val="default"/>
    <w:sig w:usb0="800002BF" w:usb1="38CF7CFA" w:usb2="00000016" w:usb3="00000000" w:csb0="00040001" w:csb1="00000000"/>
    <w:embedRegular r:id="rId2" w:fontKey="{51EDD5C3-AB0F-44B0-B7C2-7AC92828CB3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3" w:fontKey="{EB39E3BB-EF9C-4B92-B307-8743EB4369B5}"/>
  </w:font>
  <w:font w:name="仿宋">
    <w:panose1 w:val="02010609060101010101"/>
    <w:charset w:val="86"/>
    <w:family w:val="modern"/>
    <w:pitch w:val="default"/>
    <w:sig w:usb0="800002BF" w:usb1="38CF7CFA" w:usb2="00000016" w:usb3="00000000" w:csb0="00040001" w:csb1="00000000"/>
    <w:embedRegular r:id="rId4" w:fontKey="{609EC575-CB8E-4447-91AC-4F3FBB358B65}"/>
  </w:font>
  <w:font w:name="Cambria">
    <w:panose1 w:val="02040503050406030204"/>
    <w:charset w:val="00"/>
    <w:family w:val="roman"/>
    <w:pitch w:val="default"/>
    <w:sig w:usb0="E00002FF" w:usb1="400004FF"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embedRegular r:id="rId5" w:fontKey="{4D787806-DD11-40F7-AAC7-C5564388DB83}"/>
  </w:font>
  <w:font w:name="方正书宋_GBK">
    <w:altName w:val="微软雅黑"/>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embedRegular r:id="rId6" w:fontKey="{AFA0A707-DB3A-4787-84D9-19CDFAC26A13}"/>
  </w:font>
  <w:font w:name="方正仿宋_GB2312">
    <w:panose1 w:val="02000000000000000000"/>
    <w:charset w:val="86"/>
    <w:family w:val="auto"/>
    <w:pitch w:val="default"/>
    <w:sig w:usb0="A00002BF" w:usb1="184F6CFA" w:usb2="00000012" w:usb3="00000000" w:csb0="00040001" w:csb1="00000000"/>
    <w:embedRegular r:id="rId7" w:fontKey="{EBECC74A-5564-4699-BA78-5F8599D77CDC}"/>
  </w:font>
  <w:font w:name="CESI楷体-GB2312">
    <w:altName w:val="宋体"/>
    <w:panose1 w:val="00000000000000000000"/>
    <w:charset w:val="00"/>
    <w:family w:val="auto"/>
    <w:pitch w:val="default"/>
    <w:sig w:usb0="00000000" w:usb1="00000000" w:usb2="00000000" w:usb3="00000000" w:csb0="00000000" w:csb1="00000000"/>
    <w:embedRegular r:id="rId8" w:fontKey="{F2001AFA-1109-4279-9AD6-D788811263B7}"/>
  </w:font>
  <w:font w:name="方正小标宋简体">
    <w:altName w:val="黑体"/>
    <w:panose1 w:val="02010601030101010101"/>
    <w:charset w:val="86"/>
    <w:family w:val="auto"/>
    <w:pitch w:val="default"/>
    <w:sig w:usb0="00000000" w:usb1="00000000" w:usb2="00000000" w:usb3="00000000" w:csb0="00040000" w:csb1="00000000"/>
    <w:embedRegular r:id="rId9" w:fontKey="{FB2B913E-871E-43F2-8701-5A866B769602}"/>
  </w:font>
  <w:font w:name="KaiTi_GB2312">
    <w:altName w:val="楷体"/>
    <w:panose1 w:val="02010609030101010101"/>
    <w:charset w:val="86"/>
    <w:family w:val="auto"/>
    <w:pitch w:val="default"/>
    <w:sig w:usb0="00000000" w:usb1="00000000" w:usb2="00000000" w:usb3="00000000" w:csb0="00040000" w:csb1="00000000"/>
    <w:embedRegular r:id="rId10" w:fontKey="{06E68CD6-362A-40C0-803F-193D8D780BE4}"/>
  </w:font>
  <w:font w:name="方正黑体_GBK">
    <w:altName w:val="微软雅黑"/>
    <w:panose1 w:val="00000000000000000000"/>
    <w:charset w:val="00"/>
    <w:family w:val="auto"/>
    <w:pitch w:val="default"/>
    <w:sig w:usb0="00000000" w:usb1="00000000" w:usb2="00000000" w:usb3="00000000" w:csb0="00000000" w:csb1="00000000"/>
    <w:embedRegular r:id="rId11" w:fontKey="{0CE502DC-DA4F-48A0-B87C-108B81247271}"/>
  </w:font>
  <w:font w:name="FangSong_GB2312">
    <w:altName w:val="仿宋"/>
    <w:panose1 w:val="02010609030101010101"/>
    <w:charset w:val="86"/>
    <w:family w:val="auto"/>
    <w:pitch w:val="default"/>
    <w:sig w:usb0="00000000" w:usb1="00000000" w:usb2="00000000" w:usb3="00000000" w:csb0="00040000" w:csb1="00000000"/>
    <w:embedRegular r:id="rId12" w:fontKey="{26CE22E5-11EC-4693-93EC-E2FB19E0A034}"/>
  </w:font>
  <w:font w:name="仿宋_GB2312">
    <w:altName w:val="仿宋"/>
    <w:panose1 w:val="02010609030101010101"/>
    <w:charset w:val="86"/>
    <w:family w:val="auto"/>
    <w:pitch w:val="default"/>
    <w:sig w:usb0="00000000" w:usb1="00000000" w:usb2="00000000" w:usb3="00000000" w:csb0="00040000" w:csb1="00000000"/>
    <w:embedRegular r:id="rId13" w:fontKey="{B88563A7-B54B-4B3F-9C74-B0CB0F6D59C6}"/>
  </w:font>
  <w:font w:name="楷体_GB2312">
    <w:altName w:val="楷体"/>
    <w:panose1 w:val="02010609030101010101"/>
    <w:charset w:val="86"/>
    <w:family w:val="auto"/>
    <w:pitch w:val="default"/>
    <w:sig w:usb0="00000000" w:usb1="00000000" w:usb2="00000000" w:usb3="00000000" w:csb0="00040000" w:csb1="00000000"/>
    <w:embedRegular r:id="rId14" w:fontKey="{94A906CF-B03A-4D2E-B02D-823396B11C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37A98E">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2CEBD">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A70F167">
                          <w:pPr>
                            <w:pStyle w:val="10"/>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14:paraId="7A70F167">
                    <w:pPr>
                      <w:pStyle w:val="10"/>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F57824"/>
    <w:multiLevelType w:val="singleLevel"/>
    <w:tmpl w:val="CFF57824"/>
    <w:lvl w:ilvl="0" w:tentative="0">
      <w:start w:val="3"/>
      <w:numFmt w:val="decimal"/>
      <w:lvlText w:val="%1."/>
      <w:lvlJc w:val="left"/>
      <w:pPr>
        <w:tabs>
          <w:tab w:val="left" w:pos="312"/>
        </w:tabs>
      </w:pPr>
    </w:lvl>
  </w:abstractNum>
  <w:abstractNum w:abstractNumId="1">
    <w:nsid w:val="D2EC3771"/>
    <w:multiLevelType w:val="singleLevel"/>
    <w:tmpl w:val="D2EC3771"/>
    <w:lvl w:ilvl="0" w:tentative="0">
      <w:start w:val="1"/>
      <w:numFmt w:val="decimal"/>
      <w:lvlText w:val="%1"/>
      <w:lvlJc w:val="left"/>
      <w:pPr>
        <w:tabs>
          <w:tab w:val="left" w:pos="420"/>
        </w:tabs>
        <w:ind w:left="425" w:hanging="425"/>
      </w:pPr>
      <w:rPr>
        <w:rFonts w:hint="default"/>
      </w:rPr>
    </w:lvl>
  </w:abstractNum>
  <w:abstractNum w:abstractNumId="2">
    <w:nsid w:val="F167B430"/>
    <w:multiLevelType w:val="singleLevel"/>
    <w:tmpl w:val="F167B430"/>
    <w:lvl w:ilvl="0" w:tentative="0">
      <w:start w:val="1"/>
      <w:numFmt w:val="chineseCounting"/>
      <w:suff w:val="nothing"/>
      <w:lvlText w:val="（%1）"/>
      <w:lvlJc w:val="left"/>
      <w:rPr>
        <w:rFonts w:hint="eastAsia"/>
      </w:rPr>
    </w:lvl>
  </w:abstractNum>
  <w:abstractNum w:abstractNumId="3">
    <w:nsid w:val="F7C21EF7"/>
    <w:multiLevelType w:val="singleLevel"/>
    <w:tmpl w:val="F7C21EF7"/>
    <w:lvl w:ilvl="0" w:tentative="0">
      <w:start w:val="2"/>
      <w:numFmt w:val="decimal"/>
      <w:lvlText w:val="%1."/>
      <w:lvlJc w:val="left"/>
      <w:pPr>
        <w:tabs>
          <w:tab w:val="left" w:pos="312"/>
        </w:tabs>
      </w:pPr>
    </w:lvl>
  </w:abstractNum>
  <w:abstractNum w:abstractNumId="4">
    <w:nsid w:val="04D41DFD"/>
    <w:multiLevelType w:val="singleLevel"/>
    <w:tmpl w:val="04D41DFD"/>
    <w:lvl w:ilvl="0" w:tentative="0">
      <w:start w:val="9"/>
      <w:numFmt w:val="chineseCounting"/>
      <w:suff w:val="nothing"/>
      <w:lvlText w:val="%1、"/>
      <w:lvlJc w:val="left"/>
      <w:rPr>
        <w:rFonts w:hint="eastAsia"/>
      </w:rPr>
    </w:lvl>
  </w:abstractNum>
  <w:abstractNum w:abstractNumId="5">
    <w:nsid w:val="1224D179"/>
    <w:multiLevelType w:val="singleLevel"/>
    <w:tmpl w:val="1224D179"/>
    <w:lvl w:ilvl="0" w:tentative="0">
      <w:start w:val="3"/>
      <w:numFmt w:val="chineseCounting"/>
      <w:suff w:val="nothing"/>
      <w:lvlText w:val="%1、"/>
      <w:lvlJc w:val="left"/>
      <w:rPr>
        <w:rFonts w:hint="eastAsia"/>
      </w:rPr>
    </w:lvl>
  </w:abstractNum>
  <w:num w:numId="1">
    <w:abstractNumId w:val="1"/>
  </w:num>
  <w:num w:numId="2">
    <w:abstractNumId w:val="3"/>
  </w:num>
  <w:num w:numId="3">
    <w:abstractNumId w:val="0"/>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attachedTemplate r:id="rId1"/>
  <w:documentProtection w:enforcement="0"/>
  <w:defaultTabStop w:val="420"/>
  <w:drawingGridVerticalSpacing w:val="159"/>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JmNjE3YjI1ZDQ0ZjNiZTdhYmZjMzg3N2NjOTlkMzkifQ=="/>
  </w:docVars>
  <w:rsids>
    <w:rsidRoot w:val="3390740E"/>
    <w:rsid w:val="000E5F84"/>
    <w:rsid w:val="000F69F9"/>
    <w:rsid w:val="00183D1F"/>
    <w:rsid w:val="00257221"/>
    <w:rsid w:val="002A42F1"/>
    <w:rsid w:val="003345CE"/>
    <w:rsid w:val="003F7D4E"/>
    <w:rsid w:val="00504317"/>
    <w:rsid w:val="005D68E6"/>
    <w:rsid w:val="00717D3D"/>
    <w:rsid w:val="007B6AC9"/>
    <w:rsid w:val="00821480"/>
    <w:rsid w:val="00C75F96"/>
    <w:rsid w:val="00CB0A5C"/>
    <w:rsid w:val="00CD1ABF"/>
    <w:rsid w:val="00CF0468"/>
    <w:rsid w:val="00D310F9"/>
    <w:rsid w:val="00E462C7"/>
    <w:rsid w:val="00F07841"/>
    <w:rsid w:val="01070540"/>
    <w:rsid w:val="01175585"/>
    <w:rsid w:val="012C09E6"/>
    <w:rsid w:val="01391B08"/>
    <w:rsid w:val="01415FE7"/>
    <w:rsid w:val="0153326A"/>
    <w:rsid w:val="015F4D05"/>
    <w:rsid w:val="016E15F0"/>
    <w:rsid w:val="01875DDB"/>
    <w:rsid w:val="019D59F3"/>
    <w:rsid w:val="01A122BC"/>
    <w:rsid w:val="01C963F3"/>
    <w:rsid w:val="01D82F31"/>
    <w:rsid w:val="01E65A4B"/>
    <w:rsid w:val="01EB70EB"/>
    <w:rsid w:val="01EE2956"/>
    <w:rsid w:val="01F30FC2"/>
    <w:rsid w:val="01F37548"/>
    <w:rsid w:val="01F7546E"/>
    <w:rsid w:val="01FE3195"/>
    <w:rsid w:val="02083F8B"/>
    <w:rsid w:val="020E7FC9"/>
    <w:rsid w:val="02244E15"/>
    <w:rsid w:val="02251590"/>
    <w:rsid w:val="02542E95"/>
    <w:rsid w:val="0261475F"/>
    <w:rsid w:val="026D4780"/>
    <w:rsid w:val="02702F0F"/>
    <w:rsid w:val="02B65A9C"/>
    <w:rsid w:val="02B93245"/>
    <w:rsid w:val="02C44E0D"/>
    <w:rsid w:val="02CB6666"/>
    <w:rsid w:val="02D4220F"/>
    <w:rsid w:val="02D5148B"/>
    <w:rsid w:val="02D637A2"/>
    <w:rsid w:val="02F53801"/>
    <w:rsid w:val="031F6079"/>
    <w:rsid w:val="03222A2A"/>
    <w:rsid w:val="032950CF"/>
    <w:rsid w:val="032F2F44"/>
    <w:rsid w:val="034E48C7"/>
    <w:rsid w:val="035510DA"/>
    <w:rsid w:val="036B6108"/>
    <w:rsid w:val="03752E0D"/>
    <w:rsid w:val="037551E4"/>
    <w:rsid w:val="037A0CC5"/>
    <w:rsid w:val="038807BB"/>
    <w:rsid w:val="03AD45BE"/>
    <w:rsid w:val="03CC4DBC"/>
    <w:rsid w:val="03D06C4D"/>
    <w:rsid w:val="03D90444"/>
    <w:rsid w:val="03D96696"/>
    <w:rsid w:val="03E9486D"/>
    <w:rsid w:val="03EA6160"/>
    <w:rsid w:val="03F969C2"/>
    <w:rsid w:val="03FC0286"/>
    <w:rsid w:val="04016EE0"/>
    <w:rsid w:val="041D63F5"/>
    <w:rsid w:val="042C47F4"/>
    <w:rsid w:val="043E30AA"/>
    <w:rsid w:val="044903E8"/>
    <w:rsid w:val="04596144"/>
    <w:rsid w:val="04744645"/>
    <w:rsid w:val="04DB3B6D"/>
    <w:rsid w:val="04E516C2"/>
    <w:rsid w:val="04FB7C3B"/>
    <w:rsid w:val="05323B75"/>
    <w:rsid w:val="053B11D1"/>
    <w:rsid w:val="05432BBE"/>
    <w:rsid w:val="055612CF"/>
    <w:rsid w:val="056B7F9F"/>
    <w:rsid w:val="05710667"/>
    <w:rsid w:val="05746FC2"/>
    <w:rsid w:val="057A683F"/>
    <w:rsid w:val="05AB6A8B"/>
    <w:rsid w:val="05C52B50"/>
    <w:rsid w:val="05D35F51"/>
    <w:rsid w:val="05E56821"/>
    <w:rsid w:val="05EF79D4"/>
    <w:rsid w:val="05F97384"/>
    <w:rsid w:val="060807D0"/>
    <w:rsid w:val="062A581B"/>
    <w:rsid w:val="06320521"/>
    <w:rsid w:val="0632635B"/>
    <w:rsid w:val="06510F22"/>
    <w:rsid w:val="068C5DE8"/>
    <w:rsid w:val="069232A2"/>
    <w:rsid w:val="06991BD4"/>
    <w:rsid w:val="06A12303"/>
    <w:rsid w:val="06A80E81"/>
    <w:rsid w:val="06B10804"/>
    <w:rsid w:val="06BE4464"/>
    <w:rsid w:val="06BF698D"/>
    <w:rsid w:val="06C14BEB"/>
    <w:rsid w:val="06EA3448"/>
    <w:rsid w:val="06F74826"/>
    <w:rsid w:val="06F865FE"/>
    <w:rsid w:val="070C1791"/>
    <w:rsid w:val="07163664"/>
    <w:rsid w:val="07335318"/>
    <w:rsid w:val="07431E20"/>
    <w:rsid w:val="07481B6A"/>
    <w:rsid w:val="074A1D85"/>
    <w:rsid w:val="07750484"/>
    <w:rsid w:val="07762DFC"/>
    <w:rsid w:val="07771E68"/>
    <w:rsid w:val="07A07BF6"/>
    <w:rsid w:val="07AC0471"/>
    <w:rsid w:val="07C66721"/>
    <w:rsid w:val="07D01B5E"/>
    <w:rsid w:val="07D21C55"/>
    <w:rsid w:val="07DF55C6"/>
    <w:rsid w:val="07E53F09"/>
    <w:rsid w:val="07E94B24"/>
    <w:rsid w:val="080003BB"/>
    <w:rsid w:val="080C2673"/>
    <w:rsid w:val="081B03FF"/>
    <w:rsid w:val="08255F0D"/>
    <w:rsid w:val="083660F9"/>
    <w:rsid w:val="083C5DB1"/>
    <w:rsid w:val="084C38DA"/>
    <w:rsid w:val="08543F95"/>
    <w:rsid w:val="087211AD"/>
    <w:rsid w:val="08733318"/>
    <w:rsid w:val="08736E17"/>
    <w:rsid w:val="08AE079C"/>
    <w:rsid w:val="08BB7D2B"/>
    <w:rsid w:val="08C611A2"/>
    <w:rsid w:val="08CF0CCF"/>
    <w:rsid w:val="08ED168F"/>
    <w:rsid w:val="08F54CBF"/>
    <w:rsid w:val="08FB50E9"/>
    <w:rsid w:val="0908276D"/>
    <w:rsid w:val="09153A5B"/>
    <w:rsid w:val="0929339D"/>
    <w:rsid w:val="09307D48"/>
    <w:rsid w:val="093C2B8B"/>
    <w:rsid w:val="093E30C8"/>
    <w:rsid w:val="09423F74"/>
    <w:rsid w:val="0949693F"/>
    <w:rsid w:val="095E7F80"/>
    <w:rsid w:val="096114E9"/>
    <w:rsid w:val="097207A7"/>
    <w:rsid w:val="097B5705"/>
    <w:rsid w:val="099C2425"/>
    <w:rsid w:val="09AC6560"/>
    <w:rsid w:val="09B21BFC"/>
    <w:rsid w:val="09B6172E"/>
    <w:rsid w:val="09CE39D9"/>
    <w:rsid w:val="0A014CC5"/>
    <w:rsid w:val="0A117773"/>
    <w:rsid w:val="0A163389"/>
    <w:rsid w:val="0A1B3564"/>
    <w:rsid w:val="0A3E4F9F"/>
    <w:rsid w:val="0A6B35E6"/>
    <w:rsid w:val="0A6F2814"/>
    <w:rsid w:val="0A7260F8"/>
    <w:rsid w:val="0A79469D"/>
    <w:rsid w:val="0A826E25"/>
    <w:rsid w:val="0A8A2F8A"/>
    <w:rsid w:val="0A8A693C"/>
    <w:rsid w:val="0A99458C"/>
    <w:rsid w:val="0A997BCB"/>
    <w:rsid w:val="0AA930A8"/>
    <w:rsid w:val="0AC26A55"/>
    <w:rsid w:val="0AD1533C"/>
    <w:rsid w:val="0AD876A7"/>
    <w:rsid w:val="0AE012A0"/>
    <w:rsid w:val="0AE96C40"/>
    <w:rsid w:val="0AF522F6"/>
    <w:rsid w:val="0B2039EA"/>
    <w:rsid w:val="0B2125EB"/>
    <w:rsid w:val="0B346668"/>
    <w:rsid w:val="0B484530"/>
    <w:rsid w:val="0B574100"/>
    <w:rsid w:val="0B697DDE"/>
    <w:rsid w:val="0B74741F"/>
    <w:rsid w:val="0B8C60D9"/>
    <w:rsid w:val="0BB63E43"/>
    <w:rsid w:val="0BC35275"/>
    <w:rsid w:val="0BCA0D2D"/>
    <w:rsid w:val="0BCE15C6"/>
    <w:rsid w:val="0BD10911"/>
    <w:rsid w:val="0BD466FD"/>
    <w:rsid w:val="0BE3399B"/>
    <w:rsid w:val="0BE837C1"/>
    <w:rsid w:val="0BFB56F7"/>
    <w:rsid w:val="0C1116C9"/>
    <w:rsid w:val="0C1B5F64"/>
    <w:rsid w:val="0C2A1362"/>
    <w:rsid w:val="0C472212"/>
    <w:rsid w:val="0C8218FF"/>
    <w:rsid w:val="0C947D72"/>
    <w:rsid w:val="0C9C7B9C"/>
    <w:rsid w:val="0C9D0E7A"/>
    <w:rsid w:val="0C9E5B95"/>
    <w:rsid w:val="0CA84FED"/>
    <w:rsid w:val="0CAC56D3"/>
    <w:rsid w:val="0CAE12C9"/>
    <w:rsid w:val="0CB14328"/>
    <w:rsid w:val="0CC53AF0"/>
    <w:rsid w:val="0CC57E17"/>
    <w:rsid w:val="0CCC42D6"/>
    <w:rsid w:val="0CD20FBC"/>
    <w:rsid w:val="0CDC6477"/>
    <w:rsid w:val="0CE70B53"/>
    <w:rsid w:val="0CEA7D08"/>
    <w:rsid w:val="0D0267DB"/>
    <w:rsid w:val="0D103EF7"/>
    <w:rsid w:val="0D1B505A"/>
    <w:rsid w:val="0D1B6BD4"/>
    <w:rsid w:val="0D1F2BE5"/>
    <w:rsid w:val="0D2C3CDA"/>
    <w:rsid w:val="0D3B136F"/>
    <w:rsid w:val="0D682F64"/>
    <w:rsid w:val="0D722221"/>
    <w:rsid w:val="0D870673"/>
    <w:rsid w:val="0D9F609E"/>
    <w:rsid w:val="0DC12596"/>
    <w:rsid w:val="0DCA5649"/>
    <w:rsid w:val="0DD90D2A"/>
    <w:rsid w:val="0DE235C5"/>
    <w:rsid w:val="0DEC7D15"/>
    <w:rsid w:val="0E023EE8"/>
    <w:rsid w:val="0E125859"/>
    <w:rsid w:val="0E176739"/>
    <w:rsid w:val="0E344C14"/>
    <w:rsid w:val="0E4B4C2C"/>
    <w:rsid w:val="0E5F1184"/>
    <w:rsid w:val="0E66233C"/>
    <w:rsid w:val="0E7304E4"/>
    <w:rsid w:val="0E8E58EF"/>
    <w:rsid w:val="0E9276B1"/>
    <w:rsid w:val="0ED0174A"/>
    <w:rsid w:val="0ED57C79"/>
    <w:rsid w:val="0EEC4D96"/>
    <w:rsid w:val="0F3126FC"/>
    <w:rsid w:val="0F447544"/>
    <w:rsid w:val="0F501231"/>
    <w:rsid w:val="0F530DBF"/>
    <w:rsid w:val="0F566FA2"/>
    <w:rsid w:val="0F8310EE"/>
    <w:rsid w:val="0F963B27"/>
    <w:rsid w:val="0F984437"/>
    <w:rsid w:val="0FA364D6"/>
    <w:rsid w:val="0FA830CD"/>
    <w:rsid w:val="0FAD3B2A"/>
    <w:rsid w:val="0FD6081C"/>
    <w:rsid w:val="0FE33A4D"/>
    <w:rsid w:val="0FFD654C"/>
    <w:rsid w:val="10003075"/>
    <w:rsid w:val="103D44C2"/>
    <w:rsid w:val="10496D35"/>
    <w:rsid w:val="104E10D6"/>
    <w:rsid w:val="10596505"/>
    <w:rsid w:val="10656094"/>
    <w:rsid w:val="10741C20"/>
    <w:rsid w:val="10756B4C"/>
    <w:rsid w:val="107D54B5"/>
    <w:rsid w:val="108038C1"/>
    <w:rsid w:val="10911D53"/>
    <w:rsid w:val="109C5C98"/>
    <w:rsid w:val="10A00624"/>
    <w:rsid w:val="10A2208C"/>
    <w:rsid w:val="10BB2BCF"/>
    <w:rsid w:val="10DD7D2D"/>
    <w:rsid w:val="10F539FE"/>
    <w:rsid w:val="1109016A"/>
    <w:rsid w:val="110A7B20"/>
    <w:rsid w:val="11172717"/>
    <w:rsid w:val="11212114"/>
    <w:rsid w:val="11236A99"/>
    <w:rsid w:val="113523F9"/>
    <w:rsid w:val="114855C9"/>
    <w:rsid w:val="114900F8"/>
    <w:rsid w:val="11491476"/>
    <w:rsid w:val="115A7068"/>
    <w:rsid w:val="116332AF"/>
    <w:rsid w:val="117F688B"/>
    <w:rsid w:val="1191204D"/>
    <w:rsid w:val="11A06393"/>
    <w:rsid w:val="11A960ED"/>
    <w:rsid w:val="11AD7CE2"/>
    <w:rsid w:val="11E458A0"/>
    <w:rsid w:val="11F800D4"/>
    <w:rsid w:val="11FE076A"/>
    <w:rsid w:val="12042B30"/>
    <w:rsid w:val="12174F59"/>
    <w:rsid w:val="122074B8"/>
    <w:rsid w:val="122F2C62"/>
    <w:rsid w:val="12313FA7"/>
    <w:rsid w:val="12346111"/>
    <w:rsid w:val="12485935"/>
    <w:rsid w:val="125674F8"/>
    <w:rsid w:val="1270734D"/>
    <w:rsid w:val="12740DBB"/>
    <w:rsid w:val="128955F1"/>
    <w:rsid w:val="128979BF"/>
    <w:rsid w:val="12B14FCC"/>
    <w:rsid w:val="12B952F9"/>
    <w:rsid w:val="12C37788"/>
    <w:rsid w:val="12FE7961"/>
    <w:rsid w:val="12FF3845"/>
    <w:rsid w:val="13012BA9"/>
    <w:rsid w:val="130A5013"/>
    <w:rsid w:val="13133FCF"/>
    <w:rsid w:val="132F46EA"/>
    <w:rsid w:val="13315C15"/>
    <w:rsid w:val="13485CBB"/>
    <w:rsid w:val="13640C2C"/>
    <w:rsid w:val="13720110"/>
    <w:rsid w:val="13763F01"/>
    <w:rsid w:val="13764281"/>
    <w:rsid w:val="138F3179"/>
    <w:rsid w:val="13A22600"/>
    <w:rsid w:val="13A2736A"/>
    <w:rsid w:val="13B93367"/>
    <w:rsid w:val="13BA10A8"/>
    <w:rsid w:val="13DA623E"/>
    <w:rsid w:val="13DE1DCC"/>
    <w:rsid w:val="13F42390"/>
    <w:rsid w:val="13F60424"/>
    <w:rsid w:val="13FA4DCC"/>
    <w:rsid w:val="13FD5ED0"/>
    <w:rsid w:val="14043122"/>
    <w:rsid w:val="140D2787"/>
    <w:rsid w:val="14151024"/>
    <w:rsid w:val="14257900"/>
    <w:rsid w:val="1431124A"/>
    <w:rsid w:val="143570B8"/>
    <w:rsid w:val="14506409"/>
    <w:rsid w:val="145265C5"/>
    <w:rsid w:val="145F5CED"/>
    <w:rsid w:val="14723C15"/>
    <w:rsid w:val="147240DC"/>
    <w:rsid w:val="14873CD3"/>
    <w:rsid w:val="148B7538"/>
    <w:rsid w:val="1493309E"/>
    <w:rsid w:val="149F2995"/>
    <w:rsid w:val="14A34B4D"/>
    <w:rsid w:val="14B1350D"/>
    <w:rsid w:val="14C43FCC"/>
    <w:rsid w:val="14C5798B"/>
    <w:rsid w:val="14D17AC5"/>
    <w:rsid w:val="150F33B2"/>
    <w:rsid w:val="152E3182"/>
    <w:rsid w:val="15330703"/>
    <w:rsid w:val="1534197E"/>
    <w:rsid w:val="153642B2"/>
    <w:rsid w:val="15395E74"/>
    <w:rsid w:val="154C6E75"/>
    <w:rsid w:val="154D0C92"/>
    <w:rsid w:val="15522AA8"/>
    <w:rsid w:val="15526579"/>
    <w:rsid w:val="15535782"/>
    <w:rsid w:val="15563035"/>
    <w:rsid w:val="155A27C6"/>
    <w:rsid w:val="155B515D"/>
    <w:rsid w:val="1562473D"/>
    <w:rsid w:val="15636F6C"/>
    <w:rsid w:val="156E495F"/>
    <w:rsid w:val="15904BD1"/>
    <w:rsid w:val="159653F6"/>
    <w:rsid w:val="159A763D"/>
    <w:rsid w:val="15D265B1"/>
    <w:rsid w:val="15D71B05"/>
    <w:rsid w:val="15E72E94"/>
    <w:rsid w:val="15F24AA9"/>
    <w:rsid w:val="15F7347C"/>
    <w:rsid w:val="1605282A"/>
    <w:rsid w:val="160D62DB"/>
    <w:rsid w:val="162978A1"/>
    <w:rsid w:val="162B6AFB"/>
    <w:rsid w:val="162F2805"/>
    <w:rsid w:val="163C4F8E"/>
    <w:rsid w:val="163D3672"/>
    <w:rsid w:val="166A720D"/>
    <w:rsid w:val="16A70ED7"/>
    <w:rsid w:val="16C36C63"/>
    <w:rsid w:val="16D21901"/>
    <w:rsid w:val="16D677EB"/>
    <w:rsid w:val="172719AB"/>
    <w:rsid w:val="175E0E32"/>
    <w:rsid w:val="17672E19"/>
    <w:rsid w:val="176C79DE"/>
    <w:rsid w:val="177A0E1F"/>
    <w:rsid w:val="177A4DE4"/>
    <w:rsid w:val="179A7F22"/>
    <w:rsid w:val="17D06426"/>
    <w:rsid w:val="17D67296"/>
    <w:rsid w:val="17D763C2"/>
    <w:rsid w:val="17DB3467"/>
    <w:rsid w:val="17E019C9"/>
    <w:rsid w:val="17FF3DE1"/>
    <w:rsid w:val="180D4289"/>
    <w:rsid w:val="18280AEF"/>
    <w:rsid w:val="1828551D"/>
    <w:rsid w:val="182B24D0"/>
    <w:rsid w:val="186D436E"/>
    <w:rsid w:val="1893035F"/>
    <w:rsid w:val="18A62CFB"/>
    <w:rsid w:val="18A9254F"/>
    <w:rsid w:val="18AD4955"/>
    <w:rsid w:val="18B875FE"/>
    <w:rsid w:val="18C91115"/>
    <w:rsid w:val="18E63730"/>
    <w:rsid w:val="18ED0502"/>
    <w:rsid w:val="18ED27E5"/>
    <w:rsid w:val="18F35DEF"/>
    <w:rsid w:val="18FA252A"/>
    <w:rsid w:val="19001E90"/>
    <w:rsid w:val="191743CE"/>
    <w:rsid w:val="19267F8A"/>
    <w:rsid w:val="19346493"/>
    <w:rsid w:val="1938125B"/>
    <w:rsid w:val="19466F5D"/>
    <w:rsid w:val="195D2117"/>
    <w:rsid w:val="195D5B5D"/>
    <w:rsid w:val="195E62EC"/>
    <w:rsid w:val="1977008B"/>
    <w:rsid w:val="197E066E"/>
    <w:rsid w:val="197E79E0"/>
    <w:rsid w:val="19824B1D"/>
    <w:rsid w:val="19832915"/>
    <w:rsid w:val="198B3288"/>
    <w:rsid w:val="199A751A"/>
    <w:rsid w:val="199D34CE"/>
    <w:rsid w:val="19A7784D"/>
    <w:rsid w:val="19AF7D74"/>
    <w:rsid w:val="19B14D58"/>
    <w:rsid w:val="19B80CF9"/>
    <w:rsid w:val="19BA7280"/>
    <w:rsid w:val="19D23783"/>
    <w:rsid w:val="19D86E3E"/>
    <w:rsid w:val="19DE6130"/>
    <w:rsid w:val="1A1E72ED"/>
    <w:rsid w:val="1A5D0081"/>
    <w:rsid w:val="1A6B3A9A"/>
    <w:rsid w:val="1A6E2F19"/>
    <w:rsid w:val="1A7B306F"/>
    <w:rsid w:val="1A7D3665"/>
    <w:rsid w:val="1A806848"/>
    <w:rsid w:val="1A814826"/>
    <w:rsid w:val="1A846758"/>
    <w:rsid w:val="1A877C75"/>
    <w:rsid w:val="1A8A3DEE"/>
    <w:rsid w:val="1A8D5023"/>
    <w:rsid w:val="1A921E3C"/>
    <w:rsid w:val="1A996EE3"/>
    <w:rsid w:val="1A9B4D59"/>
    <w:rsid w:val="1AA651E6"/>
    <w:rsid w:val="1AAE51B4"/>
    <w:rsid w:val="1AD64CAF"/>
    <w:rsid w:val="1AEA43A3"/>
    <w:rsid w:val="1AFA0C51"/>
    <w:rsid w:val="1AFE4EC5"/>
    <w:rsid w:val="1B4030F3"/>
    <w:rsid w:val="1B47553D"/>
    <w:rsid w:val="1B5355BA"/>
    <w:rsid w:val="1B624BD0"/>
    <w:rsid w:val="1B817614"/>
    <w:rsid w:val="1B8204F5"/>
    <w:rsid w:val="1B9253A3"/>
    <w:rsid w:val="1BBD16AB"/>
    <w:rsid w:val="1BD24A3B"/>
    <w:rsid w:val="1BE20BDB"/>
    <w:rsid w:val="1BF63E31"/>
    <w:rsid w:val="1C006A5E"/>
    <w:rsid w:val="1C1556A6"/>
    <w:rsid w:val="1C271037"/>
    <w:rsid w:val="1C416D24"/>
    <w:rsid w:val="1C6004FD"/>
    <w:rsid w:val="1C6C3CA4"/>
    <w:rsid w:val="1C7F3E27"/>
    <w:rsid w:val="1C8360BC"/>
    <w:rsid w:val="1C8506AB"/>
    <w:rsid w:val="1C900E01"/>
    <w:rsid w:val="1C9D7063"/>
    <w:rsid w:val="1CAF1A24"/>
    <w:rsid w:val="1CB87044"/>
    <w:rsid w:val="1CBF1AAB"/>
    <w:rsid w:val="1CBF3AA6"/>
    <w:rsid w:val="1CC5781E"/>
    <w:rsid w:val="1CCB4714"/>
    <w:rsid w:val="1CEE58A5"/>
    <w:rsid w:val="1CF2640C"/>
    <w:rsid w:val="1D065A97"/>
    <w:rsid w:val="1D0A3BF7"/>
    <w:rsid w:val="1D161258"/>
    <w:rsid w:val="1D262F1B"/>
    <w:rsid w:val="1D305A28"/>
    <w:rsid w:val="1D3515C9"/>
    <w:rsid w:val="1D47018A"/>
    <w:rsid w:val="1D504947"/>
    <w:rsid w:val="1D5A22AC"/>
    <w:rsid w:val="1D603631"/>
    <w:rsid w:val="1D723B16"/>
    <w:rsid w:val="1D7A35D1"/>
    <w:rsid w:val="1D877F6B"/>
    <w:rsid w:val="1D9341AB"/>
    <w:rsid w:val="1DA3608C"/>
    <w:rsid w:val="1DBB668E"/>
    <w:rsid w:val="1DBE4CB0"/>
    <w:rsid w:val="1DCA48A3"/>
    <w:rsid w:val="1DD261D8"/>
    <w:rsid w:val="1DDE073E"/>
    <w:rsid w:val="1DDE453E"/>
    <w:rsid w:val="1DEF3A5A"/>
    <w:rsid w:val="1E04051A"/>
    <w:rsid w:val="1E0C3498"/>
    <w:rsid w:val="1E1660C5"/>
    <w:rsid w:val="1E344AFA"/>
    <w:rsid w:val="1E4002A3"/>
    <w:rsid w:val="1E414EFE"/>
    <w:rsid w:val="1E5417B6"/>
    <w:rsid w:val="1E6F0FA6"/>
    <w:rsid w:val="1E7F1AFC"/>
    <w:rsid w:val="1E8723AC"/>
    <w:rsid w:val="1E9224A7"/>
    <w:rsid w:val="1EAA2EA9"/>
    <w:rsid w:val="1EAD1413"/>
    <w:rsid w:val="1EB23E31"/>
    <w:rsid w:val="1EBD7021"/>
    <w:rsid w:val="1EC4120D"/>
    <w:rsid w:val="1EC50873"/>
    <w:rsid w:val="1EC9771A"/>
    <w:rsid w:val="1ECC13D5"/>
    <w:rsid w:val="1ECC332E"/>
    <w:rsid w:val="1EDB388A"/>
    <w:rsid w:val="1EE461C3"/>
    <w:rsid w:val="1EEB6304"/>
    <w:rsid w:val="1F004906"/>
    <w:rsid w:val="1F091C2E"/>
    <w:rsid w:val="1F0F2CAA"/>
    <w:rsid w:val="1F0F3AC4"/>
    <w:rsid w:val="1F100342"/>
    <w:rsid w:val="1F122D30"/>
    <w:rsid w:val="1F182CC6"/>
    <w:rsid w:val="1F2A1D94"/>
    <w:rsid w:val="1F3B52CF"/>
    <w:rsid w:val="1F617814"/>
    <w:rsid w:val="1F791DEE"/>
    <w:rsid w:val="1F7C2114"/>
    <w:rsid w:val="1F89604C"/>
    <w:rsid w:val="1F9537B1"/>
    <w:rsid w:val="1F9A6949"/>
    <w:rsid w:val="1F9E2A5F"/>
    <w:rsid w:val="1F9E66C8"/>
    <w:rsid w:val="1FA34011"/>
    <w:rsid w:val="1FB90384"/>
    <w:rsid w:val="1FBC7945"/>
    <w:rsid w:val="1FC15CDC"/>
    <w:rsid w:val="1FDB4480"/>
    <w:rsid w:val="1FF82C2C"/>
    <w:rsid w:val="1FFA0403"/>
    <w:rsid w:val="201A219E"/>
    <w:rsid w:val="201A5E0D"/>
    <w:rsid w:val="202558E6"/>
    <w:rsid w:val="202F3F1B"/>
    <w:rsid w:val="20356666"/>
    <w:rsid w:val="2043206D"/>
    <w:rsid w:val="204A4D98"/>
    <w:rsid w:val="20684794"/>
    <w:rsid w:val="209963FC"/>
    <w:rsid w:val="209C2290"/>
    <w:rsid w:val="209F17AE"/>
    <w:rsid w:val="20AD5F53"/>
    <w:rsid w:val="20C633DE"/>
    <w:rsid w:val="20D220D6"/>
    <w:rsid w:val="20DC4B45"/>
    <w:rsid w:val="20EA2F22"/>
    <w:rsid w:val="211A1B65"/>
    <w:rsid w:val="21215F19"/>
    <w:rsid w:val="213A2764"/>
    <w:rsid w:val="21417C0C"/>
    <w:rsid w:val="21591B8A"/>
    <w:rsid w:val="21784EEB"/>
    <w:rsid w:val="218339B2"/>
    <w:rsid w:val="21925ED0"/>
    <w:rsid w:val="21A5397D"/>
    <w:rsid w:val="21A66DA0"/>
    <w:rsid w:val="21A67E33"/>
    <w:rsid w:val="21AE1E97"/>
    <w:rsid w:val="21B270B5"/>
    <w:rsid w:val="21B31565"/>
    <w:rsid w:val="21C034E1"/>
    <w:rsid w:val="21C14E47"/>
    <w:rsid w:val="21C4176D"/>
    <w:rsid w:val="21CC1483"/>
    <w:rsid w:val="21DF2C72"/>
    <w:rsid w:val="21E60B31"/>
    <w:rsid w:val="21E84CB9"/>
    <w:rsid w:val="21EC2697"/>
    <w:rsid w:val="2221772E"/>
    <w:rsid w:val="2247129B"/>
    <w:rsid w:val="225E028A"/>
    <w:rsid w:val="22664D98"/>
    <w:rsid w:val="22677FF9"/>
    <w:rsid w:val="22681568"/>
    <w:rsid w:val="226E2973"/>
    <w:rsid w:val="22821DF8"/>
    <w:rsid w:val="228B537C"/>
    <w:rsid w:val="22A27EB2"/>
    <w:rsid w:val="22B10AB2"/>
    <w:rsid w:val="22C22238"/>
    <w:rsid w:val="22CE4EDD"/>
    <w:rsid w:val="22F14D4B"/>
    <w:rsid w:val="230A5B58"/>
    <w:rsid w:val="230C63E4"/>
    <w:rsid w:val="23176E7F"/>
    <w:rsid w:val="23234ABF"/>
    <w:rsid w:val="23280701"/>
    <w:rsid w:val="235643A6"/>
    <w:rsid w:val="235A30C8"/>
    <w:rsid w:val="235F7E10"/>
    <w:rsid w:val="23612F5B"/>
    <w:rsid w:val="23672139"/>
    <w:rsid w:val="23696C97"/>
    <w:rsid w:val="2388722E"/>
    <w:rsid w:val="23974089"/>
    <w:rsid w:val="239D482D"/>
    <w:rsid w:val="23A5444E"/>
    <w:rsid w:val="23B7059F"/>
    <w:rsid w:val="23B73DEC"/>
    <w:rsid w:val="23CF0F9F"/>
    <w:rsid w:val="23D26F32"/>
    <w:rsid w:val="23E822B1"/>
    <w:rsid w:val="23E96AE2"/>
    <w:rsid w:val="2405544A"/>
    <w:rsid w:val="2409179A"/>
    <w:rsid w:val="24100FC7"/>
    <w:rsid w:val="241758E3"/>
    <w:rsid w:val="24230DED"/>
    <w:rsid w:val="24373239"/>
    <w:rsid w:val="243A5990"/>
    <w:rsid w:val="243C5298"/>
    <w:rsid w:val="244119C2"/>
    <w:rsid w:val="24462D8D"/>
    <w:rsid w:val="244D095E"/>
    <w:rsid w:val="244E574D"/>
    <w:rsid w:val="245448EF"/>
    <w:rsid w:val="245F77CA"/>
    <w:rsid w:val="24631119"/>
    <w:rsid w:val="247578BD"/>
    <w:rsid w:val="248C70B9"/>
    <w:rsid w:val="248D2864"/>
    <w:rsid w:val="248F5F18"/>
    <w:rsid w:val="24A56241"/>
    <w:rsid w:val="24A62CC5"/>
    <w:rsid w:val="24B34A6B"/>
    <w:rsid w:val="24BA3512"/>
    <w:rsid w:val="24DF5C4D"/>
    <w:rsid w:val="24E773E9"/>
    <w:rsid w:val="24F70EEB"/>
    <w:rsid w:val="24FF7695"/>
    <w:rsid w:val="25072AA2"/>
    <w:rsid w:val="25075964"/>
    <w:rsid w:val="251D52EB"/>
    <w:rsid w:val="252F3C1C"/>
    <w:rsid w:val="25302E70"/>
    <w:rsid w:val="253D0E40"/>
    <w:rsid w:val="2547757B"/>
    <w:rsid w:val="25497021"/>
    <w:rsid w:val="255203D9"/>
    <w:rsid w:val="255319AC"/>
    <w:rsid w:val="25671EF2"/>
    <w:rsid w:val="256D4524"/>
    <w:rsid w:val="258A4DB4"/>
    <w:rsid w:val="258E032F"/>
    <w:rsid w:val="25953D21"/>
    <w:rsid w:val="2598608C"/>
    <w:rsid w:val="259D31A0"/>
    <w:rsid w:val="259D6ED5"/>
    <w:rsid w:val="25A07DE4"/>
    <w:rsid w:val="25DB3872"/>
    <w:rsid w:val="25DE43E2"/>
    <w:rsid w:val="25F413E1"/>
    <w:rsid w:val="26063115"/>
    <w:rsid w:val="26094FF8"/>
    <w:rsid w:val="260F2E60"/>
    <w:rsid w:val="26103D41"/>
    <w:rsid w:val="26151358"/>
    <w:rsid w:val="26164DFC"/>
    <w:rsid w:val="26256535"/>
    <w:rsid w:val="263838C1"/>
    <w:rsid w:val="266208D7"/>
    <w:rsid w:val="26882B9F"/>
    <w:rsid w:val="268E6C1F"/>
    <w:rsid w:val="26906977"/>
    <w:rsid w:val="26926505"/>
    <w:rsid w:val="26965C29"/>
    <w:rsid w:val="26970B20"/>
    <w:rsid w:val="26A279BA"/>
    <w:rsid w:val="26B40FBC"/>
    <w:rsid w:val="26BA1553"/>
    <w:rsid w:val="26C47C06"/>
    <w:rsid w:val="26C54908"/>
    <w:rsid w:val="26D96290"/>
    <w:rsid w:val="26E00A85"/>
    <w:rsid w:val="26FB5B38"/>
    <w:rsid w:val="27050A1B"/>
    <w:rsid w:val="272727BE"/>
    <w:rsid w:val="272E5A75"/>
    <w:rsid w:val="27491752"/>
    <w:rsid w:val="2759134E"/>
    <w:rsid w:val="2759588C"/>
    <w:rsid w:val="275C5CD6"/>
    <w:rsid w:val="27734588"/>
    <w:rsid w:val="27852436"/>
    <w:rsid w:val="27893E69"/>
    <w:rsid w:val="27946DAA"/>
    <w:rsid w:val="279574D4"/>
    <w:rsid w:val="27BC0290"/>
    <w:rsid w:val="27C10ACA"/>
    <w:rsid w:val="27CB0E9C"/>
    <w:rsid w:val="27CC24BE"/>
    <w:rsid w:val="27D15AFC"/>
    <w:rsid w:val="27E47068"/>
    <w:rsid w:val="27EE5BA5"/>
    <w:rsid w:val="27F356C9"/>
    <w:rsid w:val="28017B69"/>
    <w:rsid w:val="28346222"/>
    <w:rsid w:val="283822D6"/>
    <w:rsid w:val="28397C62"/>
    <w:rsid w:val="28513D07"/>
    <w:rsid w:val="285724BA"/>
    <w:rsid w:val="28780180"/>
    <w:rsid w:val="28852A19"/>
    <w:rsid w:val="288A7DDB"/>
    <w:rsid w:val="289A1DD6"/>
    <w:rsid w:val="28A9720A"/>
    <w:rsid w:val="28C92869"/>
    <w:rsid w:val="28D53702"/>
    <w:rsid w:val="28D54C02"/>
    <w:rsid w:val="28E3740A"/>
    <w:rsid w:val="28E453FC"/>
    <w:rsid w:val="29121F00"/>
    <w:rsid w:val="2917291C"/>
    <w:rsid w:val="29274EFE"/>
    <w:rsid w:val="29292725"/>
    <w:rsid w:val="2937704C"/>
    <w:rsid w:val="29391F39"/>
    <w:rsid w:val="29411465"/>
    <w:rsid w:val="295C2EFB"/>
    <w:rsid w:val="2960444C"/>
    <w:rsid w:val="297A0308"/>
    <w:rsid w:val="297B755B"/>
    <w:rsid w:val="29846103"/>
    <w:rsid w:val="29890081"/>
    <w:rsid w:val="298B4E2C"/>
    <w:rsid w:val="29950A1B"/>
    <w:rsid w:val="29966D9A"/>
    <w:rsid w:val="29C50A2F"/>
    <w:rsid w:val="29C72969"/>
    <w:rsid w:val="29CA4D51"/>
    <w:rsid w:val="29D10496"/>
    <w:rsid w:val="29D36734"/>
    <w:rsid w:val="29F91F6F"/>
    <w:rsid w:val="2A1C3265"/>
    <w:rsid w:val="2A1D732F"/>
    <w:rsid w:val="2A27165A"/>
    <w:rsid w:val="2A2A6BA3"/>
    <w:rsid w:val="2A310A3F"/>
    <w:rsid w:val="2A3873C3"/>
    <w:rsid w:val="2A461ACA"/>
    <w:rsid w:val="2A4E3E0F"/>
    <w:rsid w:val="2A6D65AE"/>
    <w:rsid w:val="2A70418C"/>
    <w:rsid w:val="2AA27A86"/>
    <w:rsid w:val="2AB55C42"/>
    <w:rsid w:val="2AB738C8"/>
    <w:rsid w:val="2ACE040C"/>
    <w:rsid w:val="2ACF242A"/>
    <w:rsid w:val="2ADD1F9E"/>
    <w:rsid w:val="2AE36A74"/>
    <w:rsid w:val="2AF4600E"/>
    <w:rsid w:val="2AF5302C"/>
    <w:rsid w:val="2B0E1718"/>
    <w:rsid w:val="2B103450"/>
    <w:rsid w:val="2B105781"/>
    <w:rsid w:val="2B1562EA"/>
    <w:rsid w:val="2B173ABE"/>
    <w:rsid w:val="2B29084A"/>
    <w:rsid w:val="2B2D73FC"/>
    <w:rsid w:val="2B3F0BC7"/>
    <w:rsid w:val="2B4B4D8E"/>
    <w:rsid w:val="2B4F35C6"/>
    <w:rsid w:val="2B61044B"/>
    <w:rsid w:val="2B6321CF"/>
    <w:rsid w:val="2B771DDA"/>
    <w:rsid w:val="2B773242"/>
    <w:rsid w:val="2B896F6E"/>
    <w:rsid w:val="2B9A197D"/>
    <w:rsid w:val="2B9B51EA"/>
    <w:rsid w:val="2BA46A90"/>
    <w:rsid w:val="2BB42891"/>
    <w:rsid w:val="2BBB474F"/>
    <w:rsid w:val="2BD62E54"/>
    <w:rsid w:val="2BE271E3"/>
    <w:rsid w:val="2BE75FA5"/>
    <w:rsid w:val="2C0E7654"/>
    <w:rsid w:val="2C144B16"/>
    <w:rsid w:val="2C1D55C2"/>
    <w:rsid w:val="2C3A49CC"/>
    <w:rsid w:val="2C572765"/>
    <w:rsid w:val="2C5775DB"/>
    <w:rsid w:val="2C62064D"/>
    <w:rsid w:val="2C770359"/>
    <w:rsid w:val="2C817AF3"/>
    <w:rsid w:val="2C95657E"/>
    <w:rsid w:val="2CC33510"/>
    <w:rsid w:val="2CC8357B"/>
    <w:rsid w:val="2CE7073F"/>
    <w:rsid w:val="2CEA79A6"/>
    <w:rsid w:val="2CF50D0E"/>
    <w:rsid w:val="2CFA4FD3"/>
    <w:rsid w:val="2CFF31EB"/>
    <w:rsid w:val="2D000D35"/>
    <w:rsid w:val="2D0B0AB5"/>
    <w:rsid w:val="2D310F6B"/>
    <w:rsid w:val="2D316CD6"/>
    <w:rsid w:val="2D4929B3"/>
    <w:rsid w:val="2D494353"/>
    <w:rsid w:val="2D4973F6"/>
    <w:rsid w:val="2D56047C"/>
    <w:rsid w:val="2D763FA2"/>
    <w:rsid w:val="2D852054"/>
    <w:rsid w:val="2D93624A"/>
    <w:rsid w:val="2D94788D"/>
    <w:rsid w:val="2D954313"/>
    <w:rsid w:val="2D9976C8"/>
    <w:rsid w:val="2DA6352B"/>
    <w:rsid w:val="2DAA28F9"/>
    <w:rsid w:val="2DC357CD"/>
    <w:rsid w:val="2DC73DF7"/>
    <w:rsid w:val="2DE12F9D"/>
    <w:rsid w:val="2DEC6610"/>
    <w:rsid w:val="2DF4574E"/>
    <w:rsid w:val="2DF73322"/>
    <w:rsid w:val="2E085E3C"/>
    <w:rsid w:val="2E0D3D6A"/>
    <w:rsid w:val="2E116357"/>
    <w:rsid w:val="2E16306A"/>
    <w:rsid w:val="2E25603D"/>
    <w:rsid w:val="2E271ED2"/>
    <w:rsid w:val="2E2F77DB"/>
    <w:rsid w:val="2E3F392F"/>
    <w:rsid w:val="2E414624"/>
    <w:rsid w:val="2E47051C"/>
    <w:rsid w:val="2E586662"/>
    <w:rsid w:val="2E64722F"/>
    <w:rsid w:val="2E6B483B"/>
    <w:rsid w:val="2E7B3B6D"/>
    <w:rsid w:val="2E7F0BA7"/>
    <w:rsid w:val="2E907687"/>
    <w:rsid w:val="2EAA37C0"/>
    <w:rsid w:val="2EC41B6D"/>
    <w:rsid w:val="2EC60319"/>
    <w:rsid w:val="2ED20222"/>
    <w:rsid w:val="2ED33B37"/>
    <w:rsid w:val="2ED67F44"/>
    <w:rsid w:val="2F3C7F94"/>
    <w:rsid w:val="2F551185"/>
    <w:rsid w:val="2F5B1D5D"/>
    <w:rsid w:val="2F6D7E62"/>
    <w:rsid w:val="2F7F2114"/>
    <w:rsid w:val="2F8477A9"/>
    <w:rsid w:val="2F872E79"/>
    <w:rsid w:val="2F8E57DA"/>
    <w:rsid w:val="2F9C3D11"/>
    <w:rsid w:val="2F9D6943"/>
    <w:rsid w:val="2FA16A47"/>
    <w:rsid w:val="2FB933E4"/>
    <w:rsid w:val="2FD17725"/>
    <w:rsid w:val="2FD82C24"/>
    <w:rsid w:val="2FD97D7C"/>
    <w:rsid w:val="2FDA7C29"/>
    <w:rsid w:val="2FE629BB"/>
    <w:rsid w:val="301A6768"/>
    <w:rsid w:val="303F2376"/>
    <w:rsid w:val="30450C63"/>
    <w:rsid w:val="30552025"/>
    <w:rsid w:val="306B5A38"/>
    <w:rsid w:val="30937A84"/>
    <w:rsid w:val="30C96FC7"/>
    <w:rsid w:val="30CA0F23"/>
    <w:rsid w:val="30DA0C8E"/>
    <w:rsid w:val="30F447D5"/>
    <w:rsid w:val="31026C0A"/>
    <w:rsid w:val="310506F1"/>
    <w:rsid w:val="31090FD1"/>
    <w:rsid w:val="31094167"/>
    <w:rsid w:val="31390077"/>
    <w:rsid w:val="313B1629"/>
    <w:rsid w:val="31445C96"/>
    <w:rsid w:val="314521F6"/>
    <w:rsid w:val="31462AFE"/>
    <w:rsid w:val="314704C8"/>
    <w:rsid w:val="31500225"/>
    <w:rsid w:val="315745E9"/>
    <w:rsid w:val="31574A25"/>
    <w:rsid w:val="31634DBE"/>
    <w:rsid w:val="316E01B8"/>
    <w:rsid w:val="319D0E14"/>
    <w:rsid w:val="31B468A3"/>
    <w:rsid w:val="31C80C10"/>
    <w:rsid w:val="31DE7AE4"/>
    <w:rsid w:val="31E20735"/>
    <w:rsid w:val="31F15208"/>
    <w:rsid w:val="31F322FE"/>
    <w:rsid w:val="31F6735B"/>
    <w:rsid w:val="31FE5792"/>
    <w:rsid w:val="320B76A1"/>
    <w:rsid w:val="320E7313"/>
    <w:rsid w:val="32252316"/>
    <w:rsid w:val="323C3EBC"/>
    <w:rsid w:val="32424C9B"/>
    <w:rsid w:val="3249667C"/>
    <w:rsid w:val="324D39E8"/>
    <w:rsid w:val="324F491A"/>
    <w:rsid w:val="32551F5E"/>
    <w:rsid w:val="326F2B1F"/>
    <w:rsid w:val="3273368E"/>
    <w:rsid w:val="327815A0"/>
    <w:rsid w:val="32A76FB0"/>
    <w:rsid w:val="32AA7B6D"/>
    <w:rsid w:val="32B27847"/>
    <w:rsid w:val="32BB73DF"/>
    <w:rsid w:val="32C3737A"/>
    <w:rsid w:val="32C77F53"/>
    <w:rsid w:val="32CE23E7"/>
    <w:rsid w:val="32E331A4"/>
    <w:rsid w:val="32E676B6"/>
    <w:rsid w:val="32F5452D"/>
    <w:rsid w:val="33034945"/>
    <w:rsid w:val="330A11F7"/>
    <w:rsid w:val="33207A1C"/>
    <w:rsid w:val="3326374E"/>
    <w:rsid w:val="33482566"/>
    <w:rsid w:val="334D1DE8"/>
    <w:rsid w:val="3350003C"/>
    <w:rsid w:val="33731577"/>
    <w:rsid w:val="337E5926"/>
    <w:rsid w:val="338A031A"/>
    <w:rsid w:val="3390740E"/>
    <w:rsid w:val="33B26438"/>
    <w:rsid w:val="33CE707D"/>
    <w:rsid w:val="33D265DC"/>
    <w:rsid w:val="33DD5929"/>
    <w:rsid w:val="33E03FB6"/>
    <w:rsid w:val="33F93805"/>
    <w:rsid w:val="33FD1B9B"/>
    <w:rsid w:val="34066D00"/>
    <w:rsid w:val="342B21E8"/>
    <w:rsid w:val="342C6C0D"/>
    <w:rsid w:val="34381F9C"/>
    <w:rsid w:val="343B4D76"/>
    <w:rsid w:val="3459182E"/>
    <w:rsid w:val="345C0152"/>
    <w:rsid w:val="34643546"/>
    <w:rsid w:val="34663ED0"/>
    <w:rsid w:val="346E1C08"/>
    <w:rsid w:val="34815B81"/>
    <w:rsid w:val="34900A9A"/>
    <w:rsid w:val="3491604D"/>
    <w:rsid w:val="349F18F7"/>
    <w:rsid w:val="34D92754"/>
    <w:rsid w:val="34DA61AE"/>
    <w:rsid w:val="34F86642"/>
    <w:rsid w:val="3501440D"/>
    <w:rsid w:val="35015268"/>
    <w:rsid w:val="350D4951"/>
    <w:rsid w:val="3523640D"/>
    <w:rsid w:val="353B00D4"/>
    <w:rsid w:val="354E5ADE"/>
    <w:rsid w:val="356F6271"/>
    <w:rsid w:val="357F2CEE"/>
    <w:rsid w:val="35825813"/>
    <w:rsid w:val="35905694"/>
    <w:rsid w:val="3594687B"/>
    <w:rsid w:val="359C2E99"/>
    <w:rsid w:val="359D0903"/>
    <w:rsid w:val="359D1909"/>
    <w:rsid w:val="35E11256"/>
    <w:rsid w:val="36041DA9"/>
    <w:rsid w:val="36070CBD"/>
    <w:rsid w:val="36146424"/>
    <w:rsid w:val="36255E14"/>
    <w:rsid w:val="365F0D27"/>
    <w:rsid w:val="367779AA"/>
    <w:rsid w:val="36783DBC"/>
    <w:rsid w:val="36B05B8E"/>
    <w:rsid w:val="36BE0494"/>
    <w:rsid w:val="36BE4138"/>
    <w:rsid w:val="36CE48BE"/>
    <w:rsid w:val="371B6355"/>
    <w:rsid w:val="371D0880"/>
    <w:rsid w:val="373947E8"/>
    <w:rsid w:val="373F1077"/>
    <w:rsid w:val="374C7D3C"/>
    <w:rsid w:val="37501D64"/>
    <w:rsid w:val="37B92791"/>
    <w:rsid w:val="37CA5732"/>
    <w:rsid w:val="37CD4EC9"/>
    <w:rsid w:val="37F417DC"/>
    <w:rsid w:val="37FD4873"/>
    <w:rsid w:val="380A0A68"/>
    <w:rsid w:val="38136EA2"/>
    <w:rsid w:val="381B4348"/>
    <w:rsid w:val="38261E35"/>
    <w:rsid w:val="38305B7D"/>
    <w:rsid w:val="383F433C"/>
    <w:rsid w:val="38482EC7"/>
    <w:rsid w:val="3851468F"/>
    <w:rsid w:val="385A5A3A"/>
    <w:rsid w:val="386248F2"/>
    <w:rsid w:val="38637D01"/>
    <w:rsid w:val="38677890"/>
    <w:rsid w:val="38762073"/>
    <w:rsid w:val="388721E2"/>
    <w:rsid w:val="389820A0"/>
    <w:rsid w:val="38A10829"/>
    <w:rsid w:val="38A13889"/>
    <w:rsid w:val="38A547BD"/>
    <w:rsid w:val="38AD3262"/>
    <w:rsid w:val="38B27608"/>
    <w:rsid w:val="38B46305"/>
    <w:rsid w:val="38BF3688"/>
    <w:rsid w:val="38D95A55"/>
    <w:rsid w:val="390019F4"/>
    <w:rsid w:val="390071B1"/>
    <w:rsid w:val="39202096"/>
    <w:rsid w:val="392625FD"/>
    <w:rsid w:val="39330C23"/>
    <w:rsid w:val="39337695"/>
    <w:rsid w:val="39376919"/>
    <w:rsid w:val="393828FD"/>
    <w:rsid w:val="396C2FD9"/>
    <w:rsid w:val="3977290A"/>
    <w:rsid w:val="39945AC3"/>
    <w:rsid w:val="39AB0A72"/>
    <w:rsid w:val="39BD0C7D"/>
    <w:rsid w:val="39C96289"/>
    <w:rsid w:val="39CA43DF"/>
    <w:rsid w:val="3A0739BB"/>
    <w:rsid w:val="3A361FA4"/>
    <w:rsid w:val="3A395142"/>
    <w:rsid w:val="3A4A4597"/>
    <w:rsid w:val="3A4D70BE"/>
    <w:rsid w:val="3A5A6304"/>
    <w:rsid w:val="3A5E7E93"/>
    <w:rsid w:val="3A601E3A"/>
    <w:rsid w:val="3A6856CC"/>
    <w:rsid w:val="3A757123"/>
    <w:rsid w:val="3A807435"/>
    <w:rsid w:val="3A8A560C"/>
    <w:rsid w:val="3A9D19FE"/>
    <w:rsid w:val="3A9D399F"/>
    <w:rsid w:val="3AA47EED"/>
    <w:rsid w:val="3AB323A0"/>
    <w:rsid w:val="3AB57BE2"/>
    <w:rsid w:val="3AE04563"/>
    <w:rsid w:val="3AE90D97"/>
    <w:rsid w:val="3AF00A10"/>
    <w:rsid w:val="3AF7088C"/>
    <w:rsid w:val="3AF83D09"/>
    <w:rsid w:val="3B190B4B"/>
    <w:rsid w:val="3B3A5EAB"/>
    <w:rsid w:val="3B580160"/>
    <w:rsid w:val="3B6F030E"/>
    <w:rsid w:val="3B760DB3"/>
    <w:rsid w:val="3B806CCB"/>
    <w:rsid w:val="3B8C2B55"/>
    <w:rsid w:val="3B8D64A0"/>
    <w:rsid w:val="3BAA1FD8"/>
    <w:rsid w:val="3BBA273E"/>
    <w:rsid w:val="3BC25DE1"/>
    <w:rsid w:val="3BF4177D"/>
    <w:rsid w:val="3C0178F5"/>
    <w:rsid w:val="3C0A2960"/>
    <w:rsid w:val="3C333B11"/>
    <w:rsid w:val="3C3903CE"/>
    <w:rsid w:val="3C490379"/>
    <w:rsid w:val="3C4B11D8"/>
    <w:rsid w:val="3C544530"/>
    <w:rsid w:val="3C5B72FE"/>
    <w:rsid w:val="3C632BAD"/>
    <w:rsid w:val="3C8131B1"/>
    <w:rsid w:val="3CCC7229"/>
    <w:rsid w:val="3CCF0529"/>
    <w:rsid w:val="3CEA4443"/>
    <w:rsid w:val="3CFC2AFD"/>
    <w:rsid w:val="3D050652"/>
    <w:rsid w:val="3D086C7F"/>
    <w:rsid w:val="3D0E0B83"/>
    <w:rsid w:val="3D333BF0"/>
    <w:rsid w:val="3D3F3DA1"/>
    <w:rsid w:val="3D435E22"/>
    <w:rsid w:val="3D5365B8"/>
    <w:rsid w:val="3D605157"/>
    <w:rsid w:val="3D6E0B5D"/>
    <w:rsid w:val="3D7E15C6"/>
    <w:rsid w:val="3D7F382F"/>
    <w:rsid w:val="3D895C07"/>
    <w:rsid w:val="3D8C41D6"/>
    <w:rsid w:val="3DA12C5F"/>
    <w:rsid w:val="3DC473B3"/>
    <w:rsid w:val="3DD9778A"/>
    <w:rsid w:val="3DFE0C51"/>
    <w:rsid w:val="3DFF7A07"/>
    <w:rsid w:val="3E0F6CC2"/>
    <w:rsid w:val="3E1156DF"/>
    <w:rsid w:val="3E194C3A"/>
    <w:rsid w:val="3E254F06"/>
    <w:rsid w:val="3E3D36B5"/>
    <w:rsid w:val="3E40209B"/>
    <w:rsid w:val="3E4079B3"/>
    <w:rsid w:val="3E5470EF"/>
    <w:rsid w:val="3E5F22B7"/>
    <w:rsid w:val="3E6F38A3"/>
    <w:rsid w:val="3E755343"/>
    <w:rsid w:val="3EA95A42"/>
    <w:rsid w:val="3EB81AEB"/>
    <w:rsid w:val="3EC3787E"/>
    <w:rsid w:val="3ECA7A6C"/>
    <w:rsid w:val="3EDD3112"/>
    <w:rsid w:val="3EE51861"/>
    <w:rsid w:val="3F140960"/>
    <w:rsid w:val="3F3C19CB"/>
    <w:rsid w:val="3F4F3C9D"/>
    <w:rsid w:val="3F512799"/>
    <w:rsid w:val="3F607936"/>
    <w:rsid w:val="3F6C23A4"/>
    <w:rsid w:val="3F862320"/>
    <w:rsid w:val="3F8805C3"/>
    <w:rsid w:val="3F886248"/>
    <w:rsid w:val="3FA80F9A"/>
    <w:rsid w:val="3FA8394D"/>
    <w:rsid w:val="3FC05AD6"/>
    <w:rsid w:val="3FDD5D7C"/>
    <w:rsid w:val="3FE91FDB"/>
    <w:rsid w:val="400D2677"/>
    <w:rsid w:val="402B6318"/>
    <w:rsid w:val="4031392C"/>
    <w:rsid w:val="404C4AE8"/>
    <w:rsid w:val="40593854"/>
    <w:rsid w:val="40743885"/>
    <w:rsid w:val="407F7948"/>
    <w:rsid w:val="40811E02"/>
    <w:rsid w:val="40880C4C"/>
    <w:rsid w:val="40A32211"/>
    <w:rsid w:val="40A4377B"/>
    <w:rsid w:val="40AB40E4"/>
    <w:rsid w:val="40AC6CC0"/>
    <w:rsid w:val="40B02EAA"/>
    <w:rsid w:val="40C502E3"/>
    <w:rsid w:val="40DA400D"/>
    <w:rsid w:val="40E10D33"/>
    <w:rsid w:val="40EC0923"/>
    <w:rsid w:val="41013D94"/>
    <w:rsid w:val="4122220F"/>
    <w:rsid w:val="412B4186"/>
    <w:rsid w:val="4134209B"/>
    <w:rsid w:val="414C7ECC"/>
    <w:rsid w:val="414D3CC5"/>
    <w:rsid w:val="41611D54"/>
    <w:rsid w:val="41720FB5"/>
    <w:rsid w:val="417648B7"/>
    <w:rsid w:val="418C68BD"/>
    <w:rsid w:val="419378A9"/>
    <w:rsid w:val="41954477"/>
    <w:rsid w:val="41AC0A9B"/>
    <w:rsid w:val="41B2165F"/>
    <w:rsid w:val="41BC4873"/>
    <w:rsid w:val="41C428E8"/>
    <w:rsid w:val="41D27E03"/>
    <w:rsid w:val="41DD3DBB"/>
    <w:rsid w:val="41E905F9"/>
    <w:rsid w:val="41F23547"/>
    <w:rsid w:val="423A44A8"/>
    <w:rsid w:val="42477661"/>
    <w:rsid w:val="42547DAA"/>
    <w:rsid w:val="42573048"/>
    <w:rsid w:val="428113E6"/>
    <w:rsid w:val="429B1209"/>
    <w:rsid w:val="42A34C98"/>
    <w:rsid w:val="42A7280D"/>
    <w:rsid w:val="43053364"/>
    <w:rsid w:val="431856A5"/>
    <w:rsid w:val="43222887"/>
    <w:rsid w:val="432F22A9"/>
    <w:rsid w:val="434114E0"/>
    <w:rsid w:val="434B7D95"/>
    <w:rsid w:val="43674E77"/>
    <w:rsid w:val="436C5BF5"/>
    <w:rsid w:val="436E087B"/>
    <w:rsid w:val="437757E9"/>
    <w:rsid w:val="4380463A"/>
    <w:rsid w:val="43A00365"/>
    <w:rsid w:val="43A20E22"/>
    <w:rsid w:val="43AD2741"/>
    <w:rsid w:val="43CD3BEF"/>
    <w:rsid w:val="43CD4BC8"/>
    <w:rsid w:val="43EC55F6"/>
    <w:rsid w:val="43F40367"/>
    <w:rsid w:val="441A283E"/>
    <w:rsid w:val="442C3BBA"/>
    <w:rsid w:val="44361589"/>
    <w:rsid w:val="444E1ADD"/>
    <w:rsid w:val="445F1F72"/>
    <w:rsid w:val="446A6A62"/>
    <w:rsid w:val="44733580"/>
    <w:rsid w:val="4474176F"/>
    <w:rsid w:val="447E2962"/>
    <w:rsid w:val="448E1E0B"/>
    <w:rsid w:val="44A776BF"/>
    <w:rsid w:val="44B564D0"/>
    <w:rsid w:val="44C33F58"/>
    <w:rsid w:val="44C51236"/>
    <w:rsid w:val="44F22DAC"/>
    <w:rsid w:val="44F9763B"/>
    <w:rsid w:val="45057CA4"/>
    <w:rsid w:val="450E7957"/>
    <w:rsid w:val="45181E73"/>
    <w:rsid w:val="45182C3F"/>
    <w:rsid w:val="451F278B"/>
    <w:rsid w:val="452E279B"/>
    <w:rsid w:val="452F6EF4"/>
    <w:rsid w:val="454A5D82"/>
    <w:rsid w:val="454D17A4"/>
    <w:rsid w:val="456C1377"/>
    <w:rsid w:val="45742481"/>
    <w:rsid w:val="45860F94"/>
    <w:rsid w:val="459604EB"/>
    <w:rsid w:val="459E2A32"/>
    <w:rsid w:val="45A51423"/>
    <w:rsid w:val="45C85A45"/>
    <w:rsid w:val="45DC4423"/>
    <w:rsid w:val="45DE15FD"/>
    <w:rsid w:val="45EF61C5"/>
    <w:rsid w:val="45F2062E"/>
    <w:rsid w:val="460F504D"/>
    <w:rsid w:val="461C0FE3"/>
    <w:rsid w:val="461F0AF3"/>
    <w:rsid w:val="463814B0"/>
    <w:rsid w:val="463C58FA"/>
    <w:rsid w:val="463E0FD1"/>
    <w:rsid w:val="4642682A"/>
    <w:rsid w:val="4647282F"/>
    <w:rsid w:val="46634480"/>
    <w:rsid w:val="46665433"/>
    <w:rsid w:val="46680506"/>
    <w:rsid w:val="46824EC4"/>
    <w:rsid w:val="468945C4"/>
    <w:rsid w:val="4691685F"/>
    <w:rsid w:val="469524C9"/>
    <w:rsid w:val="46974D46"/>
    <w:rsid w:val="46AF21F5"/>
    <w:rsid w:val="46D9136A"/>
    <w:rsid w:val="46E56E36"/>
    <w:rsid w:val="46EA5EB9"/>
    <w:rsid w:val="47101D07"/>
    <w:rsid w:val="47187AB1"/>
    <w:rsid w:val="472A6A1B"/>
    <w:rsid w:val="4731662A"/>
    <w:rsid w:val="47415DF2"/>
    <w:rsid w:val="474A005A"/>
    <w:rsid w:val="474F35E3"/>
    <w:rsid w:val="47552AC6"/>
    <w:rsid w:val="47554E66"/>
    <w:rsid w:val="476231F9"/>
    <w:rsid w:val="47664C50"/>
    <w:rsid w:val="47746B3A"/>
    <w:rsid w:val="47876915"/>
    <w:rsid w:val="479161F7"/>
    <w:rsid w:val="47AC2B32"/>
    <w:rsid w:val="47AF660C"/>
    <w:rsid w:val="47B9297C"/>
    <w:rsid w:val="47DA303A"/>
    <w:rsid w:val="47E04ECA"/>
    <w:rsid w:val="47E12B77"/>
    <w:rsid w:val="481638EC"/>
    <w:rsid w:val="48192B35"/>
    <w:rsid w:val="483B2A7C"/>
    <w:rsid w:val="484229A5"/>
    <w:rsid w:val="48607822"/>
    <w:rsid w:val="486A2FBC"/>
    <w:rsid w:val="486A7BB8"/>
    <w:rsid w:val="486E6D59"/>
    <w:rsid w:val="487B6078"/>
    <w:rsid w:val="48800D22"/>
    <w:rsid w:val="48A034A5"/>
    <w:rsid w:val="48C84321"/>
    <w:rsid w:val="48E1714C"/>
    <w:rsid w:val="49310C13"/>
    <w:rsid w:val="493535B9"/>
    <w:rsid w:val="4958709C"/>
    <w:rsid w:val="49626FA9"/>
    <w:rsid w:val="4967404D"/>
    <w:rsid w:val="4993113E"/>
    <w:rsid w:val="49A6389F"/>
    <w:rsid w:val="49B54134"/>
    <w:rsid w:val="49B57ADD"/>
    <w:rsid w:val="49B637CC"/>
    <w:rsid w:val="49F3035B"/>
    <w:rsid w:val="49F63BAB"/>
    <w:rsid w:val="49F77FCA"/>
    <w:rsid w:val="49F81BF2"/>
    <w:rsid w:val="49FA43FE"/>
    <w:rsid w:val="49FA7D9D"/>
    <w:rsid w:val="49FB6B4D"/>
    <w:rsid w:val="4A013BFE"/>
    <w:rsid w:val="4A07210A"/>
    <w:rsid w:val="4A10665F"/>
    <w:rsid w:val="4A1471F6"/>
    <w:rsid w:val="4A1826BE"/>
    <w:rsid w:val="4A2D400B"/>
    <w:rsid w:val="4A332CFB"/>
    <w:rsid w:val="4A360212"/>
    <w:rsid w:val="4A804742"/>
    <w:rsid w:val="4A8653EE"/>
    <w:rsid w:val="4A943A68"/>
    <w:rsid w:val="4A9A6B11"/>
    <w:rsid w:val="4AAE11B2"/>
    <w:rsid w:val="4AAE19F5"/>
    <w:rsid w:val="4AC47E4F"/>
    <w:rsid w:val="4AE20AAE"/>
    <w:rsid w:val="4B083A72"/>
    <w:rsid w:val="4B10184B"/>
    <w:rsid w:val="4B394FF4"/>
    <w:rsid w:val="4B481704"/>
    <w:rsid w:val="4B58470B"/>
    <w:rsid w:val="4B6F16B5"/>
    <w:rsid w:val="4B720D9C"/>
    <w:rsid w:val="4B8851D6"/>
    <w:rsid w:val="4B9E7133"/>
    <w:rsid w:val="4BC03220"/>
    <w:rsid w:val="4BCE1567"/>
    <w:rsid w:val="4BD016F9"/>
    <w:rsid w:val="4BE143CD"/>
    <w:rsid w:val="4BED3CF2"/>
    <w:rsid w:val="4C146F3D"/>
    <w:rsid w:val="4C3E5410"/>
    <w:rsid w:val="4C411D32"/>
    <w:rsid w:val="4C5E739F"/>
    <w:rsid w:val="4C7C28D3"/>
    <w:rsid w:val="4C876F22"/>
    <w:rsid w:val="4C975E0B"/>
    <w:rsid w:val="4C9E02AB"/>
    <w:rsid w:val="4CA5219C"/>
    <w:rsid w:val="4CA624E4"/>
    <w:rsid w:val="4CBB7551"/>
    <w:rsid w:val="4CBC6C2B"/>
    <w:rsid w:val="4CC72D2F"/>
    <w:rsid w:val="4D120829"/>
    <w:rsid w:val="4D414C00"/>
    <w:rsid w:val="4D50486B"/>
    <w:rsid w:val="4D5751B2"/>
    <w:rsid w:val="4D662C76"/>
    <w:rsid w:val="4D762AA5"/>
    <w:rsid w:val="4D8D6328"/>
    <w:rsid w:val="4D8E7B03"/>
    <w:rsid w:val="4D944048"/>
    <w:rsid w:val="4DA33ED1"/>
    <w:rsid w:val="4DAF5F89"/>
    <w:rsid w:val="4DBC0934"/>
    <w:rsid w:val="4DCD4DD9"/>
    <w:rsid w:val="4DD7025C"/>
    <w:rsid w:val="4DDD6657"/>
    <w:rsid w:val="4DDE1331"/>
    <w:rsid w:val="4DE14BB0"/>
    <w:rsid w:val="4DEA1A02"/>
    <w:rsid w:val="4DED6B8B"/>
    <w:rsid w:val="4E057D5D"/>
    <w:rsid w:val="4E120BBB"/>
    <w:rsid w:val="4E165051"/>
    <w:rsid w:val="4E26590B"/>
    <w:rsid w:val="4E280EE6"/>
    <w:rsid w:val="4E3F576D"/>
    <w:rsid w:val="4E48070B"/>
    <w:rsid w:val="4E4E5D53"/>
    <w:rsid w:val="4E5403C0"/>
    <w:rsid w:val="4E5F61AF"/>
    <w:rsid w:val="4E706E8A"/>
    <w:rsid w:val="4E7114F4"/>
    <w:rsid w:val="4EA75D55"/>
    <w:rsid w:val="4EB3332E"/>
    <w:rsid w:val="4EE95C66"/>
    <w:rsid w:val="4EF60A9A"/>
    <w:rsid w:val="4F130481"/>
    <w:rsid w:val="4F1346AB"/>
    <w:rsid w:val="4F1B24A1"/>
    <w:rsid w:val="4F266D1F"/>
    <w:rsid w:val="4F2A0341"/>
    <w:rsid w:val="4F3013D6"/>
    <w:rsid w:val="4F371E9A"/>
    <w:rsid w:val="4F3D31E1"/>
    <w:rsid w:val="4F455CDB"/>
    <w:rsid w:val="4F565FD6"/>
    <w:rsid w:val="4F5922EA"/>
    <w:rsid w:val="4F6A2B99"/>
    <w:rsid w:val="4F6F62DF"/>
    <w:rsid w:val="4F704776"/>
    <w:rsid w:val="4F7B6EFA"/>
    <w:rsid w:val="4F9368AC"/>
    <w:rsid w:val="4F9D68AF"/>
    <w:rsid w:val="4FBB4BD3"/>
    <w:rsid w:val="4FBD028E"/>
    <w:rsid w:val="4FCD12E2"/>
    <w:rsid w:val="500353E7"/>
    <w:rsid w:val="50252B2C"/>
    <w:rsid w:val="502822D3"/>
    <w:rsid w:val="50283E0F"/>
    <w:rsid w:val="50391A1A"/>
    <w:rsid w:val="505823FD"/>
    <w:rsid w:val="506543BB"/>
    <w:rsid w:val="50664255"/>
    <w:rsid w:val="507E1724"/>
    <w:rsid w:val="508177EE"/>
    <w:rsid w:val="509A4341"/>
    <w:rsid w:val="509D355D"/>
    <w:rsid w:val="50A27C01"/>
    <w:rsid w:val="50AF2A66"/>
    <w:rsid w:val="50B07C1F"/>
    <w:rsid w:val="50C932D6"/>
    <w:rsid w:val="50D933D0"/>
    <w:rsid w:val="50E31290"/>
    <w:rsid w:val="50ED5A1B"/>
    <w:rsid w:val="50F20585"/>
    <w:rsid w:val="510A22C1"/>
    <w:rsid w:val="510A64D6"/>
    <w:rsid w:val="51107F20"/>
    <w:rsid w:val="512D74A4"/>
    <w:rsid w:val="51381694"/>
    <w:rsid w:val="51501067"/>
    <w:rsid w:val="51520166"/>
    <w:rsid w:val="5153670D"/>
    <w:rsid w:val="516D1CD2"/>
    <w:rsid w:val="516F2EB9"/>
    <w:rsid w:val="51746229"/>
    <w:rsid w:val="517F5DFE"/>
    <w:rsid w:val="51A721AE"/>
    <w:rsid w:val="51AB365B"/>
    <w:rsid w:val="51B360E5"/>
    <w:rsid w:val="51B6708B"/>
    <w:rsid w:val="51DC4C20"/>
    <w:rsid w:val="51DD2C51"/>
    <w:rsid w:val="51E219D3"/>
    <w:rsid w:val="52256CEB"/>
    <w:rsid w:val="52327EA6"/>
    <w:rsid w:val="523975CA"/>
    <w:rsid w:val="524041F4"/>
    <w:rsid w:val="525160E8"/>
    <w:rsid w:val="52626D73"/>
    <w:rsid w:val="52636FCB"/>
    <w:rsid w:val="5284332E"/>
    <w:rsid w:val="52996345"/>
    <w:rsid w:val="52A51CDA"/>
    <w:rsid w:val="52D11115"/>
    <w:rsid w:val="52DA3E53"/>
    <w:rsid w:val="52E3214F"/>
    <w:rsid w:val="52FA6566"/>
    <w:rsid w:val="52FB3500"/>
    <w:rsid w:val="5310326E"/>
    <w:rsid w:val="531847A8"/>
    <w:rsid w:val="532425D5"/>
    <w:rsid w:val="532852EE"/>
    <w:rsid w:val="532C152A"/>
    <w:rsid w:val="5338592C"/>
    <w:rsid w:val="533B53AE"/>
    <w:rsid w:val="534014E1"/>
    <w:rsid w:val="534319B2"/>
    <w:rsid w:val="534B5517"/>
    <w:rsid w:val="534D1001"/>
    <w:rsid w:val="534E073D"/>
    <w:rsid w:val="53762404"/>
    <w:rsid w:val="537C2F0B"/>
    <w:rsid w:val="53864224"/>
    <w:rsid w:val="5394396E"/>
    <w:rsid w:val="5399736B"/>
    <w:rsid w:val="53A2397B"/>
    <w:rsid w:val="53A771E4"/>
    <w:rsid w:val="53C54E69"/>
    <w:rsid w:val="53D81430"/>
    <w:rsid w:val="53DC6163"/>
    <w:rsid w:val="5406123A"/>
    <w:rsid w:val="54084CBA"/>
    <w:rsid w:val="54106745"/>
    <w:rsid w:val="542749D4"/>
    <w:rsid w:val="543F081F"/>
    <w:rsid w:val="54606A9A"/>
    <w:rsid w:val="546479FC"/>
    <w:rsid w:val="54915690"/>
    <w:rsid w:val="549B096C"/>
    <w:rsid w:val="54A44655"/>
    <w:rsid w:val="54A8158F"/>
    <w:rsid w:val="54A83213"/>
    <w:rsid w:val="54B60A7A"/>
    <w:rsid w:val="54C9155D"/>
    <w:rsid w:val="54D2129D"/>
    <w:rsid w:val="54DB7296"/>
    <w:rsid w:val="54EF3857"/>
    <w:rsid w:val="55042313"/>
    <w:rsid w:val="55533F83"/>
    <w:rsid w:val="557650C0"/>
    <w:rsid w:val="55945B57"/>
    <w:rsid w:val="55A676A1"/>
    <w:rsid w:val="55B259BB"/>
    <w:rsid w:val="55C6220C"/>
    <w:rsid w:val="55CC2E3D"/>
    <w:rsid w:val="55D1679A"/>
    <w:rsid w:val="55EB0F2B"/>
    <w:rsid w:val="55ED67C1"/>
    <w:rsid w:val="560345EB"/>
    <w:rsid w:val="560B7ACB"/>
    <w:rsid w:val="56292BE6"/>
    <w:rsid w:val="56315CDE"/>
    <w:rsid w:val="563F46A5"/>
    <w:rsid w:val="564D7AF3"/>
    <w:rsid w:val="56512076"/>
    <w:rsid w:val="565A61D2"/>
    <w:rsid w:val="5669749E"/>
    <w:rsid w:val="566F60E6"/>
    <w:rsid w:val="56892BD1"/>
    <w:rsid w:val="568E55D8"/>
    <w:rsid w:val="569F2276"/>
    <w:rsid w:val="56E666D1"/>
    <w:rsid w:val="56F273F5"/>
    <w:rsid w:val="56F36805"/>
    <w:rsid w:val="56FB3ACE"/>
    <w:rsid w:val="57227636"/>
    <w:rsid w:val="573B0DF9"/>
    <w:rsid w:val="573F37A0"/>
    <w:rsid w:val="57490EA8"/>
    <w:rsid w:val="575A43A4"/>
    <w:rsid w:val="576772D1"/>
    <w:rsid w:val="577512D1"/>
    <w:rsid w:val="578D44EB"/>
    <w:rsid w:val="57931F59"/>
    <w:rsid w:val="579A0A3A"/>
    <w:rsid w:val="57B81053"/>
    <w:rsid w:val="57C9100D"/>
    <w:rsid w:val="57EC2153"/>
    <w:rsid w:val="57F61DD3"/>
    <w:rsid w:val="57FC3ACF"/>
    <w:rsid w:val="580C0F3A"/>
    <w:rsid w:val="580F689B"/>
    <w:rsid w:val="581772F9"/>
    <w:rsid w:val="58190E95"/>
    <w:rsid w:val="581E408E"/>
    <w:rsid w:val="58313BD0"/>
    <w:rsid w:val="584B3A0C"/>
    <w:rsid w:val="58526285"/>
    <w:rsid w:val="5868364B"/>
    <w:rsid w:val="588C4A84"/>
    <w:rsid w:val="58CF5092"/>
    <w:rsid w:val="58D9795F"/>
    <w:rsid w:val="58F948A2"/>
    <w:rsid w:val="5904708B"/>
    <w:rsid w:val="590F1507"/>
    <w:rsid w:val="59135535"/>
    <w:rsid w:val="592517BD"/>
    <w:rsid w:val="592A4921"/>
    <w:rsid w:val="592A590C"/>
    <w:rsid w:val="593E5EF4"/>
    <w:rsid w:val="594B7F19"/>
    <w:rsid w:val="597025C4"/>
    <w:rsid w:val="59894BE0"/>
    <w:rsid w:val="59A97ED0"/>
    <w:rsid w:val="59AA3805"/>
    <w:rsid w:val="59E53D6C"/>
    <w:rsid w:val="59F948D8"/>
    <w:rsid w:val="59FA2896"/>
    <w:rsid w:val="5A024EB5"/>
    <w:rsid w:val="5A215065"/>
    <w:rsid w:val="5A373E24"/>
    <w:rsid w:val="5A427EDD"/>
    <w:rsid w:val="5A4F2381"/>
    <w:rsid w:val="5A79289B"/>
    <w:rsid w:val="5A7A523B"/>
    <w:rsid w:val="5A7D72B9"/>
    <w:rsid w:val="5AA3518B"/>
    <w:rsid w:val="5AAB3C83"/>
    <w:rsid w:val="5AB9017F"/>
    <w:rsid w:val="5AD53619"/>
    <w:rsid w:val="5AE9147E"/>
    <w:rsid w:val="5AF073B6"/>
    <w:rsid w:val="5AF47DD9"/>
    <w:rsid w:val="5AF50D87"/>
    <w:rsid w:val="5AF66315"/>
    <w:rsid w:val="5B2B24A8"/>
    <w:rsid w:val="5B3449EB"/>
    <w:rsid w:val="5B3B1622"/>
    <w:rsid w:val="5B4A11E6"/>
    <w:rsid w:val="5B581160"/>
    <w:rsid w:val="5B6214FD"/>
    <w:rsid w:val="5B652CE3"/>
    <w:rsid w:val="5B7A1D7C"/>
    <w:rsid w:val="5B891B8F"/>
    <w:rsid w:val="5B8B3019"/>
    <w:rsid w:val="5B9F2405"/>
    <w:rsid w:val="5BA0785E"/>
    <w:rsid w:val="5BB66EEA"/>
    <w:rsid w:val="5BCB0534"/>
    <w:rsid w:val="5BDF47AA"/>
    <w:rsid w:val="5BE50F25"/>
    <w:rsid w:val="5BE53A3D"/>
    <w:rsid w:val="5BFA6891"/>
    <w:rsid w:val="5C2715E1"/>
    <w:rsid w:val="5C353E0C"/>
    <w:rsid w:val="5C4001D5"/>
    <w:rsid w:val="5C56117C"/>
    <w:rsid w:val="5C7979DB"/>
    <w:rsid w:val="5CB53A5E"/>
    <w:rsid w:val="5CCE6850"/>
    <w:rsid w:val="5CD071C0"/>
    <w:rsid w:val="5CE17957"/>
    <w:rsid w:val="5CEE19DF"/>
    <w:rsid w:val="5CF5401D"/>
    <w:rsid w:val="5CFE1666"/>
    <w:rsid w:val="5CFF1519"/>
    <w:rsid w:val="5D085919"/>
    <w:rsid w:val="5D0A6B21"/>
    <w:rsid w:val="5D0D01AF"/>
    <w:rsid w:val="5D244149"/>
    <w:rsid w:val="5D6846AE"/>
    <w:rsid w:val="5D69598E"/>
    <w:rsid w:val="5D7F0889"/>
    <w:rsid w:val="5D97555D"/>
    <w:rsid w:val="5D9764FE"/>
    <w:rsid w:val="5D9C7014"/>
    <w:rsid w:val="5DBC3E30"/>
    <w:rsid w:val="5DDB06A3"/>
    <w:rsid w:val="5DE55991"/>
    <w:rsid w:val="5DEF61A4"/>
    <w:rsid w:val="5DFE27C2"/>
    <w:rsid w:val="5E0D03DC"/>
    <w:rsid w:val="5E0F5AA9"/>
    <w:rsid w:val="5E287173"/>
    <w:rsid w:val="5E324CBD"/>
    <w:rsid w:val="5E335543"/>
    <w:rsid w:val="5E3F3738"/>
    <w:rsid w:val="5E3F7E78"/>
    <w:rsid w:val="5E4353D6"/>
    <w:rsid w:val="5E464AE2"/>
    <w:rsid w:val="5E5804B2"/>
    <w:rsid w:val="5E6120E8"/>
    <w:rsid w:val="5E694D16"/>
    <w:rsid w:val="5E6E7DC6"/>
    <w:rsid w:val="5E7C7F51"/>
    <w:rsid w:val="5E833A42"/>
    <w:rsid w:val="5E8B2E26"/>
    <w:rsid w:val="5E8F42CB"/>
    <w:rsid w:val="5E950952"/>
    <w:rsid w:val="5E9D7B9B"/>
    <w:rsid w:val="5EB52D97"/>
    <w:rsid w:val="5EBA1679"/>
    <w:rsid w:val="5EC53714"/>
    <w:rsid w:val="5ECC203B"/>
    <w:rsid w:val="5EDA22E4"/>
    <w:rsid w:val="5EDD1D0C"/>
    <w:rsid w:val="5EF44F14"/>
    <w:rsid w:val="5EFF6775"/>
    <w:rsid w:val="5F025C16"/>
    <w:rsid w:val="5F035570"/>
    <w:rsid w:val="5F461CCD"/>
    <w:rsid w:val="5F717BE5"/>
    <w:rsid w:val="5FAC408F"/>
    <w:rsid w:val="5FAD25C4"/>
    <w:rsid w:val="5FC16257"/>
    <w:rsid w:val="5FCB5E7E"/>
    <w:rsid w:val="5FCE13FB"/>
    <w:rsid w:val="5FDA6C9A"/>
    <w:rsid w:val="5FE052D6"/>
    <w:rsid w:val="5FEB4F44"/>
    <w:rsid w:val="60033351"/>
    <w:rsid w:val="6014147E"/>
    <w:rsid w:val="601B45EF"/>
    <w:rsid w:val="602625CC"/>
    <w:rsid w:val="6031597A"/>
    <w:rsid w:val="60491819"/>
    <w:rsid w:val="604B706D"/>
    <w:rsid w:val="605170F5"/>
    <w:rsid w:val="60582448"/>
    <w:rsid w:val="605E50CE"/>
    <w:rsid w:val="60876719"/>
    <w:rsid w:val="60913B6A"/>
    <w:rsid w:val="60961C8D"/>
    <w:rsid w:val="609C4B80"/>
    <w:rsid w:val="60B5241A"/>
    <w:rsid w:val="60BA0556"/>
    <w:rsid w:val="60C31F5B"/>
    <w:rsid w:val="60C65C53"/>
    <w:rsid w:val="60D27E02"/>
    <w:rsid w:val="60FA7FBD"/>
    <w:rsid w:val="610317E8"/>
    <w:rsid w:val="61055D5C"/>
    <w:rsid w:val="61267FC7"/>
    <w:rsid w:val="61441376"/>
    <w:rsid w:val="618150F9"/>
    <w:rsid w:val="618D045E"/>
    <w:rsid w:val="619959F1"/>
    <w:rsid w:val="61A34DEC"/>
    <w:rsid w:val="61A44D75"/>
    <w:rsid w:val="61AD5014"/>
    <w:rsid w:val="61BE56DE"/>
    <w:rsid w:val="61BF394A"/>
    <w:rsid w:val="61BF67A6"/>
    <w:rsid w:val="61C3664A"/>
    <w:rsid w:val="61C62F2B"/>
    <w:rsid w:val="61C8475D"/>
    <w:rsid w:val="61D14699"/>
    <w:rsid w:val="61DE00C2"/>
    <w:rsid w:val="61F20910"/>
    <w:rsid w:val="62025130"/>
    <w:rsid w:val="620B3C1D"/>
    <w:rsid w:val="623A4BAB"/>
    <w:rsid w:val="623F6C33"/>
    <w:rsid w:val="625729E3"/>
    <w:rsid w:val="629D52D3"/>
    <w:rsid w:val="629E5E16"/>
    <w:rsid w:val="62AB7783"/>
    <w:rsid w:val="62E91F7A"/>
    <w:rsid w:val="62FA7D54"/>
    <w:rsid w:val="630020D3"/>
    <w:rsid w:val="630075C7"/>
    <w:rsid w:val="63166270"/>
    <w:rsid w:val="63211986"/>
    <w:rsid w:val="632B0E85"/>
    <w:rsid w:val="632F07AB"/>
    <w:rsid w:val="63322BBF"/>
    <w:rsid w:val="6342255A"/>
    <w:rsid w:val="634C17B6"/>
    <w:rsid w:val="635600A9"/>
    <w:rsid w:val="636D2D88"/>
    <w:rsid w:val="637A6E33"/>
    <w:rsid w:val="63822D65"/>
    <w:rsid w:val="63927F30"/>
    <w:rsid w:val="6398423D"/>
    <w:rsid w:val="639E09A4"/>
    <w:rsid w:val="63B7684E"/>
    <w:rsid w:val="63B87DE9"/>
    <w:rsid w:val="63C11FDF"/>
    <w:rsid w:val="63DA1D6D"/>
    <w:rsid w:val="640436CD"/>
    <w:rsid w:val="64113315"/>
    <w:rsid w:val="64121078"/>
    <w:rsid w:val="642A5D45"/>
    <w:rsid w:val="642C4204"/>
    <w:rsid w:val="644D5D48"/>
    <w:rsid w:val="64596486"/>
    <w:rsid w:val="645F475D"/>
    <w:rsid w:val="64641170"/>
    <w:rsid w:val="647F3A4C"/>
    <w:rsid w:val="64961FEA"/>
    <w:rsid w:val="649737D1"/>
    <w:rsid w:val="64AC2A0D"/>
    <w:rsid w:val="64D57CC1"/>
    <w:rsid w:val="64D94CD6"/>
    <w:rsid w:val="64E75170"/>
    <w:rsid w:val="64EF542F"/>
    <w:rsid w:val="65031646"/>
    <w:rsid w:val="650D3452"/>
    <w:rsid w:val="65120220"/>
    <w:rsid w:val="652F4833"/>
    <w:rsid w:val="65304417"/>
    <w:rsid w:val="65364C48"/>
    <w:rsid w:val="6539524A"/>
    <w:rsid w:val="653C17B9"/>
    <w:rsid w:val="653F1978"/>
    <w:rsid w:val="65581B37"/>
    <w:rsid w:val="655C19F9"/>
    <w:rsid w:val="656137FC"/>
    <w:rsid w:val="65704E76"/>
    <w:rsid w:val="657D2EF6"/>
    <w:rsid w:val="658A0837"/>
    <w:rsid w:val="659B1B6E"/>
    <w:rsid w:val="65A417D5"/>
    <w:rsid w:val="65B303FE"/>
    <w:rsid w:val="65BF032F"/>
    <w:rsid w:val="65CE09F7"/>
    <w:rsid w:val="65D65283"/>
    <w:rsid w:val="65E53A23"/>
    <w:rsid w:val="65E77E4B"/>
    <w:rsid w:val="65E80F94"/>
    <w:rsid w:val="65FB6B37"/>
    <w:rsid w:val="661532C3"/>
    <w:rsid w:val="661E7419"/>
    <w:rsid w:val="662C1C0F"/>
    <w:rsid w:val="6631158C"/>
    <w:rsid w:val="66554C65"/>
    <w:rsid w:val="665B0220"/>
    <w:rsid w:val="6664062D"/>
    <w:rsid w:val="66647CEF"/>
    <w:rsid w:val="66756B52"/>
    <w:rsid w:val="66845C57"/>
    <w:rsid w:val="669612B8"/>
    <w:rsid w:val="669C4B10"/>
    <w:rsid w:val="66A45E38"/>
    <w:rsid w:val="66AE0FFF"/>
    <w:rsid w:val="66C4285D"/>
    <w:rsid w:val="66CD24EE"/>
    <w:rsid w:val="66D9163A"/>
    <w:rsid w:val="66E54EEA"/>
    <w:rsid w:val="66E852F5"/>
    <w:rsid w:val="66F25101"/>
    <w:rsid w:val="66F957EA"/>
    <w:rsid w:val="66FD6DD9"/>
    <w:rsid w:val="67014DEE"/>
    <w:rsid w:val="6704759C"/>
    <w:rsid w:val="67061C6F"/>
    <w:rsid w:val="672F3320"/>
    <w:rsid w:val="675751AB"/>
    <w:rsid w:val="675B7323"/>
    <w:rsid w:val="676014D5"/>
    <w:rsid w:val="676B42A5"/>
    <w:rsid w:val="677C52CE"/>
    <w:rsid w:val="67884E3E"/>
    <w:rsid w:val="67A1449C"/>
    <w:rsid w:val="67C63392"/>
    <w:rsid w:val="67DA72F1"/>
    <w:rsid w:val="67EB266B"/>
    <w:rsid w:val="68000AEE"/>
    <w:rsid w:val="681066F8"/>
    <w:rsid w:val="68143A8E"/>
    <w:rsid w:val="68282ED8"/>
    <w:rsid w:val="683345E7"/>
    <w:rsid w:val="6836397F"/>
    <w:rsid w:val="685436B1"/>
    <w:rsid w:val="685D76D5"/>
    <w:rsid w:val="685F7C35"/>
    <w:rsid w:val="68D66F7D"/>
    <w:rsid w:val="68FB795E"/>
    <w:rsid w:val="68FD0E6A"/>
    <w:rsid w:val="69086524"/>
    <w:rsid w:val="690C7823"/>
    <w:rsid w:val="690E58E3"/>
    <w:rsid w:val="69122D82"/>
    <w:rsid w:val="69165618"/>
    <w:rsid w:val="6918312E"/>
    <w:rsid w:val="691924BC"/>
    <w:rsid w:val="69384EE2"/>
    <w:rsid w:val="694E3BA9"/>
    <w:rsid w:val="69513B8B"/>
    <w:rsid w:val="69682B80"/>
    <w:rsid w:val="696C440D"/>
    <w:rsid w:val="69704E73"/>
    <w:rsid w:val="697A30B8"/>
    <w:rsid w:val="69802604"/>
    <w:rsid w:val="69845BA5"/>
    <w:rsid w:val="69926F76"/>
    <w:rsid w:val="69A363E3"/>
    <w:rsid w:val="69CC6E17"/>
    <w:rsid w:val="69DF2E45"/>
    <w:rsid w:val="6A0604EC"/>
    <w:rsid w:val="6A0F34AC"/>
    <w:rsid w:val="6A117E0F"/>
    <w:rsid w:val="6A234CE7"/>
    <w:rsid w:val="6A2B3DFA"/>
    <w:rsid w:val="6A2C069F"/>
    <w:rsid w:val="6A564508"/>
    <w:rsid w:val="6A584BA5"/>
    <w:rsid w:val="6A5A6906"/>
    <w:rsid w:val="6A5B6C60"/>
    <w:rsid w:val="6A6A318A"/>
    <w:rsid w:val="6A883473"/>
    <w:rsid w:val="6A950716"/>
    <w:rsid w:val="6AB8323C"/>
    <w:rsid w:val="6ABE50E7"/>
    <w:rsid w:val="6AC2789A"/>
    <w:rsid w:val="6AF26073"/>
    <w:rsid w:val="6AF85145"/>
    <w:rsid w:val="6AFB1E97"/>
    <w:rsid w:val="6AFE13B8"/>
    <w:rsid w:val="6B002D5C"/>
    <w:rsid w:val="6B1A2A61"/>
    <w:rsid w:val="6B364A70"/>
    <w:rsid w:val="6B500125"/>
    <w:rsid w:val="6B5D5F9E"/>
    <w:rsid w:val="6B6E7D76"/>
    <w:rsid w:val="6B732FBD"/>
    <w:rsid w:val="6B786DC2"/>
    <w:rsid w:val="6B7D36DC"/>
    <w:rsid w:val="6B8123A4"/>
    <w:rsid w:val="6BD702F7"/>
    <w:rsid w:val="6BDC2A1B"/>
    <w:rsid w:val="6BEA4F78"/>
    <w:rsid w:val="6BFE10C7"/>
    <w:rsid w:val="6C042997"/>
    <w:rsid w:val="6C0E025B"/>
    <w:rsid w:val="6C5D21FB"/>
    <w:rsid w:val="6C765E15"/>
    <w:rsid w:val="6C8163CC"/>
    <w:rsid w:val="6C8B7100"/>
    <w:rsid w:val="6C9C3206"/>
    <w:rsid w:val="6C9E5415"/>
    <w:rsid w:val="6CA87DFD"/>
    <w:rsid w:val="6CAA6D68"/>
    <w:rsid w:val="6CAA7444"/>
    <w:rsid w:val="6CBF5624"/>
    <w:rsid w:val="6CF13EC6"/>
    <w:rsid w:val="6D1214DA"/>
    <w:rsid w:val="6D170857"/>
    <w:rsid w:val="6D187838"/>
    <w:rsid w:val="6D196A1C"/>
    <w:rsid w:val="6D314807"/>
    <w:rsid w:val="6D4B5A26"/>
    <w:rsid w:val="6D4C0234"/>
    <w:rsid w:val="6D4E753F"/>
    <w:rsid w:val="6D535020"/>
    <w:rsid w:val="6D5F0B7D"/>
    <w:rsid w:val="6D77332B"/>
    <w:rsid w:val="6D7A7821"/>
    <w:rsid w:val="6D8D725B"/>
    <w:rsid w:val="6D8F1E33"/>
    <w:rsid w:val="6D9510D7"/>
    <w:rsid w:val="6DA070E2"/>
    <w:rsid w:val="6DAF0D17"/>
    <w:rsid w:val="6DC81EC1"/>
    <w:rsid w:val="6DD97201"/>
    <w:rsid w:val="6DE87458"/>
    <w:rsid w:val="6DED25B3"/>
    <w:rsid w:val="6E254456"/>
    <w:rsid w:val="6E262FB4"/>
    <w:rsid w:val="6E352EB4"/>
    <w:rsid w:val="6E4D32D0"/>
    <w:rsid w:val="6E4E6782"/>
    <w:rsid w:val="6E605042"/>
    <w:rsid w:val="6E680107"/>
    <w:rsid w:val="6ECE001D"/>
    <w:rsid w:val="6EE57E46"/>
    <w:rsid w:val="6EFC3BD6"/>
    <w:rsid w:val="6F026F6D"/>
    <w:rsid w:val="6F09367A"/>
    <w:rsid w:val="6F11329D"/>
    <w:rsid w:val="6F196F4B"/>
    <w:rsid w:val="6F1D1982"/>
    <w:rsid w:val="6F3A19A1"/>
    <w:rsid w:val="6F3F1170"/>
    <w:rsid w:val="6F565DEB"/>
    <w:rsid w:val="6F833C57"/>
    <w:rsid w:val="6F8A37EA"/>
    <w:rsid w:val="6F8D43ED"/>
    <w:rsid w:val="6FAC2801"/>
    <w:rsid w:val="6FAE210E"/>
    <w:rsid w:val="6FAF5621"/>
    <w:rsid w:val="6FB1489C"/>
    <w:rsid w:val="6FC912BB"/>
    <w:rsid w:val="6FF25BF6"/>
    <w:rsid w:val="6FF7723D"/>
    <w:rsid w:val="6FF94E21"/>
    <w:rsid w:val="70057314"/>
    <w:rsid w:val="700803B2"/>
    <w:rsid w:val="700D5BB4"/>
    <w:rsid w:val="701270F1"/>
    <w:rsid w:val="702B1420"/>
    <w:rsid w:val="70337331"/>
    <w:rsid w:val="70367B08"/>
    <w:rsid w:val="705C7E0C"/>
    <w:rsid w:val="708C6C14"/>
    <w:rsid w:val="70900537"/>
    <w:rsid w:val="70914DE8"/>
    <w:rsid w:val="70943FC3"/>
    <w:rsid w:val="70A703CB"/>
    <w:rsid w:val="70AD220A"/>
    <w:rsid w:val="70B4507B"/>
    <w:rsid w:val="70D43805"/>
    <w:rsid w:val="70DD5256"/>
    <w:rsid w:val="70E91966"/>
    <w:rsid w:val="70F524B7"/>
    <w:rsid w:val="711759BB"/>
    <w:rsid w:val="711807C0"/>
    <w:rsid w:val="711F4406"/>
    <w:rsid w:val="71257C6E"/>
    <w:rsid w:val="71267542"/>
    <w:rsid w:val="71275EF7"/>
    <w:rsid w:val="71286898"/>
    <w:rsid w:val="712971A5"/>
    <w:rsid w:val="713C2436"/>
    <w:rsid w:val="714B51FB"/>
    <w:rsid w:val="71567A73"/>
    <w:rsid w:val="716272FA"/>
    <w:rsid w:val="71642F7A"/>
    <w:rsid w:val="71871991"/>
    <w:rsid w:val="719A67B0"/>
    <w:rsid w:val="71A4709A"/>
    <w:rsid w:val="71A720CD"/>
    <w:rsid w:val="71F856FC"/>
    <w:rsid w:val="72113D47"/>
    <w:rsid w:val="72162BA8"/>
    <w:rsid w:val="7218737B"/>
    <w:rsid w:val="72242A48"/>
    <w:rsid w:val="72247D88"/>
    <w:rsid w:val="723C060D"/>
    <w:rsid w:val="72520895"/>
    <w:rsid w:val="725854FE"/>
    <w:rsid w:val="726C689C"/>
    <w:rsid w:val="727110AF"/>
    <w:rsid w:val="72735FDC"/>
    <w:rsid w:val="727F01BF"/>
    <w:rsid w:val="728D4994"/>
    <w:rsid w:val="72902AA4"/>
    <w:rsid w:val="729624A5"/>
    <w:rsid w:val="72A82AFD"/>
    <w:rsid w:val="72A9667D"/>
    <w:rsid w:val="72AA45AC"/>
    <w:rsid w:val="72AF3192"/>
    <w:rsid w:val="72D27981"/>
    <w:rsid w:val="72D51220"/>
    <w:rsid w:val="72DC1E41"/>
    <w:rsid w:val="72E4675A"/>
    <w:rsid w:val="72EE2353"/>
    <w:rsid w:val="72F17A71"/>
    <w:rsid w:val="72F64349"/>
    <w:rsid w:val="731A4CAD"/>
    <w:rsid w:val="732D654F"/>
    <w:rsid w:val="732E2A2B"/>
    <w:rsid w:val="73356E13"/>
    <w:rsid w:val="73404424"/>
    <w:rsid w:val="736214C2"/>
    <w:rsid w:val="73777153"/>
    <w:rsid w:val="738D32D9"/>
    <w:rsid w:val="739441DE"/>
    <w:rsid w:val="73C537B1"/>
    <w:rsid w:val="73CD33BB"/>
    <w:rsid w:val="73D1075C"/>
    <w:rsid w:val="73D410F7"/>
    <w:rsid w:val="73D4510C"/>
    <w:rsid w:val="73DD3FC1"/>
    <w:rsid w:val="73DD6B53"/>
    <w:rsid w:val="73E4738D"/>
    <w:rsid w:val="73E476ED"/>
    <w:rsid w:val="73EC03DD"/>
    <w:rsid w:val="73F41B79"/>
    <w:rsid w:val="73F64075"/>
    <w:rsid w:val="73FB6C2B"/>
    <w:rsid w:val="740A6140"/>
    <w:rsid w:val="74301621"/>
    <w:rsid w:val="74442730"/>
    <w:rsid w:val="74493C73"/>
    <w:rsid w:val="74531D2F"/>
    <w:rsid w:val="745B488C"/>
    <w:rsid w:val="746C669B"/>
    <w:rsid w:val="74842DB4"/>
    <w:rsid w:val="749232A9"/>
    <w:rsid w:val="749D668F"/>
    <w:rsid w:val="74CE6975"/>
    <w:rsid w:val="74E2242F"/>
    <w:rsid w:val="74F56F80"/>
    <w:rsid w:val="75120B09"/>
    <w:rsid w:val="75181C9D"/>
    <w:rsid w:val="75213866"/>
    <w:rsid w:val="75562751"/>
    <w:rsid w:val="756E7E47"/>
    <w:rsid w:val="75706D1D"/>
    <w:rsid w:val="757F20E7"/>
    <w:rsid w:val="75894CB4"/>
    <w:rsid w:val="758D193E"/>
    <w:rsid w:val="758D76E5"/>
    <w:rsid w:val="759C7962"/>
    <w:rsid w:val="759D359F"/>
    <w:rsid w:val="75A31161"/>
    <w:rsid w:val="75A61441"/>
    <w:rsid w:val="75C56403"/>
    <w:rsid w:val="75CB1A4C"/>
    <w:rsid w:val="75D4756D"/>
    <w:rsid w:val="75E20279"/>
    <w:rsid w:val="75F453A3"/>
    <w:rsid w:val="75FC0828"/>
    <w:rsid w:val="760C45D1"/>
    <w:rsid w:val="76232AEC"/>
    <w:rsid w:val="76284AC2"/>
    <w:rsid w:val="76290512"/>
    <w:rsid w:val="763C694E"/>
    <w:rsid w:val="76491255"/>
    <w:rsid w:val="764E37CA"/>
    <w:rsid w:val="765F1B2B"/>
    <w:rsid w:val="766F7697"/>
    <w:rsid w:val="768E30C3"/>
    <w:rsid w:val="76B53CD2"/>
    <w:rsid w:val="76C74100"/>
    <w:rsid w:val="76D644FA"/>
    <w:rsid w:val="76F07EAA"/>
    <w:rsid w:val="76FE2D08"/>
    <w:rsid w:val="771B0062"/>
    <w:rsid w:val="77243F4F"/>
    <w:rsid w:val="774F580C"/>
    <w:rsid w:val="7754790A"/>
    <w:rsid w:val="77776CAF"/>
    <w:rsid w:val="777E710B"/>
    <w:rsid w:val="77845250"/>
    <w:rsid w:val="778878C7"/>
    <w:rsid w:val="778D3EAD"/>
    <w:rsid w:val="7792490E"/>
    <w:rsid w:val="77966242"/>
    <w:rsid w:val="77BE0B12"/>
    <w:rsid w:val="77E109BC"/>
    <w:rsid w:val="77F46B7D"/>
    <w:rsid w:val="77F63458"/>
    <w:rsid w:val="780508C4"/>
    <w:rsid w:val="78077577"/>
    <w:rsid w:val="78147F54"/>
    <w:rsid w:val="781903FE"/>
    <w:rsid w:val="78291D14"/>
    <w:rsid w:val="78390DEB"/>
    <w:rsid w:val="784D6322"/>
    <w:rsid w:val="7862675C"/>
    <w:rsid w:val="78635A04"/>
    <w:rsid w:val="78692B14"/>
    <w:rsid w:val="786D5D0F"/>
    <w:rsid w:val="7877756F"/>
    <w:rsid w:val="787C64BB"/>
    <w:rsid w:val="788609F5"/>
    <w:rsid w:val="789B4907"/>
    <w:rsid w:val="789F743A"/>
    <w:rsid w:val="78AE75B3"/>
    <w:rsid w:val="78B57EE2"/>
    <w:rsid w:val="78BB11DA"/>
    <w:rsid w:val="78BF0458"/>
    <w:rsid w:val="78C16764"/>
    <w:rsid w:val="78C362A7"/>
    <w:rsid w:val="78D14C8A"/>
    <w:rsid w:val="78D47EDB"/>
    <w:rsid w:val="790B23F9"/>
    <w:rsid w:val="790D0AC0"/>
    <w:rsid w:val="79234D2F"/>
    <w:rsid w:val="79290D4C"/>
    <w:rsid w:val="7932685A"/>
    <w:rsid w:val="79410484"/>
    <w:rsid w:val="79516F70"/>
    <w:rsid w:val="79525636"/>
    <w:rsid w:val="79527A44"/>
    <w:rsid w:val="795E0718"/>
    <w:rsid w:val="795F3B46"/>
    <w:rsid w:val="7991711C"/>
    <w:rsid w:val="79A27982"/>
    <w:rsid w:val="79AA6114"/>
    <w:rsid w:val="79B17BC5"/>
    <w:rsid w:val="79CF419C"/>
    <w:rsid w:val="79F93A46"/>
    <w:rsid w:val="79FF3E6E"/>
    <w:rsid w:val="7A075A61"/>
    <w:rsid w:val="7A181268"/>
    <w:rsid w:val="7A234F10"/>
    <w:rsid w:val="7A252A8D"/>
    <w:rsid w:val="7A3221EC"/>
    <w:rsid w:val="7A342CD0"/>
    <w:rsid w:val="7A521D45"/>
    <w:rsid w:val="7A576DBA"/>
    <w:rsid w:val="7A5C5DD2"/>
    <w:rsid w:val="7A797A07"/>
    <w:rsid w:val="7A7C535A"/>
    <w:rsid w:val="7A886B78"/>
    <w:rsid w:val="7A947147"/>
    <w:rsid w:val="7A9D3935"/>
    <w:rsid w:val="7AA874CC"/>
    <w:rsid w:val="7ABA33EA"/>
    <w:rsid w:val="7ABC0A6B"/>
    <w:rsid w:val="7AC078A1"/>
    <w:rsid w:val="7AD31644"/>
    <w:rsid w:val="7AEA0746"/>
    <w:rsid w:val="7B3377DF"/>
    <w:rsid w:val="7B36045B"/>
    <w:rsid w:val="7B5633CA"/>
    <w:rsid w:val="7B5F4A24"/>
    <w:rsid w:val="7B665E5A"/>
    <w:rsid w:val="7B841440"/>
    <w:rsid w:val="7B866876"/>
    <w:rsid w:val="7B9710F5"/>
    <w:rsid w:val="7B9B6D91"/>
    <w:rsid w:val="7BBA7205"/>
    <w:rsid w:val="7BCD1BB0"/>
    <w:rsid w:val="7BD56697"/>
    <w:rsid w:val="7BE60EA3"/>
    <w:rsid w:val="7BF70EC6"/>
    <w:rsid w:val="7C176585"/>
    <w:rsid w:val="7C2C5508"/>
    <w:rsid w:val="7C2E68EF"/>
    <w:rsid w:val="7C3946A2"/>
    <w:rsid w:val="7C3A7068"/>
    <w:rsid w:val="7C5D4FA9"/>
    <w:rsid w:val="7C71145B"/>
    <w:rsid w:val="7C99700C"/>
    <w:rsid w:val="7C9D1ABB"/>
    <w:rsid w:val="7CAE626C"/>
    <w:rsid w:val="7CC657AB"/>
    <w:rsid w:val="7CD228EB"/>
    <w:rsid w:val="7CD556FD"/>
    <w:rsid w:val="7CEA7DD8"/>
    <w:rsid w:val="7CFC7AC4"/>
    <w:rsid w:val="7D0166A0"/>
    <w:rsid w:val="7D041215"/>
    <w:rsid w:val="7D0A1C5A"/>
    <w:rsid w:val="7D1B0504"/>
    <w:rsid w:val="7D1C7AB0"/>
    <w:rsid w:val="7D1E41BA"/>
    <w:rsid w:val="7D274817"/>
    <w:rsid w:val="7D653398"/>
    <w:rsid w:val="7D721420"/>
    <w:rsid w:val="7D841E05"/>
    <w:rsid w:val="7D8A2717"/>
    <w:rsid w:val="7D8A53A6"/>
    <w:rsid w:val="7D970D55"/>
    <w:rsid w:val="7D9E0CED"/>
    <w:rsid w:val="7DAA5057"/>
    <w:rsid w:val="7DB679EB"/>
    <w:rsid w:val="7DD13986"/>
    <w:rsid w:val="7E160799"/>
    <w:rsid w:val="7E431552"/>
    <w:rsid w:val="7E453AB3"/>
    <w:rsid w:val="7E4C644D"/>
    <w:rsid w:val="7E516AD8"/>
    <w:rsid w:val="7E822EC3"/>
    <w:rsid w:val="7E882F1A"/>
    <w:rsid w:val="7E883900"/>
    <w:rsid w:val="7E8A4813"/>
    <w:rsid w:val="7E931C7F"/>
    <w:rsid w:val="7EA42B1E"/>
    <w:rsid w:val="7EA72BFC"/>
    <w:rsid w:val="7ECD4E2F"/>
    <w:rsid w:val="7EF06C38"/>
    <w:rsid w:val="7F113A1D"/>
    <w:rsid w:val="7F1C7D6F"/>
    <w:rsid w:val="7F23172E"/>
    <w:rsid w:val="7F297BD3"/>
    <w:rsid w:val="7F3E5AAC"/>
    <w:rsid w:val="7F602C10"/>
    <w:rsid w:val="7F713669"/>
    <w:rsid w:val="7F7D19C8"/>
    <w:rsid w:val="7F8942F1"/>
    <w:rsid w:val="7F9C1990"/>
    <w:rsid w:val="7FA54125"/>
    <w:rsid w:val="7FCC7A1A"/>
    <w:rsid w:val="7FD32D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jc w:val="center"/>
      <w:outlineLvl w:val="1"/>
    </w:pPr>
    <w:rPr>
      <w:rFonts w:ascii="Arial" w:hAnsi="Arial" w:eastAsia="黑体"/>
      <w:b/>
      <w:bCs/>
      <w:sz w:val="52"/>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4">
    <w:name w:val="Normal Indent"/>
    <w:next w:val="1"/>
    <w:qFormat/>
    <w:uiPriority w:val="0"/>
    <w:pPr>
      <w:kinsoku w:val="0"/>
      <w:autoSpaceDE w:val="0"/>
      <w:autoSpaceDN w:val="0"/>
      <w:adjustRightInd w:val="0"/>
      <w:snapToGrid w:val="0"/>
      <w:spacing w:line="360" w:lineRule="atLeast"/>
      <w:ind w:firstLine="482"/>
      <w:jc w:val="left"/>
      <w:textAlignment w:val="baseline"/>
    </w:pPr>
    <w:rPr>
      <w:rFonts w:ascii="Arial" w:hAnsi="Arial" w:eastAsia="宋体" w:cs="Arial"/>
      <w:snapToGrid w:val="0"/>
      <w:color w:val="000000"/>
      <w:kern w:val="0"/>
      <w:sz w:val="24"/>
      <w:szCs w:val="21"/>
      <w:lang w:val="en-US" w:eastAsia="en-US" w:bidi="ar-SA"/>
    </w:rPr>
  </w:style>
  <w:style w:type="paragraph" w:styleId="5">
    <w:name w:val="Document Map"/>
    <w:basedOn w:val="1"/>
    <w:link w:val="29"/>
    <w:qFormat/>
    <w:uiPriority w:val="0"/>
    <w:rPr>
      <w:rFonts w:ascii="宋体"/>
      <w:sz w:val="18"/>
      <w:szCs w:val="18"/>
    </w:rPr>
  </w:style>
  <w:style w:type="paragraph" w:styleId="6">
    <w:name w:val="Body Text"/>
    <w:basedOn w:val="1"/>
    <w:next w:val="1"/>
    <w:semiHidden/>
    <w:qFormat/>
    <w:uiPriority w:val="0"/>
    <w:rPr>
      <w:rFonts w:ascii="Arial" w:hAnsi="Arial" w:eastAsia="Arial" w:cs="Arial"/>
      <w:sz w:val="21"/>
      <w:szCs w:val="21"/>
      <w:lang w:val="en-US" w:eastAsia="en-US" w:bidi="ar-SA"/>
    </w:rPr>
  </w:style>
  <w:style w:type="paragraph" w:styleId="7">
    <w:name w:val="List 2"/>
    <w:next w:val="8"/>
    <w:qFormat/>
    <w:uiPriority w:val="0"/>
    <w:pPr>
      <w:widowControl w:val="0"/>
      <w:ind w:left="100" w:leftChars="200" w:hanging="200" w:hangingChars="200"/>
      <w:jc w:val="both"/>
    </w:pPr>
    <w:rPr>
      <w:rFonts w:ascii="Times New Roman" w:hAnsi="Times New Roman" w:eastAsia="宋体" w:cs="Times New Roman"/>
      <w:kern w:val="2"/>
      <w:sz w:val="21"/>
      <w:szCs w:val="22"/>
      <w:lang w:val="en-US" w:eastAsia="zh-CN" w:bidi="ar-SA"/>
    </w:rPr>
  </w:style>
  <w:style w:type="paragraph" w:styleId="8">
    <w:name w:val="Plain Text"/>
    <w:basedOn w:val="1"/>
    <w:next w:val="1"/>
    <w:qFormat/>
    <w:uiPriority w:val="0"/>
    <w:rPr>
      <w:rFonts w:ascii="宋体" w:hAnsi="Courier New" w:cs="宋体"/>
      <w:szCs w:val="21"/>
    </w:rPr>
  </w:style>
  <w:style w:type="paragraph" w:styleId="9">
    <w:name w:val="toc 3"/>
    <w:basedOn w:val="1"/>
    <w:next w:val="1"/>
    <w:qFormat/>
    <w:uiPriority w:val="0"/>
    <w:pPr>
      <w:ind w:left="840" w:leftChars="400"/>
    </w:pPr>
  </w:style>
  <w:style w:type="paragraph" w:styleId="10">
    <w:name w:val="footer"/>
    <w:basedOn w:val="1"/>
    <w:unhideWhenUsed/>
    <w:qFormat/>
    <w:uiPriority w:val="99"/>
    <w:pPr>
      <w:tabs>
        <w:tab w:val="center" w:pos="4153"/>
        <w:tab w:val="right" w:pos="8306"/>
      </w:tabs>
      <w:snapToGrid w:val="0"/>
      <w:jc w:val="left"/>
    </w:pPr>
    <w:rPr>
      <w:sz w:val="18"/>
      <w:szCs w:val="18"/>
    </w:rPr>
  </w:style>
  <w:style w:type="paragraph" w:styleId="11">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0"/>
  </w:style>
  <w:style w:type="paragraph" w:styleId="13">
    <w:name w:val="toc 2"/>
    <w:basedOn w:val="1"/>
    <w:next w:val="1"/>
    <w:qFormat/>
    <w:uiPriority w:val="0"/>
    <w:pPr>
      <w:ind w:left="420" w:leftChars="200"/>
    </w:pPr>
  </w:style>
  <w:style w:type="paragraph" w:styleId="14">
    <w:name w:val="Normal (Web)"/>
    <w:basedOn w:val="1"/>
    <w:qFormat/>
    <w:uiPriority w:val="0"/>
    <w:pPr>
      <w:spacing w:before="100" w:beforeAutospacing="1" w:after="100" w:afterAutospacing="1"/>
      <w:jc w:val="left"/>
    </w:pPr>
    <w:rPr>
      <w:kern w:val="0"/>
      <w:sz w:val="24"/>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Strong"/>
    <w:qFormat/>
    <w:uiPriority w:val="0"/>
    <w:rPr>
      <w:b/>
    </w:rPr>
  </w:style>
  <w:style w:type="character" w:styleId="19">
    <w:name w:val="page number"/>
    <w:basedOn w:val="17"/>
    <w:unhideWhenUsed/>
    <w:qFormat/>
    <w:uiPriority w:val="0"/>
    <w:rPr>
      <w:rFonts w:cs="Times New Roman"/>
    </w:rPr>
  </w:style>
  <w:style w:type="character" w:customStyle="1" w:styleId="20">
    <w:name w:val="样式 仿宋"/>
    <w:qFormat/>
    <w:uiPriority w:val="0"/>
    <w:rPr>
      <w:rFonts w:ascii="仿宋" w:hAnsi="仿宋" w:eastAsia="仿宋"/>
      <w:kern w:val="1"/>
    </w:rPr>
  </w:style>
  <w:style w:type="paragraph" w:customStyle="1" w:styleId="21">
    <w:name w:val="样式 宋体 四号 居中 行距: 1.5 倍行距"/>
    <w:basedOn w:val="1"/>
    <w:qFormat/>
    <w:uiPriority w:val="0"/>
    <w:pPr>
      <w:spacing w:line="360" w:lineRule="auto"/>
      <w:jc w:val="center"/>
    </w:pPr>
    <w:rPr>
      <w:rFonts w:ascii="宋体" w:hAnsi="Cambria" w:cs="宋体"/>
      <w:sz w:val="28"/>
      <w:szCs w:val="20"/>
    </w:rPr>
  </w:style>
  <w:style w:type="paragraph" w:customStyle="1" w:styleId="22">
    <w:name w:val="样式 仿宋 行距: 1.5 倍行距"/>
    <w:basedOn w:val="1"/>
    <w:qFormat/>
    <w:uiPriority w:val="0"/>
    <w:pPr>
      <w:spacing w:line="360" w:lineRule="auto"/>
    </w:pPr>
    <w:rPr>
      <w:rFonts w:ascii="仿宋" w:hAnsi="仿宋" w:eastAsia="仿宋" w:cs="宋体"/>
      <w:sz w:val="24"/>
      <w:szCs w:val="20"/>
    </w:rPr>
  </w:style>
  <w:style w:type="character" w:customStyle="1" w:styleId="23">
    <w:name w:val="font21"/>
    <w:basedOn w:val="17"/>
    <w:qFormat/>
    <w:uiPriority w:val="0"/>
    <w:rPr>
      <w:rFonts w:hint="default" w:ascii="等线" w:hAnsi="等线" w:eastAsia="等线" w:cs="等线"/>
      <w:color w:val="000000"/>
      <w:sz w:val="22"/>
      <w:szCs w:val="22"/>
      <w:u w:val="none"/>
    </w:rPr>
  </w:style>
  <w:style w:type="character" w:customStyle="1" w:styleId="24">
    <w:name w:val="font41"/>
    <w:basedOn w:val="17"/>
    <w:qFormat/>
    <w:uiPriority w:val="0"/>
    <w:rPr>
      <w:rFonts w:hint="eastAsia" w:ascii="宋体" w:hAnsi="宋体" w:eastAsia="宋体" w:cs="宋体"/>
      <w:color w:val="000000"/>
      <w:sz w:val="20"/>
      <w:szCs w:val="20"/>
      <w:u w:val="none"/>
    </w:rPr>
  </w:style>
  <w:style w:type="character" w:customStyle="1" w:styleId="25">
    <w:name w:val="font111"/>
    <w:basedOn w:val="17"/>
    <w:qFormat/>
    <w:uiPriority w:val="0"/>
    <w:rPr>
      <w:rFonts w:hint="eastAsia" w:ascii="宋体" w:hAnsi="宋体" w:eastAsia="宋体" w:cs="宋体"/>
      <w:color w:val="000000"/>
      <w:sz w:val="20"/>
      <w:szCs w:val="20"/>
      <w:u w:val="none"/>
    </w:rPr>
  </w:style>
  <w:style w:type="character" w:customStyle="1" w:styleId="26">
    <w:name w:val="font101"/>
    <w:basedOn w:val="17"/>
    <w:qFormat/>
    <w:uiPriority w:val="0"/>
    <w:rPr>
      <w:rFonts w:hint="eastAsia" w:ascii="宋体" w:hAnsi="宋体" w:eastAsia="宋体" w:cs="宋体"/>
      <w:b/>
      <w:color w:val="000000"/>
      <w:sz w:val="20"/>
      <w:szCs w:val="20"/>
      <w:u w:val="none"/>
    </w:rPr>
  </w:style>
  <w:style w:type="paragraph" w:styleId="27">
    <w:name w:val="List Paragraph"/>
    <w:basedOn w:val="1"/>
    <w:qFormat/>
    <w:uiPriority w:val="34"/>
    <w:pPr>
      <w:ind w:firstLine="420" w:firstLineChars="200"/>
    </w:pPr>
  </w:style>
  <w:style w:type="paragraph" w:customStyle="1" w:styleId="28">
    <w:name w:val="_Style 1"/>
    <w:basedOn w:val="1"/>
    <w:qFormat/>
    <w:uiPriority w:val="34"/>
    <w:pPr>
      <w:ind w:firstLine="420" w:firstLineChars="200"/>
    </w:pPr>
  </w:style>
  <w:style w:type="character" w:customStyle="1" w:styleId="29">
    <w:name w:val="文档结构图 Char"/>
    <w:basedOn w:val="17"/>
    <w:link w:val="5"/>
    <w:qFormat/>
    <w:uiPriority w:val="0"/>
    <w:rPr>
      <w:rFonts w:ascii="宋体" w:eastAsia="宋体"/>
      <w:kern w:val="2"/>
      <w:sz w:val="18"/>
      <w:szCs w:val="18"/>
    </w:rPr>
  </w:style>
  <w:style w:type="character" w:customStyle="1" w:styleId="30">
    <w:name w:val="font61"/>
    <w:basedOn w:val="17"/>
    <w:qFormat/>
    <w:uiPriority w:val="0"/>
    <w:rPr>
      <w:rFonts w:hint="eastAsia" w:ascii="宋体" w:hAnsi="宋体" w:eastAsia="宋体" w:cs="宋体"/>
      <w:color w:val="000000"/>
      <w:sz w:val="40"/>
      <w:szCs w:val="40"/>
      <w:u w:val="none"/>
    </w:rPr>
  </w:style>
  <w:style w:type="character" w:customStyle="1" w:styleId="31">
    <w:name w:val="font71"/>
    <w:basedOn w:val="17"/>
    <w:qFormat/>
    <w:uiPriority w:val="0"/>
    <w:rPr>
      <w:rFonts w:hint="eastAsia" w:ascii="仿宋" w:hAnsi="仿宋" w:eastAsia="仿宋" w:cs="仿宋"/>
      <w:color w:val="000000"/>
      <w:sz w:val="20"/>
      <w:szCs w:val="20"/>
      <w:u w:val="none"/>
    </w:rPr>
  </w:style>
  <w:style w:type="character" w:customStyle="1" w:styleId="32">
    <w:name w:val="font51"/>
    <w:basedOn w:val="17"/>
    <w:qFormat/>
    <w:uiPriority w:val="0"/>
    <w:rPr>
      <w:rFonts w:ascii="Arial" w:hAnsi="Arial" w:cs="Arial"/>
      <w:color w:val="000000"/>
      <w:sz w:val="20"/>
      <w:szCs w:val="20"/>
      <w:u w:val="none"/>
    </w:rPr>
  </w:style>
  <w:style w:type="table" w:customStyle="1" w:styleId="33">
    <w:name w:val="Table Normal"/>
    <w:semiHidden/>
    <w:unhideWhenUsed/>
    <w:qFormat/>
    <w:uiPriority w:val="0"/>
    <w:tblPr>
      <w:tblCellMar>
        <w:top w:w="0" w:type="dxa"/>
        <w:left w:w="0" w:type="dxa"/>
        <w:bottom w:w="0" w:type="dxa"/>
        <w:right w:w="0" w:type="dxa"/>
      </w:tblCellMar>
    </w:tblPr>
  </w:style>
  <w:style w:type="paragraph" w:customStyle="1" w:styleId="34">
    <w:name w:val="Table Text"/>
    <w:basedOn w:val="1"/>
    <w:semiHidden/>
    <w:qFormat/>
    <w:uiPriority w:val="0"/>
    <w:rPr>
      <w:rFonts w:ascii="仿宋" w:hAnsi="仿宋" w:eastAsia="仿宋" w:cs="仿宋"/>
      <w:sz w:val="24"/>
      <w:szCs w:val="24"/>
      <w:lang w:val="en-US" w:eastAsia="en-US" w:bidi="ar-SA"/>
    </w:rPr>
  </w:style>
  <w:style w:type="character" w:customStyle="1" w:styleId="35">
    <w:name w:val="font31"/>
    <w:basedOn w:val="17"/>
    <w:qFormat/>
    <w:uiPriority w:val="0"/>
    <w:rPr>
      <w:rFonts w:hint="eastAsia" w:ascii="宋体" w:hAnsi="宋体" w:eastAsia="宋体" w:cs="宋体"/>
      <w:color w:val="000000"/>
      <w:sz w:val="21"/>
      <w:szCs w:val="21"/>
      <w:u w:val="none"/>
    </w:rPr>
  </w:style>
  <w:style w:type="character" w:customStyle="1" w:styleId="36">
    <w:name w:val="font91"/>
    <w:basedOn w:val="17"/>
    <w:qFormat/>
    <w:uiPriority w:val="0"/>
    <w:rPr>
      <w:rFonts w:ascii="方正书宋_GBK" w:hAnsi="方正书宋_GBK" w:eastAsia="方正书宋_GBK" w:cs="方正书宋_GBK"/>
      <w:color w:val="000000"/>
      <w:sz w:val="18"/>
      <w:szCs w:val="18"/>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Pages>99</Pages>
  <Words>13710</Words>
  <Characters>15003</Characters>
  <Lines>341</Lines>
  <Paragraphs>96</Paragraphs>
  <TotalTime>7</TotalTime>
  <ScaleCrop>false</ScaleCrop>
  <LinksUpToDate>false</LinksUpToDate>
  <CharactersWithSpaces>15336</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2018-10-26T10:20:00Z</dcterms:created>
  <dc:creator>Administrator</dc:creator>
  <cp:lastModifiedBy>贱人最矫情1401968497</cp:lastModifiedBy>
  <cp:lastPrinted>2025-09-22T08:37:00Z</cp:lastPrinted>
  <dcterms:modified xsi:type="dcterms:W3CDTF">2026-04-30T11:14:02Z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1E18AF99E64E42D9AF2753035203CC1D_13</vt:lpwstr>
  </property>
  <property fmtid="{D5CDD505-2E9C-101B-9397-08002B2CF9AE}" pid="4" name="KSOTemplateDocerSaveRecord">
    <vt:lpwstr>eyJoZGlkIjoiMDJhNmI0NmY5MGRhNGUxNmYyNDY4NDU3NzY0MWViMzUiLCJ1c2VySWQiOiIxNjY0ODE0NSJ9</vt:lpwstr>
  </property>
</Properties>
</file>