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E99F4">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30"/>
          <w:szCs w:val="30"/>
          <w:lang w:val="en-US" w:eastAsia="zh-CN"/>
        </w:rPr>
      </w:pPr>
      <w:r>
        <w:rPr>
          <w:rFonts w:ascii="黑体" w:eastAsia="黑体" w:cs="黑体"/>
          <w:b w:val="0"/>
          <w:color w:val="auto"/>
          <w:kern w:val="2"/>
          <w:sz w:val="30"/>
          <w:szCs w:val="30"/>
          <w:lang w:val="en-US"/>
        </w:rPr>
        <w:t>项目编号：</w:t>
      </w:r>
      <w:r>
        <w:rPr>
          <w:rFonts w:hint="eastAsia" w:ascii="黑体" w:eastAsia="黑体" w:cs="黑体"/>
          <w:b w:val="0"/>
          <w:color w:val="auto"/>
          <w:kern w:val="2"/>
          <w:sz w:val="30"/>
          <w:szCs w:val="30"/>
          <w:highlight w:val="none"/>
          <w:lang w:val="en-US" w:eastAsia="zh-CN"/>
        </w:rPr>
        <w:t>XJCLXC(2026)-14-FW</w:t>
      </w:r>
    </w:p>
    <w:p w14:paraId="5C19A270">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b w:val="0"/>
          <w:color w:val="auto"/>
          <w:kern w:val="2"/>
          <w:sz w:val="44"/>
          <w:szCs w:val="44"/>
          <w:lang w:val="en-US" w:eastAsia="zh-CN"/>
        </w:rPr>
      </w:pPr>
      <w:r>
        <w:rPr>
          <w:rFonts w:hint="eastAsia" w:ascii="黑体" w:eastAsia="黑体"/>
          <w:b w:val="0"/>
          <w:color w:val="auto"/>
          <w:kern w:val="2"/>
          <w:sz w:val="44"/>
          <w:szCs w:val="44"/>
          <w:lang w:val="en-US" w:eastAsia="zh-CN"/>
        </w:rPr>
        <w:t>昌吉回族自治州人民医院本院区食堂餐饮服务外包项目</w:t>
      </w:r>
    </w:p>
    <w:p w14:paraId="42E18A0C">
      <w:pPr>
        <w:pStyle w:val="34"/>
        <w:pageBreakBefore w:val="0"/>
        <w:widowControl w:val="0"/>
        <w:kinsoku/>
        <w:wordWrap/>
        <w:overflowPunct/>
        <w:topLinePunct w:val="0"/>
        <w:bidi w:val="0"/>
        <w:spacing w:beforeAutospacing="0" w:after="0" w:afterAutospacing="0" w:line="360" w:lineRule="auto"/>
        <w:ind w:left="0" w:leftChars="0" w:right="0"/>
        <w:rPr>
          <w:lang w:val="en-US"/>
        </w:rPr>
      </w:pPr>
    </w:p>
    <w:p w14:paraId="4591F5A6">
      <w:pPr>
        <w:pStyle w:val="30"/>
        <w:rPr>
          <w:lang w:val="en-US"/>
        </w:rPr>
      </w:pPr>
    </w:p>
    <w:p w14:paraId="28FD61B7">
      <w:pPr>
        <w:pStyle w:val="31"/>
        <w:rPr>
          <w:lang w:val="en-US"/>
        </w:rPr>
      </w:pPr>
    </w:p>
    <w:p w14:paraId="4D53D9CE">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72"/>
          <w:szCs w:val="72"/>
          <w:lang w:val="en-US"/>
        </w:rPr>
      </w:pPr>
      <w:r>
        <w:rPr>
          <w:rFonts w:ascii="黑体" w:eastAsia="黑体" w:cs="黑体"/>
          <w:b w:val="0"/>
          <w:color w:val="auto"/>
          <w:kern w:val="2"/>
          <w:sz w:val="72"/>
          <w:szCs w:val="72"/>
          <w:lang w:val="en-US"/>
        </w:rPr>
        <w:t>招</w:t>
      </w:r>
    </w:p>
    <w:p w14:paraId="631C202A">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72"/>
          <w:szCs w:val="72"/>
          <w:lang w:val="en-US"/>
        </w:rPr>
      </w:pPr>
    </w:p>
    <w:p w14:paraId="2C7D269C">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72"/>
          <w:szCs w:val="72"/>
          <w:lang w:val="en-US"/>
        </w:rPr>
      </w:pPr>
      <w:r>
        <w:rPr>
          <w:rFonts w:ascii="黑体" w:eastAsia="黑体" w:cs="黑体"/>
          <w:b w:val="0"/>
          <w:color w:val="auto"/>
          <w:kern w:val="2"/>
          <w:sz w:val="72"/>
          <w:szCs w:val="72"/>
          <w:lang w:val="en-US"/>
        </w:rPr>
        <w:t>标</w:t>
      </w:r>
    </w:p>
    <w:p w14:paraId="7275E444">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72"/>
          <w:szCs w:val="72"/>
          <w:lang w:val="en-US"/>
        </w:rPr>
      </w:pPr>
    </w:p>
    <w:p w14:paraId="1D5426DC">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72"/>
          <w:szCs w:val="72"/>
          <w:lang w:val="en-US"/>
        </w:rPr>
      </w:pPr>
      <w:r>
        <w:rPr>
          <w:rFonts w:ascii="黑体" w:eastAsia="黑体" w:cs="黑体"/>
          <w:b w:val="0"/>
          <w:color w:val="auto"/>
          <w:kern w:val="2"/>
          <w:sz w:val="72"/>
          <w:szCs w:val="72"/>
          <w:lang w:val="en-US"/>
        </w:rPr>
        <w:t>文</w:t>
      </w:r>
    </w:p>
    <w:p w14:paraId="30AEEA10">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黑体" w:eastAsia="黑体" w:cs="黑体"/>
          <w:b w:val="0"/>
          <w:color w:val="auto"/>
          <w:kern w:val="2"/>
          <w:sz w:val="72"/>
          <w:szCs w:val="72"/>
          <w:lang w:val="en-US"/>
        </w:rPr>
      </w:pPr>
    </w:p>
    <w:p w14:paraId="6ADF6CFF">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黑体" w:eastAsia="黑体" w:cs="黑体"/>
          <w:b w:val="0"/>
          <w:color w:val="auto"/>
          <w:kern w:val="2"/>
          <w:sz w:val="72"/>
          <w:szCs w:val="72"/>
          <w:lang w:val="en-US"/>
        </w:rPr>
      </w:pPr>
      <w:r>
        <w:rPr>
          <w:rFonts w:ascii="黑体" w:eastAsia="黑体" w:cs="黑体"/>
          <w:b w:val="0"/>
          <w:color w:val="auto"/>
          <w:kern w:val="2"/>
          <w:sz w:val="72"/>
          <w:szCs w:val="72"/>
          <w:lang w:val="en-US"/>
        </w:rPr>
        <w:t>件</w:t>
      </w:r>
    </w:p>
    <w:p w14:paraId="7B6AEC30">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Times New Roman" w:hAnsi="Times New Roman"/>
          <w:color w:val="auto"/>
        </w:rPr>
      </w:pPr>
    </w:p>
    <w:p w14:paraId="7C0E0FB5">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Times New Roman" w:hAnsi="Times New Roman"/>
          <w:color w:val="auto"/>
        </w:rPr>
      </w:pPr>
    </w:p>
    <w:tbl>
      <w:tblPr>
        <w:tblStyle w:val="80"/>
        <w:tblpPr w:leftFromText="180" w:rightFromText="180" w:vertAnchor="text" w:horzAnchor="margin" w:tblpXSpec="center" w:tblpY="39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26"/>
        <w:gridCol w:w="268"/>
        <w:gridCol w:w="5440"/>
      </w:tblGrid>
      <w:tr w14:paraId="715B1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0" w:hRule="atLeast"/>
        </w:trPr>
        <w:tc>
          <w:tcPr>
            <w:tcW w:w="1626" w:type="dxa"/>
            <w:tcBorders>
              <w:top w:val="nil"/>
              <w:left w:val="nil"/>
              <w:bottom w:val="nil"/>
              <w:right w:val="nil"/>
              <w:tl2br w:val="nil"/>
              <w:tr2bl w:val="nil"/>
            </w:tcBorders>
            <w:vAlign w:val="center"/>
          </w:tcPr>
          <w:p w14:paraId="6EE8DD16">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黑体" w:eastAsia="黑体" w:cs="黑体"/>
                <w:b w:val="0"/>
                <w:bCs w:val="0"/>
                <w:color w:val="auto"/>
                <w:sz w:val="32"/>
                <w:szCs w:val="32"/>
                <w:u w:val="none"/>
              </w:rPr>
            </w:pPr>
            <w:r>
              <w:rPr>
                <w:rFonts w:hint="eastAsia" w:ascii="黑体" w:eastAsia="黑体" w:cs="黑体"/>
                <w:b w:val="0"/>
                <w:bCs w:val="0"/>
                <w:color w:val="auto"/>
                <w:sz w:val="32"/>
                <w:szCs w:val="32"/>
                <w:u w:val="none"/>
              </w:rPr>
              <w:t>采 购 人</w:t>
            </w:r>
          </w:p>
        </w:tc>
        <w:tc>
          <w:tcPr>
            <w:tcW w:w="268" w:type="dxa"/>
            <w:tcBorders>
              <w:top w:val="nil"/>
              <w:left w:val="nil"/>
              <w:bottom w:val="nil"/>
              <w:right w:val="nil"/>
              <w:tl2br w:val="nil"/>
              <w:tr2bl w:val="nil"/>
            </w:tcBorders>
            <w:vAlign w:val="center"/>
          </w:tcPr>
          <w:p w14:paraId="4AA97BE7">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firstLine="0" w:firstLineChars="0"/>
              <w:jc w:val="center"/>
              <w:textAlignment w:val="auto"/>
              <w:rPr>
                <w:rFonts w:hint="eastAsia" w:ascii="黑体" w:eastAsia="黑体" w:cs="黑体"/>
                <w:b w:val="0"/>
                <w:bCs w:val="0"/>
                <w:color w:val="auto"/>
                <w:sz w:val="32"/>
                <w:szCs w:val="32"/>
                <w:u w:val="none"/>
              </w:rPr>
            </w:pPr>
            <w:r>
              <w:rPr>
                <w:rFonts w:hint="eastAsia" w:ascii="黑体" w:eastAsia="黑体" w:cs="黑体"/>
                <w:b w:val="0"/>
                <w:bCs w:val="0"/>
                <w:color w:val="auto"/>
                <w:sz w:val="32"/>
                <w:szCs w:val="32"/>
                <w:u w:val="none"/>
                <w:lang w:eastAsia="zh-CN"/>
              </w:rPr>
              <w:t>：</w:t>
            </w:r>
          </w:p>
        </w:tc>
        <w:tc>
          <w:tcPr>
            <w:tcW w:w="5440" w:type="dxa"/>
            <w:tcBorders>
              <w:top w:val="nil"/>
              <w:left w:val="nil"/>
              <w:bottom w:val="nil"/>
              <w:right w:val="nil"/>
              <w:tl2br w:val="nil"/>
              <w:tr2bl w:val="nil"/>
            </w:tcBorders>
            <w:vAlign w:val="center"/>
          </w:tcPr>
          <w:p w14:paraId="6CD80E7D">
            <w:pPr>
              <w:pageBreakBefore w:val="0"/>
              <w:widowControl w:val="0"/>
              <w:kinsoku/>
              <w:wordWrap/>
              <w:overflowPunct/>
              <w:topLinePunct w:val="0"/>
              <w:bidi w:val="0"/>
              <w:spacing w:beforeAutospacing="0" w:afterAutospacing="0" w:line="240" w:lineRule="auto"/>
              <w:ind w:left="0" w:right="0" w:firstLine="0" w:firstLineChars="0"/>
              <w:jc w:val="center"/>
              <w:rPr>
                <w:rFonts w:hint="eastAsia" w:ascii="黑体" w:eastAsia="黑体" w:cs="黑体"/>
                <w:b w:val="0"/>
                <w:bCs w:val="0"/>
                <w:color w:val="auto"/>
                <w:sz w:val="32"/>
                <w:szCs w:val="32"/>
                <w:u w:val="none"/>
                <w:lang w:eastAsia="zh-CN"/>
              </w:rPr>
            </w:pPr>
            <w:r>
              <w:rPr>
                <w:rFonts w:hint="eastAsia" w:ascii="黑体" w:eastAsia="黑体" w:cs="黑体"/>
                <w:b w:val="0"/>
                <w:bCs w:val="0"/>
                <w:color w:val="auto"/>
                <w:sz w:val="32"/>
                <w:szCs w:val="32"/>
                <w:u w:val="none"/>
                <w:lang w:val="en-US" w:eastAsia="zh-CN"/>
              </w:rPr>
              <w:t>昌吉回族自治州人民医院</w:t>
            </w:r>
          </w:p>
        </w:tc>
      </w:tr>
      <w:tr w14:paraId="55D3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26" w:type="dxa"/>
            <w:tcBorders>
              <w:top w:val="nil"/>
              <w:left w:val="nil"/>
              <w:bottom w:val="nil"/>
              <w:right w:val="nil"/>
              <w:tl2br w:val="nil"/>
              <w:tr2bl w:val="nil"/>
            </w:tcBorders>
            <w:vAlign w:val="center"/>
          </w:tcPr>
          <w:p w14:paraId="0D64F867">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黑体" w:eastAsia="黑体" w:cs="黑体"/>
                <w:b w:val="0"/>
                <w:bCs w:val="0"/>
                <w:color w:val="auto"/>
                <w:sz w:val="32"/>
                <w:szCs w:val="32"/>
                <w:u w:val="none"/>
              </w:rPr>
            </w:pPr>
            <w:r>
              <w:rPr>
                <w:rFonts w:hint="eastAsia" w:ascii="黑体" w:eastAsia="黑体" w:cs="黑体"/>
                <w:b w:val="0"/>
                <w:bCs w:val="0"/>
                <w:color w:val="auto"/>
                <w:sz w:val="32"/>
                <w:szCs w:val="32"/>
                <w:u w:val="none"/>
              </w:rPr>
              <w:t>招标代理</w:t>
            </w:r>
          </w:p>
        </w:tc>
        <w:tc>
          <w:tcPr>
            <w:tcW w:w="268" w:type="dxa"/>
            <w:tcBorders>
              <w:top w:val="nil"/>
              <w:left w:val="nil"/>
              <w:bottom w:val="nil"/>
              <w:right w:val="nil"/>
              <w:tl2br w:val="nil"/>
              <w:tr2bl w:val="nil"/>
            </w:tcBorders>
            <w:vAlign w:val="center"/>
          </w:tcPr>
          <w:p w14:paraId="138E8A7F">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firstLine="0" w:firstLineChars="0"/>
              <w:jc w:val="center"/>
              <w:textAlignment w:val="auto"/>
              <w:rPr>
                <w:rFonts w:hint="eastAsia" w:ascii="黑体" w:eastAsia="黑体" w:cs="黑体"/>
                <w:b w:val="0"/>
                <w:bCs w:val="0"/>
                <w:color w:val="auto"/>
                <w:sz w:val="32"/>
                <w:szCs w:val="32"/>
                <w:u w:val="none"/>
              </w:rPr>
            </w:pPr>
            <w:r>
              <w:rPr>
                <w:rFonts w:hint="eastAsia" w:ascii="黑体" w:eastAsia="黑体" w:cs="黑体"/>
                <w:b w:val="0"/>
                <w:bCs w:val="0"/>
                <w:color w:val="auto"/>
                <w:sz w:val="32"/>
                <w:szCs w:val="32"/>
                <w:u w:val="none"/>
                <w:lang w:eastAsia="zh-CN"/>
              </w:rPr>
              <w:t>：</w:t>
            </w:r>
          </w:p>
        </w:tc>
        <w:tc>
          <w:tcPr>
            <w:tcW w:w="5440" w:type="dxa"/>
            <w:tcBorders>
              <w:top w:val="nil"/>
              <w:left w:val="nil"/>
              <w:bottom w:val="nil"/>
              <w:right w:val="nil"/>
              <w:tl2br w:val="nil"/>
              <w:tr2bl w:val="nil"/>
            </w:tcBorders>
            <w:vAlign w:val="center"/>
          </w:tcPr>
          <w:p w14:paraId="61E25790">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黑体" w:eastAsia="黑体" w:cs="黑体"/>
                <w:b w:val="0"/>
                <w:bCs w:val="0"/>
                <w:color w:val="auto"/>
                <w:sz w:val="32"/>
                <w:szCs w:val="32"/>
                <w:u w:val="none"/>
              </w:rPr>
            </w:pPr>
            <w:r>
              <w:rPr>
                <w:rFonts w:hint="eastAsia" w:ascii="黑体" w:eastAsia="黑体" w:cs="黑体"/>
                <w:b w:val="0"/>
                <w:bCs w:val="0"/>
                <w:color w:val="auto"/>
                <w:sz w:val="32"/>
                <w:szCs w:val="32"/>
                <w:u w:val="none"/>
              </w:rPr>
              <w:t>新疆驰珑信诚招标代理有限公司</w:t>
            </w:r>
          </w:p>
        </w:tc>
      </w:tr>
      <w:tr w14:paraId="5ABD1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7334" w:type="dxa"/>
            <w:gridSpan w:val="3"/>
            <w:tcBorders>
              <w:top w:val="nil"/>
              <w:left w:val="nil"/>
              <w:bottom w:val="nil"/>
              <w:right w:val="nil"/>
              <w:tl2br w:val="nil"/>
              <w:tr2bl w:val="nil"/>
            </w:tcBorders>
            <w:vAlign w:val="center"/>
          </w:tcPr>
          <w:p w14:paraId="42F50336">
            <w:pPr>
              <w:pageBreakBefore w:val="0"/>
              <w:widowControl w:val="0"/>
              <w:kinsoku/>
              <w:wordWrap/>
              <w:overflowPunct/>
              <w:topLinePunct w:val="0"/>
              <w:bidi w:val="0"/>
              <w:spacing w:beforeAutospacing="0" w:afterAutospacing="0" w:line="360" w:lineRule="auto"/>
              <w:ind w:left="0" w:right="0"/>
              <w:jc w:val="center"/>
              <w:rPr>
                <w:rFonts w:hint="eastAsia" w:ascii="黑体" w:eastAsia="黑体" w:cs="黑体"/>
                <w:b w:val="0"/>
                <w:bCs w:val="0"/>
                <w:color w:val="auto"/>
                <w:sz w:val="32"/>
                <w:szCs w:val="32"/>
              </w:rPr>
            </w:pPr>
            <w:r>
              <w:rPr>
                <w:rFonts w:hint="eastAsia" w:ascii="黑体" w:eastAsia="黑体" w:cs="黑体"/>
                <w:b w:val="0"/>
                <w:bCs w:val="0"/>
                <w:color w:val="auto"/>
                <w:kern w:val="2"/>
                <w:lang w:val="en-US"/>
              </w:rPr>
              <w:t>共同编制</w:t>
            </w:r>
          </w:p>
        </w:tc>
      </w:tr>
      <w:tr w14:paraId="6E8C7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7334" w:type="dxa"/>
            <w:gridSpan w:val="3"/>
            <w:tcBorders>
              <w:top w:val="nil"/>
              <w:left w:val="nil"/>
              <w:bottom w:val="nil"/>
              <w:right w:val="nil"/>
              <w:tl2br w:val="nil"/>
              <w:tr2bl w:val="nil"/>
            </w:tcBorders>
            <w:vAlign w:val="center"/>
          </w:tcPr>
          <w:p w14:paraId="1718C186">
            <w:pPr>
              <w:pageBreakBefore w:val="0"/>
              <w:widowControl w:val="0"/>
              <w:kinsoku/>
              <w:wordWrap/>
              <w:overflowPunct/>
              <w:topLinePunct w:val="0"/>
              <w:bidi w:val="0"/>
              <w:spacing w:beforeAutospacing="0" w:afterAutospacing="0" w:line="360" w:lineRule="auto"/>
              <w:ind w:left="0" w:right="0"/>
              <w:jc w:val="center"/>
              <w:rPr>
                <w:rFonts w:hint="eastAsia" w:ascii="黑体" w:eastAsia="黑体" w:cs="黑体"/>
                <w:b w:val="0"/>
                <w:bCs w:val="0"/>
                <w:color w:val="auto"/>
                <w:sz w:val="32"/>
                <w:szCs w:val="32"/>
              </w:rPr>
            </w:pPr>
            <w:r>
              <w:rPr>
                <w:rFonts w:hint="eastAsia" w:ascii="黑体" w:eastAsia="黑体" w:cs="黑体"/>
                <w:b w:val="0"/>
                <w:bCs w:val="0"/>
                <w:color w:val="auto"/>
                <w:sz w:val="32"/>
                <w:szCs w:val="32"/>
              </w:rPr>
              <w:t>二〇二</w:t>
            </w:r>
            <w:r>
              <w:rPr>
                <w:rFonts w:hint="eastAsia" w:ascii="黑体" w:eastAsia="黑体" w:cs="黑体"/>
                <w:b w:val="0"/>
                <w:bCs w:val="0"/>
                <w:color w:val="auto"/>
                <w:sz w:val="32"/>
                <w:szCs w:val="32"/>
                <w:lang w:val="en-US" w:eastAsia="zh-CN"/>
              </w:rPr>
              <w:t>六</w:t>
            </w:r>
            <w:r>
              <w:rPr>
                <w:rFonts w:hint="eastAsia" w:ascii="黑体" w:eastAsia="黑体" w:cs="黑体"/>
                <w:b w:val="0"/>
                <w:bCs w:val="0"/>
                <w:color w:val="auto"/>
                <w:sz w:val="32"/>
                <w:szCs w:val="32"/>
              </w:rPr>
              <w:t>年</w:t>
            </w:r>
            <w:r>
              <w:rPr>
                <w:rFonts w:hint="eastAsia" w:ascii="黑体" w:eastAsia="黑体" w:cs="黑体"/>
                <w:b w:val="0"/>
                <w:bCs w:val="0"/>
                <w:color w:val="auto"/>
                <w:sz w:val="32"/>
                <w:szCs w:val="32"/>
                <w:lang w:val="en-US" w:eastAsia="zh-CN"/>
              </w:rPr>
              <w:t>四</w:t>
            </w:r>
            <w:r>
              <w:rPr>
                <w:rFonts w:hint="eastAsia" w:ascii="黑体" w:eastAsia="黑体" w:cs="黑体"/>
                <w:b w:val="0"/>
                <w:bCs w:val="0"/>
                <w:color w:val="auto"/>
                <w:sz w:val="32"/>
                <w:szCs w:val="32"/>
              </w:rPr>
              <w:t>月</w:t>
            </w:r>
          </w:p>
        </w:tc>
      </w:tr>
    </w:tbl>
    <w:p w14:paraId="595C58DB">
      <w:pPr>
        <w:pageBreakBefore w:val="0"/>
        <w:widowControl w:val="0"/>
        <w:kinsoku/>
        <w:wordWrap/>
        <w:overflowPunct/>
        <w:topLinePunct w:val="0"/>
        <w:bidi w:val="0"/>
        <w:spacing w:beforeAutospacing="0" w:afterAutospacing="0" w:line="360" w:lineRule="auto"/>
        <w:ind w:left="0" w:right="0" w:firstLine="0" w:firstLineChars="0"/>
        <w:jc w:val="center"/>
        <w:rPr>
          <w:rFonts w:ascii="Times New Roman" w:hAnsi="Times New Roman"/>
          <w:color w:val="auto"/>
        </w:rPr>
      </w:pPr>
    </w:p>
    <w:p w14:paraId="090FA1D3">
      <w:pPr>
        <w:pageBreakBefore w:val="0"/>
        <w:widowControl w:val="0"/>
        <w:kinsoku/>
        <w:wordWrap/>
        <w:overflowPunct/>
        <w:topLinePunct w:val="0"/>
        <w:bidi w:val="0"/>
        <w:spacing w:beforeAutospacing="0" w:afterAutospacing="0" w:line="360" w:lineRule="auto"/>
        <w:ind w:left="0" w:right="0" w:firstLine="0" w:firstLineChars="0"/>
        <w:jc w:val="center"/>
        <w:rPr>
          <w:rFonts w:ascii="Times New Roman" w:hAnsi="Times New Roman"/>
          <w:color w:val="auto"/>
        </w:rPr>
      </w:pPr>
    </w:p>
    <w:p w14:paraId="5749FCD4">
      <w:pPr>
        <w:pageBreakBefore w:val="0"/>
        <w:widowControl w:val="0"/>
        <w:kinsoku/>
        <w:wordWrap/>
        <w:overflowPunct/>
        <w:topLinePunct w:val="0"/>
        <w:bidi w:val="0"/>
        <w:spacing w:beforeAutospacing="0" w:afterAutospacing="0" w:line="360" w:lineRule="auto"/>
        <w:ind w:left="0" w:right="0" w:firstLine="0" w:firstLineChars="0"/>
        <w:jc w:val="center"/>
        <w:rPr>
          <w:rFonts w:ascii="Times New Roman" w:hAnsi="Times New Roman"/>
          <w:color w:val="auto"/>
        </w:rPr>
      </w:pPr>
    </w:p>
    <w:p w14:paraId="7D19E7D6">
      <w:pPr>
        <w:pStyle w:val="368"/>
        <w:keepNext/>
        <w:keepLines/>
        <w:pageBreakBefore w:val="0"/>
        <w:widowControl/>
        <w:tabs>
          <w:tab w:val="left" w:pos="426"/>
        </w:tabs>
        <w:kinsoku/>
        <w:wordWrap/>
        <w:overflowPunct/>
        <w:topLinePunct w:val="0"/>
        <w:bidi w:val="0"/>
        <w:adjustRightInd w:val="0"/>
        <w:snapToGrid w:val="0"/>
        <w:spacing w:before="0" w:beforeAutospacing="0" w:after="0" w:afterAutospacing="0" w:line="360" w:lineRule="auto"/>
        <w:ind w:left="0" w:right="0"/>
        <w:jc w:val="center"/>
        <w:rPr>
          <w:rFonts w:hint="eastAsia" w:ascii="黑体" w:eastAsia="黑体" w:cs="黑体"/>
          <w:b w:val="0"/>
          <w:color w:val="auto"/>
          <w:kern w:val="2"/>
          <w:lang w:val="en-US"/>
        </w:rPr>
      </w:pPr>
    </w:p>
    <w:p w14:paraId="131B17DC">
      <w:pPr>
        <w:pageBreakBefore w:val="0"/>
        <w:widowControl w:val="0"/>
        <w:kinsoku/>
        <w:wordWrap/>
        <w:overflowPunct/>
        <w:topLinePunct w:val="0"/>
        <w:bidi w:val="0"/>
        <w:spacing w:beforeAutospacing="0" w:afterAutospacing="0" w:line="360" w:lineRule="auto"/>
        <w:ind w:left="0" w:right="0"/>
        <w:rPr>
          <w:rFonts w:hint="eastAsia"/>
          <w:lang w:val="en-US"/>
        </w:rPr>
      </w:pPr>
    </w:p>
    <w:p w14:paraId="2DEC75BF">
      <w:pPr>
        <w:pStyle w:val="560"/>
        <w:keepNext/>
        <w:keepLines/>
        <w:pageBreakBefore w:val="0"/>
        <w:widowControl/>
        <w:tabs>
          <w:tab w:val="left" w:pos="426"/>
        </w:tabs>
        <w:kinsoku/>
        <w:wordWrap/>
        <w:overflowPunct/>
        <w:topLinePunct w:val="0"/>
        <w:bidi w:val="0"/>
        <w:adjustRightInd w:val="0"/>
        <w:snapToGrid w:val="0"/>
        <w:spacing w:before="0" w:beforeAutospacing="0" w:after="0" w:afterAutospacing="0" w:line="360" w:lineRule="auto"/>
        <w:ind w:left="0" w:right="0"/>
        <w:jc w:val="center"/>
        <w:outlineLvl w:val="9"/>
        <w:rPr>
          <w:rFonts w:ascii="仿宋" w:eastAsia="仿宋"/>
          <w:bCs w:val="0"/>
          <w:color w:val="auto"/>
          <w:sz w:val="36"/>
          <w:szCs w:val="36"/>
          <w:lang w:val="zh-CN"/>
        </w:rPr>
      </w:pPr>
    </w:p>
    <w:p w14:paraId="64C82CA6">
      <w:pPr>
        <w:pStyle w:val="560"/>
        <w:keepNext/>
        <w:keepLines/>
        <w:pageBreakBefore w:val="0"/>
        <w:widowControl/>
        <w:tabs>
          <w:tab w:val="left" w:pos="426"/>
        </w:tabs>
        <w:kinsoku/>
        <w:wordWrap/>
        <w:overflowPunct/>
        <w:topLinePunct w:val="0"/>
        <w:bidi w:val="0"/>
        <w:adjustRightInd w:val="0"/>
        <w:snapToGrid w:val="0"/>
        <w:spacing w:before="0" w:beforeAutospacing="0" w:after="0" w:afterAutospacing="0" w:line="360" w:lineRule="auto"/>
        <w:ind w:left="0" w:right="0"/>
        <w:jc w:val="center"/>
        <w:outlineLvl w:val="9"/>
        <w:rPr>
          <w:rFonts w:hint="eastAsia" w:ascii="宋体" w:eastAsia="宋体" w:cs="Times New Roman"/>
          <w:b/>
          <w:color w:val="auto"/>
          <w:kern w:val="2"/>
          <w:sz w:val="28"/>
          <w:szCs w:val="20"/>
          <w:lang w:val="en-US"/>
        </w:rPr>
      </w:pPr>
      <w:r>
        <w:rPr>
          <w:rFonts w:hint="eastAsia" w:ascii="经典美黑简" w:eastAsia="经典美黑简" w:cs="Times New Roman"/>
          <w:b w:val="0"/>
          <w:bCs w:val="0"/>
          <w:color w:val="auto"/>
          <w:kern w:val="2"/>
          <w:sz w:val="72"/>
          <w:szCs w:val="72"/>
          <w:lang w:val="en-US" w:eastAsia="zh-CN"/>
        </w:rPr>
        <w:t>招标</w:t>
      </w:r>
      <w:r>
        <w:rPr>
          <w:rFonts w:hint="eastAsia" w:ascii="经典美黑简" w:eastAsia="经典美黑简" w:cs="Times New Roman"/>
          <w:b w:val="0"/>
          <w:bCs w:val="0"/>
          <w:color w:val="auto"/>
          <w:kern w:val="2"/>
          <w:sz w:val="72"/>
          <w:szCs w:val="72"/>
          <w:lang w:val="en-US"/>
        </w:rPr>
        <w:t>文件</w:t>
      </w:r>
    </w:p>
    <w:p w14:paraId="0F9961D8">
      <w:pPr>
        <w:pageBreakBefore w:val="0"/>
        <w:widowControl/>
        <w:kinsoku/>
        <w:wordWrap/>
        <w:overflowPunct/>
        <w:topLinePunct w:val="0"/>
        <w:bidi w:val="0"/>
        <w:spacing w:beforeAutospacing="0" w:afterAutospacing="0" w:line="360" w:lineRule="auto"/>
        <w:ind w:left="0" w:right="0"/>
        <w:jc w:val="left"/>
        <w:rPr>
          <w:rFonts w:hint="eastAsia" w:ascii="Times New Roman" w:hAnsi="Times New Roman" w:eastAsia="宋体" w:cs="Times New Roman"/>
          <w:kern w:val="0"/>
          <w:sz w:val="20"/>
          <w:lang w:val="en-US" w:eastAsia="zh-CN" w:bidi="ar-SA"/>
        </w:rPr>
      </w:pPr>
    </w:p>
    <w:tbl>
      <w:tblPr>
        <w:tblStyle w:val="80"/>
        <w:tblpPr w:leftFromText="180" w:rightFromText="180" w:vertAnchor="text" w:horzAnchor="margin" w:tblpXSpec="center" w:tblpY="393"/>
        <w:tblW w:w="9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40"/>
        <w:gridCol w:w="255"/>
        <w:gridCol w:w="7425"/>
      </w:tblGrid>
      <w:tr w14:paraId="23881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640" w:type="dxa"/>
            <w:tcBorders>
              <w:top w:val="nil"/>
              <w:left w:val="nil"/>
              <w:bottom w:val="nil"/>
              <w:right w:val="nil"/>
              <w:tl2br w:val="nil"/>
              <w:tr2bl w:val="nil"/>
            </w:tcBorders>
            <w:vAlign w:val="center"/>
          </w:tcPr>
          <w:p w14:paraId="1251F85C">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项目名称</w:t>
            </w:r>
          </w:p>
        </w:tc>
        <w:tc>
          <w:tcPr>
            <w:tcW w:w="255" w:type="dxa"/>
            <w:tcBorders>
              <w:top w:val="nil"/>
              <w:left w:val="nil"/>
              <w:bottom w:val="nil"/>
              <w:right w:val="nil"/>
              <w:tl2br w:val="nil"/>
              <w:tr2bl w:val="nil"/>
            </w:tcBorders>
            <w:vAlign w:val="center"/>
          </w:tcPr>
          <w:p w14:paraId="7A28331E">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354B62A9">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r>
              <w:rPr>
                <w:rFonts w:hint="eastAsia" w:cs="Times New Roman"/>
                <w:b w:val="0"/>
                <w:color w:val="auto"/>
                <w:kern w:val="2"/>
                <w:sz w:val="28"/>
                <w:szCs w:val="28"/>
                <w:lang w:val="en-US" w:eastAsia="zh-CN"/>
              </w:rPr>
              <w:t>昌吉回族自治州人民医院本院区食堂餐饮服务外包项目</w:t>
            </w:r>
          </w:p>
        </w:tc>
      </w:tr>
      <w:tr w14:paraId="05E6E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1640" w:type="dxa"/>
            <w:tcBorders>
              <w:top w:val="nil"/>
              <w:left w:val="nil"/>
              <w:bottom w:val="nil"/>
              <w:right w:val="nil"/>
              <w:tl2br w:val="nil"/>
              <w:tr2bl w:val="nil"/>
            </w:tcBorders>
            <w:vAlign w:val="center"/>
          </w:tcPr>
          <w:p w14:paraId="107A7599">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eastAsia="zh-CN"/>
              </w:rPr>
              <w:t>项目</w:t>
            </w:r>
            <w:r>
              <w:rPr>
                <w:rFonts w:hint="eastAsia" w:ascii="宋体" w:eastAsia="宋体" w:cs="Times New Roman"/>
                <w:b w:val="0"/>
                <w:color w:val="auto"/>
                <w:kern w:val="2"/>
                <w:sz w:val="28"/>
                <w:szCs w:val="28"/>
                <w:lang w:val="en-US"/>
              </w:rPr>
              <w:t>编号</w:t>
            </w:r>
          </w:p>
        </w:tc>
        <w:tc>
          <w:tcPr>
            <w:tcW w:w="255" w:type="dxa"/>
            <w:tcBorders>
              <w:top w:val="nil"/>
              <w:left w:val="nil"/>
              <w:bottom w:val="nil"/>
              <w:right w:val="nil"/>
              <w:tl2br w:val="nil"/>
              <w:tr2bl w:val="nil"/>
            </w:tcBorders>
            <w:vAlign w:val="center"/>
          </w:tcPr>
          <w:p w14:paraId="495E0056">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377400F6">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r>
              <w:rPr>
                <w:rFonts w:hint="eastAsia" w:cs="Times New Roman"/>
                <w:b w:val="0"/>
                <w:color w:val="auto"/>
                <w:kern w:val="2"/>
                <w:sz w:val="28"/>
                <w:szCs w:val="28"/>
                <w:lang w:val="en-US" w:eastAsia="zh-CN"/>
              </w:rPr>
              <w:t>XJCLXC(2026)-14-FW</w:t>
            </w:r>
          </w:p>
        </w:tc>
      </w:tr>
      <w:tr w14:paraId="2418F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640" w:type="dxa"/>
            <w:tcBorders>
              <w:top w:val="nil"/>
              <w:left w:val="nil"/>
              <w:bottom w:val="nil"/>
              <w:right w:val="nil"/>
              <w:tl2br w:val="nil"/>
              <w:tr2bl w:val="nil"/>
            </w:tcBorders>
            <w:vAlign w:val="center"/>
          </w:tcPr>
          <w:p w14:paraId="40EA9E9B">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r>
              <w:rPr>
                <w:rFonts w:hint="eastAsia" w:ascii="宋体" w:eastAsia="宋体" w:cs="Times New Roman"/>
                <w:b w:val="0"/>
                <w:color w:val="auto"/>
                <w:kern w:val="2"/>
                <w:sz w:val="28"/>
                <w:szCs w:val="28"/>
                <w:lang w:val="en-US" w:eastAsia="zh-CN"/>
              </w:rPr>
              <w:t>采 购 人</w:t>
            </w:r>
          </w:p>
        </w:tc>
        <w:tc>
          <w:tcPr>
            <w:tcW w:w="255" w:type="dxa"/>
            <w:tcBorders>
              <w:top w:val="nil"/>
              <w:left w:val="nil"/>
              <w:bottom w:val="nil"/>
              <w:right w:val="nil"/>
              <w:tl2br w:val="nil"/>
              <w:tr2bl w:val="nil"/>
            </w:tcBorders>
            <w:vAlign w:val="center"/>
          </w:tcPr>
          <w:p w14:paraId="46D00B75">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5DDC5E83">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eastAsia="zh-CN"/>
              </w:rPr>
            </w:pPr>
            <w:r>
              <w:rPr>
                <w:rFonts w:hint="eastAsia" w:cs="Times New Roman"/>
                <w:b w:val="0"/>
                <w:color w:val="auto"/>
                <w:kern w:val="2"/>
                <w:sz w:val="28"/>
                <w:szCs w:val="28"/>
                <w:lang w:val="en-US" w:eastAsia="zh-CN"/>
              </w:rPr>
              <w:t>昌吉回族自治州人民医院</w:t>
            </w:r>
          </w:p>
        </w:tc>
      </w:tr>
      <w:tr w14:paraId="6C91E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1640" w:type="dxa"/>
            <w:tcBorders>
              <w:top w:val="nil"/>
              <w:left w:val="nil"/>
              <w:bottom w:val="nil"/>
              <w:right w:val="nil"/>
              <w:tl2br w:val="nil"/>
              <w:tr2bl w:val="nil"/>
            </w:tcBorders>
            <w:vAlign w:val="center"/>
          </w:tcPr>
          <w:p w14:paraId="3EE2E831">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r>
              <w:rPr>
                <w:rFonts w:hint="eastAsia" w:ascii="宋体" w:eastAsia="宋体" w:cs="Times New Roman"/>
                <w:b w:val="0"/>
                <w:color w:val="auto"/>
                <w:kern w:val="2"/>
                <w:sz w:val="28"/>
                <w:szCs w:val="28"/>
                <w:lang w:val="en-US" w:eastAsia="zh-CN"/>
              </w:rPr>
              <w:t>联 系 人</w:t>
            </w:r>
          </w:p>
        </w:tc>
        <w:tc>
          <w:tcPr>
            <w:tcW w:w="255" w:type="dxa"/>
            <w:tcBorders>
              <w:top w:val="nil"/>
              <w:left w:val="nil"/>
              <w:bottom w:val="nil"/>
              <w:right w:val="nil"/>
              <w:tl2br w:val="nil"/>
              <w:tr2bl w:val="nil"/>
            </w:tcBorders>
            <w:vAlign w:val="center"/>
          </w:tcPr>
          <w:p w14:paraId="5B4FBADA">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shd w:val="clear" w:color="auto" w:fill="auto"/>
            <w:vAlign w:val="center"/>
          </w:tcPr>
          <w:p w14:paraId="03665B0F">
            <w:pPr>
              <w:pageBreakBefore w:val="0"/>
              <w:widowControl w:val="0"/>
              <w:kinsoku/>
              <w:wordWrap/>
              <w:overflowPunct/>
              <w:topLinePunct w:val="0"/>
              <w:bidi w:val="0"/>
              <w:snapToGrid/>
              <w:spacing w:beforeAutospacing="0" w:afterAutospacing="0" w:line="360" w:lineRule="auto"/>
              <w:ind w:left="0" w:right="0" w:firstLine="0" w:firstLineChars="0"/>
              <w:rPr>
                <w:rFonts w:hint="default" w:ascii="宋体" w:eastAsia="宋体" w:cs="Times New Roman"/>
                <w:b w:val="0"/>
                <w:color w:val="auto"/>
                <w:kern w:val="2"/>
                <w:sz w:val="28"/>
                <w:szCs w:val="28"/>
                <w:highlight w:val="none"/>
                <w:lang w:val="en-US" w:eastAsia="zh-CN"/>
              </w:rPr>
            </w:pPr>
            <w:r>
              <w:rPr>
                <w:rFonts w:hint="eastAsia" w:cs="Times New Roman"/>
                <w:b w:val="0"/>
                <w:color w:val="auto"/>
                <w:kern w:val="2"/>
                <w:sz w:val="28"/>
                <w:szCs w:val="28"/>
                <w:highlight w:val="none"/>
                <w:lang w:val="en-US" w:eastAsia="zh-CN"/>
              </w:rPr>
              <w:t>郭老师</w:t>
            </w:r>
          </w:p>
        </w:tc>
      </w:tr>
      <w:tr w14:paraId="6ECC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640" w:type="dxa"/>
            <w:tcBorders>
              <w:top w:val="nil"/>
              <w:left w:val="nil"/>
              <w:bottom w:val="nil"/>
              <w:right w:val="nil"/>
              <w:tl2br w:val="nil"/>
              <w:tr2bl w:val="nil"/>
            </w:tcBorders>
            <w:vAlign w:val="center"/>
          </w:tcPr>
          <w:p w14:paraId="597B308A">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r>
              <w:rPr>
                <w:rFonts w:hint="eastAsia" w:ascii="宋体" w:eastAsia="宋体" w:cs="Times New Roman"/>
                <w:b w:val="0"/>
                <w:color w:val="auto"/>
                <w:kern w:val="2"/>
                <w:sz w:val="28"/>
                <w:szCs w:val="28"/>
                <w:lang w:val="en-US" w:eastAsia="zh-CN"/>
              </w:rPr>
              <w:t>联系电话</w:t>
            </w:r>
          </w:p>
        </w:tc>
        <w:tc>
          <w:tcPr>
            <w:tcW w:w="255" w:type="dxa"/>
            <w:tcBorders>
              <w:top w:val="nil"/>
              <w:left w:val="nil"/>
              <w:bottom w:val="nil"/>
              <w:right w:val="nil"/>
              <w:tl2br w:val="nil"/>
              <w:tr2bl w:val="nil"/>
            </w:tcBorders>
            <w:vAlign w:val="center"/>
          </w:tcPr>
          <w:p w14:paraId="6A349191">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shd w:val="clear" w:color="auto" w:fill="auto"/>
            <w:vAlign w:val="center"/>
          </w:tcPr>
          <w:p w14:paraId="7FC0C604">
            <w:pPr>
              <w:pageBreakBefore w:val="0"/>
              <w:widowControl w:val="0"/>
              <w:kinsoku/>
              <w:wordWrap/>
              <w:overflowPunct/>
              <w:topLinePunct w:val="0"/>
              <w:bidi w:val="0"/>
              <w:snapToGrid/>
              <w:spacing w:beforeAutospacing="0" w:afterAutospacing="0" w:line="360" w:lineRule="auto"/>
              <w:ind w:left="0" w:right="0" w:firstLine="0" w:firstLineChars="0"/>
              <w:rPr>
                <w:rFonts w:hint="default" w:ascii="宋体" w:eastAsia="宋体" w:cs="Times New Roman"/>
                <w:b w:val="0"/>
                <w:color w:val="auto"/>
                <w:kern w:val="2"/>
                <w:sz w:val="28"/>
                <w:szCs w:val="28"/>
                <w:highlight w:val="none"/>
                <w:lang w:val="en-US" w:eastAsia="zh-CN"/>
              </w:rPr>
            </w:pPr>
            <w:r>
              <w:rPr>
                <w:rFonts w:hint="eastAsia" w:cs="Times New Roman"/>
                <w:b w:val="0"/>
                <w:color w:val="auto"/>
                <w:kern w:val="2"/>
                <w:sz w:val="28"/>
                <w:szCs w:val="28"/>
                <w:highlight w:val="none"/>
                <w:lang w:val="en-US" w:eastAsia="zh-CN"/>
              </w:rPr>
              <w:t>18909945698</w:t>
            </w:r>
          </w:p>
        </w:tc>
      </w:tr>
      <w:tr w14:paraId="3AE2A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640" w:type="dxa"/>
            <w:tcBorders>
              <w:top w:val="nil"/>
              <w:left w:val="nil"/>
              <w:bottom w:val="nil"/>
              <w:right w:val="nil"/>
              <w:tl2br w:val="nil"/>
              <w:tr2bl w:val="nil"/>
            </w:tcBorders>
            <w:vAlign w:val="center"/>
          </w:tcPr>
          <w:p w14:paraId="0183432F">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r>
              <w:rPr>
                <w:rFonts w:hint="eastAsia" w:ascii="宋体" w:eastAsia="宋体" w:cs="Times New Roman"/>
                <w:b w:val="0"/>
                <w:color w:val="auto"/>
                <w:kern w:val="2"/>
                <w:sz w:val="28"/>
                <w:szCs w:val="28"/>
                <w:lang w:val="en-US" w:eastAsia="zh-CN"/>
              </w:rPr>
              <w:t>联系地址</w:t>
            </w:r>
          </w:p>
        </w:tc>
        <w:tc>
          <w:tcPr>
            <w:tcW w:w="255" w:type="dxa"/>
            <w:tcBorders>
              <w:top w:val="nil"/>
              <w:left w:val="nil"/>
              <w:bottom w:val="nil"/>
              <w:right w:val="nil"/>
              <w:tl2br w:val="nil"/>
              <w:tr2bl w:val="nil"/>
            </w:tcBorders>
            <w:vAlign w:val="center"/>
          </w:tcPr>
          <w:p w14:paraId="1A92F690">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3BBE951A">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eastAsia="zh-CN"/>
              </w:rPr>
            </w:pPr>
            <w:r>
              <w:rPr>
                <w:rFonts w:hint="eastAsia" w:cs="Times New Roman"/>
                <w:b w:val="0"/>
                <w:color w:val="auto"/>
                <w:kern w:val="2"/>
                <w:sz w:val="28"/>
                <w:szCs w:val="28"/>
                <w:lang w:val="en-US" w:eastAsia="zh-CN"/>
              </w:rPr>
              <w:t>昌吉市延安北路303号</w:t>
            </w:r>
          </w:p>
        </w:tc>
      </w:tr>
      <w:tr w14:paraId="3B55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640" w:type="dxa"/>
            <w:tcBorders>
              <w:top w:val="nil"/>
              <w:left w:val="nil"/>
              <w:bottom w:val="nil"/>
              <w:right w:val="nil"/>
              <w:tl2br w:val="nil"/>
              <w:tr2bl w:val="nil"/>
            </w:tcBorders>
            <w:vAlign w:val="center"/>
          </w:tcPr>
          <w:p w14:paraId="15986D78">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bCs w:val="0"/>
                <w:color w:val="auto"/>
                <w:kern w:val="2"/>
                <w:sz w:val="28"/>
                <w:szCs w:val="28"/>
                <w:lang w:val="en-US" w:eastAsia="zh-CN"/>
              </w:rPr>
            </w:pPr>
            <w:r>
              <w:rPr>
                <w:rFonts w:hint="eastAsia" w:ascii="宋体" w:eastAsia="宋体" w:cs="Times New Roman"/>
                <w:b w:val="0"/>
                <w:bCs w:val="0"/>
                <w:color w:val="auto"/>
                <w:kern w:val="2"/>
                <w:sz w:val="28"/>
                <w:szCs w:val="28"/>
                <w:lang w:val="en-US" w:eastAsia="zh-CN"/>
              </w:rPr>
              <w:t>邮政编码</w:t>
            </w:r>
          </w:p>
        </w:tc>
        <w:tc>
          <w:tcPr>
            <w:tcW w:w="255" w:type="dxa"/>
            <w:tcBorders>
              <w:top w:val="nil"/>
              <w:left w:val="nil"/>
              <w:bottom w:val="nil"/>
              <w:right w:val="nil"/>
              <w:tl2br w:val="nil"/>
              <w:tr2bl w:val="nil"/>
            </w:tcBorders>
            <w:vAlign w:val="center"/>
          </w:tcPr>
          <w:p w14:paraId="27CA93DE">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bCs w:val="0"/>
                <w:color w:val="auto"/>
                <w:kern w:val="2"/>
                <w:sz w:val="28"/>
                <w:szCs w:val="28"/>
                <w:lang w:val="en-US"/>
              </w:rPr>
            </w:pPr>
            <w:r>
              <w:rPr>
                <w:rFonts w:hint="eastAsia" w:ascii="宋体" w:eastAsia="宋体" w:cs="Times New Roman"/>
                <w:b w:val="0"/>
                <w:bCs w:val="0"/>
                <w:color w:val="auto"/>
                <w:kern w:val="2"/>
                <w:sz w:val="28"/>
                <w:szCs w:val="28"/>
                <w:lang w:val="en-US"/>
              </w:rPr>
              <w:t>：</w:t>
            </w:r>
          </w:p>
        </w:tc>
        <w:tc>
          <w:tcPr>
            <w:tcW w:w="7425" w:type="dxa"/>
            <w:tcBorders>
              <w:top w:val="nil"/>
              <w:left w:val="nil"/>
              <w:bottom w:val="nil"/>
              <w:right w:val="nil"/>
              <w:tl2br w:val="nil"/>
              <w:tr2bl w:val="nil"/>
            </w:tcBorders>
            <w:vAlign w:val="center"/>
          </w:tcPr>
          <w:p w14:paraId="2CEFEFB9">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highlight w:val="none"/>
                <w:lang w:val="en-US" w:eastAsia="zh-CN"/>
              </w:rPr>
            </w:pPr>
            <w:r>
              <w:rPr>
                <w:rFonts w:ascii="宋体" w:eastAsia="宋体" w:cs="Times New Roman"/>
                <w:b w:val="0"/>
                <w:color w:val="auto"/>
                <w:kern w:val="2"/>
                <w:sz w:val="28"/>
                <w:szCs w:val="28"/>
                <w:highlight w:val="none"/>
                <w:lang w:val="en-US" w:eastAsia="zh-CN"/>
              </w:rPr>
              <w:t>831</w:t>
            </w:r>
            <w:r>
              <w:rPr>
                <w:rFonts w:hint="eastAsia" w:cs="Times New Roman"/>
                <w:b w:val="0"/>
                <w:color w:val="auto"/>
                <w:kern w:val="2"/>
                <w:sz w:val="28"/>
                <w:szCs w:val="28"/>
                <w:highlight w:val="none"/>
                <w:lang w:val="en-US" w:eastAsia="zh-CN"/>
              </w:rPr>
              <w:t>1</w:t>
            </w:r>
            <w:r>
              <w:rPr>
                <w:rFonts w:ascii="宋体" w:eastAsia="宋体" w:cs="Times New Roman"/>
                <w:b w:val="0"/>
                <w:color w:val="auto"/>
                <w:kern w:val="2"/>
                <w:sz w:val="28"/>
                <w:szCs w:val="28"/>
                <w:highlight w:val="none"/>
                <w:lang w:val="en-US" w:eastAsia="zh-CN"/>
              </w:rPr>
              <w:t>00</w:t>
            </w:r>
          </w:p>
        </w:tc>
      </w:tr>
      <w:tr w14:paraId="43896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640" w:type="dxa"/>
            <w:tcBorders>
              <w:top w:val="nil"/>
              <w:left w:val="nil"/>
              <w:bottom w:val="single" w:color="auto" w:sz="4" w:space="0"/>
              <w:right w:val="nil"/>
              <w:tl2br w:val="nil"/>
              <w:tr2bl w:val="nil"/>
            </w:tcBorders>
            <w:vAlign w:val="center"/>
          </w:tcPr>
          <w:p w14:paraId="21C33486">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p>
        </w:tc>
        <w:tc>
          <w:tcPr>
            <w:tcW w:w="255" w:type="dxa"/>
            <w:tcBorders>
              <w:top w:val="nil"/>
              <w:left w:val="nil"/>
              <w:bottom w:val="single" w:color="auto" w:sz="4" w:space="0"/>
              <w:right w:val="nil"/>
              <w:tl2br w:val="nil"/>
              <w:tr2bl w:val="nil"/>
            </w:tcBorders>
            <w:vAlign w:val="center"/>
          </w:tcPr>
          <w:p w14:paraId="3932DF21">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p>
        </w:tc>
        <w:tc>
          <w:tcPr>
            <w:tcW w:w="7425" w:type="dxa"/>
            <w:tcBorders>
              <w:top w:val="nil"/>
              <w:left w:val="nil"/>
              <w:bottom w:val="single" w:color="auto" w:sz="4" w:space="0"/>
              <w:right w:val="nil"/>
              <w:tl2br w:val="nil"/>
              <w:tr2bl w:val="nil"/>
            </w:tcBorders>
            <w:vAlign w:val="center"/>
          </w:tcPr>
          <w:p w14:paraId="49BEA8E4">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Times New Roman" w:hAnsi="Times New Roman" w:eastAsia="宋体" w:cs="新宋体-18030"/>
                <w:b w:val="0"/>
                <w:bCs/>
                <w:color w:val="auto"/>
                <w:kern w:val="2"/>
                <w:sz w:val="28"/>
                <w:szCs w:val="28"/>
                <w:lang w:val="en-US"/>
              </w:rPr>
            </w:pPr>
          </w:p>
        </w:tc>
      </w:tr>
      <w:tr w14:paraId="09E24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640" w:type="dxa"/>
            <w:tcBorders>
              <w:top w:val="single" w:color="auto" w:sz="4" w:space="0"/>
              <w:left w:val="nil"/>
              <w:bottom w:val="nil"/>
              <w:right w:val="nil"/>
              <w:tl2br w:val="nil"/>
              <w:tr2bl w:val="nil"/>
            </w:tcBorders>
            <w:vAlign w:val="center"/>
          </w:tcPr>
          <w:p w14:paraId="38E89CDB">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eastAsia="zh-CN"/>
              </w:rPr>
            </w:pPr>
          </w:p>
        </w:tc>
        <w:tc>
          <w:tcPr>
            <w:tcW w:w="255" w:type="dxa"/>
            <w:tcBorders>
              <w:top w:val="single" w:color="auto" w:sz="4" w:space="0"/>
              <w:left w:val="nil"/>
              <w:bottom w:val="nil"/>
              <w:right w:val="nil"/>
              <w:tl2br w:val="nil"/>
              <w:tr2bl w:val="nil"/>
            </w:tcBorders>
            <w:vAlign w:val="center"/>
          </w:tcPr>
          <w:p w14:paraId="614F501C">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p>
        </w:tc>
        <w:tc>
          <w:tcPr>
            <w:tcW w:w="7425" w:type="dxa"/>
            <w:tcBorders>
              <w:top w:val="single" w:color="auto" w:sz="4" w:space="0"/>
              <w:left w:val="nil"/>
              <w:bottom w:val="nil"/>
              <w:right w:val="nil"/>
              <w:tl2br w:val="nil"/>
              <w:tr2bl w:val="nil"/>
            </w:tcBorders>
            <w:vAlign w:val="center"/>
          </w:tcPr>
          <w:p w14:paraId="510C0D05">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Times New Roman" w:hAnsi="Times New Roman" w:eastAsia="宋体" w:cs="新宋体-18030"/>
                <w:b w:val="0"/>
                <w:bCs/>
                <w:color w:val="auto"/>
                <w:kern w:val="2"/>
                <w:sz w:val="28"/>
                <w:szCs w:val="28"/>
                <w:lang w:val="en-US"/>
              </w:rPr>
            </w:pPr>
          </w:p>
        </w:tc>
      </w:tr>
      <w:tr w14:paraId="7031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640" w:type="dxa"/>
            <w:tcBorders>
              <w:top w:val="nil"/>
              <w:left w:val="nil"/>
              <w:bottom w:val="nil"/>
              <w:right w:val="nil"/>
              <w:tl2br w:val="nil"/>
              <w:tr2bl w:val="nil"/>
            </w:tcBorders>
            <w:vAlign w:val="center"/>
          </w:tcPr>
          <w:p w14:paraId="61C5B834">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eastAsia="zh-CN"/>
              </w:rPr>
              <w:t>招标</w:t>
            </w:r>
            <w:r>
              <w:rPr>
                <w:rFonts w:hint="eastAsia" w:ascii="宋体" w:eastAsia="宋体" w:cs="Times New Roman"/>
                <w:b w:val="0"/>
                <w:color w:val="auto"/>
                <w:kern w:val="2"/>
                <w:sz w:val="28"/>
                <w:szCs w:val="28"/>
                <w:lang w:val="en-US"/>
              </w:rPr>
              <w:t>代理</w:t>
            </w:r>
          </w:p>
        </w:tc>
        <w:tc>
          <w:tcPr>
            <w:tcW w:w="255" w:type="dxa"/>
            <w:tcBorders>
              <w:top w:val="nil"/>
              <w:left w:val="nil"/>
              <w:bottom w:val="nil"/>
              <w:right w:val="nil"/>
              <w:tl2br w:val="nil"/>
              <w:tr2bl w:val="nil"/>
            </w:tcBorders>
            <w:vAlign w:val="center"/>
          </w:tcPr>
          <w:p w14:paraId="6ABB6448">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5E0453EF">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bCs/>
                <w:color w:val="auto"/>
                <w:kern w:val="2"/>
                <w:sz w:val="28"/>
                <w:szCs w:val="28"/>
                <w:lang w:val="en-US"/>
              </w:rPr>
            </w:pPr>
            <w:r>
              <w:rPr>
                <w:rFonts w:hint="eastAsia" w:ascii="宋体" w:eastAsia="宋体" w:cs="Times New Roman"/>
                <w:b w:val="0"/>
                <w:bCs/>
                <w:color w:val="auto"/>
                <w:kern w:val="2"/>
                <w:sz w:val="28"/>
                <w:szCs w:val="20"/>
                <w:lang w:val="en-US"/>
              </w:rPr>
              <w:t>新疆驰珑信诚招标代理有限公司</w:t>
            </w:r>
          </w:p>
        </w:tc>
      </w:tr>
      <w:tr w14:paraId="21D5B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1640" w:type="dxa"/>
            <w:tcBorders>
              <w:top w:val="nil"/>
              <w:left w:val="nil"/>
              <w:bottom w:val="nil"/>
              <w:right w:val="nil"/>
              <w:tl2br w:val="nil"/>
              <w:tr2bl w:val="nil"/>
            </w:tcBorders>
            <w:vAlign w:val="center"/>
          </w:tcPr>
          <w:p w14:paraId="14AD1938">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代理联系人</w:t>
            </w:r>
          </w:p>
        </w:tc>
        <w:tc>
          <w:tcPr>
            <w:tcW w:w="255" w:type="dxa"/>
            <w:tcBorders>
              <w:top w:val="nil"/>
              <w:left w:val="nil"/>
              <w:bottom w:val="nil"/>
              <w:right w:val="nil"/>
              <w:tl2br w:val="nil"/>
              <w:tr2bl w:val="nil"/>
            </w:tcBorders>
            <w:vAlign w:val="center"/>
          </w:tcPr>
          <w:p w14:paraId="769880E8">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410F2451">
            <w:pPr>
              <w:snapToGrid/>
              <w:spacing w:line="240" w:lineRule="auto"/>
              <w:ind w:firstLine="0" w:firstLineChars="0"/>
              <w:rPr>
                <w:rFonts w:ascii="宋体" w:eastAsia="宋体" w:cs="Times New Roman"/>
                <w:b w:val="0"/>
                <w:color w:val="auto"/>
                <w:kern w:val="2"/>
                <w:sz w:val="28"/>
                <w:szCs w:val="28"/>
                <w:lang w:val="en-US" w:eastAsia="zh-CN"/>
              </w:rPr>
            </w:pPr>
            <w:r>
              <w:rPr>
                <w:rFonts w:hint="eastAsia"/>
                <w:b w:val="0"/>
                <w:color w:val="auto"/>
                <w:kern w:val="2"/>
                <w:sz w:val="28"/>
                <w:szCs w:val="28"/>
                <w:lang w:val="en-US" w:eastAsia="zh-CN"/>
              </w:rPr>
              <w:t>杨静</w:t>
            </w:r>
          </w:p>
        </w:tc>
      </w:tr>
      <w:tr w14:paraId="0B28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640" w:type="dxa"/>
            <w:tcBorders>
              <w:top w:val="nil"/>
              <w:left w:val="nil"/>
              <w:bottom w:val="nil"/>
              <w:right w:val="nil"/>
              <w:tl2br w:val="nil"/>
              <w:tr2bl w:val="nil"/>
            </w:tcBorders>
            <w:vAlign w:val="center"/>
          </w:tcPr>
          <w:p w14:paraId="2AE6D77D">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代理人电话</w:t>
            </w:r>
          </w:p>
        </w:tc>
        <w:tc>
          <w:tcPr>
            <w:tcW w:w="255" w:type="dxa"/>
            <w:tcBorders>
              <w:top w:val="nil"/>
              <w:left w:val="nil"/>
              <w:bottom w:val="nil"/>
              <w:right w:val="nil"/>
              <w:tl2br w:val="nil"/>
              <w:tr2bl w:val="nil"/>
            </w:tcBorders>
            <w:vAlign w:val="center"/>
          </w:tcPr>
          <w:p w14:paraId="33781FB0">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46E911AE">
            <w:pPr>
              <w:snapToGrid/>
              <w:spacing w:line="240" w:lineRule="auto"/>
              <w:ind w:firstLine="0" w:firstLineChars="0"/>
              <w:rPr>
                <w:rFonts w:ascii="宋体" w:eastAsia="宋体" w:cs="Times New Roman"/>
                <w:b w:val="0"/>
                <w:color w:val="auto"/>
                <w:kern w:val="2"/>
                <w:sz w:val="28"/>
                <w:szCs w:val="28"/>
                <w:lang w:val="en-US" w:eastAsia="zh-CN"/>
              </w:rPr>
            </w:pPr>
            <w:r>
              <w:rPr>
                <w:rFonts w:hint="eastAsia"/>
                <w:b w:val="0"/>
                <w:color w:val="auto"/>
                <w:kern w:val="2"/>
                <w:sz w:val="28"/>
                <w:szCs w:val="28"/>
                <w:lang w:val="en-US"/>
              </w:rPr>
              <w:t>0994-2237888/</w:t>
            </w:r>
            <w:r>
              <w:rPr>
                <w:rFonts w:hint="eastAsia"/>
                <w:b w:val="0"/>
                <w:color w:val="auto"/>
                <w:kern w:val="2"/>
                <w:sz w:val="28"/>
                <w:szCs w:val="28"/>
                <w:lang w:val="en-US" w:eastAsia="zh-CN"/>
              </w:rPr>
              <w:t>13899819470</w:t>
            </w:r>
          </w:p>
        </w:tc>
      </w:tr>
      <w:tr w14:paraId="584F0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640" w:type="dxa"/>
            <w:tcBorders>
              <w:top w:val="nil"/>
              <w:left w:val="nil"/>
              <w:bottom w:val="nil"/>
              <w:right w:val="nil"/>
              <w:tl2br w:val="nil"/>
              <w:tr2bl w:val="nil"/>
            </w:tcBorders>
            <w:vAlign w:val="center"/>
          </w:tcPr>
          <w:p w14:paraId="34F6462F">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代理人地址</w:t>
            </w:r>
          </w:p>
        </w:tc>
        <w:tc>
          <w:tcPr>
            <w:tcW w:w="255" w:type="dxa"/>
            <w:tcBorders>
              <w:top w:val="nil"/>
              <w:left w:val="nil"/>
              <w:bottom w:val="nil"/>
              <w:right w:val="nil"/>
              <w:tl2br w:val="nil"/>
              <w:tr2bl w:val="nil"/>
            </w:tcBorders>
            <w:vAlign w:val="center"/>
          </w:tcPr>
          <w:p w14:paraId="20BDC4E5">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4CD3BEC2">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8"/>
                <w:lang w:val="en-US" w:eastAsia="zh-CN"/>
              </w:rPr>
            </w:pPr>
            <w:r>
              <w:rPr>
                <w:rFonts w:hint="eastAsia" w:ascii="宋体" w:eastAsia="宋体" w:cs="Times New Roman"/>
                <w:b w:val="0"/>
                <w:color w:val="auto"/>
                <w:kern w:val="2"/>
                <w:sz w:val="28"/>
                <w:szCs w:val="20"/>
                <w:lang w:val="en-US"/>
              </w:rPr>
              <w:t>昌吉市建国西路199号和谐国际广场</w:t>
            </w:r>
            <w:r>
              <w:rPr>
                <w:rFonts w:hint="eastAsia" w:ascii="宋体" w:eastAsia="宋体" w:cs="Times New Roman"/>
                <w:b w:val="0"/>
                <w:color w:val="auto"/>
                <w:kern w:val="2"/>
                <w:sz w:val="28"/>
                <w:szCs w:val="20"/>
                <w:lang w:val="en-US" w:eastAsia="zh-CN"/>
              </w:rPr>
              <w:t>K</w:t>
            </w:r>
            <w:r>
              <w:rPr>
                <w:rFonts w:hint="eastAsia" w:ascii="宋体" w:eastAsia="宋体" w:cs="Times New Roman"/>
                <w:b w:val="0"/>
                <w:color w:val="auto"/>
                <w:kern w:val="2"/>
                <w:sz w:val="28"/>
                <w:szCs w:val="20"/>
                <w:lang w:val="en-US"/>
              </w:rPr>
              <w:t>座</w:t>
            </w:r>
            <w:r>
              <w:rPr>
                <w:rFonts w:hint="eastAsia" w:ascii="宋体" w:eastAsia="宋体" w:cs="Times New Roman"/>
                <w:b w:val="0"/>
                <w:color w:val="auto"/>
                <w:kern w:val="2"/>
                <w:sz w:val="28"/>
                <w:szCs w:val="20"/>
                <w:lang w:val="en-US" w:eastAsia="zh-CN"/>
              </w:rPr>
              <w:t>19</w:t>
            </w:r>
            <w:r>
              <w:rPr>
                <w:rFonts w:hint="eastAsia" w:ascii="宋体" w:eastAsia="宋体" w:cs="Times New Roman"/>
                <w:b w:val="0"/>
                <w:color w:val="auto"/>
                <w:kern w:val="2"/>
                <w:sz w:val="28"/>
                <w:szCs w:val="20"/>
                <w:lang w:val="en-US"/>
              </w:rPr>
              <w:t>楼</w:t>
            </w:r>
            <w:r>
              <w:rPr>
                <w:rFonts w:hint="eastAsia" w:ascii="宋体" w:eastAsia="宋体" w:cs="Times New Roman"/>
                <w:b w:val="0"/>
                <w:color w:val="auto"/>
                <w:kern w:val="2"/>
                <w:sz w:val="28"/>
                <w:szCs w:val="20"/>
                <w:lang w:val="en-US" w:eastAsia="zh-CN"/>
              </w:rPr>
              <w:t>1915室</w:t>
            </w:r>
          </w:p>
        </w:tc>
      </w:tr>
      <w:tr w14:paraId="2BDD9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640" w:type="dxa"/>
            <w:tcBorders>
              <w:top w:val="nil"/>
              <w:left w:val="nil"/>
              <w:bottom w:val="nil"/>
              <w:right w:val="nil"/>
              <w:tl2br w:val="nil"/>
              <w:tr2bl w:val="nil"/>
            </w:tcBorders>
            <w:vAlign w:val="center"/>
          </w:tcPr>
          <w:p w14:paraId="6A6F2EB7">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eastAsia="zh-CN"/>
              </w:rPr>
              <w:t>邮政编码</w:t>
            </w:r>
          </w:p>
        </w:tc>
        <w:tc>
          <w:tcPr>
            <w:tcW w:w="255" w:type="dxa"/>
            <w:tcBorders>
              <w:top w:val="nil"/>
              <w:left w:val="nil"/>
              <w:bottom w:val="nil"/>
              <w:right w:val="nil"/>
              <w:tl2br w:val="nil"/>
              <w:tr2bl w:val="nil"/>
            </w:tcBorders>
            <w:vAlign w:val="center"/>
          </w:tcPr>
          <w:p w14:paraId="6BF13B57">
            <w:pPr>
              <w:pageBreakBefore w:val="0"/>
              <w:widowControl w:val="0"/>
              <w:kinsoku/>
              <w:wordWrap/>
              <w:overflowPunct/>
              <w:topLinePunct w:val="0"/>
              <w:bidi w:val="0"/>
              <w:snapToGrid/>
              <w:spacing w:beforeAutospacing="0" w:afterAutospacing="0" w:line="360" w:lineRule="auto"/>
              <w:ind w:left="0" w:right="0" w:firstLine="0" w:firstLineChars="0"/>
              <w:rPr>
                <w:rFonts w:hint="eastAsia" w:ascii="宋体" w:eastAsia="宋体" w:cs="Times New Roman"/>
                <w:b w:val="0"/>
                <w:color w:val="auto"/>
                <w:kern w:val="2"/>
                <w:sz w:val="28"/>
                <w:szCs w:val="28"/>
                <w:lang w:val="en-US"/>
              </w:rPr>
            </w:pPr>
            <w:r>
              <w:rPr>
                <w:rFonts w:hint="eastAsia" w:ascii="宋体" w:eastAsia="宋体" w:cs="Times New Roman"/>
                <w:b w:val="0"/>
                <w:color w:val="auto"/>
                <w:kern w:val="2"/>
                <w:sz w:val="28"/>
                <w:szCs w:val="28"/>
                <w:lang w:val="en-US"/>
              </w:rPr>
              <w:t>：</w:t>
            </w:r>
          </w:p>
        </w:tc>
        <w:tc>
          <w:tcPr>
            <w:tcW w:w="7425" w:type="dxa"/>
            <w:tcBorders>
              <w:top w:val="nil"/>
              <w:left w:val="nil"/>
              <w:bottom w:val="nil"/>
              <w:right w:val="nil"/>
              <w:tl2br w:val="nil"/>
              <w:tr2bl w:val="nil"/>
            </w:tcBorders>
            <w:vAlign w:val="center"/>
          </w:tcPr>
          <w:p w14:paraId="1BF0E6F7">
            <w:pPr>
              <w:pageBreakBefore w:val="0"/>
              <w:widowControl w:val="0"/>
              <w:kinsoku/>
              <w:wordWrap/>
              <w:overflowPunct/>
              <w:topLinePunct w:val="0"/>
              <w:bidi w:val="0"/>
              <w:snapToGrid/>
              <w:spacing w:beforeAutospacing="0" w:afterAutospacing="0" w:line="360" w:lineRule="auto"/>
              <w:ind w:left="0" w:right="0" w:firstLine="0" w:firstLineChars="0"/>
              <w:rPr>
                <w:rFonts w:ascii="宋体" w:eastAsia="宋体" w:cs="Times New Roman"/>
                <w:b w:val="0"/>
                <w:color w:val="auto"/>
                <w:kern w:val="2"/>
                <w:sz w:val="28"/>
                <w:szCs w:val="20"/>
                <w:lang w:val="en-US" w:eastAsia="zh-CN"/>
              </w:rPr>
            </w:pPr>
            <w:r>
              <w:rPr>
                <w:rFonts w:hint="eastAsia" w:ascii="宋体" w:eastAsia="宋体" w:cs="Times New Roman"/>
                <w:b w:val="0"/>
                <w:color w:val="auto"/>
                <w:kern w:val="2"/>
                <w:sz w:val="28"/>
                <w:szCs w:val="20"/>
                <w:lang w:val="en-US" w:eastAsia="zh-CN"/>
              </w:rPr>
              <w:t>831100</w:t>
            </w:r>
          </w:p>
        </w:tc>
      </w:tr>
    </w:tbl>
    <w:p w14:paraId="4D7C4F94">
      <w:pPr>
        <w:keepNext w:val="0"/>
        <w:keepLines w:val="0"/>
        <w:pageBreakBefore w:val="0"/>
        <w:widowControl/>
        <w:suppressLineNumbers w:val="0"/>
        <w:kinsoku/>
        <w:wordWrap/>
        <w:overflowPunct/>
        <w:topLinePunct w:val="0"/>
        <w:bidi w:val="0"/>
        <w:spacing w:beforeAutospacing="0" w:afterAutospacing="0" w:line="360" w:lineRule="auto"/>
        <w:ind w:left="0" w:right="0"/>
        <w:jc w:val="center"/>
      </w:pPr>
      <w:r>
        <w:rPr>
          <w:rFonts w:ascii="仿宋" w:eastAsia="仿宋"/>
          <w:bCs w:val="0"/>
          <w:color w:val="auto"/>
          <w:sz w:val="36"/>
          <w:szCs w:val="36"/>
          <w:lang w:val="zh-CN"/>
        </w:rPr>
        <w:br w:type="page"/>
      </w:r>
      <w:r>
        <w:rPr>
          <w:rFonts w:ascii="仿宋" w:eastAsia="仿宋" w:cs="仿宋"/>
          <w:b w:val="0"/>
          <w:color w:val="000000"/>
          <w:kern w:val="0"/>
          <w:sz w:val="36"/>
          <w:szCs w:val="36"/>
          <w:lang w:val="en-US" w:eastAsia="zh-CN" w:bidi="ar-SA"/>
        </w:rPr>
        <w:t>廉洁自律承诺书</w:t>
      </w:r>
    </w:p>
    <w:p w14:paraId="3BE53DA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cs="仿宋"/>
          <w:b w:val="0"/>
          <w:color w:val="000000"/>
          <w:kern w:val="0"/>
          <w:sz w:val="24"/>
          <w:szCs w:val="24"/>
          <w:lang w:val="en-US" w:eastAsia="zh-CN" w:bidi="ar-SA"/>
        </w:rPr>
      </w:pPr>
    </w:p>
    <w:p w14:paraId="1BB26B1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为进一步规范新疆驰珑信诚招标代理有限公司政府采购行为，维护政府采购制度，净化政府采购市场环境。新疆驰珑信诚招标代理有限公司在代理政府采购事务过程中郑重承诺：</w:t>
      </w:r>
    </w:p>
    <w:p w14:paraId="577AE15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 xml:space="preserve">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 </w:t>
      </w:r>
    </w:p>
    <w:p w14:paraId="74B14E3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 xml:space="preserve">二、公司员工遵纪守法，不得以不正当手段争取、承揽代理政府采购事务和向任何单位和个人支付现金、实物或其他利益的行为。 </w:t>
      </w:r>
    </w:p>
    <w:p w14:paraId="0CCDEF1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 xml:space="preserve">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 </w:t>
      </w:r>
    </w:p>
    <w:p w14:paraId="4627984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 xml:space="preserve">四、公司员工不得与供应商存在任何商业上的利害关系，不得在供应商单位兼职和任职，不得泄漏政府采购过程中的机密。 </w:t>
      </w:r>
    </w:p>
    <w:p w14:paraId="4464B1A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 xml:space="preserve">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 </w:t>
      </w:r>
    </w:p>
    <w:p w14:paraId="741791B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sz w:val="24"/>
          <w:szCs w:val="24"/>
        </w:rPr>
      </w:pPr>
      <w:r>
        <w:rPr>
          <w:rFonts w:hint="eastAsia" w:ascii="仿宋" w:eastAsia="仿宋" w:cs="仿宋"/>
          <w:b w:val="0"/>
          <w:color w:val="000000"/>
          <w:kern w:val="0"/>
          <w:sz w:val="24"/>
          <w:szCs w:val="24"/>
          <w:lang w:val="en-US" w:eastAsia="zh-CN" w:bidi="ar-SA"/>
        </w:rPr>
        <w:t xml:space="preserve">举报电话：0994-2237888 </w:t>
      </w:r>
    </w:p>
    <w:p w14:paraId="4C7C909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right"/>
        <w:textAlignment w:val="auto"/>
        <w:rPr>
          <w:rFonts w:hint="eastAsia" w:ascii="仿宋" w:eastAsia="仿宋" w:cs="仿宋"/>
          <w:b w:val="0"/>
          <w:color w:val="000000"/>
          <w:kern w:val="0"/>
          <w:sz w:val="24"/>
          <w:szCs w:val="24"/>
          <w:lang w:val="en-US" w:eastAsia="zh-CN" w:bidi="ar-SA"/>
        </w:rPr>
      </w:pPr>
    </w:p>
    <w:p w14:paraId="19E14EA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right"/>
        <w:textAlignment w:val="auto"/>
        <w:rPr>
          <w:rFonts w:hint="eastAsia" w:ascii="仿宋" w:eastAsia="仿宋" w:cs="仿宋"/>
          <w:b w:val="0"/>
          <w:color w:val="000000"/>
          <w:kern w:val="0"/>
          <w:sz w:val="24"/>
          <w:szCs w:val="24"/>
          <w:lang w:val="en-US" w:eastAsia="zh-CN" w:bidi="ar-SA"/>
        </w:rPr>
      </w:pPr>
    </w:p>
    <w:p w14:paraId="57F736F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right"/>
        <w:textAlignment w:val="auto"/>
        <w:rPr>
          <w:rFonts w:hint="eastAsia" w:ascii="仿宋" w:eastAsia="仿宋" w:cs="仿宋"/>
          <w:b w:val="0"/>
          <w:color w:val="000000"/>
          <w:kern w:val="0"/>
          <w:sz w:val="24"/>
          <w:szCs w:val="24"/>
          <w:lang w:val="en-US" w:eastAsia="zh-CN" w:bidi="ar-SA"/>
        </w:rPr>
      </w:pPr>
    </w:p>
    <w:p w14:paraId="10DC38C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right"/>
        <w:textAlignment w:val="auto"/>
      </w:pPr>
      <w:r>
        <w:rPr>
          <w:rFonts w:hint="eastAsia" w:ascii="仿宋" w:eastAsia="仿宋" w:cs="仿宋"/>
          <w:b w:val="0"/>
          <w:color w:val="000000"/>
          <w:kern w:val="0"/>
          <w:sz w:val="24"/>
          <w:szCs w:val="24"/>
          <w:lang w:val="en-US" w:eastAsia="zh-CN" w:bidi="ar-SA"/>
        </w:rPr>
        <w:t xml:space="preserve">新疆驰珑信诚招标代理有限公司 </w:t>
      </w:r>
    </w:p>
    <w:p w14:paraId="1557407C">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center"/>
      </w:pPr>
      <w:r>
        <w:rPr>
          <w:rFonts w:ascii="仿宋" w:eastAsia="仿宋"/>
          <w:bCs/>
          <w:color w:val="auto"/>
          <w:sz w:val="36"/>
          <w:szCs w:val="36"/>
          <w:lang w:val="zh-CN"/>
        </w:rPr>
        <w:br w:type="page"/>
      </w:r>
      <w:r>
        <w:rPr>
          <w:rFonts w:ascii="仿宋" w:eastAsia="仿宋" w:cs="仿宋"/>
          <w:b w:val="0"/>
          <w:color w:val="000000"/>
          <w:kern w:val="0"/>
          <w:sz w:val="36"/>
          <w:szCs w:val="36"/>
          <w:lang w:val="en-US" w:eastAsia="zh-CN" w:bidi="ar-SA"/>
        </w:rPr>
        <w:t>交通指引</w:t>
      </w:r>
    </w:p>
    <w:p w14:paraId="65EAD10A">
      <w:pPr>
        <w:keepNext w:val="0"/>
        <w:keepLines w:val="0"/>
        <w:pageBreakBefore w:val="0"/>
        <w:widowControl/>
        <w:suppressLineNumbers w:val="0"/>
        <w:kinsoku/>
        <w:wordWrap/>
        <w:overflowPunct/>
        <w:topLinePunct w:val="0"/>
        <w:bidi w:val="0"/>
        <w:spacing w:beforeAutospacing="0" w:afterAutospacing="0" w:line="360" w:lineRule="auto"/>
        <w:ind w:left="0" w:right="0"/>
        <w:jc w:val="left"/>
        <w:rPr>
          <w:rFonts w:hint="eastAsia" w:ascii="仿宋" w:eastAsia="仿宋" w:cs="仿宋"/>
          <w:b w:val="0"/>
          <w:color w:val="000000"/>
          <w:kern w:val="0"/>
          <w:sz w:val="24"/>
          <w:szCs w:val="24"/>
          <w:lang w:val="en-US" w:eastAsia="zh-CN" w:bidi="ar-SA"/>
        </w:rPr>
      </w:pPr>
    </w:p>
    <w:p w14:paraId="46DAF0E8">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新疆驰珑信诚招标代理有限公司位于昌吉市建国西路199号和谐国际广场K座19楼1915室 ，可采用以下交通方式： </w:t>
      </w:r>
    </w:p>
    <w:p w14:paraId="4FC245FD">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1、公交：52路 ; 53路 ; 56路 ; 521路 ; 522路；恐龙馆下车，步行 500 米即可到达。 </w:t>
      </w:r>
    </w:p>
    <w:p w14:paraId="539B3A5E">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2、自驾：高德地图导航输入“昌吉市建国西路199号和谐国际广场K座”，停车场入口位于和谐巷。 </w:t>
      </w:r>
    </w:p>
    <w:p w14:paraId="48CA96E1">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3、建议将车辆停放于地面停车场。来访人员在大堂选乘客梯上19楼。</w:t>
      </w:r>
    </w:p>
    <w:p w14:paraId="487F31FF">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center"/>
      </w:pPr>
      <w:r>
        <w:drawing>
          <wp:inline distT="0" distB="0" distL="84455" distR="84455">
            <wp:extent cx="5758815" cy="4801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758815" cy="4801870"/>
                    </a:xfrm>
                    <a:prstGeom prst="rect">
                      <a:avLst/>
                    </a:prstGeom>
                    <a:noFill/>
                    <a:ln w="12700" cap="flat" cmpd="sng">
                      <a:noFill/>
                      <a:prstDash val="solid"/>
                      <a:miter/>
                    </a:ln>
                  </pic:spPr>
                </pic:pic>
              </a:graphicData>
            </a:graphic>
          </wp:inline>
        </w:drawing>
      </w:r>
      <w:r>
        <w:rPr>
          <w:rFonts w:ascii="仿宋" w:eastAsia="仿宋"/>
          <w:bCs/>
          <w:color w:val="auto"/>
          <w:sz w:val="36"/>
          <w:szCs w:val="36"/>
          <w:lang w:val="zh-CN"/>
        </w:rPr>
        <w:br w:type="page"/>
      </w:r>
      <w:r>
        <w:rPr>
          <w:rFonts w:ascii="仿宋" w:eastAsia="仿宋" w:cs="仿宋"/>
          <w:b w:val="0"/>
          <w:color w:val="000000"/>
          <w:kern w:val="0"/>
          <w:sz w:val="36"/>
          <w:szCs w:val="36"/>
          <w:lang w:val="en-US" w:eastAsia="zh-CN" w:bidi="ar-SA"/>
        </w:rPr>
        <w:t>温馨提示</w:t>
      </w:r>
    </w:p>
    <w:p w14:paraId="0FC841E9">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left"/>
        <w:rPr>
          <w:rFonts w:hint="eastAsia" w:ascii="仿宋" w:eastAsia="仿宋" w:cs="仿宋"/>
          <w:b w:val="0"/>
          <w:color w:val="000000"/>
          <w:kern w:val="0"/>
          <w:sz w:val="24"/>
          <w:szCs w:val="24"/>
          <w:lang w:val="en-US" w:eastAsia="zh-CN" w:bidi="ar-SA"/>
        </w:rPr>
      </w:pPr>
    </w:p>
    <w:p w14:paraId="5D6B31EB">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left"/>
      </w:pPr>
      <w:r>
        <w:rPr>
          <w:rFonts w:hint="eastAsia" w:ascii="仿宋" w:eastAsia="仿宋" w:cs="仿宋"/>
          <w:b w:val="0"/>
          <w:color w:val="000000"/>
          <w:kern w:val="0"/>
          <w:sz w:val="24"/>
          <w:szCs w:val="24"/>
          <w:lang w:val="en-US" w:eastAsia="zh-CN" w:bidi="ar-SA"/>
        </w:rPr>
        <w:t xml:space="preserve">各供应商： </w:t>
      </w:r>
    </w:p>
    <w:p w14:paraId="7B108A3F">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欢迎参与本次采购活动，为优化营商环境，减少供应商参加采购活动成本，温馨提示如下：</w:t>
      </w:r>
    </w:p>
    <w:p w14:paraId="152C39F4">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一、报名：注意报名的截止时间、报名的方式以及需要提供的资料，任何一项不满足的将拒绝接收。 </w:t>
      </w:r>
    </w:p>
    <w:p w14:paraId="68A9C988">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二、保证金：如项目收取保证金，供应商应在规定截止时间前足额交纳，以到账时间为准。未中标（成交）供应商的保证金将在结果公告后 5 个工作日内原路径退还，中标（成交）供应商应将采购合同发送我司指定邮箱后办理保证金退还，我司将在 5 个工作日内原路径退还。 </w:t>
      </w:r>
    </w:p>
    <w:p w14:paraId="4D665DF4">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三、制作投标（响应）文件：注意采购文件中的资格要求和实质性要求，任何一条不满足的将作无效处理。注意采购文件中的评分要求，未按要求提供证明材料的将不予认可。</w:t>
      </w:r>
    </w:p>
    <w:p w14:paraId="51C2D2BE">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四、投标（响应）：注意投标（响应）截止时间和递交文件的地点，未按要求密封或逾期送达的将拒绝接收。 </w:t>
      </w:r>
    </w:p>
    <w:p w14:paraId="10DC6C65">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五、结果查询：结果公告将在发布采购公告的同一网站进行公布，供应商应自行关注，任何询问项目评审情况和中标（成交）情况的行为都将被拒绝。 </w:t>
      </w:r>
    </w:p>
    <w:p w14:paraId="2E224820">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六、服务费：中标（成交）结果公布后，中标（成交）人应及时足额缴纳服务费，我司在收到服务费后才可开具发票。 </w:t>
      </w:r>
    </w:p>
    <w:p w14:paraId="66421493">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 xml:space="preserve">七、中标（成交）通知书：我司工作人员将在项目结果公告发布时通知中标（成交） 的供应商线上领取中标（成交）通知书。 </w:t>
      </w:r>
    </w:p>
    <w:p w14:paraId="10927956">
      <w:pPr>
        <w:keepNext w:val="0"/>
        <w:keepLines w:val="0"/>
        <w:pageBreakBefore w:val="0"/>
        <w:widowControl/>
        <w:suppressLineNumbers w:val="0"/>
        <w:kinsoku/>
        <w:wordWrap/>
        <w:overflowPunct/>
        <w:topLinePunct w:val="0"/>
        <w:bidi w:val="0"/>
        <w:spacing w:beforeAutospacing="0" w:afterAutospacing="0" w:line="360" w:lineRule="auto"/>
        <w:ind w:left="0" w:right="0"/>
        <w:jc w:val="left"/>
      </w:pPr>
      <w:r>
        <w:rPr>
          <w:rFonts w:hint="eastAsia" w:ascii="仿宋" w:eastAsia="仿宋" w:cs="仿宋"/>
          <w:b w:val="0"/>
          <w:color w:val="000000"/>
          <w:kern w:val="0"/>
          <w:sz w:val="24"/>
          <w:szCs w:val="24"/>
          <w:lang w:val="en-US" w:eastAsia="zh-CN" w:bidi="ar-SA"/>
        </w:rPr>
        <w:t>八、采购合同：中标（成交）人应在采购文件规定的期限内凭中标（成交）通知书与采购人签订采购合同。</w:t>
      </w:r>
    </w:p>
    <w:p w14:paraId="49149ED9">
      <w:pPr>
        <w:pStyle w:val="368"/>
        <w:keepNext/>
        <w:keepLines/>
        <w:pageBreakBefore w:val="0"/>
        <w:widowControl/>
        <w:tabs>
          <w:tab w:val="left" w:pos="426"/>
        </w:tabs>
        <w:kinsoku/>
        <w:wordWrap/>
        <w:overflowPunct/>
        <w:topLinePunct w:val="0"/>
        <w:bidi w:val="0"/>
        <w:adjustRightInd w:val="0"/>
        <w:snapToGrid w:val="0"/>
        <w:spacing w:before="0" w:beforeAutospacing="0" w:after="0" w:afterAutospacing="0" w:line="360" w:lineRule="auto"/>
        <w:ind w:left="0" w:right="0"/>
        <w:jc w:val="center"/>
        <w:rPr>
          <w:rFonts w:ascii="仿宋" w:eastAsia="仿宋"/>
          <w:bCs w:val="0"/>
          <w:color w:val="auto"/>
          <w:sz w:val="36"/>
          <w:szCs w:val="36"/>
          <w:highlight w:val="yellow"/>
          <w:lang w:val="zh-CN"/>
        </w:rPr>
      </w:pPr>
      <w:r>
        <w:rPr>
          <w:rFonts w:ascii="仿宋" w:eastAsia="仿宋"/>
          <w:bCs w:val="0"/>
          <w:color w:val="auto"/>
          <w:sz w:val="36"/>
          <w:szCs w:val="36"/>
          <w:lang w:val="zh-CN"/>
        </w:rPr>
        <w:br w:type="page"/>
      </w:r>
      <w:r>
        <w:rPr>
          <w:rFonts w:ascii="仿宋" w:eastAsia="仿宋"/>
          <w:bCs w:val="0"/>
          <w:color w:val="auto"/>
          <w:sz w:val="36"/>
          <w:szCs w:val="36"/>
          <w:highlight w:val="none"/>
          <w:lang w:val="zh-CN"/>
        </w:rPr>
        <w:t>目  录</w:t>
      </w:r>
    </w:p>
    <w:p w14:paraId="2AF70C3E">
      <w:pPr>
        <w:pStyle w:val="57"/>
        <w:pageBreakBefore w:val="0"/>
        <w:widowControl w:val="0"/>
        <w:tabs>
          <w:tab w:val="left" w:pos="1280"/>
          <w:tab w:val="right" w:leader="dot" w:pos="9062"/>
        </w:tabs>
        <w:kinsoku/>
        <w:wordWrap/>
        <w:overflowPunct/>
        <w:topLinePunct w:val="0"/>
        <w:bidi w:val="0"/>
        <w:adjustRightInd w:val="0"/>
        <w:snapToGrid w:val="0"/>
        <w:spacing w:before="0" w:beforeAutospacing="0" w:after="0" w:afterAutospacing="0" w:line="360" w:lineRule="auto"/>
        <w:ind w:left="0" w:right="0" w:firstLine="0" w:firstLineChars="0"/>
        <w:rPr>
          <w:rFonts w:ascii="仿宋" w:eastAsia="仿宋"/>
          <w:color w:val="auto"/>
          <w:highlight w:val="yellow"/>
        </w:rPr>
      </w:pPr>
    </w:p>
    <w:p w14:paraId="03E51A88">
      <w:pPr>
        <w:pStyle w:val="57"/>
        <w:tabs>
          <w:tab w:val="right" w:leader="dot" w:pos="9072"/>
        </w:tabs>
      </w:pPr>
      <w:r>
        <w:fldChar w:fldCharType="begin"/>
      </w:r>
      <w:r>
        <w:instrText xml:space="preserve">TOC \o "1-2" \h \u </w:instrText>
      </w:r>
      <w:r>
        <w:fldChar w:fldCharType="separate"/>
      </w:r>
      <w:r>
        <w:fldChar w:fldCharType="begin"/>
      </w:r>
      <w:r>
        <w:instrText xml:space="preserve"> HYPERLINK \l _Toc6712 </w:instrText>
      </w:r>
      <w:r>
        <w:fldChar w:fldCharType="separate"/>
      </w:r>
      <w:r>
        <w:rPr>
          <w:rFonts w:ascii="Times New Roman" w:hAnsi="Times New Roman" w:eastAsia="宋体"/>
          <w:i w:val="0"/>
          <w:szCs w:val="32"/>
        </w:rPr>
        <w:t xml:space="preserve">第1章 </w:t>
      </w:r>
      <w:r>
        <w:rPr>
          <w:rFonts w:ascii="仿宋" w:eastAsia="仿宋"/>
        </w:rPr>
        <w:t>投标邀请</w:t>
      </w:r>
      <w:r>
        <w:tab/>
      </w:r>
      <w:r>
        <w:fldChar w:fldCharType="begin"/>
      </w:r>
      <w:r>
        <w:instrText xml:space="preserve"> PAGEREF _Toc6712 \h </w:instrText>
      </w:r>
      <w:r>
        <w:fldChar w:fldCharType="separate"/>
      </w:r>
      <w:r>
        <w:t>1</w:t>
      </w:r>
      <w:r>
        <w:fldChar w:fldCharType="end"/>
      </w:r>
      <w:r>
        <w:fldChar w:fldCharType="end"/>
      </w:r>
    </w:p>
    <w:p w14:paraId="331DB1E0">
      <w:pPr>
        <w:pStyle w:val="57"/>
        <w:tabs>
          <w:tab w:val="right" w:leader="dot" w:pos="9072"/>
        </w:tabs>
      </w:pPr>
      <w:r>
        <w:fldChar w:fldCharType="begin"/>
      </w:r>
      <w:r>
        <w:instrText xml:space="preserve"> HYPERLINK \l _Toc20675 </w:instrText>
      </w:r>
      <w:r>
        <w:fldChar w:fldCharType="separate"/>
      </w:r>
      <w:r>
        <w:rPr>
          <w:rFonts w:ascii="Times New Roman" w:hAnsi="Times New Roman" w:eastAsia="宋体"/>
          <w:i w:val="0"/>
          <w:szCs w:val="32"/>
        </w:rPr>
        <w:t xml:space="preserve">第2章 </w:t>
      </w:r>
      <w:r>
        <w:rPr>
          <w:rFonts w:ascii="仿宋" w:eastAsia="仿宋"/>
        </w:rPr>
        <w:t>投标人须知</w:t>
      </w:r>
      <w:r>
        <w:tab/>
      </w:r>
      <w:r>
        <w:fldChar w:fldCharType="begin"/>
      </w:r>
      <w:r>
        <w:instrText xml:space="preserve"> PAGEREF _Toc20675 \h </w:instrText>
      </w:r>
      <w:r>
        <w:fldChar w:fldCharType="separate"/>
      </w:r>
      <w:r>
        <w:t>4</w:t>
      </w:r>
      <w:r>
        <w:fldChar w:fldCharType="end"/>
      </w:r>
      <w:r>
        <w:fldChar w:fldCharType="end"/>
      </w:r>
    </w:p>
    <w:p w14:paraId="315B1DE7">
      <w:pPr>
        <w:pStyle w:val="68"/>
        <w:tabs>
          <w:tab w:val="right" w:leader="dot" w:pos="9072"/>
        </w:tabs>
      </w:pPr>
      <w:r>
        <w:fldChar w:fldCharType="begin"/>
      </w:r>
      <w:r>
        <w:instrText xml:space="preserve"> HYPERLINK \l _Toc17535 </w:instrText>
      </w:r>
      <w:r>
        <w:fldChar w:fldCharType="separate"/>
      </w:r>
      <w:r>
        <w:rPr>
          <w:rFonts w:ascii="Times New Roman" w:hAnsi="Times New Roman" w:eastAsia="宋体"/>
          <w:bCs/>
          <w:i w:val="0"/>
          <w:kern w:val="2"/>
          <w:szCs w:val="36"/>
          <w:lang w:val="en-US"/>
        </w:rPr>
        <w:t xml:space="preserve">2.1 </w:t>
      </w:r>
      <w:r>
        <w:rPr>
          <w:rFonts w:ascii="仿宋" w:eastAsia="仿宋"/>
          <w:bCs/>
          <w:kern w:val="2"/>
          <w:szCs w:val="24"/>
          <w:lang w:val="en-US"/>
        </w:rPr>
        <w:t>投标人须知前附表</w:t>
      </w:r>
      <w:r>
        <w:tab/>
      </w:r>
      <w:r>
        <w:fldChar w:fldCharType="begin"/>
      </w:r>
      <w:r>
        <w:instrText xml:space="preserve"> PAGEREF _Toc17535 \h </w:instrText>
      </w:r>
      <w:r>
        <w:fldChar w:fldCharType="separate"/>
      </w:r>
      <w:r>
        <w:t>4</w:t>
      </w:r>
      <w:r>
        <w:fldChar w:fldCharType="end"/>
      </w:r>
      <w:r>
        <w:fldChar w:fldCharType="end"/>
      </w:r>
    </w:p>
    <w:p w14:paraId="39DFE6E0">
      <w:pPr>
        <w:pStyle w:val="68"/>
        <w:tabs>
          <w:tab w:val="right" w:leader="dot" w:pos="9072"/>
        </w:tabs>
      </w:pPr>
      <w:r>
        <w:fldChar w:fldCharType="begin"/>
      </w:r>
      <w:r>
        <w:instrText xml:space="preserve"> HYPERLINK \l _Toc13664 </w:instrText>
      </w:r>
      <w:r>
        <w:fldChar w:fldCharType="separate"/>
      </w:r>
      <w:r>
        <w:rPr>
          <w:rFonts w:ascii="Times New Roman" w:hAnsi="Times New Roman" w:eastAsia="宋体"/>
          <w:bCs/>
          <w:i w:val="0"/>
          <w:kern w:val="2"/>
          <w:szCs w:val="36"/>
          <w:lang w:val="en-US"/>
        </w:rPr>
        <w:t xml:space="preserve">2.2 </w:t>
      </w:r>
      <w:r>
        <w:rPr>
          <w:rFonts w:ascii="仿宋" w:eastAsia="仿宋"/>
          <w:bCs/>
          <w:kern w:val="2"/>
          <w:szCs w:val="24"/>
          <w:lang w:val="en-US"/>
        </w:rPr>
        <w:t>总  则</w:t>
      </w:r>
      <w:r>
        <w:tab/>
      </w:r>
      <w:r>
        <w:fldChar w:fldCharType="begin"/>
      </w:r>
      <w:r>
        <w:instrText xml:space="preserve"> PAGEREF _Toc13664 \h </w:instrText>
      </w:r>
      <w:r>
        <w:fldChar w:fldCharType="separate"/>
      </w:r>
      <w:r>
        <w:t>10</w:t>
      </w:r>
      <w:r>
        <w:fldChar w:fldCharType="end"/>
      </w:r>
      <w:r>
        <w:fldChar w:fldCharType="end"/>
      </w:r>
    </w:p>
    <w:p w14:paraId="01982501">
      <w:pPr>
        <w:pStyle w:val="68"/>
        <w:tabs>
          <w:tab w:val="right" w:leader="dot" w:pos="9072"/>
        </w:tabs>
      </w:pPr>
      <w:r>
        <w:fldChar w:fldCharType="begin"/>
      </w:r>
      <w:r>
        <w:instrText xml:space="preserve"> HYPERLINK \l _Toc2033 </w:instrText>
      </w:r>
      <w:r>
        <w:fldChar w:fldCharType="separate"/>
      </w:r>
      <w:r>
        <w:rPr>
          <w:rFonts w:ascii="Times New Roman" w:hAnsi="Times New Roman" w:eastAsia="宋体"/>
          <w:bCs/>
          <w:i w:val="0"/>
          <w:kern w:val="2"/>
          <w:szCs w:val="36"/>
          <w:lang w:val="en-US"/>
        </w:rPr>
        <w:t xml:space="preserve">2.3 </w:t>
      </w:r>
      <w:r>
        <w:rPr>
          <w:rFonts w:ascii="仿宋" w:eastAsia="仿宋"/>
          <w:bCs/>
          <w:kern w:val="2"/>
          <w:szCs w:val="24"/>
          <w:lang w:val="en-US"/>
        </w:rPr>
        <w:t>招标文件</w:t>
      </w:r>
      <w:r>
        <w:tab/>
      </w:r>
      <w:r>
        <w:fldChar w:fldCharType="begin"/>
      </w:r>
      <w:r>
        <w:instrText xml:space="preserve"> PAGEREF _Toc2033 \h </w:instrText>
      </w:r>
      <w:r>
        <w:fldChar w:fldCharType="separate"/>
      </w:r>
      <w:r>
        <w:t>12</w:t>
      </w:r>
      <w:r>
        <w:fldChar w:fldCharType="end"/>
      </w:r>
      <w:r>
        <w:fldChar w:fldCharType="end"/>
      </w:r>
    </w:p>
    <w:p w14:paraId="46374EE9">
      <w:pPr>
        <w:pStyle w:val="68"/>
        <w:tabs>
          <w:tab w:val="right" w:leader="dot" w:pos="9072"/>
        </w:tabs>
      </w:pPr>
      <w:r>
        <w:fldChar w:fldCharType="begin"/>
      </w:r>
      <w:r>
        <w:instrText xml:space="preserve"> HYPERLINK \l _Toc17488 </w:instrText>
      </w:r>
      <w:r>
        <w:fldChar w:fldCharType="separate"/>
      </w:r>
      <w:r>
        <w:rPr>
          <w:rFonts w:ascii="Times New Roman" w:hAnsi="Times New Roman" w:eastAsia="宋体"/>
          <w:bCs/>
          <w:i w:val="0"/>
          <w:kern w:val="2"/>
          <w:szCs w:val="36"/>
          <w:lang w:val="en-US"/>
        </w:rPr>
        <w:t xml:space="preserve">2.4 </w:t>
      </w:r>
      <w:r>
        <w:rPr>
          <w:rFonts w:ascii="仿宋" w:eastAsia="仿宋"/>
          <w:bCs/>
          <w:kern w:val="2"/>
          <w:szCs w:val="24"/>
          <w:lang w:val="en-US"/>
        </w:rPr>
        <w:t>投标文件</w:t>
      </w:r>
      <w:r>
        <w:tab/>
      </w:r>
      <w:r>
        <w:fldChar w:fldCharType="begin"/>
      </w:r>
      <w:r>
        <w:instrText xml:space="preserve"> PAGEREF _Toc17488 \h </w:instrText>
      </w:r>
      <w:r>
        <w:fldChar w:fldCharType="separate"/>
      </w:r>
      <w:r>
        <w:t>13</w:t>
      </w:r>
      <w:r>
        <w:fldChar w:fldCharType="end"/>
      </w:r>
      <w:r>
        <w:fldChar w:fldCharType="end"/>
      </w:r>
    </w:p>
    <w:p w14:paraId="7B83C357">
      <w:pPr>
        <w:pStyle w:val="68"/>
        <w:tabs>
          <w:tab w:val="right" w:leader="dot" w:pos="9072"/>
        </w:tabs>
      </w:pPr>
      <w:r>
        <w:fldChar w:fldCharType="begin"/>
      </w:r>
      <w:r>
        <w:instrText xml:space="preserve"> HYPERLINK \l _Toc18417 </w:instrText>
      </w:r>
      <w:r>
        <w:fldChar w:fldCharType="separate"/>
      </w:r>
      <w:r>
        <w:rPr>
          <w:rFonts w:ascii="Times New Roman" w:hAnsi="Times New Roman" w:eastAsia="宋体"/>
          <w:bCs/>
          <w:i w:val="0"/>
          <w:kern w:val="2"/>
          <w:szCs w:val="36"/>
          <w:lang w:val="en-US"/>
        </w:rPr>
        <w:t xml:space="preserve">2.5 </w:t>
      </w:r>
      <w:r>
        <w:rPr>
          <w:rFonts w:ascii="仿宋" w:eastAsia="仿宋"/>
          <w:bCs/>
          <w:kern w:val="2"/>
          <w:szCs w:val="24"/>
          <w:lang w:val="en-US"/>
        </w:rPr>
        <w:t>开标、评标和中标</w:t>
      </w:r>
      <w:r>
        <w:tab/>
      </w:r>
      <w:r>
        <w:fldChar w:fldCharType="begin"/>
      </w:r>
      <w:r>
        <w:instrText xml:space="preserve"> PAGEREF _Toc18417 \h </w:instrText>
      </w:r>
      <w:r>
        <w:fldChar w:fldCharType="separate"/>
      </w:r>
      <w:r>
        <w:t>16</w:t>
      </w:r>
      <w:r>
        <w:fldChar w:fldCharType="end"/>
      </w:r>
      <w:r>
        <w:fldChar w:fldCharType="end"/>
      </w:r>
    </w:p>
    <w:p w14:paraId="5E154949">
      <w:pPr>
        <w:pStyle w:val="68"/>
        <w:tabs>
          <w:tab w:val="right" w:leader="dot" w:pos="9072"/>
        </w:tabs>
      </w:pPr>
      <w:r>
        <w:fldChar w:fldCharType="begin"/>
      </w:r>
      <w:r>
        <w:instrText xml:space="preserve"> HYPERLINK \l _Toc21506 </w:instrText>
      </w:r>
      <w:r>
        <w:fldChar w:fldCharType="separate"/>
      </w:r>
      <w:r>
        <w:rPr>
          <w:rFonts w:ascii="Times New Roman" w:hAnsi="Times New Roman" w:eastAsia="宋体"/>
          <w:bCs/>
          <w:i w:val="0"/>
          <w:kern w:val="2"/>
          <w:szCs w:val="36"/>
          <w:lang w:val="en-US"/>
        </w:rPr>
        <w:t xml:space="preserve">2.6 </w:t>
      </w:r>
      <w:r>
        <w:rPr>
          <w:rFonts w:ascii="仿宋" w:eastAsia="仿宋"/>
          <w:bCs/>
          <w:kern w:val="2"/>
          <w:szCs w:val="24"/>
          <w:lang w:val="en-US"/>
        </w:rPr>
        <w:t>签订及履行合同</w:t>
      </w:r>
      <w:r>
        <w:tab/>
      </w:r>
      <w:r>
        <w:fldChar w:fldCharType="begin"/>
      </w:r>
      <w:r>
        <w:instrText xml:space="preserve"> PAGEREF _Toc21506 \h </w:instrText>
      </w:r>
      <w:r>
        <w:fldChar w:fldCharType="separate"/>
      </w:r>
      <w:r>
        <w:t>18</w:t>
      </w:r>
      <w:r>
        <w:fldChar w:fldCharType="end"/>
      </w:r>
      <w:r>
        <w:fldChar w:fldCharType="end"/>
      </w:r>
    </w:p>
    <w:p w14:paraId="75CD1793">
      <w:pPr>
        <w:pStyle w:val="68"/>
        <w:tabs>
          <w:tab w:val="right" w:leader="dot" w:pos="9072"/>
        </w:tabs>
      </w:pPr>
      <w:r>
        <w:fldChar w:fldCharType="begin"/>
      </w:r>
      <w:r>
        <w:instrText xml:space="preserve"> HYPERLINK \l _Toc26466 </w:instrText>
      </w:r>
      <w:r>
        <w:fldChar w:fldCharType="separate"/>
      </w:r>
      <w:r>
        <w:rPr>
          <w:rFonts w:ascii="Times New Roman" w:hAnsi="Times New Roman" w:eastAsia="宋体"/>
          <w:bCs/>
          <w:i w:val="0"/>
          <w:kern w:val="2"/>
          <w:szCs w:val="36"/>
          <w:lang w:val="en-US"/>
        </w:rPr>
        <w:t xml:space="preserve">2.7 </w:t>
      </w:r>
      <w:r>
        <w:rPr>
          <w:rFonts w:ascii="仿宋" w:eastAsia="仿宋"/>
          <w:bCs/>
          <w:kern w:val="2"/>
          <w:szCs w:val="24"/>
          <w:lang w:val="en-US"/>
        </w:rPr>
        <w:t>投标纪律要求</w:t>
      </w:r>
      <w:r>
        <w:tab/>
      </w:r>
      <w:r>
        <w:fldChar w:fldCharType="begin"/>
      </w:r>
      <w:r>
        <w:instrText xml:space="preserve"> PAGEREF _Toc26466 \h </w:instrText>
      </w:r>
      <w:r>
        <w:fldChar w:fldCharType="separate"/>
      </w:r>
      <w:r>
        <w:t>20</w:t>
      </w:r>
      <w:r>
        <w:fldChar w:fldCharType="end"/>
      </w:r>
      <w:r>
        <w:fldChar w:fldCharType="end"/>
      </w:r>
    </w:p>
    <w:p w14:paraId="41664C1A">
      <w:pPr>
        <w:pStyle w:val="68"/>
        <w:tabs>
          <w:tab w:val="right" w:leader="dot" w:pos="9072"/>
        </w:tabs>
      </w:pPr>
      <w:r>
        <w:fldChar w:fldCharType="begin"/>
      </w:r>
      <w:r>
        <w:instrText xml:space="preserve"> HYPERLINK \l _Toc20794 </w:instrText>
      </w:r>
      <w:r>
        <w:fldChar w:fldCharType="separate"/>
      </w:r>
      <w:r>
        <w:rPr>
          <w:rFonts w:ascii="Times New Roman" w:hAnsi="Times New Roman" w:eastAsia="宋体"/>
          <w:bCs/>
          <w:i w:val="0"/>
          <w:kern w:val="2"/>
          <w:szCs w:val="36"/>
          <w:lang w:val="en-US"/>
        </w:rPr>
        <w:t xml:space="preserve">2.8 </w:t>
      </w:r>
      <w:r>
        <w:rPr>
          <w:rFonts w:ascii="仿宋" w:eastAsia="仿宋"/>
          <w:bCs/>
          <w:kern w:val="2"/>
          <w:szCs w:val="24"/>
          <w:lang w:val="en-US"/>
        </w:rPr>
        <w:t>资金支付</w:t>
      </w:r>
      <w:r>
        <w:tab/>
      </w:r>
      <w:r>
        <w:fldChar w:fldCharType="begin"/>
      </w:r>
      <w:r>
        <w:instrText xml:space="preserve"> PAGEREF _Toc20794 \h </w:instrText>
      </w:r>
      <w:r>
        <w:fldChar w:fldCharType="separate"/>
      </w:r>
      <w:r>
        <w:t>20</w:t>
      </w:r>
      <w:r>
        <w:fldChar w:fldCharType="end"/>
      </w:r>
      <w:r>
        <w:fldChar w:fldCharType="end"/>
      </w:r>
    </w:p>
    <w:p w14:paraId="5CF17001">
      <w:pPr>
        <w:pStyle w:val="68"/>
        <w:tabs>
          <w:tab w:val="right" w:leader="dot" w:pos="9072"/>
        </w:tabs>
      </w:pPr>
      <w:r>
        <w:fldChar w:fldCharType="begin"/>
      </w:r>
      <w:r>
        <w:instrText xml:space="preserve"> HYPERLINK \l _Toc1980 </w:instrText>
      </w:r>
      <w:r>
        <w:fldChar w:fldCharType="separate"/>
      </w:r>
      <w:r>
        <w:rPr>
          <w:rFonts w:ascii="Times New Roman" w:hAnsi="Times New Roman" w:eastAsia="宋体"/>
          <w:bCs/>
          <w:i w:val="0"/>
          <w:kern w:val="2"/>
          <w:szCs w:val="36"/>
          <w:lang w:val="en-US"/>
        </w:rPr>
        <w:t xml:space="preserve">2.9 </w:t>
      </w:r>
      <w:r>
        <w:rPr>
          <w:rFonts w:ascii="仿宋" w:eastAsia="仿宋"/>
          <w:bCs/>
          <w:kern w:val="2"/>
          <w:szCs w:val="24"/>
          <w:lang w:val="en-US"/>
        </w:rPr>
        <w:t>询问、质疑和投诉</w:t>
      </w:r>
      <w:r>
        <w:tab/>
      </w:r>
      <w:r>
        <w:fldChar w:fldCharType="begin"/>
      </w:r>
      <w:r>
        <w:instrText xml:space="preserve"> PAGEREF _Toc1980 \h </w:instrText>
      </w:r>
      <w:r>
        <w:fldChar w:fldCharType="separate"/>
      </w:r>
      <w:r>
        <w:t>20</w:t>
      </w:r>
      <w:r>
        <w:fldChar w:fldCharType="end"/>
      </w:r>
      <w:r>
        <w:fldChar w:fldCharType="end"/>
      </w:r>
    </w:p>
    <w:p w14:paraId="42AC1E63">
      <w:pPr>
        <w:pStyle w:val="68"/>
        <w:tabs>
          <w:tab w:val="right" w:leader="dot" w:pos="9072"/>
        </w:tabs>
      </w:pPr>
      <w:r>
        <w:fldChar w:fldCharType="begin"/>
      </w:r>
      <w:r>
        <w:instrText xml:space="preserve"> HYPERLINK \l _Toc10310 </w:instrText>
      </w:r>
      <w:r>
        <w:fldChar w:fldCharType="separate"/>
      </w:r>
      <w:r>
        <w:rPr>
          <w:rFonts w:ascii="Times New Roman" w:hAnsi="Times New Roman" w:eastAsia="宋体"/>
          <w:bCs/>
          <w:i w:val="0"/>
          <w:kern w:val="2"/>
          <w:szCs w:val="36"/>
          <w:lang w:val="en-US"/>
        </w:rPr>
        <w:t xml:space="preserve">2.10 </w:t>
      </w:r>
      <w:r>
        <w:rPr>
          <w:rFonts w:ascii="仿宋" w:eastAsia="仿宋"/>
          <w:bCs/>
          <w:kern w:val="2"/>
          <w:szCs w:val="24"/>
          <w:lang w:val="en-US"/>
        </w:rPr>
        <w:t>其他</w:t>
      </w:r>
      <w:r>
        <w:tab/>
      </w:r>
      <w:r>
        <w:fldChar w:fldCharType="begin"/>
      </w:r>
      <w:r>
        <w:instrText xml:space="preserve"> PAGEREF _Toc10310 \h </w:instrText>
      </w:r>
      <w:r>
        <w:fldChar w:fldCharType="separate"/>
      </w:r>
      <w:r>
        <w:t>20</w:t>
      </w:r>
      <w:r>
        <w:fldChar w:fldCharType="end"/>
      </w:r>
      <w:r>
        <w:fldChar w:fldCharType="end"/>
      </w:r>
    </w:p>
    <w:p w14:paraId="47B7BC96">
      <w:pPr>
        <w:pStyle w:val="57"/>
        <w:tabs>
          <w:tab w:val="right" w:leader="dot" w:pos="9072"/>
        </w:tabs>
      </w:pPr>
      <w:r>
        <w:fldChar w:fldCharType="begin"/>
      </w:r>
      <w:r>
        <w:instrText xml:space="preserve"> HYPERLINK \l _Toc23012 </w:instrText>
      </w:r>
      <w:r>
        <w:fldChar w:fldCharType="separate"/>
      </w:r>
      <w:r>
        <w:rPr>
          <w:rFonts w:ascii="Times New Roman" w:hAnsi="Times New Roman" w:eastAsia="宋体"/>
          <w:i w:val="0"/>
          <w:szCs w:val="32"/>
        </w:rPr>
        <w:t xml:space="preserve">第3章 </w:t>
      </w:r>
      <w:r>
        <w:rPr>
          <w:rFonts w:ascii="仿宋" w:eastAsia="仿宋"/>
          <w:highlight w:val="none"/>
        </w:rPr>
        <w:t>投标人应当提供的资格、资质性及其他具有类似效力的</w:t>
      </w:r>
      <w:r>
        <w:rPr>
          <w:rFonts w:hint="eastAsia" w:ascii="仿宋" w:eastAsia="仿宋"/>
          <w:highlight w:val="none"/>
        </w:rPr>
        <w:t>　</w:t>
      </w:r>
      <w:r>
        <w:rPr>
          <w:rFonts w:ascii="仿宋" w:eastAsia="仿宋"/>
          <w:highlight w:val="none"/>
        </w:rPr>
        <w:t>要求的相关证明材料</w:t>
      </w:r>
      <w:r>
        <w:tab/>
      </w:r>
      <w:r>
        <w:fldChar w:fldCharType="begin"/>
      </w:r>
      <w:r>
        <w:instrText xml:space="preserve"> PAGEREF _Toc23012 \h </w:instrText>
      </w:r>
      <w:r>
        <w:fldChar w:fldCharType="separate"/>
      </w:r>
      <w:r>
        <w:t>22</w:t>
      </w:r>
      <w:r>
        <w:fldChar w:fldCharType="end"/>
      </w:r>
      <w:r>
        <w:fldChar w:fldCharType="end"/>
      </w:r>
    </w:p>
    <w:p w14:paraId="526A4D36">
      <w:pPr>
        <w:pStyle w:val="57"/>
        <w:tabs>
          <w:tab w:val="right" w:leader="dot" w:pos="9072"/>
        </w:tabs>
      </w:pPr>
      <w:r>
        <w:fldChar w:fldCharType="begin"/>
      </w:r>
      <w:r>
        <w:instrText xml:space="preserve"> HYPERLINK \l _Toc11526 </w:instrText>
      </w:r>
      <w:r>
        <w:fldChar w:fldCharType="separate"/>
      </w:r>
      <w:r>
        <w:rPr>
          <w:rFonts w:ascii="Times New Roman" w:hAnsi="Times New Roman" w:eastAsia="宋体"/>
          <w:i w:val="0"/>
          <w:szCs w:val="32"/>
        </w:rPr>
        <w:t xml:space="preserve">第4章 </w:t>
      </w:r>
      <w:r>
        <w:rPr>
          <w:rFonts w:ascii="仿宋" w:eastAsia="仿宋"/>
          <w:highlight w:val="none"/>
        </w:rPr>
        <w:t>技术</w:t>
      </w:r>
      <w:r>
        <w:rPr>
          <w:rFonts w:hint="eastAsia" w:ascii="仿宋" w:eastAsia="仿宋"/>
          <w:highlight w:val="none"/>
          <w:lang w:val="en-US" w:eastAsia="zh-CN"/>
        </w:rPr>
        <w:t>服务</w:t>
      </w:r>
      <w:r>
        <w:rPr>
          <w:rFonts w:ascii="仿宋" w:eastAsia="仿宋"/>
          <w:highlight w:val="none"/>
        </w:rPr>
        <w:t>、商务及其他要求</w:t>
      </w:r>
      <w:r>
        <w:tab/>
      </w:r>
      <w:r>
        <w:fldChar w:fldCharType="begin"/>
      </w:r>
      <w:r>
        <w:instrText xml:space="preserve"> PAGEREF _Toc11526 \h </w:instrText>
      </w:r>
      <w:r>
        <w:fldChar w:fldCharType="separate"/>
      </w:r>
      <w:r>
        <w:t>24</w:t>
      </w:r>
      <w:r>
        <w:fldChar w:fldCharType="end"/>
      </w:r>
      <w:r>
        <w:fldChar w:fldCharType="end"/>
      </w:r>
    </w:p>
    <w:p w14:paraId="7677CE21">
      <w:pPr>
        <w:pStyle w:val="57"/>
        <w:tabs>
          <w:tab w:val="right" w:leader="dot" w:pos="9072"/>
        </w:tabs>
      </w:pPr>
      <w:r>
        <w:fldChar w:fldCharType="begin"/>
      </w:r>
      <w:r>
        <w:instrText xml:space="preserve"> HYPERLINK \l _Toc22178 </w:instrText>
      </w:r>
      <w:r>
        <w:fldChar w:fldCharType="separate"/>
      </w:r>
      <w:r>
        <w:rPr>
          <w:rFonts w:ascii="Times New Roman" w:hAnsi="Times New Roman" w:eastAsia="宋体"/>
          <w:i w:val="0"/>
          <w:szCs w:val="32"/>
        </w:rPr>
        <w:t xml:space="preserve">第5章 </w:t>
      </w:r>
      <w:r>
        <w:rPr>
          <w:rFonts w:ascii="仿宋" w:eastAsia="仿宋"/>
          <w:highlight w:val="none"/>
        </w:rPr>
        <w:t>评标办法</w:t>
      </w:r>
      <w:r>
        <w:tab/>
      </w:r>
      <w:r>
        <w:fldChar w:fldCharType="begin"/>
      </w:r>
      <w:r>
        <w:instrText xml:space="preserve"> PAGEREF _Toc22178 \h </w:instrText>
      </w:r>
      <w:r>
        <w:fldChar w:fldCharType="separate"/>
      </w:r>
      <w:r>
        <w:t>44</w:t>
      </w:r>
      <w:r>
        <w:fldChar w:fldCharType="end"/>
      </w:r>
      <w:r>
        <w:fldChar w:fldCharType="end"/>
      </w:r>
    </w:p>
    <w:p w14:paraId="22B2697D">
      <w:pPr>
        <w:pStyle w:val="68"/>
        <w:tabs>
          <w:tab w:val="right" w:leader="dot" w:pos="9072"/>
        </w:tabs>
      </w:pPr>
      <w:r>
        <w:fldChar w:fldCharType="begin"/>
      </w:r>
      <w:r>
        <w:instrText xml:space="preserve"> HYPERLINK \l _Toc8183 </w:instrText>
      </w:r>
      <w:r>
        <w:fldChar w:fldCharType="separate"/>
      </w:r>
      <w:r>
        <w:rPr>
          <w:rFonts w:ascii="Times New Roman" w:hAnsi="Times New Roman" w:eastAsia="宋体"/>
          <w:bCs/>
          <w:i w:val="0"/>
          <w:kern w:val="2"/>
          <w:szCs w:val="36"/>
          <w:lang w:val="en-US"/>
        </w:rPr>
        <w:t xml:space="preserve">5.1 </w:t>
      </w:r>
      <w:r>
        <w:rPr>
          <w:rFonts w:ascii="仿宋" w:eastAsia="仿宋"/>
          <w:bCs/>
          <w:kern w:val="2"/>
          <w:szCs w:val="24"/>
          <w:highlight w:val="none"/>
          <w:lang w:val="en-US"/>
        </w:rPr>
        <w:t>总则</w:t>
      </w:r>
      <w:r>
        <w:tab/>
      </w:r>
      <w:r>
        <w:fldChar w:fldCharType="begin"/>
      </w:r>
      <w:r>
        <w:instrText xml:space="preserve"> PAGEREF _Toc8183 \h </w:instrText>
      </w:r>
      <w:r>
        <w:fldChar w:fldCharType="separate"/>
      </w:r>
      <w:r>
        <w:t>44</w:t>
      </w:r>
      <w:r>
        <w:fldChar w:fldCharType="end"/>
      </w:r>
      <w:r>
        <w:fldChar w:fldCharType="end"/>
      </w:r>
    </w:p>
    <w:p w14:paraId="4EDD4973">
      <w:pPr>
        <w:pStyle w:val="68"/>
        <w:tabs>
          <w:tab w:val="right" w:leader="dot" w:pos="9072"/>
        </w:tabs>
      </w:pPr>
      <w:r>
        <w:fldChar w:fldCharType="begin"/>
      </w:r>
      <w:r>
        <w:instrText xml:space="preserve"> HYPERLINK \l _Toc9195 </w:instrText>
      </w:r>
      <w:r>
        <w:fldChar w:fldCharType="separate"/>
      </w:r>
      <w:r>
        <w:rPr>
          <w:rFonts w:ascii="Times New Roman" w:hAnsi="Times New Roman" w:eastAsia="宋体"/>
          <w:bCs/>
          <w:i w:val="0"/>
          <w:kern w:val="2"/>
          <w:szCs w:val="36"/>
          <w:lang w:val="en-US"/>
        </w:rPr>
        <w:t xml:space="preserve">5.2 </w:t>
      </w:r>
      <w:r>
        <w:rPr>
          <w:rFonts w:ascii="仿宋" w:eastAsia="仿宋"/>
          <w:bCs/>
          <w:kern w:val="2"/>
          <w:szCs w:val="24"/>
          <w:highlight w:val="none"/>
          <w:lang w:val="en-US"/>
        </w:rPr>
        <w:t>评标方法</w:t>
      </w:r>
      <w:r>
        <w:tab/>
      </w:r>
      <w:r>
        <w:fldChar w:fldCharType="begin"/>
      </w:r>
      <w:r>
        <w:instrText xml:space="preserve"> PAGEREF _Toc9195 \h </w:instrText>
      </w:r>
      <w:r>
        <w:fldChar w:fldCharType="separate"/>
      </w:r>
      <w:r>
        <w:t>45</w:t>
      </w:r>
      <w:r>
        <w:fldChar w:fldCharType="end"/>
      </w:r>
      <w:r>
        <w:fldChar w:fldCharType="end"/>
      </w:r>
    </w:p>
    <w:p w14:paraId="0E8F5546">
      <w:pPr>
        <w:pStyle w:val="68"/>
        <w:tabs>
          <w:tab w:val="right" w:leader="dot" w:pos="9072"/>
        </w:tabs>
      </w:pPr>
      <w:r>
        <w:fldChar w:fldCharType="begin"/>
      </w:r>
      <w:r>
        <w:instrText xml:space="preserve"> HYPERLINK \l _Toc8422 </w:instrText>
      </w:r>
      <w:r>
        <w:fldChar w:fldCharType="separate"/>
      </w:r>
      <w:r>
        <w:rPr>
          <w:rFonts w:ascii="Times New Roman" w:hAnsi="Times New Roman" w:eastAsia="宋体"/>
          <w:bCs/>
          <w:i w:val="0"/>
          <w:kern w:val="2"/>
          <w:szCs w:val="36"/>
          <w:lang w:val="en-US"/>
        </w:rPr>
        <w:t xml:space="preserve">5.3 </w:t>
      </w:r>
      <w:r>
        <w:rPr>
          <w:rFonts w:ascii="仿宋" w:eastAsia="仿宋"/>
          <w:bCs/>
          <w:kern w:val="2"/>
          <w:szCs w:val="24"/>
          <w:highlight w:val="none"/>
          <w:lang w:val="en-US"/>
        </w:rPr>
        <w:t>评标程序</w:t>
      </w:r>
      <w:r>
        <w:tab/>
      </w:r>
      <w:r>
        <w:fldChar w:fldCharType="begin"/>
      </w:r>
      <w:r>
        <w:instrText xml:space="preserve"> PAGEREF _Toc8422 \h </w:instrText>
      </w:r>
      <w:r>
        <w:fldChar w:fldCharType="separate"/>
      </w:r>
      <w:r>
        <w:t>45</w:t>
      </w:r>
      <w:r>
        <w:fldChar w:fldCharType="end"/>
      </w:r>
      <w:r>
        <w:fldChar w:fldCharType="end"/>
      </w:r>
    </w:p>
    <w:p w14:paraId="3CDF995B">
      <w:pPr>
        <w:pStyle w:val="68"/>
        <w:tabs>
          <w:tab w:val="right" w:leader="dot" w:pos="9072"/>
        </w:tabs>
      </w:pPr>
      <w:r>
        <w:fldChar w:fldCharType="begin"/>
      </w:r>
      <w:r>
        <w:instrText xml:space="preserve"> HYPERLINK \l _Toc21851 </w:instrText>
      </w:r>
      <w:r>
        <w:fldChar w:fldCharType="separate"/>
      </w:r>
      <w:r>
        <w:rPr>
          <w:rFonts w:ascii="Times New Roman" w:hAnsi="Times New Roman" w:eastAsia="宋体"/>
          <w:bCs/>
          <w:i w:val="0"/>
          <w:kern w:val="2"/>
          <w:szCs w:val="36"/>
          <w:lang w:val="en-US"/>
        </w:rPr>
        <w:t xml:space="preserve">5.4 </w:t>
      </w:r>
      <w:r>
        <w:rPr>
          <w:rFonts w:ascii="仿宋" w:eastAsia="仿宋"/>
          <w:bCs/>
          <w:kern w:val="2"/>
          <w:szCs w:val="24"/>
          <w:highlight w:val="none"/>
          <w:lang w:val="en-US"/>
        </w:rPr>
        <w:t>评标细则及标准</w:t>
      </w:r>
      <w:r>
        <w:tab/>
      </w:r>
      <w:r>
        <w:fldChar w:fldCharType="begin"/>
      </w:r>
      <w:r>
        <w:instrText xml:space="preserve"> PAGEREF _Toc21851 \h </w:instrText>
      </w:r>
      <w:r>
        <w:fldChar w:fldCharType="separate"/>
      </w:r>
      <w:r>
        <w:t>53</w:t>
      </w:r>
      <w:r>
        <w:fldChar w:fldCharType="end"/>
      </w:r>
      <w:r>
        <w:fldChar w:fldCharType="end"/>
      </w:r>
    </w:p>
    <w:p w14:paraId="4D62C276">
      <w:pPr>
        <w:pStyle w:val="68"/>
        <w:tabs>
          <w:tab w:val="right" w:leader="dot" w:pos="9072"/>
        </w:tabs>
      </w:pPr>
      <w:r>
        <w:fldChar w:fldCharType="begin"/>
      </w:r>
      <w:r>
        <w:instrText xml:space="preserve"> HYPERLINK \l _Toc9212 </w:instrText>
      </w:r>
      <w:r>
        <w:fldChar w:fldCharType="separate"/>
      </w:r>
      <w:r>
        <w:rPr>
          <w:rFonts w:ascii="Times New Roman" w:hAnsi="Times New Roman" w:eastAsia="宋体"/>
          <w:bCs/>
          <w:i w:val="0"/>
          <w:kern w:val="2"/>
          <w:szCs w:val="36"/>
          <w:lang w:val="en-US"/>
        </w:rPr>
        <w:t xml:space="preserve">5.5 </w:t>
      </w:r>
      <w:r>
        <w:rPr>
          <w:rFonts w:ascii="仿宋" w:eastAsia="仿宋"/>
          <w:bCs/>
          <w:kern w:val="2"/>
          <w:szCs w:val="24"/>
          <w:highlight w:val="none"/>
          <w:lang w:val="en-US"/>
        </w:rPr>
        <w:t>废 标</w:t>
      </w:r>
      <w:r>
        <w:tab/>
      </w:r>
      <w:r>
        <w:fldChar w:fldCharType="begin"/>
      </w:r>
      <w:r>
        <w:instrText xml:space="preserve"> PAGEREF _Toc9212 \h </w:instrText>
      </w:r>
      <w:r>
        <w:fldChar w:fldCharType="separate"/>
      </w:r>
      <w:r>
        <w:t>57</w:t>
      </w:r>
      <w:r>
        <w:fldChar w:fldCharType="end"/>
      </w:r>
      <w:r>
        <w:fldChar w:fldCharType="end"/>
      </w:r>
    </w:p>
    <w:p w14:paraId="3D4F4E88">
      <w:pPr>
        <w:pStyle w:val="68"/>
        <w:tabs>
          <w:tab w:val="right" w:leader="dot" w:pos="9072"/>
        </w:tabs>
      </w:pPr>
      <w:r>
        <w:fldChar w:fldCharType="begin"/>
      </w:r>
      <w:r>
        <w:instrText xml:space="preserve"> HYPERLINK \l _Toc27020 </w:instrText>
      </w:r>
      <w:r>
        <w:fldChar w:fldCharType="separate"/>
      </w:r>
      <w:r>
        <w:rPr>
          <w:rFonts w:ascii="Times New Roman" w:hAnsi="Times New Roman" w:eastAsia="宋体"/>
          <w:bCs/>
          <w:i w:val="0"/>
          <w:kern w:val="2"/>
          <w:szCs w:val="36"/>
          <w:lang w:val="en-US"/>
        </w:rPr>
        <w:t xml:space="preserve">5.6 </w:t>
      </w:r>
      <w:r>
        <w:rPr>
          <w:rFonts w:ascii="仿宋" w:eastAsia="仿宋"/>
          <w:bCs/>
          <w:kern w:val="2"/>
          <w:szCs w:val="24"/>
          <w:highlight w:val="none"/>
          <w:lang w:val="en-US"/>
        </w:rPr>
        <w:t>定标</w:t>
      </w:r>
      <w:r>
        <w:tab/>
      </w:r>
      <w:r>
        <w:fldChar w:fldCharType="begin"/>
      </w:r>
      <w:r>
        <w:instrText xml:space="preserve"> PAGEREF _Toc27020 \h </w:instrText>
      </w:r>
      <w:r>
        <w:fldChar w:fldCharType="separate"/>
      </w:r>
      <w:r>
        <w:t>57</w:t>
      </w:r>
      <w:r>
        <w:fldChar w:fldCharType="end"/>
      </w:r>
      <w:r>
        <w:fldChar w:fldCharType="end"/>
      </w:r>
    </w:p>
    <w:p w14:paraId="731EA2D1">
      <w:pPr>
        <w:pStyle w:val="68"/>
        <w:tabs>
          <w:tab w:val="right" w:leader="dot" w:pos="9072"/>
        </w:tabs>
      </w:pPr>
      <w:r>
        <w:fldChar w:fldCharType="begin"/>
      </w:r>
      <w:r>
        <w:instrText xml:space="preserve"> HYPERLINK \l _Toc25649 </w:instrText>
      </w:r>
      <w:r>
        <w:fldChar w:fldCharType="separate"/>
      </w:r>
      <w:r>
        <w:rPr>
          <w:rFonts w:ascii="Times New Roman" w:hAnsi="Times New Roman" w:eastAsia="宋体"/>
          <w:bCs/>
          <w:i w:val="0"/>
          <w:kern w:val="2"/>
          <w:szCs w:val="36"/>
          <w:lang w:val="en-US"/>
        </w:rPr>
        <w:t xml:space="preserve">5.7 </w:t>
      </w:r>
      <w:r>
        <w:rPr>
          <w:rFonts w:ascii="仿宋" w:eastAsia="仿宋"/>
          <w:bCs/>
          <w:kern w:val="2"/>
          <w:szCs w:val="24"/>
          <w:highlight w:val="none"/>
          <w:lang w:val="en-US"/>
        </w:rPr>
        <w:t>评标专家在政府采购活动中承担以下义务</w:t>
      </w:r>
      <w:r>
        <w:tab/>
      </w:r>
      <w:r>
        <w:fldChar w:fldCharType="begin"/>
      </w:r>
      <w:r>
        <w:instrText xml:space="preserve"> PAGEREF _Toc25649 \h </w:instrText>
      </w:r>
      <w:r>
        <w:fldChar w:fldCharType="separate"/>
      </w:r>
      <w:r>
        <w:t>58</w:t>
      </w:r>
      <w:r>
        <w:fldChar w:fldCharType="end"/>
      </w:r>
      <w:r>
        <w:fldChar w:fldCharType="end"/>
      </w:r>
    </w:p>
    <w:p w14:paraId="2B6421EE">
      <w:pPr>
        <w:pStyle w:val="68"/>
        <w:tabs>
          <w:tab w:val="right" w:leader="dot" w:pos="9072"/>
        </w:tabs>
      </w:pPr>
      <w:r>
        <w:fldChar w:fldCharType="begin"/>
      </w:r>
      <w:r>
        <w:instrText xml:space="preserve"> HYPERLINK \l _Toc13111 </w:instrText>
      </w:r>
      <w:r>
        <w:fldChar w:fldCharType="separate"/>
      </w:r>
      <w:r>
        <w:rPr>
          <w:rFonts w:ascii="Times New Roman" w:hAnsi="Times New Roman" w:eastAsia="宋体"/>
          <w:bCs/>
          <w:i w:val="0"/>
          <w:kern w:val="2"/>
          <w:szCs w:val="36"/>
          <w:lang w:val="en-US"/>
        </w:rPr>
        <w:t xml:space="preserve">5.8 </w:t>
      </w:r>
      <w:r>
        <w:rPr>
          <w:rFonts w:ascii="仿宋" w:eastAsia="仿宋"/>
          <w:bCs/>
          <w:kern w:val="2"/>
          <w:szCs w:val="24"/>
          <w:highlight w:val="none"/>
          <w:lang w:val="en-US"/>
        </w:rPr>
        <w:t>评审专家在政府采购活动中应当遵守以下工作纪律</w:t>
      </w:r>
      <w:r>
        <w:tab/>
      </w:r>
      <w:r>
        <w:fldChar w:fldCharType="begin"/>
      </w:r>
      <w:r>
        <w:instrText xml:space="preserve"> PAGEREF _Toc13111 \h </w:instrText>
      </w:r>
      <w:r>
        <w:fldChar w:fldCharType="separate"/>
      </w:r>
      <w:r>
        <w:t>58</w:t>
      </w:r>
      <w:r>
        <w:fldChar w:fldCharType="end"/>
      </w:r>
      <w:r>
        <w:fldChar w:fldCharType="end"/>
      </w:r>
    </w:p>
    <w:p w14:paraId="2D822AEA">
      <w:pPr>
        <w:pStyle w:val="57"/>
        <w:tabs>
          <w:tab w:val="right" w:leader="dot" w:pos="9072"/>
        </w:tabs>
      </w:pPr>
      <w:r>
        <w:fldChar w:fldCharType="begin"/>
      </w:r>
      <w:r>
        <w:instrText xml:space="preserve"> HYPERLINK \l _Toc26229 </w:instrText>
      </w:r>
      <w:r>
        <w:fldChar w:fldCharType="separate"/>
      </w:r>
      <w:r>
        <w:rPr>
          <w:rFonts w:ascii="Times New Roman" w:hAnsi="Times New Roman" w:eastAsia="宋体"/>
          <w:i w:val="0"/>
          <w:szCs w:val="32"/>
        </w:rPr>
        <w:t xml:space="preserve">第6章 </w:t>
      </w:r>
      <w:r>
        <w:rPr>
          <w:rFonts w:ascii="仿宋" w:eastAsia="仿宋"/>
          <w:highlight w:val="none"/>
        </w:rPr>
        <w:t>拟签订的合同文本</w:t>
      </w:r>
      <w:r>
        <w:tab/>
      </w:r>
      <w:r>
        <w:fldChar w:fldCharType="begin"/>
      </w:r>
      <w:r>
        <w:instrText xml:space="preserve"> PAGEREF _Toc26229 \h </w:instrText>
      </w:r>
      <w:r>
        <w:fldChar w:fldCharType="separate"/>
      </w:r>
      <w:r>
        <w:t>59</w:t>
      </w:r>
      <w:r>
        <w:fldChar w:fldCharType="end"/>
      </w:r>
      <w:r>
        <w:fldChar w:fldCharType="end"/>
      </w:r>
    </w:p>
    <w:p w14:paraId="7AAE32E8">
      <w:pPr>
        <w:pStyle w:val="57"/>
        <w:tabs>
          <w:tab w:val="right" w:leader="dot" w:pos="9072"/>
        </w:tabs>
      </w:pPr>
      <w:r>
        <w:fldChar w:fldCharType="begin"/>
      </w:r>
      <w:r>
        <w:instrText xml:space="preserve"> HYPERLINK \l _Toc5180 </w:instrText>
      </w:r>
      <w:r>
        <w:fldChar w:fldCharType="separate"/>
      </w:r>
      <w:r>
        <w:rPr>
          <w:rFonts w:ascii="Times New Roman" w:hAnsi="Times New Roman" w:eastAsia="宋体"/>
          <w:i w:val="0"/>
          <w:szCs w:val="32"/>
        </w:rPr>
        <w:t xml:space="preserve">第7章 </w:t>
      </w:r>
      <w:r>
        <w:rPr>
          <w:rFonts w:ascii="仿宋" w:eastAsia="仿宋"/>
        </w:rPr>
        <w:t>投标文件格式</w:t>
      </w:r>
      <w:r>
        <w:tab/>
      </w:r>
      <w:r>
        <w:fldChar w:fldCharType="begin"/>
      </w:r>
      <w:r>
        <w:instrText xml:space="preserve"> PAGEREF _Toc5180 \h </w:instrText>
      </w:r>
      <w:r>
        <w:fldChar w:fldCharType="separate"/>
      </w:r>
      <w:r>
        <w:t>78</w:t>
      </w:r>
      <w:r>
        <w:fldChar w:fldCharType="end"/>
      </w:r>
      <w:r>
        <w:fldChar w:fldCharType="end"/>
      </w:r>
    </w:p>
    <w:p w14:paraId="267C3988">
      <w:pPr>
        <w:pStyle w:val="68"/>
        <w:tabs>
          <w:tab w:val="right" w:leader="dot" w:pos="9072"/>
        </w:tabs>
      </w:pPr>
      <w:r>
        <w:fldChar w:fldCharType="begin"/>
      </w:r>
      <w:r>
        <w:instrText xml:space="preserve"> HYPERLINK \l _Toc31505 </w:instrText>
      </w:r>
      <w:r>
        <w:fldChar w:fldCharType="separate"/>
      </w:r>
      <w:r>
        <w:rPr>
          <w:rFonts w:hint="eastAsia" w:ascii="仿宋" w:eastAsia="仿宋"/>
          <w:bCs/>
          <w:kern w:val="2"/>
          <w:szCs w:val="48"/>
          <w:lang w:val="en-US" w:eastAsia="zh-CN"/>
        </w:rPr>
        <w:t>一、</w:t>
      </w:r>
      <w:r>
        <w:rPr>
          <w:rFonts w:ascii="仿宋" w:eastAsia="仿宋"/>
          <w:bCs/>
          <w:kern w:val="2"/>
          <w:szCs w:val="48"/>
          <w:lang w:val="en-US"/>
        </w:rPr>
        <w:t>资格</w:t>
      </w:r>
      <w:r>
        <w:rPr>
          <w:rFonts w:hint="eastAsia" w:ascii="仿宋" w:eastAsia="仿宋"/>
          <w:bCs/>
          <w:kern w:val="2"/>
          <w:szCs w:val="48"/>
          <w:lang w:val="en-US" w:eastAsia="zh-CN"/>
        </w:rPr>
        <w:t>证明</w:t>
      </w:r>
      <w:r>
        <w:rPr>
          <w:rFonts w:ascii="仿宋" w:eastAsia="仿宋"/>
          <w:bCs/>
          <w:kern w:val="2"/>
          <w:szCs w:val="48"/>
          <w:lang w:val="en-US"/>
        </w:rPr>
        <w:t>文件</w:t>
      </w:r>
      <w:r>
        <w:tab/>
      </w:r>
      <w:r>
        <w:fldChar w:fldCharType="begin"/>
      </w:r>
      <w:r>
        <w:instrText xml:space="preserve"> PAGEREF _Toc31505 \h </w:instrText>
      </w:r>
      <w:r>
        <w:fldChar w:fldCharType="separate"/>
      </w:r>
      <w:r>
        <w:t>82</w:t>
      </w:r>
      <w:r>
        <w:fldChar w:fldCharType="end"/>
      </w:r>
      <w:r>
        <w:fldChar w:fldCharType="end"/>
      </w:r>
    </w:p>
    <w:p w14:paraId="4AB07477">
      <w:pPr>
        <w:pStyle w:val="68"/>
        <w:tabs>
          <w:tab w:val="right" w:leader="dot" w:pos="9072"/>
        </w:tabs>
      </w:pPr>
      <w:r>
        <w:fldChar w:fldCharType="begin"/>
      </w:r>
      <w:r>
        <w:instrText xml:space="preserve"> HYPERLINK \l _Toc25092 </w:instrText>
      </w:r>
      <w:r>
        <w:fldChar w:fldCharType="separate"/>
      </w:r>
      <w:r>
        <w:rPr>
          <w:rFonts w:hint="eastAsia" w:ascii="仿宋" w:eastAsia="仿宋" w:cs="Times New Roman"/>
          <w:bCs/>
          <w:kern w:val="2"/>
          <w:szCs w:val="48"/>
          <w:lang w:val="en-US" w:eastAsia="zh-CN" w:bidi="ar-SA"/>
        </w:rPr>
        <w:t>二、报价文件</w:t>
      </w:r>
      <w:r>
        <w:tab/>
      </w:r>
      <w:r>
        <w:fldChar w:fldCharType="begin"/>
      </w:r>
      <w:r>
        <w:instrText xml:space="preserve"> PAGEREF _Toc25092 \h </w:instrText>
      </w:r>
      <w:r>
        <w:fldChar w:fldCharType="separate"/>
      </w:r>
      <w:r>
        <w:t>90</w:t>
      </w:r>
      <w:r>
        <w:fldChar w:fldCharType="end"/>
      </w:r>
      <w:r>
        <w:fldChar w:fldCharType="end"/>
      </w:r>
    </w:p>
    <w:p w14:paraId="1EB2A3A6">
      <w:pPr>
        <w:pStyle w:val="68"/>
        <w:tabs>
          <w:tab w:val="right" w:leader="dot" w:pos="9072"/>
        </w:tabs>
      </w:pPr>
      <w:r>
        <w:fldChar w:fldCharType="begin"/>
      </w:r>
      <w:r>
        <w:instrText xml:space="preserve"> HYPERLINK \l _Toc17883 </w:instrText>
      </w:r>
      <w:r>
        <w:fldChar w:fldCharType="separate"/>
      </w:r>
      <w:r>
        <w:rPr>
          <w:rFonts w:hint="eastAsia" w:ascii="仿宋" w:eastAsia="仿宋" w:cs="仿宋"/>
          <w:b w:val="0"/>
          <w:bCs/>
          <w:kern w:val="2"/>
          <w:szCs w:val="48"/>
          <w:lang w:val="en-US" w:eastAsia="zh-CN" w:bidi="ar-SA"/>
        </w:rPr>
        <w:t>三、</w:t>
      </w:r>
      <w:r>
        <w:rPr>
          <w:rFonts w:hint="eastAsia" w:ascii="仿宋" w:eastAsia="仿宋" w:cs="Times New Roman"/>
          <w:bCs/>
          <w:kern w:val="2"/>
          <w:szCs w:val="48"/>
          <w:lang w:val="en-US" w:eastAsia="zh-CN" w:bidi="ar-SA"/>
        </w:rPr>
        <w:t>商务技术</w:t>
      </w:r>
      <w:r>
        <w:rPr>
          <w:rFonts w:ascii="仿宋" w:eastAsia="仿宋" w:cs="Times New Roman"/>
          <w:bCs/>
          <w:kern w:val="2"/>
          <w:szCs w:val="48"/>
          <w:lang w:val="en-US" w:eastAsia="zh-CN" w:bidi="ar-SA"/>
        </w:rPr>
        <w:t>文件</w:t>
      </w:r>
      <w:r>
        <w:tab/>
      </w:r>
      <w:r>
        <w:fldChar w:fldCharType="begin"/>
      </w:r>
      <w:r>
        <w:instrText xml:space="preserve"> PAGEREF _Toc17883 \h </w:instrText>
      </w:r>
      <w:r>
        <w:fldChar w:fldCharType="separate"/>
      </w:r>
      <w:r>
        <w:t>92</w:t>
      </w:r>
      <w:r>
        <w:fldChar w:fldCharType="end"/>
      </w:r>
      <w:r>
        <w:fldChar w:fldCharType="end"/>
      </w:r>
    </w:p>
    <w:p w14:paraId="22E768C5">
      <w:pPr>
        <w:sectPr>
          <w:headerReference r:id="rId6" w:type="first"/>
          <w:headerReference r:id="rId5" w:type="default"/>
          <w:pgSz w:w="11907" w:h="16840"/>
          <w:pgMar w:top="1418" w:right="1134" w:bottom="1418" w:left="1701" w:header="850" w:footer="567" w:gutter="0"/>
          <w:pgNumType w:start="0"/>
          <w:cols w:space="720" w:num="1"/>
          <w:titlePg/>
          <w:docGrid w:type="lines" w:linePitch="312" w:charSpace="0"/>
        </w:sectPr>
      </w:pPr>
      <w:r>
        <w:fldChar w:fldCharType="end"/>
      </w:r>
    </w:p>
    <w:p w14:paraId="709A0B78">
      <w:pPr>
        <w:pStyle w:val="57"/>
        <w:pageBreakBefore w:val="0"/>
        <w:widowControl w:val="0"/>
        <w:tabs>
          <w:tab w:val="center" w:pos="4756"/>
        </w:tabs>
        <w:kinsoku/>
        <w:wordWrap/>
        <w:overflowPunct/>
        <w:topLinePunct w:val="0"/>
        <w:bidi w:val="0"/>
        <w:adjustRightInd w:val="0"/>
        <w:snapToGrid w:val="0"/>
        <w:spacing w:before="0" w:beforeAutospacing="0" w:after="0" w:afterAutospacing="0" w:line="360" w:lineRule="auto"/>
        <w:ind w:left="0" w:right="0" w:firstLine="0" w:firstLineChars="0"/>
        <w:rPr>
          <w:rFonts w:ascii="仿宋" w:eastAsia="仿宋"/>
          <w:color w:val="auto"/>
          <w:sz w:val="2"/>
          <w:szCs w:val="2"/>
        </w:rPr>
      </w:pPr>
      <w:bookmarkStart w:id="0" w:name="_Hlt101233737"/>
      <w:bookmarkEnd w:id="0"/>
      <w:bookmarkStart w:id="1" w:name="_Hlt101843627"/>
      <w:bookmarkEnd w:id="1"/>
      <w:bookmarkStart w:id="2" w:name="_Toc494198585"/>
    </w:p>
    <w:p w14:paraId="199E6C2A">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rPr>
      </w:pPr>
      <w:r>
        <w:rPr>
          <w:rFonts w:ascii="仿宋" w:eastAsia="仿宋"/>
          <w:b/>
          <w:color w:val="auto"/>
        </w:rPr>
        <w:t xml:space="preserve"> </w:t>
      </w:r>
      <w:bookmarkStart w:id="3" w:name="_Toc36215945"/>
      <w:bookmarkStart w:id="4" w:name="_Toc36134555"/>
      <w:bookmarkStart w:id="5" w:name="_Toc6712"/>
      <w:bookmarkStart w:id="6" w:name="_Toc40704269"/>
      <w:r>
        <w:rPr>
          <w:rFonts w:ascii="仿宋" w:eastAsia="仿宋"/>
          <w:b/>
          <w:color w:val="auto"/>
        </w:rPr>
        <w:t>投标邀请</w:t>
      </w:r>
      <w:bookmarkEnd w:id="2"/>
      <w:bookmarkEnd w:id="3"/>
      <w:bookmarkEnd w:id="4"/>
      <w:bookmarkEnd w:id="5"/>
      <w:bookmarkEnd w:id="6"/>
    </w:p>
    <w:p w14:paraId="3A6E3CD8">
      <w:pPr>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center"/>
        <w:textAlignment w:val="auto"/>
        <w:rPr>
          <w:rFonts w:hint="eastAsia" w:ascii="仿宋_GB2312" w:eastAsia="仿宋_GB2312" w:cs="仿宋_GB2312"/>
          <w:b w:val="0"/>
          <w:color w:val="auto"/>
          <w:kern w:val="2"/>
          <w:sz w:val="28"/>
          <w:szCs w:val="28"/>
          <w:lang w:val="en-US" w:eastAsia="zh-CN"/>
        </w:rPr>
      </w:pPr>
      <w:r>
        <w:rPr>
          <w:rFonts w:hint="eastAsia" w:ascii="仿宋_GB2312" w:eastAsia="仿宋_GB2312" w:cs="仿宋_GB2312"/>
          <w:b w:val="0"/>
          <w:color w:val="auto"/>
          <w:kern w:val="2"/>
          <w:sz w:val="28"/>
          <w:szCs w:val="28"/>
          <w:lang w:val="en-US" w:eastAsia="zh-CN"/>
        </w:rPr>
        <w:t>昌吉回族自治州人民医院本院区食堂餐饮服务外包项目的</w:t>
      </w:r>
    </w:p>
    <w:p w14:paraId="29AAB3EC">
      <w:pPr>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center"/>
        <w:textAlignment w:val="auto"/>
        <w:rPr>
          <w:rFonts w:hint="eastAsia" w:ascii="仿宋_GB2312" w:eastAsia="仿宋_GB2312" w:cs="仿宋_GB2312"/>
          <w:b w:val="0"/>
          <w:color w:val="auto"/>
          <w:kern w:val="2"/>
          <w:sz w:val="28"/>
          <w:szCs w:val="28"/>
          <w:lang w:val="en-US" w:eastAsia="zh-CN"/>
        </w:rPr>
      </w:pPr>
      <w:r>
        <w:rPr>
          <w:rFonts w:hint="eastAsia" w:ascii="仿宋_GB2312" w:eastAsia="仿宋_GB2312" w:cs="仿宋_GB2312"/>
          <w:b w:val="0"/>
          <w:color w:val="auto"/>
          <w:kern w:val="2"/>
          <w:sz w:val="28"/>
          <w:szCs w:val="28"/>
          <w:lang w:val="en-US" w:eastAsia="zh-CN"/>
        </w:rPr>
        <w:t>公开招标公告</w:t>
      </w:r>
    </w:p>
    <w:p w14:paraId="55817611">
      <w:pPr>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项目概况</w:t>
      </w:r>
    </w:p>
    <w:p w14:paraId="09F941C8">
      <w:pPr>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lang w:val="en-US" w:eastAsia="zh-CN"/>
        </w:rPr>
        <w:t>昌吉回族自治州</w:t>
      </w:r>
      <w:r>
        <w:rPr>
          <w:rFonts w:hint="eastAsia" w:ascii="仿宋" w:eastAsia="仿宋"/>
          <w:b w:val="0"/>
          <w:color w:val="auto"/>
          <w:kern w:val="2"/>
          <w:sz w:val="24"/>
          <w:szCs w:val="24"/>
          <w:highlight w:val="none"/>
          <w:lang w:val="en-US" w:eastAsia="zh-CN"/>
        </w:rPr>
        <w:t>人民医院本院区食堂餐饮服务外包项目的潜在投标人应在</w:t>
      </w:r>
      <w:r>
        <w:rPr>
          <w:rFonts w:hint="eastAsia" w:ascii="仿宋" w:eastAsia="仿宋"/>
          <w:b w:val="0"/>
          <w:color w:val="auto"/>
          <w:kern w:val="2"/>
          <w:sz w:val="24"/>
          <w:szCs w:val="24"/>
          <w:highlight w:val="none"/>
          <w:u w:val="none"/>
          <w:lang w:val="en-US" w:eastAsia="zh-CN"/>
        </w:rPr>
        <w:t>政采云平台线上</w:t>
      </w:r>
      <w:r>
        <w:rPr>
          <w:rFonts w:hint="eastAsia" w:ascii="仿宋" w:eastAsia="仿宋"/>
          <w:b w:val="0"/>
          <w:color w:val="auto"/>
          <w:kern w:val="2"/>
          <w:sz w:val="24"/>
          <w:szCs w:val="24"/>
          <w:highlight w:val="none"/>
          <w:lang w:val="en-US" w:eastAsia="zh-CN"/>
        </w:rPr>
        <w:t>获取招标文</w:t>
      </w:r>
      <w:r>
        <w:rPr>
          <w:rFonts w:hint="eastAsia" w:ascii="仿宋" w:eastAsia="仿宋"/>
          <w:b w:val="0"/>
          <w:color w:val="auto"/>
          <w:kern w:val="2"/>
          <w:sz w:val="24"/>
          <w:szCs w:val="24"/>
          <w:highlight w:val="none"/>
          <w:lang w:val="en-US" w:eastAsia="zh-CN"/>
        </w:rPr>
        <w:t>件，并于2026年4月30日10点30分</w:t>
      </w:r>
      <w:r>
        <w:rPr>
          <w:rFonts w:hint="eastAsia" w:ascii="仿宋" w:eastAsia="仿宋"/>
          <w:b w:val="0"/>
          <w:color w:val="auto"/>
          <w:kern w:val="2"/>
          <w:sz w:val="24"/>
          <w:szCs w:val="24"/>
          <w:highlight w:val="none"/>
          <w:lang w:val="en-US" w:eastAsia="zh-CN"/>
        </w:rPr>
        <w:t>（北京时间）前递交投标文件。</w:t>
      </w:r>
    </w:p>
    <w:p w14:paraId="14BB6893">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bookmarkStart w:id="7" w:name="_Toc4370"/>
      <w:r>
        <w:rPr>
          <w:rFonts w:hint="eastAsia" w:ascii="仿宋" w:eastAsia="仿宋"/>
          <w:b w:val="0"/>
          <w:color w:val="auto"/>
          <w:kern w:val="2"/>
          <w:sz w:val="24"/>
          <w:szCs w:val="24"/>
          <w:highlight w:val="none"/>
          <w:lang w:val="en-US" w:eastAsia="zh-CN"/>
        </w:rPr>
        <w:t>一、项目基本情况</w:t>
      </w:r>
      <w:bookmarkEnd w:id="7"/>
    </w:p>
    <w:p w14:paraId="2D521467">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cs="仿宋"/>
          <w:b w:val="0"/>
          <w:bCs/>
          <w:color w:val="auto"/>
          <w:spacing w:val="-1"/>
          <w:sz w:val="24"/>
          <w:szCs w:val="24"/>
          <w:highlight w:val="none"/>
          <w:lang w:val="en-US" w:eastAsia="zh-CN"/>
        </w:rPr>
      </w:pPr>
      <w:r>
        <w:rPr>
          <w:rFonts w:hint="eastAsia" w:ascii="仿宋" w:eastAsia="仿宋"/>
          <w:b w:val="0"/>
          <w:color w:val="auto"/>
          <w:kern w:val="2"/>
          <w:sz w:val="24"/>
          <w:szCs w:val="24"/>
          <w:highlight w:val="none"/>
          <w:lang w:val="en-US" w:eastAsia="zh-CN"/>
        </w:rPr>
        <w:t>项目编号：XJCLXC(2026)-14-FW</w:t>
      </w:r>
    </w:p>
    <w:p w14:paraId="5B24509E">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cs="仿宋"/>
          <w:b w:val="0"/>
          <w:bCs/>
          <w:color w:val="auto"/>
          <w:sz w:val="24"/>
          <w:szCs w:val="24"/>
          <w:highlight w:val="none"/>
        </w:rPr>
      </w:pPr>
      <w:r>
        <w:rPr>
          <w:rFonts w:hint="eastAsia" w:ascii="仿宋" w:eastAsia="仿宋"/>
          <w:b w:val="0"/>
          <w:color w:val="auto"/>
          <w:kern w:val="2"/>
          <w:sz w:val="24"/>
          <w:szCs w:val="24"/>
          <w:highlight w:val="none"/>
          <w:lang w:val="en-US" w:eastAsia="zh-CN"/>
        </w:rPr>
        <w:t>项目名称：昌吉回族自治州人民医院本院区食堂餐饮服务外包项目</w:t>
      </w:r>
    </w:p>
    <w:p w14:paraId="53CDB369">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采购方式：公开招标</w:t>
      </w:r>
    </w:p>
    <w:p w14:paraId="2A709812">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default"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预算金额（元）：1330000.00</w:t>
      </w:r>
    </w:p>
    <w:p w14:paraId="74C19B59">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default"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最高限价（元）：1330000.00</w:t>
      </w:r>
    </w:p>
    <w:p w14:paraId="256F4B0C">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采购需求：</w:t>
      </w:r>
    </w:p>
    <w:p w14:paraId="5C8B8162">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 xml:space="preserve">标项一: </w:t>
      </w:r>
    </w:p>
    <w:p w14:paraId="33A14DC3">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标项名称:昌吉回族自治州人民医院本院区食堂餐饮服务外包项目</w:t>
      </w:r>
    </w:p>
    <w:p w14:paraId="78B78953">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数量:1</w:t>
      </w:r>
    </w:p>
    <w:p w14:paraId="08668E7C">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default"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预算金额（元）:1330000.00</w:t>
      </w:r>
    </w:p>
    <w:p w14:paraId="67B9EEFD">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right="0"/>
        <w:textAlignment w:val="auto"/>
        <w:rPr>
          <w:rFonts w:hint="eastAsia" w:ascii="仿宋" w:hAnsi="Times New Roman" w:eastAsia="仿宋" w:cs="Times New Roman"/>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简要规格描述或项目基本概况介绍、用途：昌吉回族自治州人民医院本院区食堂的整体运营服务。本项目预算单价金额 20 元/人/天（其中服务费2元/人/天，午餐18元/人），包含内容：食材采购费用、劳务工资、低值易耗品采购费用（其他事宜在采购合同中另行约定）。承包费用不低于30万元/年（不含水、电、燃气、采暖费等一切经营相关费用）</w:t>
      </w:r>
      <w:r>
        <w:rPr>
          <w:rFonts w:hint="eastAsia" w:ascii="仿宋" w:hAnsi="Times New Roman" w:eastAsia="仿宋" w:cs="Times New Roman"/>
          <w:b w:val="0"/>
          <w:color w:val="auto"/>
          <w:kern w:val="2"/>
          <w:sz w:val="24"/>
          <w:szCs w:val="24"/>
          <w:highlight w:val="none"/>
          <w:lang w:val="en-US" w:eastAsia="zh-CN"/>
        </w:rPr>
        <w:t>（具体要求详见招标文件）</w:t>
      </w:r>
      <w:r>
        <w:rPr>
          <w:rFonts w:hint="eastAsia" w:ascii="仿宋" w:eastAsia="仿宋" w:cs="Times New Roman"/>
          <w:b w:val="0"/>
          <w:color w:val="auto"/>
          <w:kern w:val="2"/>
          <w:sz w:val="24"/>
          <w:szCs w:val="24"/>
          <w:highlight w:val="none"/>
          <w:lang w:val="en-US" w:eastAsia="zh-CN"/>
        </w:rPr>
        <w:t>。</w:t>
      </w:r>
    </w:p>
    <w:p w14:paraId="076E26CB">
      <w:pPr>
        <w:keepNext w:val="0"/>
        <w:keepLines w:val="0"/>
        <w:pageBreakBefore w:val="0"/>
        <w:widowControl w:val="0"/>
        <w:kinsoku/>
        <w:wordWrap/>
        <w:overflowPunct/>
        <w:topLinePunct w:val="0"/>
        <w:autoSpaceDE/>
        <w:autoSpaceDN/>
        <w:bidi w:val="0"/>
        <w:adjustRightInd/>
        <w:snapToGrid w:val="0"/>
        <w:spacing w:line="420" w:lineRule="exact"/>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备注：</w:t>
      </w:r>
    </w:p>
    <w:p w14:paraId="54F004EB">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合同履约期限：1年（从合同签订之日起）。本项目一采三年，合同一年签订一次，承包期内承包方通过医院的监督考核且满意度达85%以上后，签订次年承包合同，否则甲方有权终止承包。</w:t>
      </w:r>
    </w:p>
    <w:p w14:paraId="5AF553C6">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本项目（否）接受联合体投标。</w:t>
      </w:r>
    </w:p>
    <w:p w14:paraId="6D5B61EC">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bookmarkStart w:id="8" w:name="_Toc22874"/>
      <w:r>
        <w:rPr>
          <w:rFonts w:hint="eastAsia" w:ascii="仿宋" w:eastAsia="仿宋"/>
          <w:b w:val="0"/>
          <w:color w:val="auto"/>
          <w:kern w:val="2"/>
          <w:sz w:val="24"/>
          <w:szCs w:val="24"/>
          <w:highlight w:val="none"/>
          <w:lang w:val="en-US" w:eastAsia="zh-CN"/>
        </w:rPr>
        <w:t>二、申请人的资格要求：</w:t>
      </w:r>
      <w:bookmarkEnd w:id="8"/>
    </w:p>
    <w:p w14:paraId="02384E29">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1.满足《中华人民共和国政府采购法》第二十二条规定；</w:t>
      </w:r>
    </w:p>
    <w:p w14:paraId="2654CCF7">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cs="Times New Roman"/>
          <w:b w:val="0"/>
          <w:bCs/>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2.落实政府采购政策需满足的资格要求：专门面向中小企业</w:t>
      </w:r>
      <w:r>
        <w:rPr>
          <w:rFonts w:hint="eastAsia" w:ascii="仿宋" w:eastAsia="仿宋" w:cs="Times New Roman"/>
          <w:b w:val="0"/>
          <w:bCs/>
          <w:color w:val="auto"/>
          <w:kern w:val="2"/>
          <w:sz w:val="24"/>
          <w:szCs w:val="24"/>
          <w:highlight w:val="none"/>
          <w:lang w:val="en-US" w:eastAsia="zh-CN"/>
        </w:rPr>
        <w:t>。</w:t>
      </w:r>
    </w:p>
    <w:p w14:paraId="156B6594">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right="0"/>
        <w:textAlignment w:val="auto"/>
        <w:rPr>
          <w:rFonts w:ascii="仿宋" w:eastAsia="仿宋" w:cs="仿宋"/>
          <w:b w:val="0"/>
          <w:bCs/>
          <w:strike/>
          <w:dstrike w:val="0"/>
          <w:color w:val="auto"/>
          <w:sz w:val="24"/>
          <w:szCs w:val="24"/>
          <w:highlight w:val="none"/>
          <w:lang w:val="en-US" w:eastAsia="zh-CN"/>
        </w:rPr>
      </w:pPr>
      <w:r>
        <w:rPr>
          <w:rFonts w:hint="eastAsia" w:ascii="仿宋" w:eastAsia="仿宋"/>
          <w:b w:val="0"/>
          <w:color w:val="auto"/>
          <w:kern w:val="2"/>
          <w:sz w:val="24"/>
          <w:szCs w:val="24"/>
          <w:highlight w:val="none"/>
          <w:lang w:val="en-US" w:eastAsia="zh-CN"/>
        </w:rPr>
        <w:t>3.本项目的特定资格要求：</w:t>
      </w:r>
      <w:bookmarkStart w:id="9" w:name="_Toc12854"/>
      <w:r>
        <w:rPr>
          <w:rFonts w:hint="eastAsia" w:ascii="仿宋" w:eastAsia="仿宋"/>
          <w:b w:val="0"/>
          <w:color w:val="auto"/>
          <w:kern w:val="2"/>
          <w:sz w:val="24"/>
          <w:szCs w:val="24"/>
          <w:highlight w:val="none"/>
          <w:lang w:val="en-US" w:eastAsia="zh-CN"/>
        </w:rPr>
        <w:t>（1）餐食保障和人员服务保障。供应商须具有有效的《食品生产许可证》或《食品经营许可证》，若为经营企业则须提供《食品经营许可证》；</w:t>
      </w:r>
      <w:r>
        <w:rPr>
          <w:rFonts w:hint="eastAsia" w:ascii="仿宋" w:eastAsia="仿宋" w:cs="Times New Roman"/>
          <w:b w:val="0"/>
          <w:color w:val="auto"/>
          <w:kern w:val="2"/>
          <w:sz w:val="24"/>
          <w:szCs w:val="24"/>
          <w:highlight w:val="none"/>
          <w:lang w:val="en-US" w:eastAsia="zh-CN"/>
        </w:rPr>
        <w:t>（2）本项目提供的工作人员要足额配置，由承包方自行招聘，并提供人员清单。所有从业人员均须持有效的健康证，并且能够提供无犯罪记录证明，以此确保食堂运营的规范性与可靠性（按要求提供证明文件，加盖公章。）</w:t>
      </w:r>
      <w:r>
        <w:rPr>
          <w:rFonts w:hint="eastAsia" w:ascii="仿宋" w:eastAsia="仿宋"/>
          <w:b w:val="0"/>
          <w:color w:val="auto"/>
          <w:kern w:val="2"/>
          <w:sz w:val="24"/>
          <w:szCs w:val="24"/>
          <w:highlight w:val="none"/>
          <w:lang w:val="en-US" w:eastAsia="zh-CN"/>
        </w:rPr>
        <w:t>；（3）未被“信用中国”（www.creditchina.gov.cn）列入失信被执行人、重大税收违法案件当事人名单，未被“中国政府采购网”（www.ccgp.gov.cn）列入政府采购严重违法失信行为记录名单（提供查询截图，</w:t>
      </w:r>
      <w:r>
        <w:rPr>
          <w:rFonts w:hint="eastAsia" w:ascii="仿宋" w:eastAsia="仿宋" w:cs="仿宋"/>
          <w:b w:val="0"/>
          <w:bCs/>
          <w:color w:val="auto"/>
          <w:spacing w:val="-8"/>
          <w:sz w:val="24"/>
          <w:szCs w:val="24"/>
          <w:highlight w:val="none"/>
        </w:rPr>
        <w:t>网页打印件须自</w:t>
      </w:r>
      <w:r>
        <w:rPr>
          <w:rFonts w:hint="eastAsia" w:ascii="仿宋" w:eastAsia="仿宋" w:cs="仿宋"/>
          <w:b w:val="0"/>
          <w:bCs/>
          <w:color w:val="auto"/>
          <w:spacing w:val="-8"/>
          <w:sz w:val="24"/>
          <w:szCs w:val="24"/>
          <w:highlight w:val="none"/>
          <w:lang w:val="en-US" w:eastAsia="zh-CN"/>
        </w:rPr>
        <w:t>招标</w:t>
      </w:r>
      <w:r>
        <w:rPr>
          <w:rFonts w:hint="eastAsia" w:ascii="仿宋" w:eastAsia="仿宋" w:cs="仿宋"/>
          <w:b w:val="0"/>
          <w:bCs/>
          <w:color w:val="auto"/>
          <w:spacing w:val="-8"/>
          <w:sz w:val="24"/>
          <w:szCs w:val="24"/>
          <w:highlight w:val="none"/>
        </w:rPr>
        <w:t>公告发布之日起至首次提交</w:t>
      </w:r>
      <w:r>
        <w:rPr>
          <w:rFonts w:hint="eastAsia" w:ascii="仿宋" w:eastAsia="仿宋" w:cs="仿宋"/>
          <w:b w:val="0"/>
          <w:bCs/>
          <w:color w:val="auto"/>
          <w:spacing w:val="-8"/>
          <w:sz w:val="24"/>
          <w:szCs w:val="24"/>
          <w:highlight w:val="none"/>
          <w:lang w:val="en-US" w:eastAsia="zh-CN"/>
        </w:rPr>
        <w:t>投标</w:t>
      </w:r>
      <w:r>
        <w:rPr>
          <w:rFonts w:hint="eastAsia" w:ascii="仿宋" w:eastAsia="仿宋" w:cs="仿宋"/>
          <w:b w:val="0"/>
          <w:bCs/>
          <w:color w:val="auto"/>
          <w:spacing w:val="-8"/>
          <w:sz w:val="24"/>
          <w:szCs w:val="24"/>
          <w:highlight w:val="none"/>
        </w:rPr>
        <w:t>文件截止时间内从上述网站中打印）并加盖公章</w:t>
      </w:r>
      <w:r>
        <w:rPr>
          <w:rFonts w:hint="eastAsia" w:ascii="仿宋" w:eastAsia="仿宋"/>
          <w:b w:val="0"/>
          <w:color w:val="auto"/>
          <w:kern w:val="2"/>
          <w:sz w:val="24"/>
          <w:szCs w:val="24"/>
          <w:highlight w:val="none"/>
          <w:lang w:val="en-US" w:eastAsia="zh-CN"/>
        </w:rPr>
        <w:t>；（4）本项目不允许转包或分包，不允许联合体投标，提供承诺书（加盖投标人公章和法人章）。（5）</w:t>
      </w:r>
      <w:r>
        <w:rPr>
          <w:rFonts w:hint="eastAsia" w:ascii="仿宋" w:eastAsia="仿宋" w:cs="仿宋"/>
          <w:b w:val="0"/>
          <w:bCs/>
          <w:color w:val="auto"/>
          <w:sz w:val="24"/>
          <w:szCs w:val="24"/>
          <w:highlight w:val="none"/>
        </w:rPr>
        <w:t>单位负责人为同一人或者存在直接控股、管理关系的不同</w:t>
      </w:r>
      <w:r>
        <w:rPr>
          <w:rFonts w:hint="eastAsia" w:ascii="仿宋" w:eastAsia="仿宋" w:cs="仿宋"/>
          <w:b w:val="0"/>
          <w:bCs/>
          <w:color w:val="auto"/>
          <w:sz w:val="24"/>
          <w:szCs w:val="24"/>
          <w:highlight w:val="none"/>
          <w:lang w:eastAsia="zh-CN"/>
        </w:rPr>
        <w:t>投标人</w:t>
      </w:r>
      <w:r>
        <w:rPr>
          <w:rFonts w:hint="eastAsia" w:ascii="仿宋" w:eastAsia="仿宋" w:cs="仿宋"/>
          <w:b w:val="0"/>
          <w:bCs/>
          <w:color w:val="auto"/>
          <w:sz w:val="24"/>
          <w:szCs w:val="24"/>
          <w:highlight w:val="none"/>
        </w:rPr>
        <w:t>，不得参加同一合同项下的政府采购活动</w:t>
      </w:r>
      <w:r>
        <w:rPr>
          <w:rFonts w:hint="eastAsia" w:ascii="仿宋" w:eastAsia="仿宋"/>
          <w:b w:val="0"/>
          <w:color w:val="auto"/>
          <w:kern w:val="2"/>
          <w:sz w:val="24"/>
          <w:szCs w:val="24"/>
          <w:highlight w:val="none"/>
          <w:lang w:val="en-US" w:eastAsia="zh-CN"/>
        </w:rPr>
        <w:t>；（6）提供</w:t>
      </w:r>
      <w:r>
        <w:rPr>
          <w:rFonts w:hint="eastAsia" w:ascii="仿宋" w:eastAsia="仿宋" w:cs="仿宋"/>
          <w:b w:val="0"/>
          <w:bCs/>
          <w:color w:val="auto"/>
          <w:sz w:val="24"/>
          <w:szCs w:val="24"/>
          <w:highlight w:val="none"/>
          <w:shd w:val="clear" w:color="auto" w:fill="auto"/>
          <w:lang w:val="en-US" w:eastAsia="zh-CN"/>
        </w:rPr>
        <w:t>针对本次招标项目《反商业贿赂承诺书》的书面声明（加盖投标人公章和法人章）。</w:t>
      </w:r>
    </w:p>
    <w:p w14:paraId="6237ED10">
      <w:pPr>
        <w:keepLines w:val="0"/>
        <w:pageBreakBefore w:val="0"/>
        <w:widowControl w:val="0"/>
        <w:tabs>
          <w:tab w:val="left" w:pos="567"/>
        </w:tabs>
        <w:kinsoku/>
        <w:wordWrap/>
        <w:overflowPunct/>
        <w:topLinePunct w:val="0"/>
        <w:autoSpaceDE/>
        <w:autoSpaceDN/>
        <w:bidi w:val="0"/>
        <w:adjustRightInd/>
        <w:snapToGrid w:val="0"/>
        <w:spacing w:before="0" w:beforeAutospacing="0" w:after="0" w:afterAutospacing="0" w:line="420" w:lineRule="exact"/>
        <w:ind w:left="0" w:right="0"/>
        <w:textAlignment w:val="auto"/>
        <w:outlineLvl w:val="9"/>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三、获取招标文件</w:t>
      </w:r>
      <w:bookmarkEnd w:id="9"/>
    </w:p>
    <w:p w14:paraId="45046327">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时间：2026年4月10日至2026年4月17日，每天上午00:00至14:00，下午14:00至23:59（北京时间，法定节假日除外）</w:t>
      </w:r>
      <w:bookmarkStart w:id="507" w:name="_GoBack"/>
      <w:bookmarkEnd w:id="507"/>
    </w:p>
    <w:p w14:paraId="1FCE8B15">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地点：政采云平台线上获取。</w:t>
      </w:r>
    </w:p>
    <w:p w14:paraId="67FA7A28">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06489FEB">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售价（元）：0元/份</w:t>
      </w:r>
    </w:p>
    <w:p w14:paraId="35D10D57">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bookmarkStart w:id="10" w:name="_Toc10490"/>
      <w:r>
        <w:rPr>
          <w:rFonts w:hint="eastAsia" w:ascii="仿宋" w:eastAsia="仿宋"/>
          <w:b w:val="0"/>
          <w:color w:val="auto"/>
          <w:kern w:val="2"/>
          <w:sz w:val="24"/>
          <w:szCs w:val="24"/>
          <w:highlight w:val="none"/>
          <w:lang w:val="en-US" w:eastAsia="zh-CN"/>
        </w:rPr>
        <w:t>四、提交投标文件截止时间、开标时间和地点</w:t>
      </w:r>
      <w:bookmarkEnd w:id="10"/>
    </w:p>
    <w:p w14:paraId="13077F65">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提交投标文件截止时间：2026年4 月30日10点30分（北京时间）</w:t>
      </w:r>
    </w:p>
    <w:p w14:paraId="7C3D2AED">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地点：投标人应将电子投标文件上传到政采云平台（https://www.zcygov.cn）；</w:t>
      </w:r>
    </w:p>
    <w:p w14:paraId="2C8BD79B">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开标时间：2026年4 月30日10点30分</w:t>
      </w:r>
      <w:r>
        <w:rPr>
          <w:rFonts w:hint="eastAsia" w:ascii="仿宋" w:eastAsia="仿宋"/>
          <w:b w:val="0"/>
          <w:color w:val="auto"/>
          <w:kern w:val="2"/>
          <w:sz w:val="24"/>
          <w:szCs w:val="24"/>
          <w:highlight w:val="none"/>
          <w:lang w:val="en-US" w:eastAsia="zh-CN"/>
        </w:rPr>
        <w:t>（北京时间）</w:t>
      </w:r>
    </w:p>
    <w:p w14:paraId="2E77CB8A">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地点：新疆政采云平台https://www.zcygov.cn/；</w:t>
      </w:r>
    </w:p>
    <w:p w14:paraId="5AE846AA">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highlight w:val="none"/>
          <w:lang w:val="en-US" w:eastAsia="zh-CN"/>
        </w:rPr>
      </w:pPr>
      <w:bookmarkStart w:id="11" w:name="_Toc15703"/>
      <w:r>
        <w:rPr>
          <w:rFonts w:hint="eastAsia" w:ascii="仿宋" w:eastAsia="仿宋"/>
          <w:b w:val="0"/>
          <w:color w:val="auto"/>
          <w:kern w:val="2"/>
          <w:sz w:val="24"/>
          <w:szCs w:val="24"/>
          <w:highlight w:val="none"/>
          <w:lang w:val="en-US" w:eastAsia="zh-CN"/>
        </w:rPr>
        <w:t>五、公告期限</w:t>
      </w:r>
      <w:bookmarkEnd w:id="11"/>
    </w:p>
    <w:p w14:paraId="609FF31C">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自本公告发布之日起5个工作日。</w:t>
      </w:r>
    </w:p>
    <w:p w14:paraId="35B74E96">
      <w:pPr>
        <w:keepLines w:val="0"/>
        <w:pageBreakBefore w:val="0"/>
        <w:widowControl w:val="0"/>
        <w:numPr>
          <w:ilvl w:val="0"/>
          <w:numId w:val="23"/>
        </w:numPr>
        <w:kinsoku/>
        <w:wordWrap/>
        <w:overflowPunct/>
        <w:topLinePunct w:val="0"/>
        <w:autoSpaceDE/>
        <w:autoSpaceDN/>
        <w:bidi w:val="0"/>
        <w:adjustRightInd/>
        <w:snapToGrid w:val="0"/>
        <w:spacing w:beforeAutospacing="0" w:afterAutospacing="0" w:line="420" w:lineRule="exact"/>
        <w:ind w:left="0" w:right="0" w:firstLine="480" w:firstLineChars="200"/>
        <w:jc w:val="left"/>
        <w:textAlignment w:val="auto"/>
        <w:rPr>
          <w:rFonts w:hint="eastAsia" w:ascii="仿宋" w:eastAsia="仿宋" w:cs="Times New Roman"/>
          <w:b w:val="0"/>
          <w:color w:val="auto"/>
          <w:kern w:val="2"/>
          <w:sz w:val="24"/>
          <w:szCs w:val="24"/>
          <w:highlight w:val="none"/>
          <w:lang w:val="en-US" w:eastAsia="zh-CN" w:bidi="ar-SA"/>
        </w:rPr>
      </w:pPr>
      <w:bookmarkStart w:id="12" w:name="_Toc24627"/>
      <w:r>
        <w:rPr>
          <w:rFonts w:hint="eastAsia" w:ascii="仿宋" w:eastAsia="仿宋"/>
          <w:b w:val="0"/>
          <w:color w:val="auto"/>
          <w:kern w:val="2"/>
          <w:sz w:val="24"/>
          <w:szCs w:val="24"/>
          <w:lang w:val="en-US" w:eastAsia="zh-CN"/>
        </w:rPr>
        <w:t>其他补充事宜</w:t>
      </w:r>
      <w:bookmarkEnd w:id="12"/>
    </w:p>
    <w:p w14:paraId="7BF8FA34">
      <w:pPr>
        <w:keepLines w:val="0"/>
        <w:pageBreakBefore w:val="0"/>
        <w:widowControl w:val="0"/>
        <w:numPr>
          <w:ilvl w:val="0"/>
          <w:numId w:val="24"/>
        </w:numPr>
        <w:kinsoku/>
        <w:wordWrap/>
        <w:overflowPunct/>
        <w:topLinePunct w:val="0"/>
        <w:autoSpaceDE/>
        <w:autoSpaceDN/>
        <w:bidi w:val="0"/>
        <w:adjustRightInd/>
        <w:snapToGrid w:val="0"/>
        <w:spacing w:beforeAutospacing="0" w:afterAutospacing="0" w:line="420" w:lineRule="exact"/>
        <w:ind w:left="0" w:right="0" w:firstLine="480" w:firstLineChars="200"/>
        <w:jc w:val="left"/>
        <w:textAlignment w:val="auto"/>
        <w:rPr>
          <w:rFonts w:hint="eastAsia" w:ascii="仿宋" w:eastAsia="仿宋" w:cs="Times New Roman"/>
          <w:b w:val="0"/>
          <w:color w:val="auto"/>
          <w:kern w:val="2"/>
          <w:sz w:val="24"/>
          <w:szCs w:val="24"/>
          <w:highlight w:val="none"/>
          <w:lang w:val="en-US" w:eastAsia="zh-CN" w:bidi="ar-SA"/>
        </w:rPr>
      </w:pPr>
      <w:r>
        <w:rPr>
          <w:rFonts w:hint="eastAsia" w:ascii="仿宋" w:eastAsia="仿宋" w:cs="Times New Roman"/>
          <w:b w:val="0"/>
          <w:color w:val="auto"/>
          <w:kern w:val="2"/>
          <w:sz w:val="24"/>
          <w:szCs w:val="24"/>
          <w:highlight w:val="none"/>
          <w:lang w:val="en-US" w:eastAsia="zh-CN" w:bidi="ar-SA"/>
        </w:rPr>
        <w:t>本项目实行网上投标，采用电子投标文件。</w:t>
      </w:r>
    </w:p>
    <w:p w14:paraId="2410A1A7">
      <w:pPr>
        <w:keepLines w:val="0"/>
        <w:pageBreakBefore w:val="0"/>
        <w:widowControl w:val="0"/>
        <w:numPr>
          <w:ilvl w:val="0"/>
          <w:numId w:val="24"/>
        </w:numPr>
        <w:kinsoku/>
        <w:wordWrap/>
        <w:overflowPunct/>
        <w:topLinePunct w:val="0"/>
        <w:autoSpaceDE/>
        <w:autoSpaceDN/>
        <w:bidi w:val="0"/>
        <w:adjustRightInd/>
        <w:snapToGrid w:val="0"/>
        <w:spacing w:beforeAutospacing="0" w:afterAutospacing="0" w:line="420" w:lineRule="exact"/>
        <w:ind w:left="0" w:right="0" w:firstLine="480" w:firstLineChars="200"/>
        <w:jc w:val="left"/>
        <w:textAlignment w:val="auto"/>
        <w:rPr>
          <w:rFonts w:hint="eastAsia" w:ascii="仿宋" w:eastAsia="仿宋" w:cs="Times New Roman"/>
          <w:b w:val="0"/>
          <w:color w:val="auto"/>
          <w:kern w:val="2"/>
          <w:sz w:val="24"/>
          <w:szCs w:val="24"/>
          <w:highlight w:val="none"/>
          <w:lang w:val="en-US" w:eastAsia="zh-CN" w:bidi="ar-SA"/>
        </w:rPr>
      </w:pPr>
      <w:r>
        <w:rPr>
          <w:rFonts w:hint="eastAsia" w:ascii="仿宋" w:eastAsia="仿宋" w:cs="Times New Roman"/>
          <w:b w:val="0"/>
          <w:color w:val="auto"/>
          <w:kern w:val="2"/>
          <w:sz w:val="24"/>
          <w:szCs w:val="24"/>
          <w:highlight w:val="none"/>
          <w:lang w:val="en-US" w:eastAsia="zh-CN" w:bidi="ar-SA"/>
        </w:rPr>
        <w:t>各投标人应在开标前确保成为正式注册入库供应商，并完成CA数字证书(符合国密标准)申领。因未注册入库、未办理CA数字证书等原因造成无法投标或投标失败等后果由投标人自行承担。如需咨询，请联系新疆CA服务热线4000921999；翔晟CA服务热线025-66085508。</w:t>
      </w:r>
    </w:p>
    <w:p w14:paraId="22E180EB">
      <w:pPr>
        <w:keepLines w:val="0"/>
        <w:pageBreakBefore w:val="0"/>
        <w:widowControl w:val="0"/>
        <w:numPr>
          <w:ilvl w:val="0"/>
          <w:numId w:val="24"/>
        </w:numPr>
        <w:kinsoku/>
        <w:wordWrap/>
        <w:overflowPunct/>
        <w:topLinePunct w:val="0"/>
        <w:autoSpaceDE/>
        <w:autoSpaceDN/>
        <w:bidi w:val="0"/>
        <w:adjustRightInd/>
        <w:snapToGrid w:val="0"/>
        <w:spacing w:beforeAutospacing="0" w:afterAutospacing="0" w:line="420" w:lineRule="exact"/>
        <w:ind w:left="0" w:right="0" w:firstLine="480" w:firstLineChars="200"/>
        <w:jc w:val="left"/>
        <w:textAlignment w:val="auto"/>
        <w:rPr>
          <w:rFonts w:hint="eastAsia" w:ascii="仿宋" w:eastAsia="仿宋" w:cs="Times New Roman"/>
          <w:b w:val="0"/>
          <w:color w:val="auto"/>
          <w:kern w:val="2"/>
          <w:sz w:val="24"/>
          <w:szCs w:val="24"/>
          <w:highlight w:val="none"/>
          <w:lang w:val="en-US" w:eastAsia="zh-CN" w:bidi="ar-SA"/>
        </w:rPr>
      </w:pPr>
      <w:r>
        <w:rPr>
          <w:rFonts w:hint="eastAsia" w:ascii="仿宋" w:eastAsia="仿宋" w:cs="Times New Roman"/>
          <w:b w:val="0"/>
          <w:color w:val="auto"/>
          <w:kern w:val="2"/>
          <w:sz w:val="24"/>
          <w:szCs w:val="24"/>
          <w:highlight w:val="none"/>
          <w:lang w:val="en-US" w:eastAsia="zh-CN" w:bidi="ar-SA"/>
        </w:rPr>
        <w:t>投标人将政采云电子交易客户端下载、安装完成后，可通过账号密码或CA登录客户端进行投标文件的制作。在使用政采云投标客户端时，建议使用WIN7及以上操作系统。</w:t>
      </w:r>
    </w:p>
    <w:p w14:paraId="56D0A105">
      <w:pPr>
        <w:keepLines w:val="0"/>
        <w:pageBreakBefore w:val="0"/>
        <w:widowControl w:val="0"/>
        <w:numPr>
          <w:ilvl w:val="0"/>
          <w:numId w:val="24"/>
        </w:numPr>
        <w:kinsoku/>
        <w:wordWrap/>
        <w:overflowPunct/>
        <w:topLinePunct w:val="0"/>
        <w:autoSpaceDE/>
        <w:autoSpaceDN/>
        <w:bidi w:val="0"/>
        <w:adjustRightInd/>
        <w:snapToGrid w:val="0"/>
        <w:spacing w:beforeAutospacing="0" w:afterAutospacing="0" w:line="420" w:lineRule="exact"/>
        <w:ind w:left="0" w:right="0" w:firstLine="480" w:firstLineChars="200"/>
        <w:jc w:val="left"/>
        <w:textAlignment w:val="auto"/>
        <w:rPr>
          <w:rFonts w:hint="eastAsia" w:ascii="仿宋" w:eastAsia="仿宋"/>
          <w:b w:val="0"/>
          <w:color w:val="auto"/>
          <w:kern w:val="2"/>
          <w:sz w:val="24"/>
          <w:szCs w:val="24"/>
          <w:lang w:val="en-US"/>
        </w:rPr>
      </w:pPr>
      <w:r>
        <w:rPr>
          <w:rFonts w:hint="eastAsia" w:ascii="仿宋" w:eastAsia="仿宋" w:cs="Times New Roman"/>
          <w:b w:val="0"/>
          <w:color w:val="auto"/>
          <w:kern w:val="2"/>
          <w:sz w:val="24"/>
          <w:szCs w:val="24"/>
          <w:highlight w:val="none"/>
          <w:lang w:val="en-US" w:eastAsia="zh-CN" w:bidi="ar-SA"/>
        </w:rPr>
        <w:t>其他事项：</w:t>
      </w:r>
      <w:bookmarkStart w:id="13" w:name="_Toc14838"/>
      <w:r>
        <w:rPr>
          <w:rFonts w:hint="eastAsia" w:ascii="仿宋" w:eastAsia="仿宋"/>
          <w:b w:val="0"/>
          <w:color w:val="auto"/>
          <w:kern w:val="2"/>
          <w:sz w:val="24"/>
          <w:szCs w:val="24"/>
          <w:lang w:val="en-US" w:eastAsia="zh-CN"/>
        </w:rPr>
        <w:t>本公告在</w:t>
      </w:r>
      <w:r>
        <w:rPr>
          <w:rFonts w:hint="eastAsia" w:ascii="仿宋" w:eastAsia="仿宋"/>
          <w:b w:val="0"/>
          <w:color w:val="auto"/>
          <w:kern w:val="2"/>
          <w:sz w:val="24"/>
          <w:szCs w:val="24"/>
          <w:lang w:val="en-US"/>
        </w:rPr>
        <w:t>新疆政府采购网</w:t>
      </w:r>
      <w:r>
        <w:rPr>
          <w:rFonts w:hint="eastAsia" w:ascii="仿宋" w:eastAsia="仿宋"/>
          <w:b w:val="0"/>
          <w:color w:val="auto"/>
          <w:kern w:val="2"/>
          <w:sz w:val="24"/>
          <w:szCs w:val="24"/>
          <w:lang w:val="en-US" w:eastAsia="zh-CN"/>
        </w:rPr>
        <w:t>发布</w:t>
      </w:r>
      <w:r>
        <w:rPr>
          <w:rFonts w:hint="eastAsia" w:ascii="仿宋" w:eastAsia="仿宋"/>
          <w:b w:val="0"/>
          <w:color w:val="auto"/>
          <w:kern w:val="2"/>
          <w:sz w:val="24"/>
          <w:szCs w:val="24"/>
          <w:lang w:val="en-US"/>
        </w:rPr>
        <w:t>。</w:t>
      </w:r>
    </w:p>
    <w:p w14:paraId="43E54454">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七、对本次采购提出询问，请按以下方式联系</w:t>
      </w:r>
      <w:bookmarkEnd w:id="13"/>
    </w:p>
    <w:p w14:paraId="66DDBE26">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b w:val="0"/>
          <w:color w:val="auto"/>
          <w:kern w:val="2"/>
          <w:sz w:val="24"/>
          <w:szCs w:val="24"/>
          <w:lang w:val="en-US" w:eastAsia="zh-CN"/>
        </w:rPr>
      </w:pPr>
      <w:r>
        <w:rPr>
          <w:rFonts w:ascii="仿宋" w:eastAsia="仿宋"/>
          <w:b w:val="0"/>
          <w:color w:val="auto"/>
          <w:kern w:val="2"/>
          <w:sz w:val="24"/>
          <w:szCs w:val="24"/>
          <w:lang w:val="en-US" w:eastAsia="zh-CN"/>
        </w:rPr>
        <w:t>1.采购人信息</w:t>
      </w:r>
    </w:p>
    <w:p w14:paraId="784D415B">
      <w:pPr>
        <w:keepNext w:val="0"/>
        <w:keepLines w:val="0"/>
        <w:pageBreakBefore w:val="0"/>
        <w:widowControl/>
        <w:kinsoku w:val="0"/>
        <w:wordWrap/>
        <w:overflowPunct/>
        <w:topLinePunct w:val="0"/>
        <w:autoSpaceDE w:val="0"/>
        <w:autoSpaceDN w:val="0"/>
        <w:bidi w:val="0"/>
        <w:adjustRightInd w:val="0"/>
        <w:snapToGrid w:val="0"/>
        <w:spacing w:line="360" w:lineRule="exact"/>
        <w:ind w:left="23" w:firstLine="480" w:firstLineChars="200"/>
        <w:textAlignment w:val="baseline"/>
        <w:rPr>
          <w:rFonts w:hint="default" w:ascii="仿宋" w:eastAsia="仿宋" w:cs="仿宋"/>
          <w:b w:val="0"/>
          <w:bCs/>
          <w:color w:val="auto"/>
          <w:spacing w:val="-5"/>
          <w:sz w:val="24"/>
          <w:szCs w:val="24"/>
          <w:highlight w:val="none"/>
          <w:lang w:val="en-US" w:eastAsia="zh-CN"/>
        </w:rPr>
      </w:pPr>
      <w:r>
        <w:rPr>
          <w:rFonts w:ascii="仿宋" w:eastAsia="仿宋"/>
          <w:b w:val="0"/>
          <w:color w:val="auto"/>
          <w:kern w:val="2"/>
          <w:sz w:val="24"/>
          <w:szCs w:val="24"/>
          <w:lang w:val="en-US" w:eastAsia="zh-CN"/>
        </w:rPr>
        <w:t>名 称：</w:t>
      </w:r>
      <w:r>
        <w:rPr>
          <w:rFonts w:hint="eastAsia" w:ascii="仿宋" w:eastAsia="仿宋"/>
          <w:b w:val="0"/>
          <w:color w:val="auto"/>
          <w:kern w:val="2"/>
          <w:sz w:val="24"/>
          <w:szCs w:val="24"/>
          <w:lang w:val="en-US" w:eastAsia="zh-CN"/>
        </w:rPr>
        <w:t>昌吉回族自治州人民医院</w:t>
      </w:r>
    </w:p>
    <w:p w14:paraId="4B78D55E">
      <w:pPr>
        <w:keepNext w:val="0"/>
        <w:keepLines w:val="0"/>
        <w:pageBreakBefore w:val="0"/>
        <w:widowControl/>
        <w:kinsoku w:val="0"/>
        <w:wordWrap/>
        <w:overflowPunct/>
        <w:topLinePunct w:val="0"/>
        <w:autoSpaceDE w:val="0"/>
        <w:autoSpaceDN w:val="0"/>
        <w:bidi w:val="0"/>
        <w:adjustRightInd w:val="0"/>
        <w:snapToGrid w:val="0"/>
        <w:spacing w:line="360" w:lineRule="exact"/>
        <w:ind w:left="23" w:firstLine="460" w:firstLineChars="200"/>
        <w:textAlignment w:val="baseline"/>
        <w:rPr>
          <w:rFonts w:hint="eastAsia" w:ascii="仿宋" w:eastAsia="仿宋" w:cs="仿宋"/>
          <w:b w:val="0"/>
          <w:bCs/>
          <w:color w:val="auto"/>
          <w:spacing w:val="-5"/>
          <w:sz w:val="24"/>
          <w:szCs w:val="24"/>
          <w:highlight w:val="none"/>
          <w:lang w:val="en-US" w:eastAsia="zh-CN"/>
        </w:rPr>
      </w:pPr>
      <w:r>
        <w:rPr>
          <w:rFonts w:hint="eastAsia" w:ascii="仿宋" w:eastAsia="仿宋" w:cs="仿宋"/>
          <w:b w:val="0"/>
          <w:bCs/>
          <w:color w:val="auto"/>
          <w:spacing w:val="-5"/>
          <w:sz w:val="24"/>
          <w:szCs w:val="24"/>
          <w:highlight w:val="none"/>
          <w:lang w:val="en-US" w:eastAsia="zh-CN"/>
        </w:rPr>
        <w:t>地    址：</w:t>
      </w:r>
      <w:r>
        <w:rPr>
          <w:rFonts w:hint="eastAsia" w:ascii="仿宋" w:eastAsia="仿宋"/>
          <w:b w:val="0"/>
          <w:color w:val="auto"/>
          <w:kern w:val="2"/>
          <w:sz w:val="24"/>
          <w:szCs w:val="24"/>
          <w:lang w:val="en-US" w:eastAsia="zh-CN"/>
        </w:rPr>
        <w:t>昌吉市延安北路303号</w:t>
      </w:r>
    </w:p>
    <w:p w14:paraId="6D614AD2">
      <w:pPr>
        <w:keepNext w:val="0"/>
        <w:keepLines w:val="0"/>
        <w:pageBreakBefore w:val="0"/>
        <w:widowControl/>
        <w:kinsoku w:val="0"/>
        <w:wordWrap/>
        <w:overflowPunct/>
        <w:topLinePunct w:val="0"/>
        <w:autoSpaceDE w:val="0"/>
        <w:autoSpaceDN w:val="0"/>
        <w:bidi w:val="0"/>
        <w:adjustRightInd w:val="0"/>
        <w:snapToGrid w:val="0"/>
        <w:spacing w:line="360" w:lineRule="exact"/>
        <w:ind w:left="23" w:firstLine="460" w:firstLineChars="200"/>
        <w:textAlignment w:val="baseline"/>
        <w:rPr>
          <w:rFonts w:ascii="仿宋" w:eastAsia="仿宋"/>
          <w:b w:val="0"/>
          <w:color w:val="auto"/>
          <w:kern w:val="2"/>
          <w:sz w:val="24"/>
          <w:szCs w:val="24"/>
          <w:highlight w:val="yellow"/>
          <w:lang w:val="en-US" w:eastAsia="zh-CN"/>
        </w:rPr>
      </w:pPr>
      <w:r>
        <w:rPr>
          <w:rFonts w:hint="eastAsia" w:ascii="仿宋" w:eastAsia="仿宋" w:cs="仿宋"/>
          <w:b w:val="0"/>
          <w:bCs/>
          <w:color w:val="auto"/>
          <w:spacing w:val="-5"/>
          <w:sz w:val="24"/>
          <w:szCs w:val="24"/>
          <w:highlight w:val="none"/>
          <w:lang w:val="en-US" w:eastAsia="zh-CN"/>
        </w:rPr>
        <w:t>联 系 人：郭老师  18909945698</w:t>
      </w:r>
    </w:p>
    <w:p w14:paraId="2BC0EE80">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b w:val="0"/>
          <w:color w:val="auto"/>
          <w:kern w:val="2"/>
          <w:sz w:val="24"/>
          <w:szCs w:val="24"/>
          <w:lang w:val="en-US" w:eastAsia="zh-CN"/>
        </w:rPr>
      </w:pPr>
      <w:r>
        <w:rPr>
          <w:rFonts w:ascii="仿宋" w:eastAsia="仿宋"/>
          <w:b w:val="0"/>
          <w:color w:val="auto"/>
          <w:kern w:val="2"/>
          <w:sz w:val="24"/>
          <w:szCs w:val="24"/>
          <w:lang w:val="en-US" w:eastAsia="zh-CN"/>
        </w:rPr>
        <w:t>2.采购代理机构信息</w:t>
      </w:r>
    </w:p>
    <w:p w14:paraId="1CDCAC01">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b w:val="0"/>
          <w:color w:val="auto"/>
          <w:kern w:val="2"/>
          <w:sz w:val="24"/>
          <w:szCs w:val="24"/>
          <w:lang w:val="en-US" w:eastAsia="zh-CN"/>
        </w:rPr>
      </w:pPr>
      <w:r>
        <w:rPr>
          <w:rFonts w:ascii="仿宋" w:eastAsia="仿宋"/>
          <w:b w:val="0"/>
          <w:color w:val="auto"/>
          <w:kern w:val="2"/>
          <w:sz w:val="24"/>
          <w:szCs w:val="24"/>
          <w:lang w:val="en-US" w:eastAsia="zh-CN"/>
        </w:rPr>
        <w:t>名 称：新疆驰珑信诚招标代理有限公司</w:t>
      </w:r>
    </w:p>
    <w:p w14:paraId="293473C7">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b w:val="0"/>
          <w:color w:val="auto"/>
          <w:kern w:val="2"/>
          <w:sz w:val="24"/>
          <w:szCs w:val="24"/>
          <w:lang w:val="en-US" w:eastAsia="zh-CN"/>
        </w:rPr>
      </w:pPr>
      <w:r>
        <w:rPr>
          <w:rFonts w:ascii="仿宋" w:eastAsia="仿宋"/>
          <w:b w:val="0"/>
          <w:color w:val="auto"/>
          <w:kern w:val="2"/>
          <w:sz w:val="24"/>
          <w:szCs w:val="24"/>
          <w:lang w:val="en-US" w:eastAsia="zh-CN"/>
        </w:rPr>
        <w:t>地 址：昌吉市建国西路199号和谐国际广场K座1</w:t>
      </w:r>
      <w:r>
        <w:rPr>
          <w:rFonts w:hint="eastAsia" w:ascii="仿宋" w:eastAsia="仿宋"/>
          <w:b w:val="0"/>
          <w:color w:val="auto"/>
          <w:kern w:val="2"/>
          <w:sz w:val="24"/>
          <w:szCs w:val="24"/>
          <w:lang w:val="en-US" w:eastAsia="zh-CN"/>
        </w:rPr>
        <w:t>9</w:t>
      </w:r>
      <w:r>
        <w:rPr>
          <w:rFonts w:ascii="仿宋" w:eastAsia="仿宋"/>
          <w:b w:val="0"/>
          <w:color w:val="auto"/>
          <w:kern w:val="2"/>
          <w:sz w:val="24"/>
          <w:szCs w:val="24"/>
          <w:lang w:val="en-US" w:eastAsia="zh-CN"/>
        </w:rPr>
        <w:t>楼1</w:t>
      </w:r>
      <w:r>
        <w:rPr>
          <w:rFonts w:hint="eastAsia" w:ascii="仿宋" w:eastAsia="仿宋"/>
          <w:b w:val="0"/>
          <w:color w:val="auto"/>
          <w:kern w:val="2"/>
          <w:sz w:val="24"/>
          <w:szCs w:val="24"/>
          <w:lang w:val="en-US" w:eastAsia="zh-CN"/>
        </w:rPr>
        <w:t>915</w:t>
      </w:r>
      <w:r>
        <w:rPr>
          <w:rFonts w:ascii="仿宋" w:eastAsia="仿宋"/>
          <w:b w:val="0"/>
          <w:color w:val="auto"/>
          <w:kern w:val="2"/>
          <w:sz w:val="24"/>
          <w:szCs w:val="24"/>
          <w:lang w:val="en-US" w:eastAsia="zh-CN"/>
        </w:rPr>
        <w:t>室</w:t>
      </w:r>
    </w:p>
    <w:p w14:paraId="40BB4C24">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b w:val="0"/>
          <w:color w:val="auto"/>
          <w:kern w:val="2"/>
          <w:sz w:val="24"/>
          <w:szCs w:val="24"/>
          <w:lang w:val="en-US" w:eastAsia="zh-CN"/>
        </w:rPr>
      </w:pPr>
      <w:r>
        <w:rPr>
          <w:rFonts w:ascii="仿宋" w:eastAsia="仿宋"/>
          <w:b w:val="0"/>
          <w:color w:val="auto"/>
          <w:kern w:val="2"/>
          <w:sz w:val="24"/>
          <w:szCs w:val="24"/>
          <w:lang w:val="en-US" w:eastAsia="zh-CN"/>
        </w:rPr>
        <w:t>联系方式：</w:t>
      </w:r>
      <w:r>
        <w:rPr>
          <w:rFonts w:hint="eastAsia" w:ascii="仿宋" w:eastAsia="仿宋" w:cs="仿宋"/>
          <w:b w:val="0"/>
          <w:bCs/>
          <w:color w:val="auto"/>
          <w:spacing w:val="-5"/>
          <w:sz w:val="24"/>
          <w:szCs w:val="24"/>
          <w:lang w:val="en-US" w:eastAsia="zh-CN"/>
        </w:rPr>
        <w:t>13899819470</w:t>
      </w:r>
    </w:p>
    <w:p w14:paraId="6D8DF485">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rFonts w:ascii="仿宋" w:eastAsia="仿宋"/>
          <w:b w:val="0"/>
          <w:color w:val="auto"/>
          <w:kern w:val="2"/>
          <w:sz w:val="24"/>
          <w:szCs w:val="24"/>
          <w:lang w:val="en-US" w:eastAsia="zh-CN"/>
        </w:rPr>
      </w:pPr>
      <w:r>
        <w:rPr>
          <w:rFonts w:ascii="仿宋" w:eastAsia="仿宋"/>
          <w:b w:val="0"/>
          <w:color w:val="auto"/>
          <w:kern w:val="2"/>
          <w:sz w:val="24"/>
          <w:szCs w:val="24"/>
          <w:lang w:val="en-US" w:eastAsia="zh-CN"/>
        </w:rPr>
        <w:t>3.项目联系方式</w:t>
      </w:r>
    </w:p>
    <w:p w14:paraId="5BEC6836">
      <w:pPr>
        <w:keepNext w:val="0"/>
        <w:keepLines w:val="0"/>
        <w:pageBreakBefore w:val="0"/>
        <w:widowControl/>
        <w:kinsoku w:val="0"/>
        <w:wordWrap/>
        <w:overflowPunct/>
        <w:topLinePunct w:val="0"/>
        <w:autoSpaceDE w:val="0"/>
        <w:autoSpaceDN w:val="0"/>
        <w:bidi w:val="0"/>
        <w:adjustRightInd w:val="0"/>
        <w:snapToGrid w:val="0"/>
        <w:spacing w:line="360" w:lineRule="exact"/>
        <w:ind w:left="23" w:firstLine="480" w:firstLineChars="200"/>
        <w:textAlignment w:val="baseline"/>
        <w:rPr>
          <w:rFonts w:hint="eastAsia" w:ascii="仿宋" w:eastAsia="仿宋" w:cs="仿宋"/>
          <w:b w:val="0"/>
          <w:bCs/>
          <w:color w:val="auto"/>
          <w:spacing w:val="-5"/>
          <w:sz w:val="24"/>
          <w:szCs w:val="24"/>
          <w:lang w:val="en-US" w:eastAsia="zh-CN"/>
        </w:rPr>
      </w:pPr>
      <w:r>
        <w:rPr>
          <w:rFonts w:ascii="仿宋" w:eastAsia="仿宋"/>
          <w:b w:val="0"/>
          <w:color w:val="auto"/>
          <w:kern w:val="2"/>
          <w:sz w:val="24"/>
          <w:szCs w:val="24"/>
          <w:lang w:val="en-US" w:eastAsia="zh-CN"/>
        </w:rPr>
        <w:t>项目联系人：</w:t>
      </w:r>
      <w:r>
        <w:rPr>
          <w:rFonts w:hint="eastAsia" w:ascii="仿宋" w:eastAsia="仿宋" w:cs="仿宋"/>
          <w:b w:val="0"/>
          <w:bCs/>
          <w:color w:val="auto"/>
          <w:spacing w:val="-5"/>
          <w:sz w:val="24"/>
          <w:szCs w:val="24"/>
          <w:lang w:val="en-US" w:eastAsia="zh-CN"/>
        </w:rPr>
        <w:t>杨静、张璐、任丹</w:t>
      </w:r>
    </w:p>
    <w:p w14:paraId="691D588A">
      <w:pPr>
        <w:keepNext w:val="0"/>
        <w:keepLines w:val="0"/>
        <w:pageBreakBefore w:val="0"/>
        <w:widowControl/>
        <w:kinsoku w:val="0"/>
        <w:wordWrap/>
        <w:overflowPunct/>
        <w:topLinePunct w:val="0"/>
        <w:autoSpaceDE w:val="0"/>
        <w:autoSpaceDN w:val="0"/>
        <w:bidi w:val="0"/>
        <w:adjustRightInd w:val="0"/>
        <w:snapToGrid w:val="0"/>
        <w:spacing w:line="360" w:lineRule="exact"/>
        <w:ind w:left="23" w:firstLine="460" w:firstLineChars="200"/>
        <w:textAlignment w:val="baseline"/>
        <w:rPr>
          <w:rFonts w:hint="default" w:ascii="仿宋" w:eastAsia="仿宋" w:cs="仿宋"/>
          <w:b w:val="0"/>
          <w:bCs/>
          <w:color w:val="auto"/>
          <w:spacing w:val="-5"/>
          <w:sz w:val="24"/>
          <w:szCs w:val="24"/>
          <w:lang w:val="en-US" w:eastAsia="zh-CN"/>
        </w:rPr>
      </w:pPr>
      <w:r>
        <w:rPr>
          <w:rFonts w:hint="eastAsia" w:ascii="仿宋" w:eastAsia="仿宋" w:cs="仿宋"/>
          <w:b w:val="0"/>
          <w:bCs/>
          <w:color w:val="auto"/>
          <w:spacing w:val="-5"/>
          <w:sz w:val="24"/>
          <w:szCs w:val="24"/>
          <w:lang w:val="en-US" w:eastAsia="zh-CN"/>
        </w:rPr>
        <w:t>项目负责人：杨静</w:t>
      </w:r>
    </w:p>
    <w:p w14:paraId="17F1C949">
      <w:pPr>
        <w:keepNext w:val="0"/>
        <w:keepLines w:val="0"/>
        <w:pageBreakBefore w:val="0"/>
        <w:widowControl/>
        <w:kinsoku w:val="0"/>
        <w:wordWrap/>
        <w:overflowPunct/>
        <w:topLinePunct w:val="0"/>
        <w:autoSpaceDE w:val="0"/>
        <w:autoSpaceDN w:val="0"/>
        <w:bidi w:val="0"/>
        <w:adjustRightInd w:val="0"/>
        <w:snapToGrid w:val="0"/>
        <w:spacing w:line="360" w:lineRule="exact"/>
        <w:ind w:left="23" w:firstLine="460" w:firstLineChars="200"/>
        <w:textAlignment w:val="baseline"/>
        <w:rPr>
          <w:rFonts w:ascii="仿宋" w:eastAsia="仿宋" w:cs="仿宋"/>
          <w:b w:val="0"/>
          <w:bCs/>
          <w:color w:val="auto"/>
          <w:spacing w:val="-5"/>
          <w:sz w:val="24"/>
          <w:szCs w:val="24"/>
          <w:lang w:val="en-US" w:eastAsia="zh-CN"/>
        </w:rPr>
      </w:pPr>
      <w:r>
        <w:rPr>
          <w:rFonts w:hint="eastAsia" w:ascii="仿宋" w:eastAsia="仿宋" w:cs="仿宋"/>
          <w:b w:val="0"/>
          <w:bCs/>
          <w:color w:val="auto"/>
          <w:spacing w:val="-5"/>
          <w:sz w:val="24"/>
          <w:szCs w:val="24"/>
        </w:rPr>
        <w:t>电    话：</w:t>
      </w:r>
      <w:r>
        <w:rPr>
          <w:rFonts w:hint="eastAsia" w:ascii="仿宋" w:eastAsia="仿宋" w:cs="仿宋"/>
          <w:b w:val="0"/>
          <w:bCs/>
          <w:color w:val="auto"/>
          <w:spacing w:val="-5"/>
          <w:sz w:val="24"/>
          <w:szCs w:val="24"/>
          <w:lang w:val="en-US" w:eastAsia="zh-CN"/>
        </w:rPr>
        <w:t>13899819470</w:t>
      </w:r>
    </w:p>
    <w:p w14:paraId="1E129B65">
      <w:pPr>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jc w:val="left"/>
        <w:textAlignment w:val="auto"/>
        <w:rPr>
          <w:lang w:val="en-US"/>
        </w:rPr>
      </w:pPr>
    </w:p>
    <w:p w14:paraId="2411B74E">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rPr>
      </w:pPr>
      <w:bookmarkStart w:id="14" w:name="_Toc213397009"/>
      <w:bookmarkStart w:id="15" w:name="_Toc213496267"/>
      <w:bookmarkStart w:id="16" w:name="_Toc213396945"/>
      <w:bookmarkStart w:id="17" w:name="_Toc40704270"/>
      <w:bookmarkStart w:id="18" w:name="_Toc217446031"/>
      <w:bookmarkStart w:id="19" w:name="_Toc494198586"/>
      <w:bookmarkStart w:id="20" w:name="_Toc213396759"/>
      <w:bookmarkStart w:id="21" w:name="_Toc36134556"/>
      <w:bookmarkStart w:id="22" w:name="_Toc36215946"/>
      <w:r>
        <w:rPr>
          <w:rFonts w:ascii="仿宋" w:eastAsia="仿宋"/>
          <w:b/>
          <w:color w:val="auto"/>
          <w:lang w:val="en-US"/>
        </w:rPr>
        <w:br w:type="page"/>
      </w:r>
      <w:r>
        <w:rPr>
          <w:rFonts w:hint="eastAsia" w:ascii="仿宋" w:eastAsia="仿宋"/>
          <w:b/>
          <w:color w:val="auto"/>
          <w:lang w:val="en-US" w:eastAsia="zh-CN"/>
        </w:rPr>
        <w:t xml:space="preserve"> </w:t>
      </w:r>
      <w:bookmarkStart w:id="23" w:name="_Toc20675"/>
      <w:r>
        <w:rPr>
          <w:rFonts w:ascii="仿宋" w:eastAsia="仿宋"/>
          <w:b/>
          <w:color w:val="auto"/>
        </w:rPr>
        <w:t>投标人须知</w:t>
      </w:r>
      <w:bookmarkEnd w:id="14"/>
      <w:bookmarkEnd w:id="15"/>
      <w:bookmarkEnd w:id="16"/>
      <w:bookmarkEnd w:id="17"/>
      <w:bookmarkEnd w:id="18"/>
      <w:bookmarkEnd w:id="19"/>
      <w:bookmarkEnd w:id="20"/>
      <w:bookmarkEnd w:id="21"/>
      <w:bookmarkEnd w:id="22"/>
      <w:bookmarkEnd w:id="23"/>
    </w:p>
    <w:p w14:paraId="4B6EC03E">
      <w:pPr>
        <w:keepNext/>
        <w:pageBreakBefore w:val="0"/>
        <w:widowControl w:val="0"/>
        <w:numPr>
          <w:ilvl w:val="1"/>
          <w:numId w:val="22"/>
        </w:numPr>
        <w:tabs>
          <w:tab w:val="left" w:pos="567"/>
        </w:tabs>
        <w:kinsoku/>
        <w:wordWrap/>
        <w:overflowPunct/>
        <w:topLinePunct w:val="0"/>
        <w:bidi w:val="0"/>
        <w:snapToGrid/>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24" w:name="_Toc213496268"/>
      <w:bookmarkStart w:id="25" w:name="_Toc217446032"/>
      <w:bookmarkStart w:id="26" w:name="_Toc213396946"/>
      <w:bookmarkStart w:id="27" w:name="_Toc351016476"/>
      <w:bookmarkStart w:id="28" w:name="_Toc213397010"/>
      <w:bookmarkStart w:id="29" w:name="_Toc213396760"/>
      <w:bookmarkStart w:id="30" w:name="_Toc189727030"/>
      <w:r>
        <w:rPr>
          <w:rFonts w:ascii="仿宋" w:eastAsia="仿宋"/>
          <w:bCs/>
          <w:color w:val="auto"/>
          <w:kern w:val="2"/>
          <w:sz w:val="24"/>
          <w:szCs w:val="24"/>
          <w:lang w:val="en-US"/>
        </w:rPr>
        <w:t xml:space="preserve"> </w:t>
      </w:r>
      <w:bookmarkStart w:id="31" w:name="_Toc494198587"/>
      <w:bookmarkStart w:id="32" w:name="_Toc36134557"/>
      <w:bookmarkStart w:id="33" w:name="_Toc40704271"/>
      <w:bookmarkStart w:id="34" w:name="_Toc36215947"/>
      <w:bookmarkStart w:id="35" w:name="_Toc17535"/>
      <w:r>
        <w:rPr>
          <w:rFonts w:ascii="仿宋" w:eastAsia="仿宋"/>
          <w:bCs/>
          <w:color w:val="auto"/>
          <w:kern w:val="2"/>
          <w:sz w:val="24"/>
          <w:szCs w:val="24"/>
          <w:lang w:val="en-US"/>
        </w:rPr>
        <w:t>投标人须知前附表</w:t>
      </w:r>
      <w:bookmarkEnd w:id="31"/>
      <w:bookmarkEnd w:id="32"/>
      <w:bookmarkEnd w:id="33"/>
      <w:bookmarkEnd w:id="34"/>
      <w:bookmarkEnd w:id="35"/>
    </w:p>
    <w:tbl>
      <w:tblPr>
        <w:tblStyle w:val="80"/>
        <w:tblW w:w="50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744"/>
        <w:gridCol w:w="6840"/>
      </w:tblGrid>
      <w:tr w14:paraId="50230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64" w:hRule="atLeast"/>
          <w:tblHeader/>
          <w:jc w:val="center"/>
        </w:trPr>
        <w:tc>
          <w:tcPr>
            <w:tcW w:w="748" w:type="dxa"/>
            <w:tcBorders>
              <w:tl2br w:val="nil"/>
              <w:tr2bl w:val="nil"/>
            </w:tcBorders>
            <w:shd w:val="clear" w:color="auto" w:fill="DDDDDD"/>
            <w:vAlign w:val="center"/>
          </w:tcPr>
          <w:p w14:paraId="3CCA1535">
            <w:pPr>
              <w:pageBreakBefore w:val="0"/>
              <w:widowControl w:val="0"/>
              <w:tabs>
                <w:tab w:val="left" w:pos="7665"/>
              </w:tabs>
              <w:kinsoku/>
              <w:wordWrap/>
              <w:overflowPunct/>
              <w:topLinePunct w:val="0"/>
              <w:bidi w:val="0"/>
              <w:snapToGrid/>
              <w:spacing w:beforeAutospacing="0" w:afterAutospacing="0" w:line="240" w:lineRule="auto"/>
              <w:ind w:left="0" w:right="0" w:firstLine="0" w:firstLineChars="0"/>
              <w:jc w:val="center"/>
              <w:rPr>
                <w:rFonts w:ascii="仿宋" w:eastAsia="仿宋"/>
                <w:bCs/>
                <w:color w:val="auto"/>
                <w:kern w:val="2"/>
                <w:sz w:val="24"/>
                <w:szCs w:val="24"/>
                <w:lang w:val="en-US"/>
              </w:rPr>
            </w:pPr>
            <w:r>
              <w:rPr>
                <w:rFonts w:ascii="仿宋" w:eastAsia="仿宋"/>
                <w:bCs/>
                <w:color w:val="auto"/>
                <w:kern w:val="2"/>
                <w:sz w:val="24"/>
                <w:szCs w:val="24"/>
                <w:lang w:val="en-US"/>
              </w:rPr>
              <w:t>序号</w:t>
            </w:r>
          </w:p>
        </w:tc>
        <w:tc>
          <w:tcPr>
            <w:tcW w:w="1744" w:type="dxa"/>
            <w:tcBorders>
              <w:tl2br w:val="nil"/>
              <w:tr2bl w:val="nil"/>
            </w:tcBorders>
            <w:shd w:val="clear" w:color="auto" w:fill="DDDDDD"/>
            <w:vAlign w:val="center"/>
          </w:tcPr>
          <w:p w14:paraId="2909B70A">
            <w:pPr>
              <w:pageBreakBefore w:val="0"/>
              <w:widowControl w:val="0"/>
              <w:tabs>
                <w:tab w:val="left" w:pos="7665"/>
              </w:tabs>
              <w:kinsoku/>
              <w:wordWrap/>
              <w:overflowPunct/>
              <w:topLinePunct w:val="0"/>
              <w:bidi w:val="0"/>
              <w:snapToGrid/>
              <w:spacing w:beforeAutospacing="0" w:afterAutospacing="0" w:line="240" w:lineRule="auto"/>
              <w:ind w:left="0" w:right="0" w:firstLine="0" w:firstLineChars="0"/>
              <w:jc w:val="center"/>
              <w:rPr>
                <w:rFonts w:ascii="仿宋" w:eastAsia="仿宋"/>
                <w:bCs/>
                <w:color w:val="auto"/>
                <w:kern w:val="2"/>
                <w:sz w:val="24"/>
                <w:szCs w:val="24"/>
                <w:lang w:val="en-US"/>
              </w:rPr>
            </w:pPr>
            <w:r>
              <w:rPr>
                <w:rFonts w:ascii="仿宋" w:eastAsia="仿宋"/>
                <w:bCs/>
                <w:color w:val="auto"/>
                <w:kern w:val="2"/>
                <w:sz w:val="24"/>
                <w:szCs w:val="24"/>
                <w:lang w:val="en-US"/>
              </w:rPr>
              <w:t>条款名称</w:t>
            </w:r>
          </w:p>
        </w:tc>
        <w:tc>
          <w:tcPr>
            <w:tcW w:w="6840" w:type="dxa"/>
            <w:tcBorders>
              <w:tl2br w:val="nil"/>
              <w:tr2bl w:val="nil"/>
            </w:tcBorders>
            <w:shd w:val="clear" w:color="auto" w:fill="DDDDDD"/>
            <w:vAlign w:val="center"/>
          </w:tcPr>
          <w:p w14:paraId="3D22117F">
            <w:pPr>
              <w:pageBreakBefore w:val="0"/>
              <w:widowControl w:val="0"/>
              <w:tabs>
                <w:tab w:val="left" w:pos="7665"/>
              </w:tabs>
              <w:kinsoku/>
              <w:wordWrap/>
              <w:overflowPunct/>
              <w:topLinePunct w:val="0"/>
              <w:bidi w:val="0"/>
              <w:snapToGrid/>
              <w:spacing w:beforeAutospacing="0" w:afterAutospacing="0" w:line="240" w:lineRule="auto"/>
              <w:ind w:left="0" w:right="0" w:firstLine="0" w:firstLineChars="0"/>
              <w:jc w:val="center"/>
              <w:rPr>
                <w:rFonts w:ascii="仿宋" w:eastAsia="仿宋"/>
                <w:bCs/>
                <w:color w:val="auto"/>
                <w:kern w:val="2"/>
                <w:sz w:val="24"/>
                <w:szCs w:val="24"/>
                <w:lang w:val="en-US"/>
              </w:rPr>
            </w:pPr>
            <w:r>
              <w:rPr>
                <w:rFonts w:ascii="仿宋" w:eastAsia="仿宋"/>
                <w:bCs/>
                <w:color w:val="auto"/>
                <w:kern w:val="2"/>
                <w:sz w:val="24"/>
                <w:szCs w:val="24"/>
                <w:lang w:val="en-US"/>
              </w:rPr>
              <w:t>说明与要求</w:t>
            </w:r>
          </w:p>
        </w:tc>
      </w:tr>
      <w:tr w14:paraId="65B11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Merge w:val="restart"/>
            <w:tcBorders>
              <w:tl2br w:val="nil"/>
              <w:tr2bl w:val="nil"/>
            </w:tcBorders>
            <w:vAlign w:val="center"/>
          </w:tcPr>
          <w:p w14:paraId="38455F14">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1</w:t>
            </w:r>
          </w:p>
        </w:tc>
        <w:tc>
          <w:tcPr>
            <w:tcW w:w="1744" w:type="dxa"/>
            <w:tcBorders>
              <w:tl2br w:val="nil"/>
              <w:tr2bl w:val="nil"/>
            </w:tcBorders>
            <w:vAlign w:val="center"/>
          </w:tcPr>
          <w:p w14:paraId="71FB059C">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采购预算</w:t>
            </w:r>
          </w:p>
        </w:tc>
        <w:tc>
          <w:tcPr>
            <w:tcW w:w="6840" w:type="dxa"/>
            <w:tcBorders>
              <w:tl2br w:val="nil"/>
              <w:tr2bl w:val="nil"/>
            </w:tcBorders>
            <w:vAlign w:val="center"/>
          </w:tcPr>
          <w:p w14:paraId="3637A278">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hint="eastAsia" w:ascii="仿宋" w:eastAsia="仿宋" w:cs="Times New Roman"/>
                <w:color w:val="auto"/>
                <w:lang w:val="en-US" w:eastAsia="zh-CN"/>
              </w:rPr>
            </w:pPr>
            <w:r>
              <w:rPr>
                <w:rFonts w:ascii="仿宋" w:eastAsia="仿宋" w:cs="Times New Roman"/>
                <w:color w:val="auto"/>
                <w:lang w:val="zh-CN"/>
              </w:rPr>
              <w:t>人民币</w:t>
            </w:r>
            <w:r>
              <w:rPr>
                <w:rFonts w:hint="eastAsia" w:ascii="仿宋" w:eastAsia="仿宋"/>
                <w:b w:val="0"/>
                <w:color w:val="auto"/>
                <w:kern w:val="2"/>
                <w:sz w:val="24"/>
                <w:szCs w:val="24"/>
                <w:highlight w:val="none"/>
                <w:lang w:val="en-US" w:eastAsia="zh-CN"/>
              </w:rPr>
              <w:t>1330000.00元/年</w:t>
            </w:r>
            <w:r>
              <w:rPr>
                <w:rFonts w:hint="eastAsia" w:ascii="仿宋" w:eastAsia="仿宋" w:cs="Times New Roman"/>
                <w:color w:val="auto"/>
                <w:lang w:val="zh-CN"/>
              </w:rPr>
              <w:t>；</w:t>
            </w:r>
          </w:p>
        </w:tc>
      </w:tr>
      <w:tr w14:paraId="57CF0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48" w:type="dxa"/>
            <w:vMerge w:val="continue"/>
            <w:tcBorders>
              <w:tl2br w:val="nil"/>
              <w:tr2bl w:val="nil"/>
            </w:tcBorders>
            <w:vAlign w:val="center"/>
          </w:tcPr>
          <w:p w14:paraId="18402828"/>
        </w:tc>
        <w:tc>
          <w:tcPr>
            <w:tcW w:w="1744" w:type="dxa"/>
            <w:tcBorders>
              <w:tl2br w:val="nil"/>
              <w:tr2bl w:val="nil"/>
            </w:tcBorders>
            <w:vAlign w:val="center"/>
          </w:tcPr>
          <w:p w14:paraId="768DC630">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是否专门面向中小企业采购</w:t>
            </w:r>
          </w:p>
        </w:tc>
        <w:tc>
          <w:tcPr>
            <w:tcW w:w="6840" w:type="dxa"/>
            <w:tcBorders>
              <w:tl2br w:val="nil"/>
              <w:tr2bl w:val="nil"/>
            </w:tcBorders>
            <w:vAlign w:val="center"/>
          </w:tcPr>
          <w:p w14:paraId="78D29E6C">
            <w:pPr>
              <w:pageBreakBefore w:val="0"/>
              <w:widowControl w:val="0"/>
              <w:kinsoku/>
              <w:wordWrap/>
              <w:overflowPunct/>
              <w:topLinePunct w:val="0"/>
              <w:bidi w:val="0"/>
              <w:adjustRightInd w:val="0"/>
              <w:snapToGrid/>
              <w:spacing w:beforeAutospacing="0" w:afterAutospacing="0" w:line="240" w:lineRule="auto"/>
              <w:ind w:left="0" w:right="0" w:firstLine="240" w:firstLineChars="100"/>
              <w:rPr>
                <w:rFonts w:ascii="仿宋" w:eastAsia="仿宋" w:cs="仿宋"/>
                <w:color w:val="auto"/>
                <w:kern w:val="2"/>
                <w:highlight w:val="none"/>
                <w:lang w:val="en-US"/>
              </w:rPr>
            </w:pPr>
            <w:r>
              <w:rPr>
                <w:rFonts w:hint="eastAsia" w:ascii="仿宋" w:eastAsia="仿宋" w:cs="仿宋"/>
                <w:b w:val="0"/>
                <w:color w:val="auto"/>
                <w:kern w:val="2"/>
                <w:sz w:val="24"/>
                <w:szCs w:val="24"/>
                <w:highlight w:val="none"/>
                <w:lang w:val="en-US" w:eastAsia="zh-CN"/>
              </w:rPr>
              <w:t>专门面向中小企业采购</w:t>
            </w:r>
          </w:p>
        </w:tc>
      </w:tr>
      <w:tr w14:paraId="7F594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48" w:type="dxa"/>
            <w:vMerge w:val="continue"/>
            <w:tcBorders>
              <w:tl2br w:val="nil"/>
              <w:tr2bl w:val="nil"/>
            </w:tcBorders>
            <w:vAlign w:val="center"/>
          </w:tcPr>
          <w:p w14:paraId="225C2961"/>
        </w:tc>
        <w:tc>
          <w:tcPr>
            <w:tcW w:w="1744" w:type="dxa"/>
            <w:tcBorders>
              <w:tl2br w:val="nil"/>
              <w:tr2bl w:val="nil"/>
            </w:tcBorders>
            <w:vAlign w:val="center"/>
          </w:tcPr>
          <w:p w14:paraId="605F355A">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hint="eastAsia" w:ascii="仿宋" w:eastAsia="仿宋" w:cs="Times New Roman"/>
                <w:color w:val="auto"/>
                <w:highlight w:val="none"/>
                <w:lang w:val="zh-CN"/>
              </w:rPr>
            </w:pPr>
            <w:r>
              <w:rPr>
                <w:rFonts w:hint="eastAsia" w:ascii="仿宋" w:eastAsia="仿宋" w:cs="Times New Roman"/>
                <w:color w:val="auto"/>
                <w:highlight w:val="none"/>
                <w:lang w:val="zh-CN"/>
              </w:rPr>
              <w:t>采购标的对应的中小企业划分标准所属</w:t>
            </w:r>
          </w:p>
          <w:p w14:paraId="0A170CE4">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hint="eastAsia" w:ascii="仿宋" w:eastAsia="仿宋" w:cs="Times New Roman"/>
                <w:color w:val="auto"/>
                <w:highlight w:val="magenta"/>
                <w:lang w:val="zh-CN"/>
              </w:rPr>
            </w:pPr>
            <w:r>
              <w:rPr>
                <w:rFonts w:hint="eastAsia" w:ascii="仿宋" w:eastAsia="仿宋" w:cs="Times New Roman"/>
                <w:color w:val="auto"/>
                <w:highlight w:val="none"/>
                <w:lang w:val="zh-CN"/>
              </w:rPr>
              <w:t>行业</w:t>
            </w:r>
          </w:p>
        </w:tc>
        <w:tc>
          <w:tcPr>
            <w:tcW w:w="6840" w:type="dxa"/>
            <w:tcBorders>
              <w:tl2br w:val="nil"/>
              <w:tr2bl w:val="nil"/>
            </w:tcBorders>
            <w:vAlign w:val="center"/>
          </w:tcPr>
          <w:p w14:paraId="7415A27A">
            <w:pPr>
              <w:pageBreakBefore w:val="0"/>
              <w:widowControl w:val="0"/>
              <w:kinsoku/>
              <w:wordWrap/>
              <w:overflowPunct/>
              <w:topLinePunct w:val="0"/>
              <w:bidi w:val="0"/>
              <w:adjustRightInd w:val="0"/>
              <w:snapToGrid/>
              <w:spacing w:beforeAutospacing="0" w:afterAutospacing="0" w:line="240" w:lineRule="auto"/>
              <w:ind w:left="0" w:right="0" w:firstLine="230" w:firstLineChars="100"/>
              <w:rPr>
                <w:rFonts w:hint="eastAsia" w:ascii="仿宋" w:eastAsia="仿宋" w:cs="仿宋"/>
                <w:b w:val="0"/>
                <w:color w:val="auto"/>
                <w:kern w:val="2"/>
                <w:sz w:val="24"/>
                <w:szCs w:val="24"/>
                <w:highlight w:val="none"/>
                <w:u w:val="single"/>
                <w:lang w:val="en-US" w:eastAsia="zh-CN"/>
              </w:rPr>
            </w:pPr>
            <w:r>
              <w:rPr>
                <w:rFonts w:ascii="仿宋" w:eastAsia="仿宋" w:cs="仿宋"/>
                <w:b w:val="0"/>
                <w:bCs/>
                <w:color w:val="auto"/>
                <w:spacing w:val="-5"/>
                <w:sz w:val="24"/>
                <w:szCs w:val="24"/>
                <w:highlight w:val="none"/>
                <w:lang w:val="en-US" w:eastAsia="zh-CN"/>
              </w:rPr>
              <w:drawing>
                <wp:anchor distT="0" distB="0" distL="113665" distR="113665" simplePos="0" relativeHeight="251659264" behindDoc="0" locked="0" layoutInCell="1" allowOverlap="1">
                  <wp:simplePos x="0" y="0"/>
                  <wp:positionH relativeFrom="character">
                    <wp:posOffset>2863850</wp:posOffset>
                  </wp:positionH>
                  <wp:positionV relativeFrom="line">
                    <wp:posOffset>866775</wp:posOffset>
                  </wp:positionV>
                  <wp:extent cx="10160" cy="2667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10159" cy="26669"/>
                          </a:xfrm>
                          <a:prstGeom prst="rect">
                            <a:avLst/>
                          </a:prstGeom>
                          <a:noFill/>
                          <a:ln w="12700" cap="flat" cmpd="sng">
                            <a:noFill/>
                            <a:prstDash val="solid"/>
                            <a:miter/>
                          </a:ln>
                        </pic:spPr>
                      </pic:pic>
                    </a:graphicData>
                  </a:graphic>
                </wp:anchor>
              </w:drawing>
            </w:r>
            <w:r>
              <w:rPr>
                <w:rFonts w:hint="eastAsia" w:ascii="仿宋" w:eastAsia="仿宋" w:cs="仿宋"/>
                <w:b w:val="0"/>
                <w:color w:val="auto"/>
                <w:kern w:val="2"/>
                <w:sz w:val="24"/>
                <w:szCs w:val="24"/>
                <w:highlight w:val="none"/>
                <w:u w:val="single"/>
                <w:lang w:val="en-US" w:eastAsia="zh-CN"/>
              </w:rPr>
              <w:t>标的名称：</w:t>
            </w:r>
            <w:r>
              <w:rPr>
                <w:rFonts w:hint="eastAsia" w:ascii="仿宋" w:eastAsia="仿宋"/>
                <w:b w:val="0"/>
                <w:color w:val="auto"/>
                <w:kern w:val="2"/>
                <w:sz w:val="24"/>
                <w:szCs w:val="24"/>
                <w:u w:val="single"/>
                <w:lang w:val="en-US" w:eastAsia="zh-CN"/>
              </w:rPr>
              <w:t>昌吉回族自治州人民医院本院区食堂餐饮服务外包项目</w:t>
            </w:r>
          </w:p>
          <w:p w14:paraId="4950D228">
            <w:pPr>
              <w:pageBreakBefore w:val="0"/>
              <w:widowControl w:val="0"/>
              <w:kinsoku/>
              <w:wordWrap/>
              <w:overflowPunct/>
              <w:topLinePunct w:val="0"/>
              <w:bidi w:val="0"/>
              <w:adjustRightInd w:val="0"/>
              <w:snapToGrid/>
              <w:spacing w:beforeAutospacing="0" w:afterAutospacing="0" w:line="240" w:lineRule="auto"/>
              <w:ind w:left="0" w:right="0" w:firstLine="240" w:firstLineChars="100"/>
              <w:rPr>
                <w:rFonts w:ascii="仿宋" w:eastAsia="仿宋" w:cs="仿宋"/>
                <w:color w:val="auto"/>
                <w:kern w:val="2"/>
                <w:highlight w:val="none"/>
                <w:lang w:val="en-US" w:eastAsia="zh-CN"/>
              </w:rPr>
            </w:pPr>
            <w:r>
              <w:rPr>
                <w:rFonts w:hint="eastAsia" w:ascii="仿宋" w:eastAsia="仿宋" w:cs="仿宋"/>
                <w:b w:val="0"/>
                <w:color w:val="auto"/>
                <w:kern w:val="2"/>
                <w:sz w:val="24"/>
                <w:szCs w:val="24"/>
                <w:highlight w:val="none"/>
                <w:u w:val="single"/>
                <w:lang w:val="en-US" w:eastAsia="zh-CN"/>
              </w:rPr>
              <w:t>所属行业：</w:t>
            </w:r>
            <w:r>
              <w:rPr>
                <w:rFonts w:hint="eastAsia" w:ascii="仿宋" w:eastAsia="仿宋" w:cs="仿宋"/>
                <w:b w:val="0"/>
                <w:color w:val="auto"/>
                <w:kern w:val="2"/>
                <w:sz w:val="24"/>
                <w:szCs w:val="24"/>
                <w:highlight w:val="none"/>
                <w:u w:val="single"/>
                <w:shd w:val="clear" w:color="auto" w:fill="auto"/>
                <w:lang w:val="en-US" w:eastAsia="zh-CN"/>
              </w:rPr>
              <w:t>餐饮业</w:t>
            </w:r>
          </w:p>
        </w:tc>
      </w:tr>
      <w:tr w14:paraId="1AE55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8" w:type="dxa"/>
            <w:vMerge w:val="continue"/>
            <w:tcBorders>
              <w:tl2br w:val="nil"/>
              <w:tr2bl w:val="nil"/>
            </w:tcBorders>
            <w:vAlign w:val="center"/>
          </w:tcPr>
          <w:p w14:paraId="68DA0B35"/>
        </w:tc>
        <w:tc>
          <w:tcPr>
            <w:tcW w:w="1744" w:type="dxa"/>
            <w:tcBorders>
              <w:tl2br w:val="nil"/>
              <w:tr2bl w:val="nil"/>
            </w:tcBorders>
            <w:vAlign w:val="center"/>
          </w:tcPr>
          <w:p w14:paraId="3AB32490">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hint="eastAsia" w:ascii="仿宋" w:eastAsia="仿宋" w:cs="Times New Roman"/>
                <w:color w:val="auto"/>
                <w:lang w:val="zh-CN" w:eastAsia="zh-CN"/>
              </w:rPr>
            </w:pPr>
            <w:r>
              <w:rPr>
                <w:rFonts w:hint="eastAsia" w:ascii="仿宋" w:eastAsia="仿宋" w:cs="Times New Roman"/>
                <w:color w:val="auto"/>
                <w:lang w:val="en-US" w:eastAsia="zh-CN"/>
              </w:rPr>
              <w:t>报价要求</w:t>
            </w:r>
          </w:p>
        </w:tc>
        <w:tc>
          <w:tcPr>
            <w:tcW w:w="6840" w:type="dxa"/>
            <w:tcBorders>
              <w:tl2br w:val="nil"/>
              <w:tr2bl w:val="nil"/>
            </w:tcBorders>
            <w:vAlign w:val="center"/>
          </w:tcPr>
          <w:p w14:paraId="6E7062A8">
            <w:pPr>
              <w:pStyle w:val="331"/>
              <w:pageBreakBefore w:val="0"/>
              <w:widowControl w:val="0"/>
              <w:kinsoku/>
              <w:wordWrap/>
              <w:overflowPunct/>
              <w:topLinePunct w:val="0"/>
              <w:autoSpaceDE w:val="0"/>
              <w:autoSpaceDN w:val="0"/>
              <w:bidi w:val="0"/>
              <w:spacing w:beforeAutospacing="0" w:afterAutospacing="0" w:line="240" w:lineRule="auto"/>
              <w:ind w:right="0"/>
              <w:rPr>
                <w:rFonts w:hint="default" w:ascii="仿宋" w:eastAsia="仿宋" w:cs="Times New Roman"/>
                <w:b/>
                <w:bCs/>
                <w:color w:val="auto"/>
                <w:highlight w:val="none"/>
                <w:lang w:val="en-US" w:eastAsia="zh-CN"/>
              </w:rPr>
            </w:pPr>
            <w:r>
              <w:rPr>
                <w:rFonts w:hint="eastAsia" w:ascii="仿宋" w:eastAsia="仿宋" w:cs="Times New Roman"/>
                <w:b/>
                <w:bCs/>
                <w:color w:val="auto"/>
                <w:highlight w:val="none"/>
                <w:lang w:val="en-US" w:eastAsia="zh-CN"/>
              </w:rPr>
              <w:t>本项目报价分为两部分：</w:t>
            </w:r>
          </w:p>
          <w:p w14:paraId="3C9B0E58">
            <w:pPr>
              <w:pStyle w:val="331"/>
              <w:pageBreakBefore w:val="0"/>
              <w:widowControl w:val="0"/>
              <w:numPr>
                <w:ilvl w:val="0"/>
                <w:numId w:val="25"/>
              </w:numPr>
              <w:kinsoku/>
              <w:wordWrap/>
              <w:overflowPunct/>
              <w:topLinePunct w:val="0"/>
              <w:autoSpaceDE w:val="0"/>
              <w:autoSpaceDN w:val="0"/>
              <w:bidi w:val="0"/>
              <w:spacing w:beforeAutospacing="0" w:afterAutospacing="0" w:line="240" w:lineRule="auto"/>
              <w:ind w:left="0" w:right="0" w:firstLine="241" w:firstLineChars="100"/>
              <w:rPr>
                <w:rFonts w:hint="eastAsia" w:ascii="仿宋" w:hAnsi="仿宋" w:eastAsia="仿宋" w:cs="Times New Roman"/>
                <w:b/>
                <w:bCs/>
                <w:color w:val="auto"/>
                <w:highlight w:val="none"/>
                <w:lang w:val="zh-CN"/>
              </w:rPr>
            </w:pPr>
            <w:r>
              <w:rPr>
                <w:rFonts w:ascii="仿宋" w:eastAsia="仿宋" w:cs="Times New Roman"/>
                <w:b/>
                <w:bCs/>
                <w:color w:val="auto"/>
                <w:highlight w:val="none"/>
                <w:lang w:val="zh-CN"/>
              </w:rPr>
              <w:t>本项目</w:t>
            </w:r>
            <w:r>
              <w:rPr>
                <w:rFonts w:hint="eastAsia" w:ascii="仿宋" w:eastAsia="仿宋" w:cs="Times New Roman"/>
                <w:b/>
                <w:bCs/>
                <w:color w:val="auto"/>
                <w:highlight w:val="none"/>
                <w:lang w:val="en-US" w:eastAsia="zh-CN"/>
              </w:rPr>
              <w:t>餐费及服务费：</w:t>
            </w:r>
            <w:r>
              <w:rPr>
                <w:rFonts w:ascii="仿宋" w:eastAsia="仿宋" w:cs="Times New Roman"/>
                <w:b/>
                <w:bCs/>
                <w:color w:val="auto"/>
                <w:highlight w:val="none"/>
                <w:lang w:val="zh-CN"/>
              </w:rPr>
              <w:t>最高限价为人民币</w:t>
            </w:r>
            <w:r>
              <w:rPr>
                <w:rFonts w:hint="eastAsia" w:ascii="仿宋" w:eastAsia="仿宋"/>
                <w:b/>
                <w:bCs/>
                <w:color w:val="auto"/>
                <w:kern w:val="2"/>
                <w:sz w:val="24"/>
                <w:szCs w:val="24"/>
                <w:highlight w:val="none"/>
                <w:lang w:val="en-US" w:eastAsia="zh-CN"/>
              </w:rPr>
              <w:t>1330000.00</w:t>
            </w:r>
            <w:r>
              <w:rPr>
                <w:rFonts w:ascii="仿宋" w:eastAsia="仿宋" w:cs="Times New Roman"/>
                <w:b/>
                <w:bCs/>
                <w:color w:val="auto"/>
                <w:highlight w:val="none"/>
                <w:lang w:val="zh-CN"/>
              </w:rPr>
              <w:t>元（大写：</w:t>
            </w:r>
            <w:r>
              <w:rPr>
                <w:rFonts w:hint="eastAsia" w:ascii="仿宋" w:eastAsia="仿宋" w:cs="Times New Roman"/>
                <w:b/>
                <w:bCs/>
                <w:color w:val="auto"/>
                <w:highlight w:val="none"/>
                <w:lang w:val="en-US" w:eastAsia="zh-CN"/>
              </w:rPr>
              <w:t>壹佰叁拾叁万元整</w:t>
            </w:r>
            <w:r>
              <w:rPr>
                <w:rFonts w:ascii="仿宋" w:eastAsia="仿宋" w:cs="Times New Roman"/>
                <w:b/>
                <w:bCs/>
                <w:color w:val="auto"/>
                <w:highlight w:val="none"/>
                <w:lang w:val="zh-CN"/>
              </w:rPr>
              <w:t>）</w:t>
            </w:r>
            <w:r>
              <w:rPr>
                <w:rFonts w:hint="eastAsia" w:ascii="仿宋" w:eastAsia="仿宋" w:cs="Times New Roman"/>
                <w:b/>
                <w:bCs/>
                <w:color w:val="auto"/>
                <w:highlight w:val="none"/>
                <w:lang w:val="zh-CN"/>
              </w:rPr>
              <w:t>，</w:t>
            </w:r>
            <w:r>
              <w:rPr>
                <w:rFonts w:hint="eastAsia" w:ascii="仿宋" w:hAnsi="仿宋" w:eastAsia="仿宋" w:cs="Times New Roman"/>
                <w:b/>
                <w:bCs/>
                <w:color w:val="auto"/>
                <w:highlight w:val="none"/>
                <w:lang w:val="en-US" w:eastAsia="zh-CN"/>
              </w:rPr>
              <w:t>控制</w:t>
            </w:r>
            <w:r>
              <w:rPr>
                <w:rFonts w:hint="eastAsia" w:ascii="仿宋" w:hAnsi="仿宋" w:eastAsia="仿宋" w:cs="Times New Roman"/>
                <w:b/>
                <w:bCs/>
                <w:color w:val="auto"/>
                <w:highlight w:val="none"/>
                <w:lang w:val="zh-CN"/>
              </w:rPr>
              <w:t>单价金额</w:t>
            </w:r>
            <w:r>
              <w:rPr>
                <w:rFonts w:hint="eastAsia" w:ascii="仿宋" w:hAnsi="仿宋" w:eastAsia="仿宋" w:cs="Times New Roman"/>
                <w:b/>
                <w:bCs/>
                <w:color w:val="auto"/>
                <w:highlight w:val="none"/>
                <w:lang w:val="en-US" w:eastAsia="zh-CN"/>
              </w:rPr>
              <w:t>20</w:t>
            </w:r>
            <w:r>
              <w:rPr>
                <w:rFonts w:hint="eastAsia" w:ascii="仿宋" w:hAnsi="仿宋" w:eastAsia="仿宋" w:cs="Times New Roman"/>
                <w:b/>
                <w:bCs/>
                <w:color w:val="auto"/>
                <w:highlight w:val="none"/>
                <w:lang w:val="zh-CN"/>
              </w:rPr>
              <w:t>元/人/天。</w:t>
            </w:r>
            <w:r>
              <w:rPr>
                <w:rFonts w:hint="eastAsia" w:ascii="仿宋" w:hAnsi="仿宋" w:eastAsia="仿宋" w:cs="Times New Roman"/>
                <w:b/>
                <w:bCs/>
                <w:color w:val="auto"/>
                <w:highlight w:val="none"/>
                <w:lang w:val="en-US" w:eastAsia="zh-CN"/>
              </w:rPr>
              <w:t>供应商</w:t>
            </w:r>
            <w:r>
              <w:rPr>
                <w:rFonts w:ascii="仿宋" w:hAnsi="仿宋" w:eastAsia="仿宋" w:cs="Times New Roman"/>
                <w:b/>
                <w:bCs/>
                <w:color w:val="auto"/>
                <w:highlight w:val="none"/>
                <w:lang w:val="zh-CN"/>
              </w:rPr>
              <w:t>报价超过本项目最高限价的</w:t>
            </w:r>
            <w:r>
              <w:rPr>
                <w:rFonts w:hint="eastAsia" w:ascii="仿宋" w:hAnsi="仿宋" w:eastAsia="仿宋" w:cs="Times New Roman"/>
                <w:b/>
                <w:bCs/>
                <w:color w:val="auto"/>
                <w:highlight w:val="none"/>
                <w:lang w:val="zh-CN"/>
              </w:rPr>
              <w:t>，</w:t>
            </w:r>
            <w:r>
              <w:rPr>
                <w:rFonts w:hint="eastAsia" w:ascii="仿宋" w:hAnsi="仿宋" w:eastAsia="仿宋" w:cs="Times New Roman"/>
                <w:b/>
                <w:bCs/>
                <w:color w:val="auto"/>
                <w:highlight w:val="none"/>
                <w:lang w:val="en-US" w:eastAsia="zh-CN"/>
              </w:rPr>
              <w:t>其响应文件作为</w:t>
            </w:r>
            <w:r>
              <w:rPr>
                <w:rFonts w:ascii="仿宋" w:hAnsi="仿宋" w:eastAsia="仿宋" w:cs="Times New Roman"/>
                <w:b/>
                <w:bCs/>
                <w:color w:val="auto"/>
                <w:highlight w:val="none"/>
                <w:lang w:val="zh-CN"/>
              </w:rPr>
              <w:t>无效</w:t>
            </w:r>
            <w:r>
              <w:rPr>
                <w:rFonts w:hint="eastAsia" w:ascii="仿宋" w:hAnsi="仿宋" w:eastAsia="仿宋" w:cs="Times New Roman"/>
                <w:b/>
                <w:bCs/>
                <w:color w:val="auto"/>
                <w:highlight w:val="none"/>
                <w:lang w:val="en-US" w:eastAsia="zh-CN"/>
              </w:rPr>
              <w:t>处理</w:t>
            </w:r>
            <w:r>
              <w:rPr>
                <w:rFonts w:ascii="仿宋" w:hAnsi="仿宋" w:eastAsia="仿宋" w:cs="Times New Roman"/>
                <w:b/>
                <w:bCs/>
                <w:color w:val="auto"/>
                <w:highlight w:val="none"/>
                <w:lang w:val="zh-CN"/>
              </w:rPr>
              <w:t>。</w:t>
            </w:r>
            <w:r>
              <w:rPr>
                <w:rFonts w:hint="eastAsia" w:ascii="仿宋" w:hAnsi="仿宋" w:eastAsia="仿宋" w:cs="Times New Roman"/>
                <w:b/>
                <w:bCs/>
                <w:color w:val="auto"/>
                <w:highlight w:val="none"/>
                <w:lang w:val="zh-CN"/>
              </w:rPr>
              <w:t>本项目投标报价仅允许对服务费标准（2元/人）进行下浮调整，午餐标准（18元/人）为固定费用，供应商不得降低，报价中若出现餐费下调，视为无效投标。</w:t>
            </w:r>
          </w:p>
          <w:p w14:paraId="141E4163">
            <w:pPr>
              <w:pStyle w:val="331"/>
              <w:pageBreakBefore w:val="0"/>
              <w:widowControl w:val="0"/>
              <w:numPr>
                <w:ilvl w:val="0"/>
                <w:numId w:val="25"/>
              </w:numPr>
              <w:kinsoku/>
              <w:wordWrap/>
              <w:overflowPunct/>
              <w:topLinePunct w:val="0"/>
              <w:autoSpaceDE w:val="0"/>
              <w:autoSpaceDN w:val="0"/>
              <w:bidi w:val="0"/>
              <w:spacing w:beforeAutospacing="0" w:afterAutospacing="0" w:line="240" w:lineRule="auto"/>
              <w:ind w:left="0" w:right="0" w:firstLine="241" w:firstLineChars="100"/>
              <w:rPr>
                <w:rFonts w:ascii="仿宋" w:eastAsia="仿宋" w:cs="Times New Roman"/>
                <w:color w:val="auto"/>
                <w:lang w:val="zh-CN"/>
              </w:rPr>
            </w:pPr>
            <w:r>
              <w:rPr>
                <w:rFonts w:hint="eastAsia" w:ascii="仿宋" w:hAnsi="仿宋" w:eastAsia="仿宋" w:cs="Times New Roman"/>
                <w:b/>
                <w:bCs/>
                <w:color w:val="auto"/>
                <w:highlight w:val="none"/>
                <w:lang w:val="zh-CN"/>
              </w:rPr>
              <w:t xml:space="preserve"> </w:t>
            </w:r>
            <w:r>
              <w:rPr>
                <w:rFonts w:hint="eastAsia" w:ascii="仿宋" w:hAnsi="仿宋" w:eastAsia="仿宋" w:cs="Times New Roman"/>
                <w:b/>
                <w:bCs/>
                <w:color w:val="auto"/>
                <w:highlight w:val="none"/>
                <w:lang w:val="en-US" w:eastAsia="zh-CN"/>
              </w:rPr>
              <w:t>投标人承包费用：承包费用不低于30万元/年（不含水、电、燃气、采暖费等一切经营相关费用），即投标人承包费用≥30万元/年。投标文件中的承包报价即为承包费。</w:t>
            </w:r>
          </w:p>
        </w:tc>
      </w:tr>
      <w:tr w14:paraId="18D4A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48" w:type="dxa"/>
            <w:tcBorders>
              <w:tl2br w:val="nil"/>
              <w:tr2bl w:val="nil"/>
            </w:tcBorders>
            <w:vAlign w:val="center"/>
          </w:tcPr>
          <w:p w14:paraId="18D77B3F">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2</w:t>
            </w:r>
          </w:p>
        </w:tc>
        <w:tc>
          <w:tcPr>
            <w:tcW w:w="1744" w:type="dxa"/>
            <w:tcBorders>
              <w:tl2br w:val="nil"/>
              <w:tr2bl w:val="nil"/>
            </w:tcBorders>
            <w:vAlign w:val="center"/>
          </w:tcPr>
          <w:p w14:paraId="6501549D">
            <w:pPr>
              <w:pStyle w:val="331"/>
              <w:spacing w:line="400" w:lineRule="exact"/>
              <w:jc w:val="center"/>
              <w:rPr>
                <w:rFonts w:ascii="仿宋" w:hAnsi="仿宋" w:eastAsia="仿宋" w:cs="Times New Roman"/>
                <w:color w:val="auto"/>
                <w:lang w:val="zh-CN"/>
              </w:rPr>
            </w:pPr>
            <w:r>
              <w:rPr>
                <w:rFonts w:ascii="仿宋" w:hAnsi="仿宋" w:eastAsia="仿宋" w:cs="Times New Roman"/>
                <w:color w:val="auto"/>
                <w:lang w:val="zh-CN"/>
              </w:rPr>
              <w:t>低于成本价</w:t>
            </w:r>
          </w:p>
          <w:p w14:paraId="3C2C4C5E">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hint="eastAsia" w:ascii="仿宋" w:hAnsi="仿宋" w:eastAsia="仿宋" w:cs="Times New Roman"/>
                <w:color w:val="auto"/>
                <w:lang w:val="en-US" w:eastAsia="zh-CN"/>
              </w:rPr>
              <w:t>不正当竞争预防措施</w:t>
            </w:r>
          </w:p>
        </w:tc>
        <w:tc>
          <w:tcPr>
            <w:tcW w:w="6840" w:type="dxa"/>
            <w:tcBorders>
              <w:tl2br w:val="nil"/>
              <w:tr2bl w:val="nil"/>
            </w:tcBorders>
            <w:vAlign w:val="center"/>
          </w:tcPr>
          <w:p w14:paraId="1195E221">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rPr>
            </w:pPr>
            <w:r>
              <w:rPr>
                <w:rFonts w:hint="eastAsia" w:ascii="仿宋" w:hAnsi="仿宋" w:eastAsia="仿宋" w:cs="Times New Roman"/>
                <w:color w:val="auto"/>
                <w:highlight w:val="none"/>
              </w:rPr>
              <w:t>如果评标委员会认为投标人的报价属于《关于推动解决政府采购异常低价问题的通知》【财库（2026）2号】规定的情形，应当启动异常低价投标（响应）审查程序，并按上述文件的有关规定作出处理。</w:t>
            </w:r>
          </w:p>
        </w:tc>
      </w:tr>
      <w:tr w14:paraId="1E1A3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48" w:type="dxa"/>
            <w:tcBorders>
              <w:tl2br w:val="nil"/>
              <w:tr2bl w:val="nil"/>
            </w:tcBorders>
            <w:vAlign w:val="center"/>
          </w:tcPr>
          <w:p w14:paraId="5846523C">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3</w:t>
            </w:r>
          </w:p>
        </w:tc>
        <w:tc>
          <w:tcPr>
            <w:tcW w:w="1744" w:type="dxa"/>
            <w:tcBorders>
              <w:tl2br w:val="nil"/>
              <w:tr2bl w:val="nil"/>
            </w:tcBorders>
            <w:vAlign w:val="center"/>
          </w:tcPr>
          <w:p w14:paraId="7957D6A2">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hint="eastAsia" w:ascii="仿宋" w:eastAsia="仿宋"/>
                <w:color w:val="auto"/>
              </w:rPr>
              <w:t>小微企业（监狱企业、残疾人福利性单位视同小微企业）价格扣除</w:t>
            </w:r>
          </w:p>
        </w:tc>
        <w:tc>
          <w:tcPr>
            <w:tcW w:w="6840" w:type="dxa"/>
            <w:tcBorders>
              <w:tl2br w:val="nil"/>
              <w:tr2bl w:val="nil"/>
            </w:tcBorders>
            <w:vAlign w:val="center"/>
          </w:tcPr>
          <w:p w14:paraId="6C5667A2">
            <w:pPr>
              <w:pStyle w:val="75"/>
              <w:snapToGrid/>
              <w:spacing w:before="60" w:beforeAutospacing="0" w:after="60" w:afterAutospacing="0" w:line="420" w:lineRule="exact"/>
              <w:ind w:firstLine="480"/>
              <w:rPr>
                <w:rFonts w:hint="eastAsia" w:ascii="仿宋" w:hAnsi="仿宋" w:eastAsia="仿宋" w:cs="宋体"/>
                <w:b w:val="0"/>
                <w:color w:val="auto"/>
                <w:sz w:val="24"/>
                <w:szCs w:val="24"/>
                <w:highlight w:val="none"/>
                <w:lang w:val="en-US"/>
              </w:rPr>
            </w:pPr>
            <w:r>
              <w:rPr>
                <w:rFonts w:hint="eastAsia" w:ascii="仿宋" w:eastAsia="仿宋" w:cs="宋体"/>
                <w:b w:val="0"/>
                <w:color w:val="auto"/>
                <w:sz w:val="24"/>
                <w:szCs w:val="24"/>
                <w:highlight w:val="none"/>
                <w:lang w:val="en-US"/>
              </w:rPr>
              <w:t>专门面向中小企业</w:t>
            </w:r>
            <w:r>
              <w:rPr>
                <w:rFonts w:hint="eastAsia" w:ascii="仿宋" w:eastAsia="仿宋" w:cs="宋体"/>
                <w:b w:val="0"/>
                <w:color w:val="auto"/>
                <w:sz w:val="24"/>
                <w:szCs w:val="24"/>
                <w:highlight w:val="none"/>
                <w:lang w:val="en-US" w:eastAsia="zh-CN"/>
              </w:rPr>
              <w:t>：</w:t>
            </w:r>
            <w:r>
              <w:rPr>
                <w:rFonts w:hint="eastAsia" w:ascii="仿宋" w:eastAsia="仿宋" w:cs="宋体"/>
                <w:b w:val="0"/>
                <w:color w:val="auto"/>
                <w:sz w:val="24"/>
                <w:szCs w:val="24"/>
                <w:lang w:val="en-US" w:eastAsia="zh-CN"/>
              </w:rPr>
              <w:t>根据《政府采购促进中小企业发展管理办法》（财库[2020]46号）的规定，</w:t>
            </w:r>
            <w:r>
              <w:rPr>
                <w:rFonts w:hint="eastAsia" w:ascii="仿宋" w:hAnsi="仿宋" w:eastAsia="仿宋" w:cs="宋体"/>
                <w:b w:val="0"/>
                <w:color w:val="auto"/>
                <w:sz w:val="24"/>
                <w:szCs w:val="24"/>
                <w:highlight w:val="none"/>
                <w:lang w:val="en-US"/>
              </w:rPr>
              <w:t>评审时不再执行价格评审优惠的扶持政策。应当提供《中小企业声明函》</w:t>
            </w:r>
            <w:r>
              <w:rPr>
                <w:rFonts w:hint="eastAsia" w:ascii="仿宋" w:hAnsi="仿宋" w:eastAsia="仿宋" w:cs="宋体"/>
                <w:b w:val="0"/>
                <w:color w:val="auto"/>
                <w:sz w:val="24"/>
                <w:szCs w:val="24"/>
                <w:highlight w:val="none"/>
                <w:lang w:val="en-US" w:eastAsia="zh-CN"/>
              </w:rPr>
              <w:t>（复印件加盖公章）</w:t>
            </w:r>
            <w:r>
              <w:rPr>
                <w:rFonts w:hint="eastAsia" w:ascii="仿宋" w:hAnsi="仿宋" w:eastAsia="仿宋" w:cs="宋体"/>
                <w:b w:val="0"/>
                <w:color w:val="auto"/>
                <w:sz w:val="24"/>
                <w:szCs w:val="24"/>
                <w:highlight w:val="none"/>
                <w:lang w:val="en-US"/>
              </w:rPr>
              <w:t xml:space="preserve">（格式详见 </w:t>
            </w:r>
            <w:r>
              <w:rPr>
                <w:rFonts w:hint="eastAsia" w:ascii="仿宋" w:hAnsi="仿宋" w:eastAsia="仿宋" w:cs="宋体"/>
                <w:b w:val="0"/>
                <w:color w:val="auto"/>
                <w:sz w:val="24"/>
                <w:szCs w:val="24"/>
                <w:highlight w:val="none"/>
                <w:lang w:val="en-US" w:eastAsia="zh-CN"/>
              </w:rPr>
              <w:t>投标</w:t>
            </w:r>
            <w:r>
              <w:rPr>
                <w:rFonts w:hint="eastAsia" w:ascii="仿宋" w:hAnsi="仿宋" w:eastAsia="仿宋" w:cs="宋体"/>
                <w:b w:val="0"/>
                <w:color w:val="auto"/>
                <w:sz w:val="24"/>
                <w:szCs w:val="24"/>
                <w:highlight w:val="none"/>
                <w:lang w:val="en-US"/>
              </w:rPr>
              <w:t>文件格式《中小企业声明函》）</w:t>
            </w:r>
            <w:r>
              <w:rPr>
                <w:rFonts w:hint="eastAsia" w:ascii="仿宋" w:hAnsi="仿宋" w:eastAsia="仿宋" w:cs="宋体"/>
                <w:b w:val="0"/>
                <w:color w:val="auto"/>
                <w:sz w:val="24"/>
                <w:szCs w:val="24"/>
                <w:highlight w:val="none"/>
                <w:lang w:val="en-US" w:eastAsia="zh-CN"/>
              </w:rPr>
              <w:t>，</w:t>
            </w:r>
            <w:r>
              <w:rPr>
                <w:rFonts w:hint="eastAsia" w:ascii="仿宋" w:hAnsi="仿宋" w:eastAsia="仿宋" w:cs="宋体"/>
                <w:b/>
                <w:bCs/>
                <w:color w:val="auto"/>
                <w:sz w:val="24"/>
                <w:szCs w:val="24"/>
                <w:highlight w:val="none"/>
                <w:lang w:val="en-US"/>
              </w:rPr>
              <w:t>未提供的，作为无效投标处理。</w:t>
            </w:r>
          </w:p>
          <w:p w14:paraId="674B32E3">
            <w:pPr>
              <w:keepNext w:val="0"/>
              <w:keepLines w:val="0"/>
              <w:pageBreakBefore w:val="0"/>
              <w:widowControl/>
              <w:kinsoku/>
              <w:wordWrap/>
              <w:overflowPunct/>
              <w:topLinePunct w:val="0"/>
              <w:autoSpaceDE/>
              <w:autoSpaceDN/>
              <w:bidi w:val="0"/>
              <w:adjustRightInd w:val="0"/>
              <w:snapToGrid w:val="0"/>
              <w:spacing w:beforeAutospacing="0" w:afterAutospacing="0" w:line="440" w:lineRule="exact"/>
              <w:ind w:left="0" w:right="0" w:firstLine="480" w:firstLineChars="200"/>
              <w:textAlignment w:val="auto"/>
              <w:rPr>
                <w:rFonts w:ascii="仿宋" w:eastAsia="仿宋"/>
                <w:color w:val="auto"/>
              </w:rPr>
            </w:pPr>
            <w:r>
              <w:rPr>
                <w:rFonts w:hint="eastAsia" w:ascii="仿宋" w:eastAsia="仿宋" w:cs="宋体"/>
                <w:b w:val="0"/>
                <w:color w:val="auto"/>
                <w:sz w:val="24"/>
                <w:szCs w:val="24"/>
                <w:lang w:val="en-US"/>
              </w:rPr>
              <w:t>注：中小企业划分标准依据《工业和信息化部、国家统计局、国家发展和改革委员会、财政部关于印发中小企业划型标准规定的通知》（工信部联企业〔2011〕300号）规定。</w:t>
            </w:r>
            <w:r>
              <w:rPr>
                <w:rFonts w:hint="eastAsia" w:ascii="仿宋" w:eastAsia="仿宋" w:cs="宋体"/>
                <w:b w:val="0"/>
                <w:color w:val="auto"/>
                <w:sz w:val="24"/>
                <w:szCs w:val="24"/>
                <w:highlight w:val="none"/>
                <w:lang w:val="en-US" w:eastAsia="zh-CN"/>
              </w:rPr>
              <w:t xml:space="preserve"> </w:t>
            </w:r>
          </w:p>
        </w:tc>
      </w:tr>
      <w:tr w14:paraId="2D777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8" w:type="dxa"/>
            <w:tcBorders>
              <w:tl2br w:val="nil"/>
              <w:tr2bl w:val="nil"/>
            </w:tcBorders>
            <w:vAlign w:val="center"/>
          </w:tcPr>
          <w:p w14:paraId="688CF5D6">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highlight w:val="none"/>
              </w:rPr>
            </w:pPr>
            <w:r>
              <w:rPr>
                <w:rFonts w:ascii="仿宋" w:eastAsia="仿宋"/>
                <w:b w:val="0"/>
                <w:color w:val="auto"/>
                <w:sz w:val="24"/>
                <w:szCs w:val="24"/>
                <w:highlight w:val="none"/>
              </w:rPr>
              <w:t>4</w:t>
            </w:r>
          </w:p>
        </w:tc>
        <w:tc>
          <w:tcPr>
            <w:tcW w:w="1744" w:type="dxa"/>
            <w:tcBorders>
              <w:tl2br w:val="nil"/>
              <w:tr2bl w:val="nil"/>
            </w:tcBorders>
            <w:vAlign w:val="center"/>
          </w:tcPr>
          <w:p w14:paraId="1C890DC0">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highlight w:val="none"/>
                <w:lang w:val="zh-CN"/>
              </w:rPr>
            </w:pPr>
            <w:r>
              <w:rPr>
                <w:rFonts w:ascii="仿宋" w:eastAsia="仿宋" w:cs="Times New Roman"/>
                <w:color w:val="auto"/>
                <w:highlight w:val="none"/>
                <w:lang w:val="zh-CN"/>
              </w:rPr>
              <w:t>参数说明</w:t>
            </w:r>
          </w:p>
        </w:tc>
        <w:tc>
          <w:tcPr>
            <w:tcW w:w="6840" w:type="dxa"/>
            <w:tcBorders>
              <w:tl2br w:val="nil"/>
              <w:tr2bl w:val="nil"/>
            </w:tcBorders>
            <w:vAlign w:val="center"/>
          </w:tcPr>
          <w:p w14:paraId="39A20C81">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hint="eastAsia" w:ascii="仿宋" w:eastAsia="仿宋" w:cs="Times New Roman"/>
                <w:color w:val="auto"/>
                <w:highlight w:val="none"/>
                <w:lang w:val="zh-CN" w:eastAsia="zh-CN"/>
              </w:rPr>
            </w:pPr>
            <w:r>
              <w:rPr>
                <w:rFonts w:hint="eastAsia" w:ascii="仿宋" w:eastAsia="仿宋" w:cs="Times New Roman"/>
                <w:color w:val="auto"/>
                <w:highlight w:val="none"/>
                <w:lang w:val="en-US" w:eastAsia="zh-CN"/>
              </w:rPr>
              <w:t>/</w:t>
            </w:r>
          </w:p>
        </w:tc>
      </w:tr>
      <w:tr w14:paraId="0C510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tcBorders>
              <w:tl2br w:val="nil"/>
              <w:tr2bl w:val="nil"/>
            </w:tcBorders>
            <w:vAlign w:val="center"/>
          </w:tcPr>
          <w:p w14:paraId="720C984F">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5</w:t>
            </w:r>
          </w:p>
        </w:tc>
        <w:tc>
          <w:tcPr>
            <w:tcW w:w="1744" w:type="dxa"/>
            <w:tcBorders>
              <w:tl2br w:val="nil"/>
              <w:tr2bl w:val="nil"/>
            </w:tcBorders>
            <w:vAlign w:val="center"/>
          </w:tcPr>
          <w:p w14:paraId="5BB709E7">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采购方式</w:t>
            </w:r>
          </w:p>
        </w:tc>
        <w:tc>
          <w:tcPr>
            <w:tcW w:w="6840" w:type="dxa"/>
            <w:tcBorders>
              <w:tl2br w:val="nil"/>
              <w:tr2bl w:val="nil"/>
            </w:tcBorders>
            <w:vAlign w:val="center"/>
          </w:tcPr>
          <w:p w14:paraId="4477F37F">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zh-CN"/>
              </w:rPr>
            </w:pPr>
            <w:r>
              <w:rPr>
                <w:rFonts w:ascii="仿宋" w:eastAsia="仿宋" w:cs="Times New Roman"/>
                <w:color w:val="auto"/>
                <w:lang w:val="zh-CN"/>
              </w:rPr>
              <w:t>公开招标。</w:t>
            </w:r>
          </w:p>
        </w:tc>
      </w:tr>
      <w:tr w14:paraId="6269D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tcBorders>
              <w:tl2br w:val="nil"/>
              <w:tr2bl w:val="nil"/>
            </w:tcBorders>
            <w:vAlign w:val="center"/>
          </w:tcPr>
          <w:p w14:paraId="2829E124">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6</w:t>
            </w:r>
          </w:p>
        </w:tc>
        <w:tc>
          <w:tcPr>
            <w:tcW w:w="1744" w:type="dxa"/>
            <w:tcBorders>
              <w:tl2br w:val="nil"/>
              <w:tr2bl w:val="nil"/>
            </w:tcBorders>
            <w:vAlign w:val="center"/>
          </w:tcPr>
          <w:p w14:paraId="666B4FBE">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进口产品</w:t>
            </w:r>
          </w:p>
        </w:tc>
        <w:tc>
          <w:tcPr>
            <w:tcW w:w="6840" w:type="dxa"/>
            <w:tcBorders>
              <w:tl2br w:val="nil"/>
              <w:tr2bl w:val="nil"/>
            </w:tcBorders>
            <w:vAlign w:val="center"/>
          </w:tcPr>
          <w:p w14:paraId="73396265">
            <w:pPr>
              <w:pStyle w:val="331"/>
              <w:pageBreakBefore w:val="0"/>
              <w:widowControl w:val="0"/>
              <w:kinsoku/>
              <w:wordWrap/>
              <w:overflowPunct/>
              <w:topLinePunct w:val="0"/>
              <w:autoSpaceDE w:val="0"/>
              <w:autoSpaceDN w:val="0"/>
              <w:bidi w:val="0"/>
              <w:spacing w:beforeAutospacing="0" w:afterAutospacing="0" w:line="240" w:lineRule="auto"/>
              <w:ind w:right="0" w:firstLine="240" w:firstLineChars="100"/>
              <w:rPr>
                <w:rFonts w:ascii="仿宋" w:eastAsia="仿宋" w:cs="Times New Roman"/>
                <w:color w:val="auto"/>
                <w:lang w:val="zh-CN"/>
              </w:rPr>
            </w:pPr>
            <w:r>
              <w:rPr>
                <w:rFonts w:hint="eastAsia" w:ascii="仿宋" w:hAnsi="仿宋" w:eastAsia="仿宋" w:cs="Times New Roman"/>
                <w:color w:val="auto"/>
                <w:lang w:val="zh-CN"/>
              </w:rPr>
              <w:t>本项目为服务类采购项目，不涉及进口产品采购。</w:t>
            </w:r>
          </w:p>
        </w:tc>
      </w:tr>
      <w:tr w14:paraId="43978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8" w:type="dxa"/>
            <w:tcBorders>
              <w:tl2br w:val="nil"/>
              <w:tr2bl w:val="nil"/>
            </w:tcBorders>
            <w:vAlign w:val="center"/>
          </w:tcPr>
          <w:p w14:paraId="2D818DF2">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7</w:t>
            </w:r>
          </w:p>
        </w:tc>
        <w:tc>
          <w:tcPr>
            <w:tcW w:w="1744" w:type="dxa"/>
            <w:tcBorders>
              <w:tl2br w:val="nil"/>
              <w:tr2bl w:val="nil"/>
            </w:tcBorders>
            <w:vAlign w:val="center"/>
          </w:tcPr>
          <w:p w14:paraId="398E43F0">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rPr>
            </w:pPr>
            <w:r>
              <w:rPr>
                <w:rFonts w:ascii="仿宋" w:eastAsia="仿宋" w:cs="Times New Roman"/>
                <w:color w:val="auto"/>
              </w:rPr>
              <w:t>国家规定的优先、强制采购范围</w:t>
            </w:r>
          </w:p>
          <w:p w14:paraId="1B0D0A8F">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rPr>
            </w:pPr>
            <w:r>
              <w:rPr>
                <w:rFonts w:ascii="仿宋" w:eastAsia="仿宋" w:cs="Times New Roman"/>
                <w:color w:val="auto"/>
              </w:rPr>
              <w:t>（节能、环保）</w:t>
            </w:r>
          </w:p>
        </w:tc>
        <w:tc>
          <w:tcPr>
            <w:tcW w:w="6840" w:type="dxa"/>
            <w:tcBorders>
              <w:tl2br w:val="nil"/>
              <w:tr2bl w:val="nil"/>
            </w:tcBorders>
            <w:vAlign w:val="center"/>
          </w:tcPr>
          <w:p w14:paraId="0AD1F531">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rPr>
            </w:pPr>
            <w:r>
              <w:rPr>
                <w:rFonts w:ascii="仿宋" w:eastAsia="仿宋" w:cs="Times New Roman"/>
                <w:color w:val="auto"/>
                <w:lang w:val="zh-CN"/>
              </w:rPr>
              <w:t>本项目为服务类采购项目，不涉及国家规定的强制采购产品范围</w:t>
            </w:r>
            <w:r>
              <w:rPr>
                <w:rFonts w:ascii="仿宋" w:eastAsia="仿宋" w:cs="Times New Roman"/>
                <w:color w:val="auto"/>
              </w:rPr>
              <w:t>。</w:t>
            </w:r>
          </w:p>
        </w:tc>
      </w:tr>
      <w:tr w14:paraId="6212D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748" w:type="dxa"/>
            <w:tcBorders>
              <w:tl2br w:val="nil"/>
              <w:tr2bl w:val="nil"/>
            </w:tcBorders>
            <w:vAlign w:val="center"/>
          </w:tcPr>
          <w:p w14:paraId="3158DAF9">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val="en-US" w:eastAsia="zh-CN"/>
              </w:rPr>
            </w:pPr>
            <w:r>
              <w:rPr>
                <w:rFonts w:hint="eastAsia" w:ascii="仿宋" w:eastAsia="仿宋"/>
                <w:b w:val="0"/>
                <w:color w:val="auto"/>
                <w:sz w:val="24"/>
                <w:szCs w:val="24"/>
                <w:lang w:val="en-US" w:eastAsia="zh-CN"/>
              </w:rPr>
              <w:t>8</w:t>
            </w:r>
          </w:p>
        </w:tc>
        <w:tc>
          <w:tcPr>
            <w:tcW w:w="1744" w:type="dxa"/>
            <w:tcBorders>
              <w:tl2br w:val="nil"/>
              <w:tr2bl w:val="nil"/>
            </w:tcBorders>
            <w:vAlign w:val="center"/>
          </w:tcPr>
          <w:p w14:paraId="7A180075">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hint="eastAsia" w:ascii="仿宋" w:eastAsia="仿宋" w:cs="Times New Roman"/>
                <w:color w:val="auto"/>
                <w:lang w:eastAsia="zh-CN"/>
              </w:rPr>
            </w:pPr>
            <w:r>
              <w:rPr>
                <w:rFonts w:hint="eastAsia" w:ascii="仿宋" w:eastAsia="仿宋" w:cs="Times New Roman"/>
                <w:color w:val="auto"/>
                <w:lang w:eastAsia="zh-CN"/>
              </w:rPr>
              <w:t>投标保证金</w:t>
            </w:r>
          </w:p>
        </w:tc>
        <w:tc>
          <w:tcPr>
            <w:tcW w:w="6840" w:type="dxa"/>
            <w:tcBorders>
              <w:tl2br w:val="nil"/>
              <w:tr2bl w:val="nil"/>
            </w:tcBorders>
            <w:vAlign w:val="center"/>
          </w:tcPr>
          <w:p w14:paraId="74CD3946">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hint="eastAsia" w:ascii="仿宋" w:eastAsia="仿宋" w:cs="Times New Roman"/>
                <w:color w:val="auto"/>
                <w:lang w:val="zh-CN"/>
              </w:rPr>
            </w:pPr>
            <w:r>
              <w:rPr>
                <w:rFonts w:hint="eastAsia" w:ascii="仿宋" w:eastAsia="仿宋" w:cs="Times New Roman"/>
                <w:color w:val="auto"/>
                <w:lang w:val="en-US" w:eastAsia="zh-CN"/>
              </w:rPr>
              <w:t>1.</w:t>
            </w:r>
            <w:r>
              <w:rPr>
                <w:rFonts w:hint="eastAsia" w:ascii="仿宋" w:eastAsia="仿宋" w:cs="Times New Roman"/>
                <w:color w:val="auto"/>
                <w:lang w:val="zh-CN"/>
              </w:rPr>
              <w:t>金额：</w:t>
            </w:r>
            <w:r>
              <w:rPr>
                <w:rFonts w:hint="eastAsia" w:ascii="仿宋" w:eastAsia="仿宋"/>
                <w:b w:val="0"/>
                <w:color w:val="auto"/>
                <w:kern w:val="2"/>
                <w:sz w:val="24"/>
                <w:szCs w:val="24"/>
                <w:highlight w:val="none"/>
                <w:lang w:val="en-US" w:eastAsia="zh-CN"/>
              </w:rPr>
              <w:t>壹万叁仟元整（¥13000.00）</w:t>
            </w:r>
          </w:p>
          <w:p w14:paraId="1982D4D8">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hint="eastAsia" w:ascii="仿宋" w:eastAsia="仿宋" w:cs="Times New Roman"/>
                <w:color w:val="auto"/>
                <w:lang w:val="zh-CN"/>
              </w:rPr>
            </w:pPr>
            <w:r>
              <w:rPr>
                <w:rFonts w:hint="eastAsia" w:ascii="仿宋" w:eastAsia="仿宋" w:cs="Times New Roman"/>
                <w:color w:val="auto"/>
                <w:lang w:val="en-US" w:eastAsia="zh-CN"/>
              </w:rPr>
              <w:t>2.</w:t>
            </w:r>
            <w:r>
              <w:rPr>
                <w:rFonts w:hint="eastAsia" w:ascii="仿宋" w:eastAsia="仿宋" w:cs="Times New Roman"/>
                <w:color w:val="auto"/>
                <w:lang w:val="zh-CN"/>
              </w:rPr>
              <w:t>交款方式：</w:t>
            </w:r>
            <w:r>
              <w:rPr>
                <w:rFonts w:hint="eastAsia" w:ascii="仿宋" w:eastAsia="仿宋"/>
                <w:b w:val="0"/>
                <w:color w:val="auto"/>
                <w:kern w:val="2"/>
                <w:sz w:val="24"/>
                <w:szCs w:val="24"/>
                <w:lang w:val="en-US" w:eastAsia="zh-CN"/>
              </w:rPr>
              <w:t>以银行转账、电汇、支票、银行汇票、电子保函等非现金形式提交。电子保函保函或者保险公司、担保公司保函应当从其基本账户开具。以投标人基本账户以外的个人、投标人的办事处、分公司、子公司名义或者其他账户转出的招标保证金无效。为保障资金的安全性和简化程序，建议投标人采用银行转账或者保函形式递交投标保证金为宜</w:t>
            </w:r>
            <w:r>
              <w:rPr>
                <w:rFonts w:hint="eastAsia" w:ascii="仿宋" w:eastAsia="仿宋" w:cs="Times New Roman"/>
                <w:color w:val="auto"/>
                <w:lang w:val="zh-CN"/>
              </w:rPr>
              <w:t>。</w:t>
            </w:r>
          </w:p>
          <w:p w14:paraId="12341D46">
            <w:pPr>
              <w:pStyle w:val="331"/>
              <w:keepNext w:val="0"/>
              <w:keepLines w:val="0"/>
              <w:pageBreakBefore w:val="0"/>
              <w:widowControl w:val="0"/>
              <w:kinsoku/>
              <w:wordWrap/>
              <w:overflowPunct/>
              <w:topLinePunct w:val="0"/>
              <w:autoSpaceDE w:val="0"/>
              <w:autoSpaceDN w:val="0"/>
              <w:bidi w:val="0"/>
              <w:adjustRightInd w:val="0"/>
              <w:snapToGrid w:val="0"/>
              <w:spacing w:beforeAutospacing="0" w:afterAutospacing="0" w:line="440" w:lineRule="exact"/>
              <w:ind w:left="0" w:right="0" w:firstLine="240" w:firstLineChars="100"/>
              <w:textAlignment w:val="auto"/>
              <w:rPr>
                <w:rFonts w:hint="eastAsia" w:ascii="仿宋" w:eastAsia="仿宋" w:cs="Times New Roman"/>
                <w:color w:val="auto"/>
                <w:lang w:val="zh-CN"/>
              </w:rPr>
            </w:pPr>
            <w:r>
              <w:rPr>
                <w:rFonts w:hint="eastAsia" w:ascii="仿宋" w:eastAsia="仿宋"/>
                <w:b w:val="0"/>
                <w:color w:val="auto"/>
                <w:kern w:val="2"/>
                <w:sz w:val="24"/>
                <w:szCs w:val="24"/>
                <w:lang w:val="en-US" w:eastAsia="zh-CN"/>
              </w:rPr>
              <w:t>3.</w:t>
            </w:r>
            <w:r>
              <w:rPr>
                <w:rFonts w:hint="eastAsia" w:ascii="仿宋" w:eastAsia="仿宋" w:cs="Times New Roman"/>
                <w:color w:val="auto"/>
                <w:lang w:val="en-US" w:eastAsia="zh-CN"/>
              </w:rPr>
              <w:t>投标</w:t>
            </w:r>
            <w:r>
              <w:rPr>
                <w:rFonts w:hint="eastAsia" w:ascii="仿宋" w:eastAsia="仿宋"/>
                <w:b w:val="0"/>
                <w:color w:val="auto"/>
                <w:kern w:val="2"/>
                <w:sz w:val="24"/>
                <w:szCs w:val="24"/>
                <w:lang w:val="en-US" w:eastAsia="zh-CN"/>
              </w:rPr>
              <w:t>保证金由投标人基本账户一次性汇入。</w:t>
            </w:r>
            <w:r>
              <w:rPr>
                <w:rFonts w:hint="eastAsia" w:ascii="仿宋" w:eastAsia="仿宋" w:cs="Times New Roman"/>
                <w:color w:val="auto"/>
                <w:lang w:val="en-US" w:eastAsia="zh-CN"/>
              </w:rPr>
              <w:t>投标</w:t>
            </w:r>
            <w:r>
              <w:rPr>
                <w:rFonts w:hint="eastAsia" w:ascii="仿宋" w:eastAsia="仿宋"/>
                <w:b w:val="0"/>
                <w:color w:val="auto"/>
                <w:kern w:val="2"/>
                <w:sz w:val="24"/>
                <w:szCs w:val="24"/>
                <w:lang w:val="en-US" w:eastAsia="zh-CN"/>
              </w:rPr>
              <w:t>保证金必须在提交响应文件截止时间前缴纳，投标人应充分考虑资金到账时间，在规定的时限前自行办妥</w:t>
            </w:r>
            <w:r>
              <w:rPr>
                <w:rFonts w:hint="eastAsia" w:ascii="仿宋" w:eastAsia="仿宋" w:cs="Times New Roman"/>
                <w:color w:val="auto"/>
                <w:lang w:eastAsia="zh-CN"/>
              </w:rPr>
              <w:t>投标</w:t>
            </w:r>
            <w:r>
              <w:rPr>
                <w:rFonts w:hint="eastAsia" w:ascii="仿宋" w:eastAsia="仿宋"/>
                <w:b w:val="0"/>
                <w:color w:val="auto"/>
                <w:kern w:val="2"/>
                <w:sz w:val="24"/>
                <w:szCs w:val="24"/>
                <w:lang w:val="en-US" w:eastAsia="zh-CN"/>
              </w:rPr>
              <w:t>保证金交纳手续。</w:t>
            </w:r>
            <w:r>
              <w:rPr>
                <w:rFonts w:hint="eastAsia" w:ascii="仿宋" w:eastAsia="仿宋" w:cs="Times New Roman"/>
                <w:color w:val="auto"/>
                <w:lang w:eastAsia="zh-CN"/>
              </w:rPr>
              <w:t>投标</w:t>
            </w:r>
            <w:r>
              <w:rPr>
                <w:rFonts w:hint="eastAsia" w:ascii="仿宋" w:eastAsia="仿宋"/>
                <w:b w:val="0"/>
                <w:color w:val="auto"/>
                <w:kern w:val="2"/>
                <w:sz w:val="24"/>
                <w:szCs w:val="24"/>
                <w:lang w:val="en-US" w:eastAsia="zh-CN"/>
              </w:rPr>
              <w:t>保证金采取银行转账、电汇方式递交的，以电汇凭证和网银对账单的时间为准，采取支票、银行汇票、保函方式递交的，以实际递交至代理机构的时间为准，超过时限交纳</w:t>
            </w:r>
            <w:r>
              <w:rPr>
                <w:rFonts w:hint="eastAsia" w:ascii="仿宋" w:eastAsia="仿宋" w:cs="Times New Roman"/>
                <w:color w:val="auto"/>
                <w:lang w:val="en-US" w:eastAsia="zh-CN"/>
              </w:rPr>
              <w:t>投标</w:t>
            </w:r>
            <w:r>
              <w:rPr>
                <w:rFonts w:hint="eastAsia" w:ascii="仿宋" w:eastAsia="仿宋"/>
                <w:b w:val="0"/>
                <w:color w:val="auto"/>
                <w:kern w:val="2"/>
                <w:sz w:val="24"/>
                <w:szCs w:val="24"/>
                <w:lang w:val="en-US" w:eastAsia="zh-CN"/>
              </w:rPr>
              <w:t>保证金视为响应无效。</w:t>
            </w:r>
          </w:p>
          <w:p w14:paraId="205D0EF7">
            <w:pPr>
              <w:keepNext w:val="0"/>
              <w:keepLines w:val="0"/>
              <w:pageBreakBefore w:val="0"/>
              <w:widowControl w:val="0"/>
              <w:kinsoku/>
              <w:wordWrap/>
              <w:overflowPunct/>
              <w:topLinePunct w:val="0"/>
              <w:bidi w:val="0"/>
              <w:snapToGrid w:val="0"/>
              <w:spacing w:beforeAutospacing="0" w:afterAutospacing="0" w:line="440" w:lineRule="exact"/>
              <w:ind w:left="0" w:right="0" w:firstLine="240" w:firstLineChars="10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 xml:space="preserve">3.银行转账保证金递交账户      </w:t>
            </w:r>
          </w:p>
          <w:p w14:paraId="293FCCEC">
            <w:pPr>
              <w:keepNext w:val="0"/>
              <w:keepLines w:val="0"/>
              <w:pageBreakBefore w:val="0"/>
              <w:widowControl w:val="0"/>
              <w:kinsoku/>
              <w:wordWrap/>
              <w:overflowPunct/>
              <w:topLinePunct w:val="0"/>
              <w:bidi w:val="0"/>
              <w:snapToGrid w:val="0"/>
              <w:spacing w:beforeAutospacing="0" w:afterAutospacing="0" w:line="440" w:lineRule="exact"/>
              <w:ind w:left="0" w:right="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账户名称：新疆驰珑信诚招标代理有限公司</w:t>
            </w:r>
          </w:p>
          <w:p w14:paraId="39095969">
            <w:pPr>
              <w:keepNext w:val="0"/>
              <w:keepLines w:val="0"/>
              <w:pageBreakBefore w:val="0"/>
              <w:widowControl w:val="0"/>
              <w:kinsoku/>
              <w:wordWrap/>
              <w:overflowPunct/>
              <w:topLinePunct w:val="0"/>
              <w:bidi w:val="0"/>
              <w:snapToGrid w:val="0"/>
              <w:spacing w:beforeAutospacing="0" w:afterAutospacing="0" w:line="440" w:lineRule="exact"/>
              <w:ind w:left="0" w:right="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账号：</w:t>
            </w:r>
            <w:r>
              <w:rPr>
                <w:rFonts w:hint="eastAsia" w:ascii="仿宋" w:hAnsi="仿宋" w:eastAsia="仿宋"/>
                <w:b w:val="0"/>
                <w:color w:val="auto"/>
                <w:kern w:val="2"/>
                <w:sz w:val="24"/>
                <w:szCs w:val="24"/>
                <w:lang w:val="en-US" w:eastAsia="zh-CN"/>
              </w:rPr>
              <w:t>65050162605200001684</w:t>
            </w:r>
            <w:r>
              <w:rPr>
                <w:rFonts w:hint="eastAsia" w:ascii="仿宋" w:eastAsia="仿宋"/>
                <w:b w:val="0"/>
                <w:color w:val="auto"/>
                <w:kern w:val="2"/>
                <w:sz w:val="24"/>
                <w:szCs w:val="24"/>
                <w:lang w:val="en-US" w:eastAsia="zh-CN"/>
              </w:rPr>
              <w:t>；行号：105885000050</w:t>
            </w:r>
          </w:p>
          <w:p w14:paraId="4E1E8FF3">
            <w:pPr>
              <w:keepNext w:val="0"/>
              <w:keepLines w:val="0"/>
              <w:pageBreakBefore w:val="0"/>
              <w:widowControl w:val="0"/>
              <w:kinsoku/>
              <w:wordWrap/>
              <w:overflowPunct/>
              <w:topLinePunct w:val="0"/>
              <w:bidi w:val="0"/>
              <w:snapToGrid w:val="0"/>
              <w:spacing w:beforeAutospacing="0" w:afterAutospacing="0" w:line="440" w:lineRule="exact"/>
              <w:ind w:left="0" w:right="0"/>
              <w:jc w:val="left"/>
              <w:textAlignment w:val="auto"/>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开户行名称：中国建设银行股份有限公司昌吉回族自治州分行经济开发区支行。</w:t>
            </w:r>
          </w:p>
          <w:p w14:paraId="62042886">
            <w:pPr>
              <w:pStyle w:val="331"/>
              <w:keepNext w:val="0"/>
              <w:keepLines w:val="0"/>
              <w:pageBreakBefore w:val="0"/>
              <w:widowControl w:val="0"/>
              <w:kinsoku/>
              <w:wordWrap/>
              <w:overflowPunct/>
              <w:topLinePunct w:val="0"/>
              <w:autoSpaceDE w:val="0"/>
              <w:autoSpaceDN w:val="0"/>
              <w:bidi w:val="0"/>
              <w:adjustRightInd w:val="0"/>
              <w:snapToGrid w:val="0"/>
              <w:spacing w:beforeAutospacing="0" w:afterAutospacing="0" w:line="440" w:lineRule="exact"/>
              <w:ind w:left="0" w:right="0" w:firstLine="241" w:firstLineChars="100"/>
              <w:textAlignment w:val="auto"/>
              <w:rPr>
                <w:rFonts w:ascii="仿宋" w:eastAsia="仿宋" w:cs="Times New Roman"/>
                <w:lang w:val="zh-CN"/>
              </w:rPr>
            </w:pPr>
            <w:r>
              <w:rPr>
                <w:rFonts w:hint="eastAsia" w:ascii="仿宋" w:eastAsia="仿宋"/>
                <w:b/>
                <w:bCs/>
                <w:color w:val="auto"/>
                <w:kern w:val="2"/>
                <w:sz w:val="24"/>
                <w:szCs w:val="24"/>
                <w:lang w:val="en-US" w:eastAsia="zh-CN"/>
              </w:rPr>
              <w:t>供应人在缴纳投标保证金时，需在进账凭证上明确资金用途和项目名称，并注明联系人及电话，以便查对核实。</w:t>
            </w:r>
          </w:p>
        </w:tc>
      </w:tr>
      <w:tr w14:paraId="105A3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8" w:type="dxa"/>
            <w:tcBorders>
              <w:tl2br w:val="nil"/>
              <w:tr2bl w:val="nil"/>
            </w:tcBorders>
            <w:vAlign w:val="center"/>
          </w:tcPr>
          <w:p w14:paraId="66B9887A">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8</w:t>
            </w:r>
          </w:p>
        </w:tc>
        <w:tc>
          <w:tcPr>
            <w:tcW w:w="1744" w:type="dxa"/>
            <w:tcBorders>
              <w:tl2br w:val="nil"/>
              <w:tr2bl w:val="nil"/>
            </w:tcBorders>
            <w:vAlign w:val="center"/>
          </w:tcPr>
          <w:p w14:paraId="497D873F">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构成招标文件的其他文件</w:t>
            </w:r>
          </w:p>
        </w:tc>
        <w:tc>
          <w:tcPr>
            <w:tcW w:w="6840" w:type="dxa"/>
            <w:tcBorders>
              <w:tl2br w:val="nil"/>
              <w:tr2bl w:val="nil"/>
            </w:tcBorders>
            <w:vAlign w:val="center"/>
          </w:tcPr>
          <w:p w14:paraId="67D0091C">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zh-CN"/>
              </w:rPr>
            </w:pPr>
            <w:r>
              <w:rPr>
                <w:rFonts w:ascii="仿宋" w:eastAsia="仿宋" w:cs="Times New Roman"/>
                <w:color w:val="auto"/>
                <w:lang w:val="zh-CN"/>
              </w:rPr>
              <w:t>招标文件的澄清、修改书及有关补充通知为招标文件的有效组成部分。</w:t>
            </w:r>
          </w:p>
        </w:tc>
      </w:tr>
      <w:tr w14:paraId="302F1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48" w:type="dxa"/>
            <w:tcBorders>
              <w:tl2br w:val="nil"/>
              <w:tr2bl w:val="nil"/>
            </w:tcBorders>
            <w:vAlign w:val="center"/>
          </w:tcPr>
          <w:p w14:paraId="5C5167FC">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9</w:t>
            </w:r>
          </w:p>
        </w:tc>
        <w:tc>
          <w:tcPr>
            <w:tcW w:w="1744" w:type="dxa"/>
            <w:tcBorders>
              <w:tl2br w:val="nil"/>
              <w:tr2bl w:val="nil"/>
            </w:tcBorders>
            <w:vAlign w:val="center"/>
          </w:tcPr>
          <w:p w14:paraId="5E58C953">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考察现场标前</w:t>
            </w:r>
          </w:p>
          <w:p w14:paraId="2A3CC676">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答疑会</w:t>
            </w:r>
          </w:p>
        </w:tc>
        <w:tc>
          <w:tcPr>
            <w:tcW w:w="6840" w:type="dxa"/>
            <w:tcBorders>
              <w:tl2br w:val="nil"/>
              <w:tr2bl w:val="nil"/>
            </w:tcBorders>
            <w:vAlign w:val="center"/>
          </w:tcPr>
          <w:p w14:paraId="7AAB2ACA">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zh-CN"/>
              </w:rPr>
            </w:pPr>
            <w:r>
              <w:rPr>
                <w:rFonts w:ascii="仿宋" w:eastAsia="仿宋" w:cs="Times New Roman"/>
                <w:color w:val="auto"/>
              </w:rPr>
              <w:t>详见投标人须知2.3.3。</w:t>
            </w:r>
          </w:p>
        </w:tc>
      </w:tr>
      <w:tr w14:paraId="38A49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tcBorders>
              <w:tl2br w:val="nil"/>
              <w:tr2bl w:val="nil"/>
            </w:tcBorders>
            <w:vAlign w:val="center"/>
          </w:tcPr>
          <w:p w14:paraId="298583D5">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1</w:t>
            </w:r>
            <w:r>
              <w:rPr>
                <w:rFonts w:hint="eastAsia" w:ascii="仿宋" w:eastAsia="仿宋"/>
                <w:b w:val="0"/>
                <w:color w:val="auto"/>
                <w:sz w:val="24"/>
                <w:szCs w:val="24"/>
              </w:rPr>
              <w:t>0</w:t>
            </w:r>
          </w:p>
        </w:tc>
        <w:tc>
          <w:tcPr>
            <w:tcW w:w="1744" w:type="dxa"/>
            <w:tcBorders>
              <w:tl2br w:val="nil"/>
              <w:tr2bl w:val="nil"/>
            </w:tcBorders>
            <w:vAlign w:val="center"/>
          </w:tcPr>
          <w:p w14:paraId="0E30AF8B">
            <w:pPr>
              <w:pStyle w:val="35"/>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color w:val="auto"/>
                <w:kern w:val="2"/>
                <w:sz w:val="24"/>
              </w:rPr>
            </w:pPr>
            <w:r>
              <w:rPr>
                <w:rFonts w:ascii="仿宋" w:eastAsia="仿宋"/>
                <w:color w:val="auto"/>
                <w:kern w:val="2"/>
                <w:sz w:val="24"/>
              </w:rPr>
              <w:t>投标有效期</w:t>
            </w:r>
          </w:p>
        </w:tc>
        <w:tc>
          <w:tcPr>
            <w:tcW w:w="6840" w:type="dxa"/>
            <w:tcBorders>
              <w:tl2br w:val="nil"/>
              <w:tr2bl w:val="nil"/>
            </w:tcBorders>
            <w:vAlign w:val="center"/>
          </w:tcPr>
          <w:p w14:paraId="41002E36">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zh-CN"/>
              </w:rPr>
            </w:pPr>
            <w:r>
              <w:rPr>
                <w:rFonts w:ascii="仿宋" w:eastAsia="仿宋" w:cs="Times New Roman"/>
                <w:color w:val="auto"/>
              </w:rPr>
              <w:t>从提交投标文件的截止之日起</w:t>
            </w:r>
            <w:r>
              <w:rPr>
                <w:rFonts w:ascii="仿宋" w:eastAsia="仿宋" w:cs="Times New Roman"/>
                <w:color w:val="auto"/>
                <w:lang w:val="zh-CN"/>
              </w:rPr>
              <w:t>90天。</w:t>
            </w:r>
          </w:p>
        </w:tc>
      </w:tr>
      <w:tr w14:paraId="0E9EF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48" w:type="dxa"/>
            <w:tcBorders>
              <w:tl2br w:val="nil"/>
              <w:tr2bl w:val="nil"/>
            </w:tcBorders>
            <w:vAlign w:val="center"/>
          </w:tcPr>
          <w:p w14:paraId="43C98C14">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1</w:t>
            </w:r>
            <w:r>
              <w:rPr>
                <w:rFonts w:hint="eastAsia" w:ascii="仿宋" w:eastAsia="仿宋"/>
                <w:b w:val="0"/>
                <w:color w:val="auto"/>
                <w:sz w:val="24"/>
                <w:szCs w:val="24"/>
              </w:rPr>
              <w:t>1</w:t>
            </w:r>
          </w:p>
        </w:tc>
        <w:tc>
          <w:tcPr>
            <w:tcW w:w="1744" w:type="dxa"/>
            <w:tcBorders>
              <w:tl2br w:val="nil"/>
              <w:tr2bl w:val="nil"/>
            </w:tcBorders>
            <w:vAlign w:val="center"/>
          </w:tcPr>
          <w:p w14:paraId="59256360">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lang w:val="zh-CN"/>
              </w:rPr>
            </w:pPr>
            <w:r>
              <w:rPr>
                <w:rFonts w:ascii="仿宋" w:eastAsia="仿宋" w:cs="Times New Roman"/>
                <w:color w:val="auto"/>
                <w:lang w:val="zh-CN"/>
              </w:rPr>
              <w:t>备选投标方案和报价</w:t>
            </w:r>
          </w:p>
        </w:tc>
        <w:tc>
          <w:tcPr>
            <w:tcW w:w="6840" w:type="dxa"/>
            <w:tcBorders>
              <w:tl2br w:val="nil"/>
              <w:tr2bl w:val="nil"/>
            </w:tcBorders>
            <w:vAlign w:val="center"/>
          </w:tcPr>
          <w:p w14:paraId="1FD09079">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zh-CN"/>
              </w:rPr>
            </w:pPr>
            <w:r>
              <w:rPr>
                <w:rFonts w:ascii="仿宋" w:eastAsia="仿宋" w:cs="Times New Roman"/>
                <w:color w:val="auto"/>
                <w:lang w:val="zh-CN"/>
              </w:rPr>
              <w:t>不接受备选投标方案和多个报价。</w:t>
            </w:r>
          </w:p>
        </w:tc>
      </w:tr>
      <w:tr w14:paraId="6EB1A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8" w:type="dxa"/>
            <w:tcBorders>
              <w:tl2br w:val="nil"/>
              <w:tr2bl w:val="nil"/>
            </w:tcBorders>
            <w:vAlign w:val="center"/>
          </w:tcPr>
          <w:p w14:paraId="24BC5A35">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1</w:t>
            </w:r>
            <w:r>
              <w:rPr>
                <w:rFonts w:hint="eastAsia" w:ascii="仿宋" w:eastAsia="仿宋"/>
                <w:b w:val="0"/>
                <w:color w:val="auto"/>
                <w:sz w:val="24"/>
                <w:szCs w:val="24"/>
              </w:rPr>
              <w:t>2</w:t>
            </w:r>
          </w:p>
        </w:tc>
        <w:tc>
          <w:tcPr>
            <w:tcW w:w="1744" w:type="dxa"/>
            <w:tcBorders>
              <w:tl2br w:val="nil"/>
              <w:tr2bl w:val="nil"/>
            </w:tcBorders>
            <w:vAlign w:val="center"/>
          </w:tcPr>
          <w:p w14:paraId="2E910F46">
            <w:pPr>
              <w:pStyle w:val="35"/>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color w:val="auto"/>
                <w:kern w:val="2"/>
                <w:sz w:val="24"/>
                <w:highlight w:val="none"/>
              </w:rPr>
            </w:pPr>
            <w:r>
              <w:rPr>
                <w:rFonts w:ascii="仿宋" w:eastAsia="仿宋"/>
                <w:color w:val="auto"/>
                <w:kern w:val="2"/>
                <w:sz w:val="24"/>
                <w:highlight w:val="none"/>
              </w:rPr>
              <w:t>投标文件装订</w:t>
            </w:r>
          </w:p>
          <w:p w14:paraId="4F982A29">
            <w:pPr>
              <w:pStyle w:val="35"/>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color w:val="auto"/>
                <w:kern w:val="2"/>
                <w:sz w:val="24"/>
                <w:highlight w:val="cyan"/>
              </w:rPr>
            </w:pPr>
            <w:r>
              <w:rPr>
                <w:rFonts w:ascii="仿宋" w:eastAsia="仿宋"/>
                <w:color w:val="auto"/>
                <w:kern w:val="2"/>
                <w:sz w:val="24"/>
                <w:highlight w:val="none"/>
              </w:rPr>
              <w:t>方式</w:t>
            </w:r>
          </w:p>
        </w:tc>
        <w:tc>
          <w:tcPr>
            <w:tcW w:w="6840" w:type="dxa"/>
            <w:tcBorders>
              <w:tl2br w:val="nil"/>
              <w:tr2bl w:val="nil"/>
            </w:tcBorders>
            <w:vAlign w:val="center"/>
          </w:tcPr>
          <w:p w14:paraId="28E9A3BA">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hint="eastAsia" w:ascii="仿宋" w:eastAsia="仿宋" w:cs="Times New Roman"/>
                <w:color w:val="auto"/>
                <w:highlight w:val="none"/>
              </w:rPr>
            </w:pPr>
            <w:r>
              <w:rPr>
                <w:rFonts w:hint="eastAsia" w:ascii="仿宋" w:eastAsia="仿宋" w:cs="Times New Roman"/>
                <w:color w:val="auto"/>
                <w:highlight w:val="none"/>
              </w:rPr>
              <w:t>纸质版投标文件要求：项目开</w:t>
            </w:r>
            <w:r>
              <w:rPr>
                <w:rFonts w:hint="eastAsia" w:ascii="仿宋" w:eastAsia="仿宋" w:cs="Times New Roman"/>
                <w:color w:val="auto"/>
                <w:highlight w:val="none"/>
                <w:lang w:val="en-US" w:eastAsia="zh-CN"/>
              </w:rPr>
              <w:t>评</w:t>
            </w:r>
            <w:r>
              <w:rPr>
                <w:rFonts w:hint="eastAsia" w:ascii="仿宋" w:eastAsia="仿宋" w:cs="Times New Roman"/>
                <w:color w:val="auto"/>
                <w:highlight w:val="none"/>
              </w:rPr>
              <w:t>标结束后，</w:t>
            </w:r>
            <w:r>
              <w:rPr>
                <w:rFonts w:hint="eastAsia" w:ascii="仿宋" w:eastAsia="仿宋" w:cs="Times New Roman"/>
                <w:color w:val="auto"/>
                <w:highlight w:val="none"/>
                <w:lang w:val="en-US" w:eastAsia="zh-CN"/>
              </w:rPr>
              <w:t>成交供应商</w:t>
            </w:r>
            <w:r>
              <w:rPr>
                <w:rFonts w:hint="eastAsia" w:ascii="仿宋" w:eastAsia="仿宋" w:cs="Times New Roman"/>
                <w:color w:val="auto"/>
                <w:highlight w:val="none"/>
              </w:rPr>
              <w:t>需提供</w:t>
            </w:r>
            <w:r>
              <w:rPr>
                <w:rFonts w:hint="eastAsia" w:ascii="仿宋" w:eastAsia="仿宋" w:cs="Times New Roman"/>
                <w:color w:val="auto"/>
                <w:highlight w:val="none"/>
                <w:lang w:val="en-US" w:eastAsia="zh-CN"/>
              </w:rPr>
              <w:t>3份</w:t>
            </w:r>
            <w:r>
              <w:rPr>
                <w:rFonts w:hint="eastAsia" w:ascii="仿宋" w:eastAsia="仿宋" w:cs="Times New Roman"/>
                <w:color w:val="auto"/>
              </w:rPr>
              <w:t>（与网上上传标书一致）</w:t>
            </w:r>
            <w:r>
              <w:rPr>
                <w:rFonts w:hint="eastAsia" w:ascii="仿宋" w:eastAsia="仿宋" w:cs="Times New Roman"/>
                <w:color w:val="auto"/>
                <w:highlight w:val="none"/>
              </w:rPr>
              <w:t>纸质投标文件至招标代理机构（可邮寄），采用胶装方式装订成册，不得散装或者合页装订；</w:t>
            </w:r>
          </w:p>
          <w:p w14:paraId="7C0CC1CD">
            <w:pPr>
              <w:pStyle w:val="331"/>
              <w:pageBreakBefore w:val="0"/>
              <w:widowControl w:val="0"/>
              <w:kinsoku/>
              <w:wordWrap/>
              <w:overflowPunct/>
              <w:topLinePunct w:val="0"/>
              <w:autoSpaceDE w:val="0"/>
              <w:autoSpaceDN w:val="0"/>
              <w:bidi w:val="0"/>
              <w:spacing w:beforeAutospacing="0" w:afterAutospacing="0" w:line="240" w:lineRule="auto"/>
              <w:ind w:left="0" w:right="0" w:firstLine="0"/>
              <w:rPr>
                <w:rFonts w:hint="eastAsia" w:ascii="仿宋" w:eastAsia="仿宋" w:cs="Times New Roman"/>
                <w:color w:val="auto"/>
                <w:highlight w:val="none"/>
              </w:rPr>
            </w:pPr>
            <w:r>
              <w:rPr>
                <w:rFonts w:hint="eastAsia" w:ascii="仿宋" w:eastAsia="仿宋" w:cs="Times New Roman"/>
                <w:color w:val="auto"/>
                <w:highlight w:val="none"/>
              </w:rPr>
              <w:t>地址：新疆昌吉市建国西路199号和谐国际广场K座1</w:t>
            </w:r>
            <w:r>
              <w:rPr>
                <w:rFonts w:hint="eastAsia" w:ascii="仿宋" w:eastAsia="仿宋" w:cs="Times New Roman"/>
                <w:color w:val="auto"/>
                <w:highlight w:val="none"/>
                <w:lang w:val="en-US" w:eastAsia="zh-CN"/>
              </w:rPr>
              <w:t>915</w:t>
            </w:r>
            <w:r>
              <w:rPr>
                <w:rFonts w:hint="eastAsia" w:ascii="仿宋" w:eastAsia="仿宋" w:cs="Times New Roman"/>
                <w:color w:val="auto"/>
                <w:highlight w:val="none"/>
              </w:rPr>
              <w:t xml:space="preserve">室    </w:t>
            </w:r>
          </w:p>
          <w:p w14:paraId="3EEB23DE">
            <w:pPr>
              <w:pStyle w:val="331"/>
              <w:pageBreakBefore w:val="0"/>
              <w:widowControl w:val="0"/>
              <w:kinsoku/>
              <w:wordWrap/>
              <w:overflowPunct/>
              <w:topLinePunct w:val="0"/>
              <w:autoSpaceDE w:val="0"/>
              <w:autoSpaceDN w:val="0"/>
              <w:bidi w:val="0"/>
              <w:spacing w:beforeAutospacing="0" w:afterAutospacing="0" w:line="240" w:lineRule="auto"/>
              <w:ind w:left="0" w:right="0" w:firstLine="0"/>
              <w:rPr>
                <w:rFonts w:ascii="仿宋" w:eastAsia="仿宋" w:cs="Times New Roman"/>
                <w:color w:val="auto"/>
                <w:highlight w:val="cyan"/>
                <w:lang w:val="en-US" w:eastAsia="zh-CN"/>
              </w:rPr>
            </w:pPr>
            <w:r>
              <w:rPr>
                <w:rFonts w:hint="eastAsia" w:ascii="仿宋" w:eastAsia="仿宋" w:cs="Times New Roman"/>
                <w:color w:val="auto"/>
                <w:highlight w:val="none"/>
              </w:rPr>
              <w:t>收件人：</w:t>
            </w:r>
            <w:r>
              <w:rPr>
                <w:rFonts w:hint="eastAsia" w:ascii="仿宋" w:eastAsia="仿宋" w:cs="Times New Roman"/>
                <w:color w:val="auto"/>
                <w:highlight w:val="none"/>
                <w:lang w:val="en-US" w:eastAsia="zh-CN"/>
              </w:rPr>
              <w:t>杨静</w:t>
            </w:r>
            <w:r>
              <w:rPr>
                <w:rFonts w:hint="eastAsia" w:ascii="仿宋" w:eastAsia="仿宋" w:cs="Times New Roman"/>
                <w:color w:val="auto"/>
                <w:highlight w:val="none"/>
              </w:rPr>
              <w:t xml:space="preserve">  联系电话：</w:t>
            </w:r>
            <w:r>
              <w:rPr>
                <w:rFonts w:hint="eastAsia" w:ascii="仿宋" w:eastAsia="仿宋" w:cs="Times New Roman"/>
                <w:color w:val="auto"/>
                <w:highlight w:val="none"/>
                <w:lang w:val="en-US" w:eastAsia="zh-CN"/>
              </w:rPr>
              <w:t>13899819470</w:t>
            </w:r>
          </w:p>
        </w:tc>
      </w:tr>
      <w:tr w14:paraId="1C332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8" w:type="dxa"/>
            <w:tcBorders>
              <w:tl2br w:val="nil"/>
              <w:tr2bl w:val="nil"/>
            </w:tcBorders>
            <w:vAlign w:val="center"/>
          </w:tcPr>
          <w:p w14:paraId="7431BEB5">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rPr>
            </w:pPr>
            <w:r>
              <w:rPr>
                <w:rFonts w:ascii="仿宋" w:eastAsia="仿宋"/>
                <w:b w:val="0"/>
                <w:color w:val="auto"/>
                <w:sz w:val="24"/>
                <w:szCs w:val="24"/>
              </w:rPr>
              <w:t>1</w:t>
            </w:r>
            <w:r>
              <w:rPr>
                <w:rFonts w:hint="eastAsia" w:ascii="仿宋" w:eastAsia="仿宋"/>
                <w:b w:val="0"/>
                <w:color w:val="auto"/>
                <w:sz w:val="24"/>
                <w:szCs w:val="24"/>
                <w:lang w:val="en-US"/>
              </w:rPr>
              <w:t>3</w:t>
            </w:r>
          </w:p>
        </w:tc>
        <w:tc>
          <w:tcPr>
            <w:tcW w:w="1744" w:type="dxa"/>
            <w:tcBorders>
              <w:tl2br w:val="nil"/>
              <w:tr2bl w:val="nil"/>
            </w:tcBorders>
            <w:vAlign w:val="center"/>
          </w:tcPr>
          <w:p w14:paraId="352FFD07">
            <w:pPr>
              <w:pStyle w:val="35"/>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color w:val="auto"/>
                <w:kern w:val="2"/>
                <w:sz w:val="24"/>
                <w:highlight w:val="cyan"/>
              </w:rPr>
            </w:pPr>
            <w:r>
              <w:rPr>
                <w:rFonts w:hint="eastAsia" w:ascii="仿宋" w:eastAsia="仿宋"/>
                <w:color w:val="auto"/>
                <w:kern w:val="2"/>
                <w:sz w:val="24"/>
                <w:highlight w:val="none"/>
              </w:rPr>
              <w:t>电子文档</w:t>
            </w:r>
          </w:p>
        </w:tc>
        <w:tc>
          <w:tcPr>
            <w:tcW w:w="6840" w:type="dxa"/>
            <w:tcBorders>
              <w:tl2br w:val="nil"/>
              <w:tr2bl w:val="nil"/>
            </w:tcBorders>
            <w:vAlign w:val="center"/>
          </w:tcPr>
          <w:p w14:paraId="0861CE86">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highlight w:val="cyan"/>
                <w:lang w:val="zh-CN"/>
              </w:rPr>
            </w:pPr>
            <w:r>
              <w:rPr>
                <w:rFonts w:hint="eastAsia" w:ascii="仿宋" w:eastAsia="仿宋" w:cs="Times New Roman"/>
                <w:color w:val="auto"/>
                <w:highlight w:val="none"/>
                <w:lang w:val="en-US" w:eastAsia="zh-CN"/>
              </w:rPr>
              <w:t>/</w:t>
            </w:r>
          </w:p>
        </w:tc>
      </w:tr>
      <w:tr w14:paraId="33055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Borders>
              <w:tl2br w:val="nil"/>
              <w:tr2bl w:val="nil"/>
            </w:tcBorders>
            <w:vAlign w:val="center"/>
          </w:tcPr>
          <w:p w14:paraId="399AF517">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lang w:val="en-US"/>
              </w:rPr>
            </w:pPr>
            <w:r>
              <w:rPr>
                <w:rFonts w:hint="eastAsia" w:ascii="仿宋" w:eastAsia="仿宋"/>
                <w:b w:val="0"/>
                <w:color w:val="auto"/>
                <w:sz w:val="24"/>
                <w:szCs w:val="24"/>
                <w:lang w:val="en-US"/>
              </w:rPr>
              <w:t>14</w:t>
            </w:r>
          </w:p>
        </w:tc>
        <w:tc>
          <w:tcPr>
            <w:tcW w:w="1744" w:type="dxa"/>
            <w:tcBorders>
              <w:tl2br w:val="nil"/>
              <w:tr2bl w:val="nil"/>
            </w:tcBorders>
            <w:vAlign w:val="center"/>
          </w:tcPr>
          <w:p w14:paraId="7CE13DCD">
            <w:pPr>
              <w:pStyle w:val="35"/>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color w:val="auto"/>
                <w:kern w:val="2"/>
                <w:sz w:val="24"/>
                <w:lang w:eastAsia="zh-CN"/>
              </w:rPr>
            </w:pPr>
            <w:r>
              <w:rPr>
                <w:rFonts w:hint="eastAsia" w:ascii="仿宋" w:eastAsia="仿宋"/>
                <w:color w:val="auto"/>
                <w:kern w:val="2"/>
                <w:sz w:val="24"/>
                <w:lang w:val="en-US" w:eastAsia="zh-CN"/>
              </w:rPr>
              <w:t>开标方式</w:t>
            </w:r>
          </w:p>
        </w:tc>
        <w:tc>
          <w:tcPr>
            <w:tcW w:w="6840" w:type="dxa"/>
            <w:tcBorders>
              <w:tl2br w:val="nil"/>
              <w:tr2bl w:val="nil"/>
            </w:tcBorders>
            <w:vAlign w:val="center"/>
          </w:tcPr>
          <w:p w14:paraId="31DD1F68">
            <w:pPr>
              <w:pStyle w:val="101"/>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1、本项目采用全流程不见面电子开评标，投标人需要使用CA加密设备，投标人可通过新疆数字证书认证中心官网（https://www.xjca.com.cn/）或下载“新疆政务通”APP自行进行申领。</w:t>
            </w:r>
          </w:p>
          <w:p w14:paraId="3E9E5CAE">
            <w:pPr>
              <w:pStyle w:val="101"/>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2、本项目实行网上投标，采用加密电子投标文件（投标人须使用CA加密设备通过政采云电子投标客户端制作投标文件）。若投标人参与投标，自行承担投标一切费用。</w:t>
            </w:r>
          </w:p>
          <w:p w14:paraId="62D24474">
            <w:pPr>
              <w:pStyle w:val="101"/>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3、各投标人在开标前应确保成为新疆维吾尔自治区政府采购网正式注册入库供应商，并完成CA数字证书申领。因未注册入库、未办理CA数字证书等原因造成无法投标或投标失败等后果由投标人自行承担。</w:t>
            </w:r>
          </w:p>
          <w:p w14:paraId="2B21C1DF">
            <w:pPr>
              <w:pStyle w:val="101"/>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4、投标人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eastAsia="仿宋"/>
                <w:b w:val="0"/>
                <w:color w:val="auto"/>
                <w:kern w:val="2"/>
                <w:sz w:val="24"/>
                <w:szCs w:val="24"/>
                <w:lang w:val="en-US" w:eastAsia="zh-CN"/>
              </w:rPr>
              <w:t>95763</w:t>
            </w:r>
            <w:r>
              <w:rPr>
                <w:rFonts w:hint="eastAsia" w:ascii="仿宋" w:eastAsia="仿宋"/>
                <w:b w:val="0"/>
                <w:color w:val="auto"/>
                <w:kern w:val="2"/>
                <w:sz w:val="24"/>
                <w:szCs w:val="24"/>
                <w:lang w:val="en-US"/>
              </w:rPr>
              <w:t>进行咨询。</w:t>
            </w:r>
          </w:p>
          <w:p w14:paraId="425877A1">
            <w:pPr>
              <w:pStyle w:val="101"/>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5、投标人在开标时须使用制作加密电子投标文件所使用的CA锁及电脑，电脑须提前配置好浏览器（建议使用谷歌浏览器），以便开标时解锁。</w:t>
            </w:r>
          </w:p>
          <w:p w14:paraId="4BA59AB7">
            <w:pPr>
              <w:pStyle w:val="101"/>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r>
              <w:rPr>
                <w:rFonts w:hint="eastAsia" w:ascii="仿宋" w:eastAsia="仿宋"/>
                <w:b w:val="0"/>
                <w:color w:val="auto"/>
                <w:kern w:val="2"/>
                <w:sz w:val="24"/>
                <w:szCs w:val="24"/>
                <w:highlight w:val="none"/>
                <w:lang w:val="en-US" w:eastAsia="zh-CN"/>
              </w:rPr>
              <w:t>供应商钉钉群号：政采云新疆供应商服务二十群：35547618、二十一群：44303812</w:t>
            </w:r>
            <w:r>
              <w:rPr>
                <w:rFonts w:hint="eastAsia" w:ascii="仿宋" w:eastAsia="仿宋"/>
                <w:b w:val="0"/>
                <w:color w:val="auto"/>
                <w:kern w:val="2"/>
                <w:sz w:val="24"/>
                <w:szCs w:val="24"/>
                <w:lang w:val="en-US"/>
              </w:rPr>
              <w:t>，钉钉工具软件具有回放功能，直播培训结束后可在钉钉群中回放观看学习。</w:t>
            </w:r>
          </w:p>
          <w:p w14:paraId="03961D61">
            <w:pPr>
              <w:pStyle w:val="331"/>
              <w:keepNext w:val="0"/>
              <w:keepLines w:val="0"/>
              <w:pageBreakBefore w:val="0"/>
              <w:widowControl w:val="0"/>
              <w:kinsoku/>
              <w:wordWrap/>
              <w:overflowPunct/>
              <w:topLinePunct w:val="0"/>
              <w:autoSpaceDE w:val="0"/>
              <w:autoSpaceDN w:val="0"/>
              <w:bidi w:val="0"/>
              <w:spacing w:beforeAutospacing="0" w:afterAutospacing="0" w:line="380" w:lineRule="exact"/>
              <w:ind w:left="0" w:right="0" w:firstLine="240" w:firstLineChars="100"/>
              <w:textAlignment w:val="auto"/>
              <w:rPr>
                <w:rFonts w:hint="eastAsia" w:ascii="仿宋" w:eastAsia="仿宋" w:cs="Times New Roman"/>
                <w:color w:val="auto"/>
              </w:rPr>
            </w:pPr>
            <w:r>
              <w:rPr>
                <w:rFonts w:hint="eastAsia" w:ascii="仿宋" w:eastAsia="仿宋"/>
                <w:kern w:val="2"/>
              </w:rPr>
              <w:t>7、为了保证开评标顺利进行，政采云线上开标功能完全实现，投标人开标所使用的电脑设备须具有视频及语音功能。</w:t>
            </w:r>
          </w:p>
        </w:tc>
      </w:tr>
      <w:tr w14:paraId="7A108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48" w:type="dxa"/>
            <w:tcBorders>
              <w:tl2br w:val="nil"/>
              <w:tr2bl w:val="nil"/>
            </w:tcBorders>
            <w:vAlign w:val="center"/>
          </w:tcPr>
          <w:p w14:paraId="1D421614">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eastAsia="zh-CN"/>
              </w:rPr>
            </w:pPr>
            <w:r>
              <w:rPr>
                <w:rFonts w:ascii="仿宋" w:eastAsia="仿宋"/>
                <w:b w:val="0"/>
                <w:color w:val="auto"/>
                <w:sz w:val="24"/>
                <w:szCs w:val="24"/>
              </w:rPr>
              <w:t>1</w:t>
            </w:r>
            <w:r>
              <w:rPr>
                <w:rFonts w:hint="eastAsia" w:ascii="仿宋" w:eastAsia="仿宋"/>
                <w:b w:val="0"/>
                <w:color w:val="auto"/>
                <w:sz w:val="24"/>
                <w:szCs w:val="24"/>
                <w:lang w:val="en-US" w:eastAsia="zh-CN"/>
              </w:rPr>
              <w:t>5</w:t>
            </w:r>
          </w:p>
        </w:tc>
        <w:tc>
          <w:tcPr>
            <w:tcW w:w="1744" w:type="dxa"/>
            <w:tcBorders>
              <w:tl2br w:val="nil"/>
              <w:tr2bl w:val="nil"/>
            </w:tcBorders>
            <w:vAlign w:val="center"/>
          </w:tcPr>
          <w:p w14:paraId="4CEA423C">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评标方法</w:t>
            </w:r>
          </w:p>
        </w:tc>
        <w:tc>
          <w:tcPr>
            <w:tcW w:w="6840" w:type="dxa"/>
            <w:tcBorders>
              <w:tl2br w:val="nil"/>
              <w:tr2bl w:val="nil"/>
            </w:tcBorders>
            <w:vAlign w:val="center"/>
          </w:tcPr>
          <w:p w14:paraId="57BD31AC">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zh-CN"/>
              </w:rPr>
            </w:pPr>
            <w:r>
              <w:rPr>
                <w:rFonts w:ascii="仿宋" w:eastAsia="仿宋" w:cs="Times New Roman"/>
                <w:color w:val="auto"/>
                <w:lang w:val="zh-CN"/>
              </w:rPr>
              <w:t>综合评分法。</w:t>
            </w:r>
          </w:p>
        </w:tc>
      </w:tr>
      <w:tr w14:paraId="357FC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8" w:type="dxa"/>
            <w:tcBorders>
              <w:tl2br w:val="nil"/>
              <w:tr2bl w:val="nil"/>
            </w:tcBorders>
            <w:vAlign w:val="center"/>
          </w:tcPr>
          <w:p w14:paraId="5E811FB8">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eastAsia="zh-CN"/>
              </w:rPr>
            </w:pPr>
            <w:r>
              <w:rPr>
                <w:rFonts w:hint="eastAsia" w:ascii="仿宋" w:eastAsia="仿宋"/>
                <w:b w:val="0"/>
                <w:color w:val="auto"/>
                <w:sz w:val="24"/>
                <w:szCs w:val="24"/>
              </w:rPr>
              <w:t>1</w:t>
            </w:r>
            <w:r>
              <w:rPr>
                <w:rFonts w:hint="eastAsia" w:ascii="仿宋" w:eastAsia="仿宋"/>
                <w:b w:val="0"/>
                <w:color w:val="auto"/>
                <w:sz w:val="24"/>
                <w:szCs w:val="24"/>
                <w:lang w:val="en-US" w:eastAsia="zh-CN"/>
              </w:rPr>
              <w:t>6</w:t>
            </w:r>
          </w:p>
        </w:tc>
        <w:tc>
          <w:tcPr>
            <w:tcW w:w="1744" w:type="dxa"/>
            <w:tcBorders>
              <w:tl2br w:val="nil"/>
              <w:tr2bl w:val="nil"/>
            </w:tcBorders>
            <w:vAlign w:val="center"/>
          </w:tcPr>
          <w:p w14:paraId="16625DC1">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hint="eastAsia" w:ascii="仿宋" w:eastAsia="仿宋"/>
                <w:b w:val="0"/>
                <w:color w:val="auto"/>
                <w:sz w:val="24"/>
                <w:szCs w:val="24"/>
              </w:rPr>
              <w:t>询问</w:t>
            </w:r>
          </w:p>
        </w:tc>
        <w:tc>
          <w:tcPr>
            <w:tcW w:w="6840" w:type="dxa"/>
            <w:tcBorders>
              <w:tl2br w:val="nil"/>
              <w:tr2bl w:val="nil"/>
            </w:tcBorders>
            <w:vAlign w:val="center"/>
          </w:tcPr>
          <w:p w14:paraId="0BBCF84E">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对招标文件、招标过程、招标结果的询问向采购人或采购代理机构提出，并由采购人按相关规定作出答复或采购代理机构在委托授权范围内作出答复。</w:t>
            </w:r>
          </w:p>
          <w:p w14:paraId="23FAF115">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询问可以采取书面形式，也可以采取口头方式。</w:t>
            </w:r>
          </w:p>
          <w:p w14:paraId="6597BE96">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b w:val="0"/>
                <w:color w:val="auto"/>
                <w:sz w:val="24"/>
                <w:szCs w:val="24"/>
                <w:lang w:val="en-US" w:eastAsia="zh-CN"/>
              </w:rPr>
            </w:pPr>
            <w:r>
              <w:rPr>
                <w:rFonts w:hint="eastAsia" w:ascii="仿宋" w:eastAsia="仿宋" w:cs="仿宋"/>
                <w:b w:val="0"/>
                <w:color w:val="auto"/>
                <w:sz w:val="24"/>
                <w:szCs w:val="24"/>
              </w:rPr>
              <w:t>联系人：</w:t>
            </w:r>
            <w:r>
              <w:rPr>
                <w:rFonts w:hint="eastAsia" w:ascii="仿宋" w:eastAsia="仿宋" w:cs="仿宋"/>
                <w:b w:val="0"/>
                <w:color w:val="auto"/>
                <w:sz w:val="24"/>
                <w:szCs w:val="24"/>
                <w:lang w:val="en-US" w:eastAsia="zh-CN"/>
              </w:rPr>
              <w:t>杨静</w:t>
            </w:r>
          </w:p>
          <w:p w14:paraId="1D1F57D8">
            <w:pPr>
              <w:pageBreakBefore w:val="0"/>
              <w:widowControl w:val="0"/>
              <w:kinsoku/>
              <w:wordWrap/>
              <w:overflowPunct/>
              <w:topLinePunct w:val="0"/>
              <w:bidi w:val="0"/>
              <w:adjustRightInd w:val="0"/>
              <w:snapToGrid/>
              <w:spacing w:beforeAutospacing="0" w:afterAutospacing="0" w:line="240" w:lineRule="auto"/>
              <w:ind w:left="0" w:right="0" w:firstLine="240" w:firstLineChars="100"/>
              <w:rPr>
                <w:rFonts w:hint="eastAsia" w:ascii="仿宋" w:eastAsia="仿宋" w:cs="仿宋"/>
                <w:b w:val="0"/>
                <w:color w:val="auto"/>
                <w:kern w:val="2"/>
                <w:sz w:val="24"/>
                <w:szCs w:val="24"/>
              </w:rPr>
            </w:pPr>
            <w:r>
              <w:rPr>
                <w:rFonts w:hint="eastAsia" w:ascii="仿宋" w:eastAsia="仿宋" w:cs="仿宋"/>
                <w:b w:val="0"/>
                <w:color w:val="auto"/>
                <w:kern w:val="2"/>
                <w:sz w:val="24"/>
                <w:szCs w:val="24"/>
              </w:rPr>
              <w:t>联系电话：</w:t>
            </w:r>
            <w:r>
              <w:rPr>
                <w:rFonts w:hint="eastAsia" w:ascii="仿宋" w:eastAsia="仿宋" w:cs="仿宋"/>
                <w:b w:val="0"/>
                <w:color w:val="auto"/>
                <w:kern w:val="2"/>
                <w:sz w:val="24"/>
                <w:szCs w:val="24"/>
                <w:lang w:val="en-US" w:eastAsia="zh-CN"/>
              </w:rPr>
              <w:t>0994-2237888</w:t>
            </w:r>
            <w:r>
              <w:rPr>
                <w:rFonts w:hint="eastAsia" w:ascii="仿宋" w:eastAsia="仿宋" w:cs="仿宋"/>
                <w:b w:val="0"/>
                <w:color w:val="auto"/>
                <w:kern w:val="2"/>
                <w:sz w:val="24"/>
                <w:szCs w:val="24"/>
              </w:rPr>
              <w:t>。</w:t>
            </w:r>
          </w:p>
          <w:p w14:paraId="0CAFBD9D">
            <w:pPr>
              <w:pStyle w:val="331"/>
              <w:pageBreakBefore w:val="0"/>
              <w:widowControl w:val="0"/>
              <w:kinsoku/>
              <w:wordWrap/>
              <w:overflowPunct/>
              <w:topLinePunct w:val="0"/>
              <w:autoSpaceDE w:val="0"/>
              <w:autoSpaceDN w:val="0"/>
              <w:bidi w:val="0"/>
              <w:spacing w:beforeAutospacing="0" w:afterAutospacing="0" w:line="240" w:lineRule="auto"/>
              <w:ind w:left="0" w:right="0"/>
              <w:rPr>
                <w:rFonts w:ascii="仿宋" w:eastAsia="仿宋" w:cs="Times New Roman"/>
                <w:color w:val="auto"/>
                <w:lang w:val="zh-CN"/>
              </w:rPr>
            </w:pPr>
            <w:r>
              <w:rPr>
                <w:rFonts w:hint="eastAsia" w:ascii="仿宋" w:eastAsia="仿宋" w:cs="仿宋"/>
                <w:color w:val="auto"/>
                <w:kern w:val="2"/>
                <w:lang w:val="zh-CN"/>
              </w:rPr>
              <w:t>注：采购人或采购代理机构只对投标人依法提出的询问作出答复。</w:t>
            </w:r>
          </w:p>
        </w:tc>
      </w:tr>
      <w:tr w14:paraId="7E92C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1" w:hRule="atLeast"/>
          <w:jc w:val="center"/>
        </w:trPr>
        <w:tc>
          <w:tcPr>
            <w:tcW w:w="748" w:type="dxa"/>
            <w:tcBorders>
              <w:tl2br w:val="nil"/>
              <w:tr2bl w:val="nil"/>
            </w:tcBorders>
            <w:vAlign w:val="center"/>
          </w:tcPr>
          <w:p w14:paraId="333F58B7">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eastAsia="zh-CN"/>
              </w:rPr>
            </w:pPr>
            <w:r>
              <w:rPr>
                <w:rFonts w:ascii="仿宋" w:eastAsia="仿宋"/>
                <w:b w:val="0"/>
                <w:color w:val="auto"/>
                <w:sz w:val="24"/>
                <w:szCs w:val="24"/>
              </w:rPr>
              <w:t>1</w:t>
            </w:r>
            <w:r>
              <w:rPr>
                <w:rFonts w:hint="eastAsia" w:ascii="仿宋" w:eastAsia="仿宋"/>
                <w:b w:val="0"/>
                <w:color w:val="auto"/>
                <w:sz w:val="24"/>
                <w:szCs w:val="24"/>
                <w:lang w:val="en-US" w:eastAsia="zh-CN"/>
              </w:rPr>
              <w:t>7</w:t>
            </w:r>
          </w:p>
        </w:tc>
        <w:tc>
          <w:tcPr>
            <w:tcW w:w="1744" w:type="dxa"/>
            <w:tcBorders>
              <w:tl2br w:val="nil"/>
              <w:tr2bl w:val="nil"/>
            </w:tcBorders>
            <w:vAlign w:val="center"/>
          </w:tcPr>
          <w:p w14:paraId="4ADE03C6">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质疑</w:t>
            </w:r>
          </w:p>
        </w:tc>
        <w:tc>
          <w:tcPr>
            <w:tcW w:w="6840" w:type="dxa"/>
            <w:tcBorders>
              <w:tl2br w:val="nil"/>
              <w:tr2bl w:val="nil"/>
            </w:tcBorders>
            <w:vAlign w:val="center"/>
          </w:tcPr>
          <w:p w14:paraId="687233BA">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1．对招标文件的质疑：</w:t>
            </w:r>
          </w:p>
          <w:p w14:paraId="6E6327AE">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以书面形式向采购人、采购代理机构提出，并由采购人按相关规定作出答复或采购代理机构在委托授权范围内作出答复。</w:t>
            </w:r>
          </w:p>
          <w:p w14:paraId="205AC611">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质疑时间：获取招标文件或者招标文件公告期限届满之日起</w:t>
            </w:r>
            <w:r>
              <w:rPr>
                <w:rFonts w:hint="eastAsia" w:ascii="仿宋" w:eastAsia="仿宋" w:cs="仿宋"/>
                <w:b w:val="0"/>
                <w:color w:val="auto"/>
                <w:sz w:val="24"/>
                <w:szCs w:val="24"/>
                <w:lang w:val="en-US" w:eastAsia="zh-CN"/>
              </w:rPr>
              <w:t>七</w:t>
            </w:r>
            <w:r>
              <w:rPr>
                <w:rFonts w:hint="eastAsia" w:ascii="仿宋" w:eastAsia="仿宋" w:cs="仿宋"/>
                <w:b w:val="0"/>
                <w:color w:val="auto"/>
                <w:sz w:val="24"/>
                <w:szCs w:val="24"/>
              </w:rPr>
              <w:t>个工作日内。</w:t>
            </w:r>
          </w:p>
          <w:p w14:paraId="188D262D">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2．对招标过程和结果的质疑：</w:t>
            </w:r>
          </w:p>
          <w:p w14:paraId="7AFB4E60">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以书面形式向采购人、采购代理机构提出，并由采购人按相关规定作出答复或采购代理机构在委托授权范围内作出答复。</w:t>
            </w:r>
          </w:p>
          <w:p w14:paraId="7DB38D7E">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对招标过程质疑时间：为招标环节结束之日起七个工作日内。</w:t>
            </w:r>
          </w:p>
          <w:p w14:paraId="7D04CECF">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hint="eastAsia" w:ascii="仿宋" w:eastAsia="仿宋" w:cs="仿宋"/>
                <w:b w:val="0"/>
                <w:color w:val="auto"/>
                <w:sz w:val="24"/>
                <w:szCs w:val="24"/>
              </w:rPr>
            </w:pPr>
            <w:r>
              <w:rPr>
                <w:rFonts w:hint="eastAsia" w:ascii="仿宋" w:eastAsia="仿宋" w:cs="仿宋"/>
                <w:b w:val="0"/>
                <w:color w:val="auto"/>
                <w:sz w:val="24"/>
                <w:szCs w:val="24"/>
              </w:rPr>
              <w:t>对招标结果提出质疑时间：为招标结果通知之日起七个工作日内。</w:t>
            </w:r>
          </w:p>
          <w:p w14:paraId="1CEFD8D2">
            <w:pPr>
              <w:pageBreakBefore w:val="0"/>
              <w:widowControl/>
              <w:kinsoku/>
              <w:wordWrap/>
              <w:overflowPunct/>
              <w:topLinePunct w:val="0"/>
              <w:bidi w:val="0"/>
              <w:adjustRightInd w:val="0"/>
              <w:snapToGrid w:val="0"/>
              <w:spacing w:beforeAutospacing="0" w:afterAutospacing="0" w:line="240" w:lineRule="auto"/>
              <w:ind w:left="0" w:right="0" w:firstLine="240" w:firstLineChars="100"/>
              <w:rPr>
                <w:rFonts w:hint="eastAsia" w:ascii="仿宋" w:eastAsia="仿宋" w:cs="宋体"/>
                <w:b w:val="0"/>
                <w:color w:val="auto"/>
                <w:sz w:val="24"/>
                <w:szCs w:val="24"/>
                <w:lang w:val="en-US"/>
              </w:rPr>
            </w:pPr>
            <w:r>
              <w:rPr>
                <w:rFonts w:hint="eastAsia" w:ascii="仿宋" w:eastAsia="仿宋" w:cs="仿宋"/>
                <w:b w:val="0"/>
                <w:color w:val="auto"/>
                <w:kern w:val="2"/>
                <w:sz w:val="24"/>
                <w:szCs w:val="24"/>
              </w:rPr>
              <w:t>3．质疑必须以书面形式(原件)提出，以其他形式提出的质疑均不接受和回复。</w:t>
            </w:r>
          </w:p>
          <w:p w14:paraId="1EFC2811">
            <w:pPr>
              <w:pageBreakBefore w:val="0"/>
              <w:widowControl w:val="0"/>
              <w:kinsoku/>
              <w:wordWrap/>
              <w:overflowPunct/>
              <w:topLinePunct w:val="0"/>
              <w:autoSpaceDE w:val="0"/>
              <w:autoSpaceDN w:val="0"/>
              <w:bidi w:val="0"/>
              <w:adjustRightInd w:val="0"/>
              <w:snapToGrid/>
              <w:spacing w:beforeAutospacing="0" w:afterAutospacing="0" w:line="240" w:lineRule="auto"/>
              <w:ind w:left="0" w:right="0" w:firstLine="240" w:firstLineChars="100"/>
              <w:rPr>
                <w:rFonts w:ascii="仿宋" w:eastAsia="仿宋"/>
                <w:b w:val="0"/>
                <w:color w:val="auto"/>
                <w:sz w:val="24"/>
                <w:szCs w:val="24"/>
                <w:lang w:val="en-US"/>
              </w:rPr>
            </w:pPr>
            <w:r>
              <w:rPr>
                <w:rFonts w:hint="eastAsia" w:ascii="仿宋" w:eastAsia="仿宋" w:cs="仿宋"/>
                <w:b w:val="0"/>
                <w:color w:val="auto"/>
                <w:sz w:val="24"/>
                <w:szCs w:val="24"/>
              </w:rPr>
              <w:t>联系人：</w:t>
            </w:r>
            <w:r>
              <w:rPr>
                <w:rFonts w:hint="eastAsia" w:ascii="仿宋" w:eastAsia="仿宋"/>
                <w:b w:val="0"/>
                <w:color w:val="auto"/>
                <w:sz w:val="24"/>
                <w:szCs w:val="24"/>
                <w:lang w:val="en-US" w:eastAsia="zh-CN"/>
              </w:rPr>
              <w:t>杨静</w:t>
            </w:r>
          </w:p>
          <w:p w14:paraId="526529E5">
            <w:pPr>
              <w:pageBreakBefore w:val="0"/>
              <w:widowControl w:val="0"/>
              <w:kinsoku/>
              <w:wordWrap/>
              <w:overflowPunct/>
              <w:topLinePunct w:val="0"/>
              <w:bidi w:val="0"/>
              <w:adjustRightInd w:val="0"/>
              <w:snapToGrid/>
              <w:spacing w:beforeAutospacing="0" w:afterAutospacing="0" w:line="240" w:lineRule="auto"/>
              <w:ind w:left="0" w:right="0" w:firstLine="240" w:firstLineChars="100"/>
              <w:rPr>
                <w:rFonts w:hint="eastAsia" w:ascii="仿宋" w:eastAsia="仿宋" w:cs="仿宋"/>
                <w:b w:val="0"/>
                <w:color w:val="auto"/>
                <w:kern w:val="2"/>
                <w:sz w:val="24"/>
                <w:szCs w:val="24"/>
              </w:rPr>
            </w:pPr>
            <w:r>
              <w:rPr>
                <w:rFonts w:hint="eastAsia" w:ascii="仿宋" w:eastAsia="仿宋" w:cs="仿宋"/>
                <w:b w:val="0"/>
                <w:color w:val="auto"/>
                <w:kern w:val="2"/>
                <w:sz w:val="24"/>
                <w:szCs w:val="24"/>
              </w:rPr>
              <w:t>联系电话：</w:t>
            </w:r>
            <w:r>
              <w:rPr>
                <w:rFonts w:hint="eastAsia" w:ascii="仿宋" w:eastAsia="仿宋" w:cs="仿宋"/>
                <w:b w:val="0"/>
                <w:color w:val="auto"/>
                <w:kern w:val="2"/>
                <w:sz w:val="24"/>
                <w:szCs w:val="24"/>
                <w:lang w:val="en-US" w:eastAsia="zh-CN"/>
              </w:rPr>
              <w:t>0994-2237888</w:t>
            </w:r>
            <w:r>
              <w:rPr>
                <w:rFonts w:hint="eastAsia" w:ascii="仿宋" w:eastAsia="仿宋" w:cs="仿宋"/>
                <w:b w:val="0"/>
                <w:color w:val="auto"/>
                <w:kern w:val="2"/>
                <w:sz w:val="24"/>
                <w:szCs w:val="24"/>
              </w:rPr>
              <w:t>。</w:t>
            </w:r>
          </w:p>
          <w:p w14:paraId="3B6799A4">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rPr>
            </w:pPr>
            <w:r>
              <w:rPr>
                <w:rFonts w:hint="eastAsia" w:ascii="仿宋" w:eastAsia="仿宋"/>
                <w:color w:val="auto"/>
              </w:rPr>
              <w:t>注：</w:t>
            </w:r>
            <w:r>
              <w:rPr>
                <w:rFonts w:hint="eastAsia" w:ascii="仿宋" w:eastAsia="仿宋"/>
                <w:color w:val="auto"/>
                <w:lang w:eastAsia="zh-CN"/>
              </w:rPr>
              <w:t>投标人</w:t>
            </w:r>
            <w:r>
              <w:rPr>
                <w:rFonts w:hint="eastAsia" w:ascii="仿宋" w:eastAsia="仿宋"/>
                <w:color w:val="auto"/>
              </w:rPr>
              <w:t>按要求领取招标文件的，为依法获取招标文件的</w:t>
            </w:r>
            <w:r>
              <w:rPr>
                <w:rFonts w:hint="eastAsia" w:ascii="仿宋" w:eastAsia="仿宋"/>
                <w:color w:val="auto"/>
                <w:lang w:eastAsia="zh-CN"/>
              </w:rPr>
              <w:t>投标人</w:t>
            </w:r>
            <w:r>
              <w:rPr>
                <w:rFonts w:hint="eastAsia" w:ascii="仿宋" w:eastAsia="仿宋"/>
                <w:color w:val="auto"/>
              </w:rPr>
              <w:t>，可以对该文件提出质疑。根据《中华人民共和国政府采购法》等规定，</w:t>
            </w:r>
            <w:r>
              <w:rPr>
                <w:rFonts w:hint="eastAsia" w:ascii="仿宋" w:eastAsia="仿宋"/>
                <w:color w:val="auto"/>
                <w:lang w:eastAsia="zh-CN"/>
              </w:rPr>
              <w:t>投标人</w:t>
            </w:r>
            <w:r>
              <w:rPr>
                <w:rFonts w:hint="eastAsia" w:ascii="仿宋" w:eastAsia="仿宋"/>
                <w:color w:val="auto"/>
              </w:rPr>
              <w:t>质疑不得超出招标文件、招标过程、招标结果的范围，</w:t>
            </w:r>
            <w:r>
              <w:rPr>
                <w:rFonts w:hint="eastAsia" w:ascii="仿宋" w:eastAsia="仿宋"/>
                <w:color w:val="auto"/>
                <w:lang w:eastAsia="zh-CN"/>
              </w:rPr>
              <w:t>投标人</w:t>
            </w:r>
            <w:r>
              <w:rPr>
                <w:rFonts w:hint="eastAsia" w:ascii="仿宋" w:eastAsia="仿宋"/>
                <w:color w:val="auto"/>
              </w:rPr>
              <w:t>针对同一采购程序环节的质疑应在法定质疑期内一次性提出。</w:t>
            </w:r>
          </w:p>
        </w:tc>
      </w:tr>
      <w:tr w14:paraId="1387E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48" w:type="dxa"/>
            <w:tcBorders>
              <w:tl2br w:val="nil"/>
              <w:tr2bl w:val="nil"/>
            </w:tcBorders>
            <w:vAlign w:val="center"/>
          </w:tcPr>
          <w:p w14:paraId="60CD19B7">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eastAsia="zh-CN"/>
              </w:rPr>
            </w:pPr>
            <w:r>
              <w:rPr>
                <w:rFonts w:ascii="仿宋" w:eastAsia="仿宋"/>
                <w:b w:val="0"/>
                <w:color w:val="auto"/>
                <w:sz w:val="24"/>
                <w:szCs w:val="24"/>
              </w:rPr>
              <w:t>1</w:t>
            </w:r>
            <w:r>
              <w:rPr>
                <w:rFonts w:hint="eastAsia" w:ascii="仿宋" w:eastAsia="仿宋"/>
                <w:b w:val="0"/>
                <w:color w:val="auto"/>
                <w:sz w:val="24"/>
                <w:szCs w:val="24"/>
                <w:lang w:val="en-US" w:eastAsia="zh-CN"/>
              </w:rPr>
              <w:t>8</w:t>
            </w:r>
          </w:p>
        </w:tc>
        <w:tc>
          <w:tcPr>
            <w:tcW w:w="1744" w:type="dxa"/>
            <w:tcBorders>
              <w:tl2br w:val="nil"/>
              <w:tr2bl w:val="nil"/>
            </w:tcBorders>
            <w:vAlign w:val="center"/>
          </w:tcPr>
          <w:p w14:paraId="5F7182B8">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投诉</w:t>
            </w:r>
          </w:p>
        </w:tc>
        <w:tc>
          <w:tcPr>
            <w:tcW w:w="6840" w:type="dxa"/>
            <w:tcBorders>
              <w:tl2br w:val="nil"/>
              <w:tr2bl w:val="nil"/>
            </w:tcBorders>
            <w:vAlign w:val="center"/>
          </w:tcPr>
          <w:p w14:paraId="42B8F677">
            <w:pPr>
              <w:pStyle w:val="331"/>
              <w:spacing w:line="440" w:lineRule="exact"/>
              <w:ind w:firstLine="235" w:firstLineChars="98"/>
              <w:rPr>
                <w:rFonts w:hint="eastAsia" w:ascii="仿宋" w:hAnsi="仿宋" w:eastAsia="仿宋" w:cs="Times New Roman"/>
                <w:color w:val="000000"/>
                <w:highlight w:val="none"/>
                <w:lang w:val="en-US" w:eastAsia="zh-CN"/>
              </w:rPr>
            </w:pPr>
            <w:r>
              <w:rPr>
                <w:rFonts w:ascii="仿宋" w:eastAsia="仿宋" w:cs="Times New Roman"/>
                <w:color w:val="auto"/>
              </w:rPr>
              <w:t>投诉受理单位：</w:t>
            </w:r>
            <w:r>
              <w:rPr>
                <w:rFonts w:ascii="仿宋" w:eastAsia="仿宋" w:cs="Times New Roman"/>
                <w:color w:val="auto"/>
                <w:highlight w:val="none"/>
              </w:rPr>
              <w:t>本项目同级财政部门，</w:t>
            </w:r>
            <w:r>
              <w:rPr>
                <w:rFonts w:hint="eastAsia" w:ascii="仿宋" w:hAnsi="仿宋" w:eastAsia="仿宋" w:cs="Times New Roman"/>
                <w:color w:val="000000"/>
                <w:highlight w:val="none"/>
                <w:lang w:val="en-US" w:eastAsia="zh-CN"/>
              </w:rPr>
              <w:t>昌吉州财政局</w:t>
            </w:r>
          </w:p>
          <w:p w14:paraId="74C69C08">
            <w:pPr>
              <w:pStyle w:val="331"/>
              <w:spacing w:line="440" w:lineRule="exact"/>
              <w:ind w:firstLine="235" w:firstLineChars="98"/>
              <w:rPr>
                <w:rFonts w:hint="default" w:ascii="仿宋" w:eastAsia="仿宋" w:cs="Times New Roman"/>
                <w:color w:val="auto"/>
                <w:highlight w:val="none"/>
                <w:lang w:val="en-US" w:eastAsia="zh-CN"/>
              </w:rPr>
            </w:pPr>
            <w:r>
              <w:rPr>
                <w:rFonts w:hint="eastAsia" w:ascii="仿宋" w:hAnsi="仿宋" w:eastAsia="仿宋" w:cs="Times New Roman"/>
                <w:color w:val="000000"/>
                <w:highlight w:val="none"/>
                <w:lang w:val="zh-CN"/>
              </w:rPr>
              <w:t>联系电话：</w:t>
            </w:r>
            <w:r>
              <w:rPr>
                <w:rFonts w:hint="eastAsia" w:ascii="仿宋" w:hAnsi="仿宋" w:eastAsia="仿宋" w:cs="Times New Roman"/>
                <w:color w:val="auto"/>
                <w:highlight w:val="none"/>
                <w:lang w:val="en-US" w:eastAsia="zh-CN"/>
              </w:rPr>
              <w:t>0994-2517760</w:t>
            </w:r>
          </w:p>
          <w:p w14:paraId="76C157E1">
            <w:pPr>
              <w:pStyle w:val="331"/>
              <w:pageBreakBefore w:val="0"/>
              <w:widowControl w:val="0"/>
              <w:kinsoku/>
              <w:wordWrap/>
              <w:overflowPunct/>
              <w:topLinePunct w:val="0"/>
              <w:autoSpaceDE w:val="0"/>
              <w:autoSpaceDN w:val="0"/>
              <w:bidi w:val="0"/>
              <w:spacing w:beforeAutospacing="0" w:afterAutospacing="0" w:line="240" w:lineRule="auto"/>
              <w:ind w:left="0" w:right="0" w:firstLine="235" w:firstLineChars="98"/>
              <w:rPr>
                <w:rFonts w:ascii="仿宋" w:eastAsia="仿宋" w:cs="Times New Roman"/>
                <w:color w:val="auto"/>
                <w:highlight w:val="none"/>
                <w:lang w:val="en-US"/>
              </w:rPr>
            </w:pPr>
            <w:r>
              <w:rPr>
                <w:rFonts w:hint="eastAsia" w:ascii="仿宋" w:eastAsia="仿宋" w:cs="Times New Roman"/>
                <w:color w:val="auto"/>
                <w:highlight w:val="none"/>
                <w:lang w:val="zh-CN"/>
              </w:rPr>
              <w:t>联系地址：</w:t>
            </w:r>
            <w:r>
              <w:rPr>
                <w:rFonts w:hint="eastAsia" w:ascii="仿宋" w:hAnsi="仿宋" w:eastAsia="仿宋" w:cs="Times New Roman"/>
                <w:color w:val="auto"/>
                <w:highlight w:val="none"/>
                <w:lang w:val="en-US" w:eastAsia="zh-CN"/>
              </w:rPr>
              <w:t>昌吉回族自治州昌吉市北京南路街道建国西路47号</w:t>
            </w:r>
          </w:p>
          <w:p w14:paraId="432BC320">
            <w:pPr>
              <w:pStyle w:val="331"/>
              <w:pageBreakBefore w:val="0"/>
              <w:widowControl w:val="0"/>
              <w:kinsoku/>
              <w:wordWrap/>
              <w:overflowPunct/>
              <w:topLinePunct w:val="0"/>
              <w:autoSpaceDE w:val="0"/>
              <w:autoSpaceDN w:val="0"/>
              <w:bidi w:val="0"/>
              <w:spacing w:beforeAutospacing="0" w:afterAutospacing="0" w:line="240" w:lineRule="auto"/>
              <w:ind w:left="0" w:right="0" w:firstLine="236" w:firstLineChars="98"/>
              <w:rPr>
                <w:rFonts w:ascii="仿宋" w:eastAsia="仿宋" w:cs="Times New Roman"/>
                <w:color w:val="auto"/>
                <w:lang w:val="zh-CN"/>
              </w:rPr>
            </w:pPr>
            <w:r>
              <w:rPr>
                <w:rFonts w:ascii="仿宋" w:eastAsia="仿宋" w:cs="Times New Roman"/>
                <w:b/>
                <w:color w:val="auto"/>
                <w:lang w:val="zh-CN"/>
              </w:rPr>
              <w:t>注：</w:t>
            </w:r>
            <w:r>
              <w:rPr>
                <w:rFonts w:hint="eastAsia" w:ascii="仿宋" w:eastAsia="仿宋" w:cs="Times New Roman"/>
                <w:b/>
                <w:color w:val="auto"/>
                <w:lang w:val="zh-CN"/>
              </w:rPr>
              <w:t>根据《中华人民共和国政府采购法》及其他有关等规定，投标人投诉事项不得超出已质疑事项的范围</w:t>
            </w:r>
            <w:r>
              <w:rPr>
                <w:rFonts w:ascii="仿宋" w:eastAsia="仿宋" w:cs="Times New Roman"/>
                <w:b/>
                <w:color w:val="auto"/>
                <w:lang w:val="zh-CN"/>
              </w:rPr>
              <w:t>。</w:t>
            </w:r>
          </w:p>
        </w:tc>
      </w:tr>
      <w:tr w14:paraId="67E77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48" w:type="dxa"/>
            <w:tcBorders>
              <w:tl2br w:val="nil"/>
              <w:tr2bl w:val="nil"/>
            </w:tcBorders>
            <w:vAlign w:val="center"/>
          </w:tcPr>
          <w:p w14:paraId="21B1CF79">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lang w:val="en-US" w:eastAsia="zh-CN"/>
              </w:rPr>
            </w:pPr>
            <w:r>
              <w:rPr>
                <w:rFonts w:hint="eastAsia" w:ascii="仿宋" w:eastAsia="仿宋"/>
                <w:b w:val="0"/>
                <w:color w:val="auto"/>
                <w:sz w:val="24"/>
                <w:szCs w:val="24"/>
                <w:lang w:val="en-US" w:eastAsia="zh-CN"/>
              </w:rPr>
              <w:t>19</w:t>
            </w:r>
          </w:p>
        </w:tc>
        <w:tc>
          <w:tcPr>
            <w:tcW w:w="1744" w:type="dxa"/>
            <w:tcBorders>
              <w:tl2br w:val="nil"/>
              <w:tr2bl w:val="nil"/>
            </w:tcBorders>
            <w:vAlign w:val="center"/>
          </w:tcPr>
          <w:p w14:paraId="4709EA6E">
            <w:pPr>
              <w:pStyle w:val="331"/>
              <w:pageBreakBefore w:val="0"/>
              <w:widowControl w:val="0"/>
              <w:kinsoku/>
              <w:wordWrap/>
              <w:overflowPunct/>
              <w:topLinePunct w:val="0"/>
              <w:autoSpaceDE w:val="0"/>
              <w:autoSpaceDN w:val="0"/>
              <w:bidi w:val="0"/>
              <w:spacing w:beforeAutospacing="0" w:afterAutospacing="0" w:line="240" w:lineRule="auto"/>
              <w:ind w:left="0" w:right="0"/>
              <w:jc w:val="center"/>
              <w:rPr>
                <w:rFonts w:ascii="仿宋" w:eastAsia="仿宋" w:cs="Times New Roman"/>
                <w:color w:val="auto"/>
                <w:highlight w:val="none"/>
                <w:lang w:val="zh-CN"/>
              </w:rPr>
            </w:pPr>
            <w:r>
              <w:rPr>
                <w:rFonts w:ascii="仿宋" w:eastAsia="仿宋" w:cs="Times New Roman"/>
                <w:color w:val="auto"/>
                <w:highlight w:val="none"/>
                <w:lang w:val="zh-CN"/>
              </w:rPr>
              <w:t>履约保证金</w:t>
            </w:r>
          </w:p>
        </w:tc>
        <w:tc>
          <w:tcPr>
            <w:tcW w:w="6840" w:type="dxa"/>
            <w:tcBorders>
              <w:tl2br w:val="nil"/>
              <w:tr2bl w:val="nil"/>
            </w:tcBorders>
            <w:vAlign w:val="center"/>
          </w:tcPr>
          <w:p w14:paraId="3B337E92">
            <w:pPr>
              <w:pStyle w:val="497"/>
              <w:pageBreakBefore w:val="0"/>
              <w:widowControl w:val="0"/>
              <w:kinsoku/>
              <w:wordWrap/>
              <w:overflowPunct/>
              <w:topLinePunct w:val="0"/>
              <w:autoSpaceDE w:val="0"/>
              <w:autoSpaceDN w:val="0"/>
              <w:bidi w:val="0"/>
              <w:spacing w:beforeAutospacing="0" w:afterAutospacing="0" w:line="240" w:lineRule="auto"/>
              <w:ind w:left="0" w:right="0" w:firstLine="240" w:firstLineChars="100"/>
              <w:jc w:val="left"/>
              <w:rPr>
                <w:rFonts w:ascii="仿宋" w:eastAsia="仿宋"/>
                <w:color w:val="auto"/>
                <w:sz w:val="24"/>
                <w:szCs w:val="24"/>
                <w:highlight w:val="none"/>
                <w:lang w:val="zh-CN"/>
              </w:rPr>
            </w:pPr>
            <w:r>
              <w:rPr>
                <w:rFonts w:hint="eastAsia" w:ascii="仿宋" w:eastAsia="仿宋" w:cs="宋体"/>
                <w:color w:val="auto"/>
                <w:sz w:val="24"/>
                <w:szCs w:val="24"/>
                <w:highlight w:val="none"/>
              </w:rPr>
              <w:t>本项目不作要求。</w:t>
            </w:r>
          </w:p>
        </w:tc>
      </w:tr>
      <w:tr w14:paraId="5F4EF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Borders>
              <w:tl2br w:val="nil"/>
              <w:tr2bl w:val="nil"/>
            </w:tcBorders>
            <w:vAlign w:val="center"/>
          </w:tcPr>
          <w:p w14:paraId="170C0572">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val="en-US" w:eastAsia="zh-CN"/>
              </w:rPr>
            </w:pPr>
            <w:r>
              <w:rPr>
                <w:rFonts w:hint="eastAsia" w:ascii="仿宋" w:eastAsia="仿宋"/>
                <w:b w:val="0"/>
                <w:color w:val="auto"/>
                <w:sz w:val="24"/>
                <w:szCs w:val="24"/>
                <w:lang w:val="en-US"/>
              </w:rPr>
              <w:t>2</w:t>
            </w:r>
            <w:r>
              <w:rPr>
                <w:rFonts w:hint="eastAsia" w:ascii="仿宋" w:eastAsia="仿宋"/>
                <w:b w:val="0"/>
                <w:color w:val="auto"/>
                <w:sz w:val="24"/>
                <w:szCs w:val="24"/>
                <w:lang w:val="en-US" w:eastAsia="zh-CN"/>
              </w:rPr>
              <w:t>0</w:t>
            </w:r>
          </w:p>
        </w:tc>
        <w:tc>
          <w:tcPr>
            <w:tcW w:w="1744" w:type="dxa"/>
            <w:tcBorders>
              <w:tl2br w:val="nil"/>
              <w:tr2bl w:val="nil"/>
            </w:tcBorders>
            <w:vAlign w:val="center"/>
          </w:tcPr>
          <w:p w14:paraId="12E085E2">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招标代理</w:t>
            </w:r>
          </w:p>
          <w:p w14:paraId="2EE45E07">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服务费</w:t>
            </w:r>
          </w:p>
        </w:tc>
        <w:tc>
          <w:tcPr>
            <w:tcW w:w="6840" w:type="dxa"/>
            <w:tcBorders>
              <w:tl2br w:val="nil"/>
              <w:tr2bl w:val="nil"/>
            </w:tcBorders>
            <w:vAlign w:val="center"/>
          </w:tcPr>
          <w:p w14:paraId="76779FAF">
            <w:pPr>
              <w:pStyle w:val="331"/>
              <w:pageBreakBefore w:val="0"/>
              <w:widowControl w:val="0"/>
              <w:numPr>
                <w:ilvl w:val="0"/>
                <w:numId w:val="26"/>
              </w:numPr>
              <w:kinsoku/>
              <w:wordWrap/>
              <w:overflowPunct/>
              <w:topLinePunct w:val="0"/>
              <w:autoSpaceDE w:val="0"/>
              <w:autoSpaceDN w:val="0"/>
              <w:bidi w:val="0"/>
              <w:spacing w:beforeAutospacing="0" w:afterAutospacing="0" w:line="240" w:lineRule="auto"/>
              <w:ind w:left="0" w:right="0" w:firstLine="241" w:firstLineChars="100"/>
              <w:rPr>
                <w:sz w:val="24"/>
                <w:szCs w:val="24"/>
              </w:rPr>
            </w:pPr>
            <w:r>
              <w:rPr>
                <w:rFonts w:hint="eastAsia" w:ascii="仿宋" w:hAnsi="仿宋" w:eastAsia="仿宋" w:cs="Times New Roman"/>
                <w:b/>
                <w:color w:val="auto"/>
                <w:lang w:val="en-US" w:eastAsia="zh-CN"/>
              </w:rPr>
              <w:t>根据成本加合理利润原则，经与采购人协商，本磋商文件特别约定，招标代理服务费以</w:t>
            </w:r>
            <w:r>
              <w:rPr>
                <w:rFonts w:hint="eastAsia" w:ascii="仿宋" w:hAnsi="仿宋" w:eastAsia="仿宋" w:cs="Times New Roman"/>
                <w:b/>
                <w:color w:val="auto"/>
                <w:highlight w:val="none"/>
                <w:lang w:val="en-US" w:eastAsia="zh-CN"/>
              </w:rPr>
              <w:t>中标价</w:t>
            </w:r>
            <w:r>
              <w:rPr>
                <w:rFonts w:hint="eastAsia" w:ascii="仿宋" w:hAnsi="仿宋" w:eastAsia="仿宋" w:cs="Times New Roman"/>
                <w:b/>
                <w:color w:val="auto"/>
                <w:lang w:val="en-US" w:eastAsia="zh-CN"/>
              </w:rPr>
              <w:t>为计算基数，</w:t>
            </w:r>
            <w:r>
              <w:rPr>
                <w:rFonts w:hint="eastAsia" w:ascii="仿宋" w:hAnsi="仿宋" w:eastAsia="仿宋" w:cs="仿宋"/>
                <w:b/>
                <w:color w:val="auto"/>
                <w:lang w:val="en-US" w:eastAsia="zh-CN"/>
              </w:rPr>
              <w:t>采</w:t>
            </w:r>
            <w:r>
              <w:rPr>
                <w:rFonts w:hint="eastAsia" w:ascii="仿宋" w:hAnsi="仿宋" w:eastAsia="仿宋" w:cs="仿宋"/>
                <w:b/>
                <w:color w:val="auto"/>
                <w:highlight w:val="none"/>
                <w:lang w:val="en-US" w:eastAsia="zh-CN"/>
              </w:rPr>
              <w:t>购代理服务费参照原&lt;&lt;国家计委关于印发(招标代理服务收费管理暂行办法&gt;的通知&gt;&gt;(计价格[2002]1980号文)&lt;&lt;国家发展改革委办公厅关于招标代理服务收费有关问题的通知&gt;&gt;(发改办价格[2003]857号)和&lt;&lt;国家发展改革委关于降低部分建设项目收费标准规范收费行为等有关问题的通知&gt;&gt;(发改价格[2011]534号)的取费标准，招标代理服务费"服务招标"的标准下浮53%收取</w:t>
            </w:r>
            <w:r>
              <w:rPr>
                <w:rFonts w:hint="eastAsia" w:ascii="仿宋" w:eastAsia="仿宋" w:cs="Times New Roman"/>
                <w:b/>
                <w:color w:val="auto"/>
                <w:lang w:val="en-US" w:eastAsia="zh-CN"/>
              </w:rPr>
              <w:t>，</w:t>
            </w:r>
            <w:r>
              <w:rPr>
                <w:rFonts w:hint="eastAsia" w:ascii="仿宋" w:eastAsia="仿宋" w:cs="Times New Roman"/>
                <w:b/>
                <w:color w:val="auto"/>
                <w:highlight w:val="none"/>
                <w:lang w:val="en-US" w:eastAsia="zh-CN"/>
              </w:rPr>
              <w:t>由</w:t>
            </w:r>
            <w:r>
              <w:rPr>
                <w:rFonts w:hint="eastAsia" w:ascii="仿宋" w:eastAsia="仿宋" w:cs="Times New Roman"/>
                <w:b/>
                <w:color w:val="auto"/>
                <w:lang w:val="en-US" w:eastAsia="zh-CN"/>
              </w:rPr>
              <w:t>中标人支付。</w:t>
            </w:r>
            <w:r>
              <w:rPr>
                <w:rFonts w:hint="eastAsia" w:ascii="仿宋" w:eastAsia="仿宋" w:cs="仿宋"/>
                <w:b w:val="0"/>
                <w:color w:val="000000"/>
                <w:kern w:val="0"/>
                <w:sz w:val="24"/>
                <w:szCs w:val="24"/>
                <w:lang w:val="en-US" w:eastAsia="zh-CN" w:bidi="ar-SA"/>
              </w:rPr>
              <w:t xml:space="preserve"> </w:t>
            </w:r>
          </w:p>
          <w:p w14:paraId="6CB741B8">
            <w:pPr>
              <w:pStyle w:val="331"/>
              <w:pageBreakBefore w:val="0"/>
              <w:widowControl w:val="0"/>
              <w:numPr>
                <w:ilvl w:val="0"/>
                <w:numId w:val="27"/>
              </w:numPr>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rPr>
            </w:pPr>
            <w:r>
              <w:rPr>
                <w:rFonts w:hint="eastAsia" w:ascii="仿宋" w:eastAsia="仿宋" w:cs="Times New Roman"/>
                <w:color w:val="auto"/>
              </w:rPr>
              <w:t>由</w:t>
            </w:r>
            <w:r>
              <w:rPr>
                <w:rFonts w:hint="eastAsia" w:ascii="仿宋" w:eastAsia="仿宋" w:cs="Times New Roman"/>
                <w:b/>
                <w:color w:val="auto"/>
                <w:u w:val="none"/>
              </w:rPr>
              <w:t>成交供应商</w:t>
            </w:r>
            <w:r>
              <w:rPr>
                <w:rFonts w:hint="eastAsia" w:ascii="仿宋" w:eastAsia="仿宋" w:cs="Times New Roman"/>
                <w:color w:val="auto"/>
              </w:rPr>
              <w:t>在领取</w:t>
            </w:r>
            <w:r>
              <w:rPr>
                <w:rFonts w:hint="eastAsia" w:ascii="仿宋" w:eastAsia="仿宋" w:cs="Times New Roman"/>
                <w:color w:val="auto"/>
                <w:lang w:val="en-US" w:eastAsia="zh-CN"/>
              </w:rPr>
              <w:t>中标</w:t>
            </w:r>
            <w:r>
              <w:rPr>
                <w:rFonts w:hint="eastAsia" w:ascii="仿宋" w:eastAsia="仿宋" w:cs="Times New Roman"/>
                <w:color w:val="auto"/>
              </w:rPr>
              <w:t>通知书前向</w:t>
            </w:r>
            <w:r>
              <w:rPr>
                <w:rFonts w:hint="eastAsia" w:ascii="仿宋" w:eastAsia="仿宋" w:cs="Times New Roman"/>
                <w:color w:val="auto"/>
                <w:lang w:val="en-US" w:eastAsia="zh-CN"/>
              </w:rPr>
              <w:t>招标</w:t>
            </w:r>
            <w:r>
              <w:rPr>
                <w:rFonts w:hint="eastAsia" w:ascii="仿宋" w:eastAsia="仿宋" w:cs="Times New Roman"/>
                <w:color w:val="auto"/>
              </w:rPr>
              <w:t>代理机构交纳</w:t>
            </w:r>
            <w:r>
              <w:rPr>
                <w:rFonts w:hint="eastAsia" w:ascii="仿宋" w:eastAsia="仿宋" w:cs="Times New Roman"/>
                <w:color w:val="auto"/>
                <w:lang w:eastAsia="zh-CN"/>
              </w:rPr>
              <w:t>采购</w:t>
            </w:r>
            <w:r>
              <w:rPr>
                <w:rFonts w:hint="eastAsia" w:ascii="仿宋" w:eastAsia="仿宋" w:cs="Times New Roman"/>
                <w:color w:val="auto"/>
              </w:rPr>
              <w:t>代理服务费</w:t>
            </w:r>
            <w:r>
              <w:rPr>
                <w:rFonts w:hint="eastAsia" w:ascii="仿宋" w:eastAsia="仿宋" w:cs="Times New Roman"/>
                <w:color w:val="auto"/>
                <w:lang w:eastAsia="zh-CN"/>
              </w:rPr>
              <w:t>，</w:t>
            </w:r>
            <w:r>
              <w:rPr>
                <w:rFonts w:ascii="仿宋" w:eastAsia="仿宋" w:cs="Times New Roman"/>
                <w:color w:val="auto"/>
              </w:rPr>
              <w:t>可使用银行转账或采购代理机构认可的方式支付。</w:t>
            </w:r>
          </w:p>
          <w:p w14:paraId="6CF28AB3">
            <w:pPr>
              <w:pStyle w:val="331"/>
              <w:pageBreakBefore w:val="0"/>
              <w:widowControl w:val="0"/>
              <w:numPr>
                <w:ilvl w:val="0"/>
                <w:numId w:val="27"/>
              </w:numPr>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rPr>
            </w:pPr>
            <w:r>
              <w:rPr>
                <w:rFonts w:ascii="仿宋" w:eastAsia="仿宋" w:cs="Times New Roman"/>
                <w:color w:val="auto"/>
                <w:lang w:val="en-US" w:eastAsia="zh-CN"/>
              </w:rPr>
              <w:t>采用对公账户转账的，相关账户信息如下</w:t>
            </w:r>
            <w:r>
              <w:rPr>
                <w:rFonts w:hint="eastAsia" w:ascii="仿宋" w:eastAsia="仿宋" w:cs="Times New Roman"/>
                <w:color w:val="auto"/>
                <w:lang w:val="en-US" w:eastAsia="zh-CN"/>
              </w:rPr>
              <w:t>：</w:t>
            </w:r>
          </w:p>
          <w:p w14:paraId="096CD431">
            <w:pPr>
              <w:pStyle w:val="331"/>
              <w:pageBreakBefore w:val="0"/>
              <w:widowControl w:val="0"/>
              <w:kinsoku/>
              <w:wordWrap/>
              <w:overflowPunct/>
              <w:topLinePunct w:val="0"/>
              <w:autoSpaceDE w:val="0"/>
              <w:autoSpaceDN w:val="0"/>
              <w:bidi w:val="0"/>
              <w:spacing w:beforeAutospacing="0" w:afterAutospacing="0" w:line="240" w:lineRule="auto"/>
              <w:ind w:left="0" w:right="0"/>
              <w:rPr>
                <w:rFonts w:hint="eastAsia" w:ascii="仿宋" w:eastAsia="仿宋" w:cs="Times New Roman"/>
                <w:color w:val="auto"/>
                <w:lang w:val="en-US" w:eastAsia="zh-CN"/>
              </w:rPr>
            </w:pPr>
            <w:r>
              <w:rPr>
                <w:rFonts w:hint="eastAsia" w:ascii="仿宋" w:eastAsia="仿宋" w:cs="Times New Roman"/>
                <w:color w:val="auto"/>
                <w:lang w:val="en-US" w:eastAsia="zh-CN"/>
              </w:rPr>
              <w:t xml:space="preserve">  账户名称：新疆驰珑信诚招标代理有限公司</w:t>
            </w:r>
          </w:p>
          <w:p w14:paraId="70F2E2EF">
            <w:pPr>
              <w:pStyle w:val="331"/>
              <w:pageBreakBefore w:val="0"/>
              <w:widowControl w:val="0"/>
              <w:kinsoku/>
              <w:wordWrap/>
              <w:overflowPunct/>
              <w:topLinePunct w:val="0"/>
              <w:autoSpaceDE w:val="0"/>
              <w:autoSpaceDN w:val="0"/>
              <w:bidi w:val="0"/>
              <w:spacing w:beforeAutospacing="0" w:afterAutospacing="0" w:line="240" w:lineRule="auto"/>
              <w:ind w:left="0" w:right="0"/>
              <w:rPr>
                <w:rFonts w:hint="eastAsia" w:ascii="仿宋" w:eastAsia="仿宋" w:cs="Times New Roman"/>
                <w:color w:val="auto"/>
                <w:lang w:val="en-US" w:eastAsia="zh-CN"/>
              </w:rPr>
            </w:pPr>
            <w:r>
              <w:rPr>
                <w:rFonts w:hint="eastAsia" w:ascii="仿宋" w:eastAsia="仿宋" w:cs="Times New Roman"/>
                <w:color w:val="auto"/>
                <w:lang w:val="en-US" w:eastAsia="zh-CN"/>
              </w:rPr>
              <w:t xml:space="preserve">  账号：6505 0162 6049 0000 0418</w:t>
            </w:r>
          </w:p>
          <w:p w14:paraId="6FDD30CF">
            <w:pPr>
              <w:pStyle w:val="331"/>
              <w:pageBreakBefore w:val="0"/>
              <w:widowControl w:val="0"/>
              <w:kinsoku/>
              <w:wordWrap/>
              <w:overflowPunct/>
              <w:topLinePunct w:val="0"/>
              <w:autoSpaceDE w:val="0"/>
              <w:autoSpaceDN w:val="0"/>
              <w:bidi w:val="0"/>
              <w:spacing w:beforeAutospacing="0" w:afterAutospacing="0" w:line="240" w:lineRule="auto"/>
              <w:ind w:left="0" w:right="0" w:firstLine="240" w:firstLineChars="100"/>
              <w:rPr>
                <w:rFonts w:ascii="仿宋" w:eastAsia="仿宋" w:cs="Times New Roman"/>
                <w:color w:val="auto"/>
                <w:lang w:val="en-US" w:eastAsia="zh-CN"/>
              </w:rPr>
            </w:pPr>
            <w:r>
              <w:rPr>
                <w:rFonts w:hint="eastAsia" w:ascii="仿宋" w:eastAsia="仿宋" w:cs="Times New Roman"/>
                <w:color w:val="auto"/>
                <w:lang w:val="en-US" w:eastAsia="zh-CN"/>
              </w:rPr>
              <w:t>开户银行：中国建设银行股份有限公司昌吉回族自治州分行经济开发区支行</w:t>
            </w:r>
          </w:p>
        </w:tc>
      </w:tr>
      <w:tr w14:paraId="05DA2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48" w:type="dxa"/>
            <w:tcBorders>
              <w:tl2br w:val="nil"/>
              <w:tr2bl w:val="nil"/>
            </w:tcBorders>
            <w:vAlign w:val="center"/>
          </w:tcPr>
          <w:p w14:paraId="7B8CF71C">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eastAsia="zh-CN"/>
              </w:rPr>
            </w:pPr>
            <w:bookmarkStart w:id="36" w:name="_Toc351016477"/>
            <w:r>
              <w:rPr>
                <w:rFonts w:ascii="仿宋" w:eastAsia="仿宋"/>
                <w:b w:val="0"/>
                <w:color w:val="auto"/>
                <w:sz w:val="24"/>
                <w:szCs w:val="24"/>
              </w:rPr>
              <w:t>2</w:t>
            </w:r>
            <w:r>
              <w:rPr>
                <w:rFonts w:hint="eastAsia" w:ascii="仿宋" w:eastAsia="仿宋"/>
                <w:b w:val="0"/>
                <w:color w:val="auto"/>
                <w:sz w:val="24"/>
                <w:szCs w:val="24"/>
                <w:lang w:val="en-US" w:eastAsia="zh-CN"/>
              </w:rPr>
              <w:t>1</w:t>
            </w:r>
          </w:p>
        </w:tc>
        <w:tc>
          <w:tcPr>
            <w:tcW w:w="1744" w:type="dxa"/>
            <w:tcBorders>
              <w:tl2br w:val="nil"/>
              <w:tr2bl w:val="nil"/>
            </w:tcBorders>
            <w:vAlign w:val="center"/>
          </w:tcPr>
          <w:p w14:paraId="5EA1B536">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hint="eastAsia" w:ascii="仿宋" w:eastAsia="仿宋"/>
                <w:b w:val="0"/>
                <w:color w:val="auto"/>
                <w:sz w:val="24"/>
                <w:szCs w:val="24"/>
                <w:lang w:val="en-US" w:eastAsia="zh-CN"/>
              </w:rPr>
              <w:t>中标</w:t>
            </w:r>
            <w:r>
              <w:rPr>
                <w:rFonts w:ascii="仿宋" w:eastAsia="仿宋"/>
                <w:b w:val="0"/>
                <w:color w:val="auto"/>
                <w:sz w:val="24"/>
                <w:szCs w:val="24"/>
              </w:rPr>
              <w:t>通知书</w:t>
            </w:r>
          </w:p>
          <w:p w14:paraId="3D2FC032">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ascii="仿宋" w:eastAsia="仿宋"/>
                <w:b w:val="0"/>
                <w:color w:val="auto"/>
                <w:sz w:val="24"/>
                <w:szCs w:val="24"/>
              </w:rPr>
              <w:t>领取</w:t>
            </w:r>
          </w:p>
        </w:tc>
        <w:tc>
          <w:tcPr>
            <w:tcW w:w="6840" w:type="dxa"/>
            <w:tcBorders>
              <w:tl2br w:val="nil"/>
              <w:tr2bl w:val="nil"/>
            </w:tcBorders>
            <w:vAlign w:val="center"/>
          </w:tcPr>
          <w:p w14:paraId="0E32373E">
            <w:pPr>
              <w:pStyle w:val="331"/>
              <w:pageBreakBefore w:val="0"/>
              <w:widowControl w:val="0"/>
              <w:kinsoku/>
              <w:wordWrap/>
              <w:overflowPunct/>
              <w:topLinePunct w:val="0"/>
              <w:autoSpaceDE w:val="0"/>
              <w:autoSpaceDN w:val="0"/>
              <w:bidi w:val="0"/>
              <w:spacing w:beforeAutospacing="0" w:afterAutospacing="0" w:line="240" w:lineRule="auto"/>
              <w:ind w:left="0" w:right="0" w:firstLine="235" w:firstLineChars="98"/>
              <w:rPr>
                <w:rFonts w:hint="eastAsia" w:ascii="仿宋" w:eastAsia="仿宋" w:cs="Times New Roman"/>
                <w:bCs/>
                <w:color w:val="auto"/>
                <w:highlight w:val="none"/>
                <w:lang w:val="zh-CN"/>
              </w:rPr>
            </w:pPr>
            <w:r>
              <w:rPr>
                <w:rFonts w:hint="eastAsia" w:ascii="仿宋" w:eastAsia="仿宋" w:cs="Times New Roman"/>
                <w:bCs/>
                <w:color w:val="auto"/>
                <w:highlight w:val="none"/>
                <w:lang w:val="zh-CN"/>
              </w:rPr>
              <w:t>接采购代理机构通知后，</w:t>
            </w:r>
            <w:r>
              <w:rPr>
                <w:rFonts w:hint="eastAsia" w:ascii="仿宋" w:eastAsia="仿宋" w:cs="Times New Roman"/>
                <w:bCs/>
                <w:color w:val="auto"/>
                <w:highlight w:val="none"/>
                <w:lang w:val="zh-CN" w:eastAsia="zh-CN"/>
              </w:rPr>
              <w:t>请成交供应商</w:t>
            </w:r>
            <w:r>
              <w:rPr>
                <w:rFonts w:hint="eastAsia" w:ascii="仿宋" w:eastAsia="仿宋" w:cs="Times New Roman"/>
                <w:bCs/>
                <w:color w:val="auto"/>
                <w:highlight w:val="none"/>
                <w:lang w:val="en-US" w:eastAsia="zh-CN"/>
              </w:rPr>
              <w:t>登陆新疆政府采购网</w:t>
            </w:r>
            <w:r>
              <w:rPr>
                <w:rFonts w:hint="eastAsia" w:ascii="仿宋" w:eastAsia="仿宋" w:cs="Times New Roman"/>
                <w:bCs/>
                <w:color w:val="auto"/>
                <w:highlight w:val="none"/>
                <w:lang w:val="zh-CN"/>
              </w:rPr>
              <w:t>领取</w:t>
            </w:r>
            <w:r>
              <w:rPr>
                <w:rFonts w:hint="eastAsia" w:ascii="仿宋" w:eastAsia="仿宋" w:cs="Times New Roman"/>
                <w:bCs/>
                <w:color w:val="auto"/>
                <w:highlight w:val="none"/>
                <w:lang w:val="en-US" w:eastAsia="zh-CN"/>
              </w:rPr>
              <w:t>中标</w:t>
            </w:r>
            <w:r>
              <w:rPr>
                <w:rFonts w:hint="eastAsia" w:ascii="仿宋" w:eastAsia="仿宋" w:cs="Times New Roman"/>
                <w:bCs/>
                <w:color w:val="auto"/>
                <w:highlight w:val="none"/>
                <w:lang w:val="zh-CN"/>
              </w:rPr>
              <w:t>通知书。</w:t>
            </w:r>
          </w:p>
          <w:p w14:paraId="663FB968">
            <w:pPr>
              <w:pStyle w:val="331"/>
              <w:pageBreakBefore w:val="0"/>
              <w:widowControl w:val="0"/>
              <w:kinsoku/>
              <w:wordWrap/>
              <w:overflowPunct/>
              <w:topLinePunct w:val="0"/>
              <w:autoSpaceDE w:val="0"/>
              <w:autoSpaceDN w:val="0"/>
              <w:bidi w:val="0"/>
              <w:spacing w:beforeAutospacing="0" w:afterAutospacing="0" w:line="240" w:lineRule="auto"/>
              <w:ind w:left="0" w:right="0" w:firstLine="235" w:firstLineChars="98"/>
              <w:rPr>
                <w:rFonts w:hint="eastAsia" w:ascii="仿宋" w:eastAsia="仿宋" w:cs="Times New Roman"/>
                <w:bCs/>
                <w:color w:val="FF0000"/>
                <w:highlight w:val="none"/>
                <w:lang w:val="en-US" w:eastAsia="zh-CN"/>
              </w:rPr>
            </w:pPr>
            <w:r>
              <w:rPr>
                <w:rFonts w:hint="eastAsia" w:ascii="仿宋" w:eastAsia="仿宋" w:cs="Times New Roman"/>
                <w:bCs/>
                <w:color w:val="auto"/>
                <w:highlight w:val="none"/>
                <w:lang w:val="zh-CN"/>
              </w:rPr>
              <w:t>联系人：</w:t>
            </w:r>
            <w:r>
              <w:rPr>
                <w:rFonts w:hint="eastAsia" w:ascii="仿宋" w:eastAsia="仿宋" w:cs="Times New Roman"/>
                <w:bCs/>
                <w:color w:val="auto"/>
                <w:highlight w:val="none"/>
                <w:lang w:val="en-US" w:eastAsia="zh-CN"/>
              </w:rPr>
              <w:t>杨静</w:t>
            </w:r>
          </w:p>
          <w:p w14:paraId="0E0EC838">
            <w:pPr>
              <w:pStyle w:val="331"/>
              <w:pageBreakBefore w:val="0"/>
              <w:widowControl w:val="0"/>
              <w:kinsoku/>
              <w:wordWrap/>
              <w:overflowPunct/>
              <w:topLinePunct w:val="0"/>
              <w:autoSpaceDE w:val="0"/>
              <w:autoSpaceDN w:val="0"/>
              <w:bidi w:val="0"/>
              <w:spacing w:beforeAutospacing="0" w:afterAutospacing="0" w:line="240" w:lineRule="auto"/>
              <w:ind w:left="0" w:right="0" w:firstLine="235" w:firstLineChars="98"/>
              <w:rPr>
                <w:rFonts w:hint="default" w:ascii="仿宋" w:eastAsia="仿宋" w:cs="Times New Roman"/>
                <w:bCs/>
                <w:color w:val="auto"/>
                <w:highlight w:val="none"/>
                <w:lang w:val="en-US" w:eastAsia="zh-CN"/>
              </w:rPr>
            </w:pPr>
            <w:r>
              <w:rPr>
                <w:rFonts w:hint="eastAsia" w:ascii="仿宋" w:eastAsia="仿宋" w:cs="Times New Roman"/>
                <w:bCs/>
                <w:color w:val="auto"/>
                <w:highlight w:val="none"/>
                <w:lang w:val="zh-CN"/>
              </w:rPr>
              <w:t>联系电话：</w:t>
            </w:r>
            <w:r>
              <w:rPr>
                <w:rFonts w:hint="eastAsia" w:ascii="仿宋" w:eastAsia="仿宋" w:cs="Times New Roman"/>
                <w:bCs/>
                <w:color w:val="auto"/>
                <w:highlight w:val="none"/>
                <w:lang w:val="en-US" w:eastAsia="zh-CN"/>
              </w:rPr>
              <w:t>13899819470</w:t>
            </w:r>
          </w:p>
          <w:p w14:paraId="21AE39F5">
            <w:pPr>
              <w:pStyle w:val="331"/>
              <w:pageBreakBefore w:val="0"/>
              <w:widowControl w:val="0"/>
              <w:kinsoku/>
              <w:wordWrap/>
              <w:overflowPunct/>
              <w:topLinePunct w:val="0"/>
              <w:autoSpaceDE w:val="0"/>
              <w:autoSpaceDN w:val="0"/>
              <w:bidi w:val="0"/>
              <w:spacing w:beforeAutospacing="0" w:afterAutospacing="0" w:line="240" w:lineRule="auto"/>
              <w:ind w:left="0" w:right="0" w:firstLine="235" w:firstLineChars="98"/>
              <w:rPr>
                <w:rFonts w:hint="eastAsia" w:ascii="仿宋" w:eastAsia="仿宋" w:cs="Times New Roman"/>
                <w:b/>
                <w:color w:val="auto"/>
                <w:highlight w:val="none"/>
                <w:lang w:val="zh-CN"/>
              </w:rPr>
            </w:pPr>
            <w:r>
              <w:rPr>
                <w:rFonts w:hint="eastAsia" w:ascii="仿宋" w:eastAsia="仿宋" w:cs="Times New Roman"/>
                <w:bCs/>
                <w:color w:val="auto"/>
                <w:highlight w:val="none"/>
                <w:lang w:val="zh-CN"/>
              </w:rPr>
              <w:t>地址：昌吉市建国西路199号和谐国际广场K座</w:t>
            </w:r>
            <w:r>
              <w:rPr>
                <w:rFonts w:hint="eastAsia" w:ascii="仿宋" w:eastAsia="仿宋" w:cs="Times New Roman"/>
                <w:bCs/>
                <w:color w:val="auto"/>
                <w:highlight w:val="none"/>
                <w:lang w:val="en-US" w:eastAsia="zh-CN"/>
              </w:rPr>
              <w:t>1915</w:t>
            </w:r>
            <w:r>
              <w:rPr>
                <w:rFonts w:hint="eastAsia" w:ascii="仿宋" w:eastAsia="仿宋" w:cs="Times New Roman"/>
                <w:bCs/>
                <w:color w:val="auto"/>
                <w:highlight w:val="none"/>
                <w:lang w:val="zh-CN" w:eastAsia="zh-CN"/>
              </w:rPr>
              <w:t>室</w:t>
            </w:r>
          </w:p>
        </w:tc>
      </w:tr>
      <w:tr w14:paraId="61293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8" w:type="dxa"/>
            <w:tcBorders>
              <w:tl2br w:val="nil"/>
              <w:tr2bl w:val="nil"/>
            </w:tcBorders>
            <w:vAlign w:val="center"/>
          </w:tcPr>
          <w:p w14:paraId="5A140122">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eastAsia" w:ascii="仿宋" w:eastAsia="仿宋"/>
                <w:b w:val="0"/>
                <w:color w:val="auto"/>
                <w:sz w:val="24"/>
                <w:szCs w:val="24"/>
                <w:lang w:val="en-US" w:eastAsia="zh-CN"/>
              </w:rPr>
            </w:pPr>
            <w:r>
              <w:rPr>
                <w:rFonts w:hint="eastAsia" w:ascii="仿宋" w:eastAsia="仿宋"/>
                <w:b w:val="0"/>
                <w:color w:val="auto"/>
                <w:sz w:val="24"/>
                <w:szCs w:val="24"/>
                <w:lang w:val="en-US"/>
              </w:rPr>
              <w:t>2</w:t>
            </w:r>
            <w:r>
              <w:rPr>
                <w:rFonts w:hint="eastAsia" w:ascii="仿宋" w:eastAsia="仿宋"/>
                <w:b w:val="0"/>
                <w:color w:val="auto"/>
                <w:sz w:val="24"/>
                <w:szCs w:val="24"/>
                <w:lang w:val="en-US" w:eastAsia="zh-CN"/>
              </w:rPr>
              <w:t>2</w:t>
            </w:r>
          </w:p>
        </w:tc>
        <w:tc>
          <w:tcPr>
            <w:tcW w:w="1744" w:type="dxa"/>
            <w:tcBorders>
              <w:tl2br w:val="nil"/>
              <w:tr2bl w:val="nil"/>
            </w:tcBorders>
            <w:vAlign w:val="center"/>
          </w:tcPr>
          <w:p w14:paraId="3FBE508C">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hint="eastAsia" w:ascii="仿宋" w:eastAsia="仿宋"/>
                <w:b w:val="0"/>
                <w:color w:val="auto"/>
                <w:sz w:val="24"/>
                <w:szCs w:val="24"/>
              </w:rPr>
              <w:t>政府采购合同</w:t>
            </w:r>
          </w:p>
          <w:p w14:paraId="5C6238DB">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rPr>
            </w:pPr>
            <w:r>
              <w:rPr>
                <w:rFonts w:hint="eastAsia" w:ascii="仿宋" w:eastAsia="仿宋"/>
                <w:b w:val="0"/>
                <w:color w:val="auto"/>
                <w:sz w:val="24"/>
                <w:szCs w:val="24"/>
              </w:rPr>
              <w:t>公告备案</w:t>
            </w:r>
          </w:p>
        </w:tc>
        <w:tc>
          <w:tcPr>
            <w:tcW w:w="6840" w:type="dxa"/>
            <w:tcBorders>
              <w:tl2br w:val="nil"/>
              <w:tr2bl w:val="nil"/>
            </w:tcBorders>
            <w:vAlign w:val="center"/>
          </w:tcPr>
          <w:p w14:paraId="540616CA">
            <w:pPr>
              <w:pStyle w:val="331"/>
              <w:pageBreakBefore w:val="0"/>
              <w:widowControl w:val="0"/>
              <w:kinsoku/>
              <w:wordWrap/>
              <w:overflowPunct/>
              <w:topLinePunct w:val="0"/>
              <w:autoSpaceDE w:val="0"/>
              <w:autoSpaceDN w:val="0"/>
              <w:bidi w:val="0"/>
              <w:spacing w:beforeAutospacing="0" w:afterAutospacing="0" w:line="240" w:lineRule="auto"/>
              <w:ind w:left="0" w:right="0" w:firstLine="235" w:firstLineChars="98"/>
              <w:rPr>
                <w:rFonts w:hint="eastAsia" w:ascii="仿宋" w:eastAsia="仿宋" w:cs="Times New Roman"/>
                <w:bCs/>
                <w:color w:val="auto"/>
                <w:highlight w:val="none"/>
                <w:lang w:val="zh-CN"/>
              </w:rPr>
            </w:pPr>
            <w:bookmarkStart w:id="37" w:name="PO_默认文件内容_38"/>
            <w:r>
              <w:rPr>
                <w:rFonts w:hint="eastAsia" w:ascii="仿宋" w:eastAsia="仿宋" w:cs="Times New Roman"/>
                <w:bCs/>
                <w:color w:val="auto"/>
                <w:highlight w:val="none"/>
                <w:lang w:val="zh-CN"/>
              </w:rPr>
              <w:t>政府采购合同签订之日起2个工作日内，采购人应将政府采购合同在新疆政府采购网公告；</w:t>
            </w:r>
            <w:bookmarkEnd w:id="37"/>
          </w:p>
        </w:tc>
      </w:tr>
      <w:tr w14:paraId="0BC10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8" w:type="dxa"/>
            <w:tcBorders>
              <w:tl2br w:val="nil"/>
              <w:tr2bl w:val="nil"/>
            </w:tcBorders>
            <w:vAlign w:val="center"/>
          </w:tcPr>
          <w:p w14:paraId="7C646FF7">
            <w:pPr>
              <w:pageBreakBefore w:val="0"/>
              <w:widowControl w:val="0"/>
              <w:kinsoku/>
              <w:wordWrap/>
              <w:overflowPunct/>
              <w:topLinePunct w:val="0"/>
              <w:bidi w:val="0"/>
              <w:snapToGrid/>
              <w:spacing w:beforeAutospacing="0" w:afterAutospacing="0" w:line="240" w:lineRule="auto"/>
              <w:ind w:left="0" w:right="0" w:firstLine="0" w:firstLineChars="0"/>
              <w:jc w:val="center"/>
              <w:rPr>
                <w:rFonts w:ascii="仿宋" w:eastAsia="仿宋"/>
                <w:b w:val="0"/>
                <w:color w:val="auto"/>
                <w:sz w:val="24"/>
                <w:szCs w:val="24"/>
                <w:lang w:val="en-US" w:eastAsia="zh-CN"/>
              </w:rPr>
            </w:pPr>
            <w:r>
              <w:rPr>
                <w:rFonts w:hint="eastAsia" w:ascii="仿宋" w:eastAsia="仿宋"/>
                <w:b w:val="0"/>
                <w:color w:val="auto"/>
                <w:sz w:val="24"/>
                <w:szCs w:val="24"/>
                <w:lang w:val="en-US" w:eastAsia="zh-CN"/>
              </w:rPr>
              <w:t>23</w:t>
            </w:r>
          </w:p>
        </w:tc>
        <w:tc>
          <w:tcPr>
            <w:tcW w:w="1744" w:type="dxa"/>
            <w:tcBorders>
              <w:tl2br w:val="nil"/>
              <w:tr2bl w:val="nil"/>
            </w:tcBorders>
            <w:vAlign w:val="center"/>
          </w:tcPr>
          <w:p w14:paraId="0703C616">
            <w:pPr>
              <w:snapToGrid/>
              <w:spacing w:line="400" w:lineRule="exact"/>
              <w:ind w:firstLine="0" w:firstLineChars="0"/>
              <w:jc w:val="center"/>
              <w:rPr>
                <w:rFonts w:ascii="仿宋" w:eastAsia="仿宋"/>
                <w:b w:val="0"/>
                <w:color w:val="auto"/>
                <w:sz w:val="24"/>
                <w:szCs w:val="24"/>
                <w:lang w:val="en-US" w:eastAsia="zh-CN"/>
              </w:rPr>
            </w:pPr>
            <w:r>
              <w:rPr>
                <w:rFonts w:hint="eastAsia" w:ascii="仿宋" w:hAnsi="仿宋" w:eastAsia="仿宋"/>
                <w:b w:val="0"/>
                <w:color w:val="auto"/>
                <w:sz w:val="24"/>
                <w:szCs w:val="24"/>
                <w:lang w:val="en-US" w:eastAsia="zh-CN"/>
              </w:rPr>
              <w:t>温馨提示</w:t>
            </w:r>
          </w:p>
        </w:tc>
        <w:tc>
          <w:tcPr>
            <w:tcW w:w="6840" w:type="dxa"/>
            <w:tcBorders>
              <w:tl2br w:val="nil"/>
              <w:tr2bl w:val="nil"/>
            </w:tcBorders>
            <w:vAlign w:val="center"/>
          </w:tcPr>
          <w:p w14:paraId="63E0AA09">
            <w:pPr>
              <w:pStyle w:val="331"/>
              <w:numPr>
                <w:ilvl w:val="0"/>
                <w:numId w:val="0"/>
              </w:numPr>
              <w:spacing w:line="440" w:lineRule="exact"/>
              <w:rPr>
                <w:rFonts w:hint="eastAsia" w:ascii="仿宋" w:hAnsi="仿宋" w:eastAsia="仿宋" w:cs="Times New Roman"/>
                <w:b w:val="0"/>
                <w:bCs/>
                <w:color w:val="auto"/>
                <w:highlight w:val="none"/>
                <w:lang w:val="zh-CN"/>
              </w:rPr>
            </w:pPr>
            <w:r>
              <w:rPr>
                <w:rFonts w:hint="eastAsia" w:ascii="仿宋" w:hAnsi="仿宋" w:eastAsia="仿宋" w:cs="Times New Roman"/>
                <w:b w:val="0"/>
                <w:bCs/>
                <w:color w:val="auto"/>
                <w:highlight w:val="none"/>
                <w:lang w:val="zh-CN"/>
              </w:rPr>
              <w:t>1.供应商需准备全流程所必需的硬件设备包括电脑（版本 win7 64位及以上）、麦克风、摄像头、CA证书等。建议使用同一台电脑完成投标、评标相关事宜，且解密CA必须和加密CA为同一把。</w:t>
            </w:r>
          </w:p>
          <w:p w14:paraId="68F4128B">
            <w:pPr>
              <w:pStyle w:val="331"/>
              <w:numPr>
                <w:ilvl w:val="0"/>
                <w:numId w:val="0"/>
              </w:numPr>
              <w:spacing w:line="440" w:lineRule="exact"/>
              <w:rPr>
                <w:rFonts w:hint="eastAsia" w:ascii="仿宋" w:hAnsi="仿宋" w:eastAsia="仿宋" w:cs="Times New Roman"/>
                <w:b w:val="0"/>
                <w:bCs/>
                <w:color w:val="auto"/>
                <w:highlight w:val="none"/>
                <w:lang w:val="zh-CN"/>
              </w:rPr>
            </w:pPr>
            <w:r>
              <w:rPr>
                <w:rFonts w:hint="eastAsia" w:ascii="仿宋" w:hAnsi="仿宋" w:eastAsia="仿宋" w:cs="Times New Roman"/>
                <w:b w:val="0"/>
                <w:bCs/>
                <w:color w:val="auto"/>
                <w:highlight w:val="none"/>
                <w:lang w:val="zh-CN"/>
              </w:rPr>
              <w:t>2.政府采购云平台供应商注册地址：</w:t>
            </w:r>
          </w:p>
          <w:p w14:paraId="46B73AFC">
            <w:pPr>
              <w:pStyle w:val="331"/>
              <w:keepNext w:val="0"/>
              <w:keepLines w:val="0"/>
              <w:pageBreakBefore w:val="0"/>
              <w:widowControl w:val="0"/>
              <w:numPr>
                <w:ilvl w:val="0"/>
                <w:numId w:val="0"/>
              </w:numPr>
              <w:kinsoku/>
              <w:wordWrap/>
              <w:overflowPunct/>
              <w:topLinePunct w:val="0"/>
              <w:autoSpaceDE w:val="0"/>
              <w:autoSpaceDN w:val="0"/>
              <w:bidi w:val="0"/>
              <w:adjustRightInd w:val="0"/>
              <w:snapToGrid/>
              <w:spacing w:line="430" w:lineRule="exact"/>
              <w:ind w:left="0" w:leftChars="0" w:firstLine="0" w:firstLineChars="0"/>
              <w:textAlignment w:val="auto"/>
              <w:rPr>
                <w:rFonts w:hint="eastAsia" w:ascii="仿宋" w:hAnsi="仿宋" w:eastAsia="仿宋" w:cs="Times New Roman"/>
                <w:b w:val="0"/>
                <w:bCs/>
                <w:color w:val="auto"/>
                <w:highlight w:val="none"/>
                <w:lang w:val="zh-CN"/>
              </w:rPr>
            </w:pPr>
            <w:r>
              <w:rPr>
                <w:rFonts w:hint="eastAsia" w:ascii="仿宋" w:hAnsi="仿宋" w:eastAsia="仿宋" w:cs="Times New Roman"/>
                <w:b w:val="0"/>
                <w:bCs/>
                <w:color w:val="auto"/>
                <w:highlight w:val="none"/>
                <w:lang w:val="zh-CN"/>
              </w:rPr>
              <w:fldChar w:fldCharType="begin"/>
            </w:r>
            <w:r>
              <w:rPr>
                <w:rFonts w:hint="eastAsia" w:ascii="仿宋" w:hAnsi="仿宋" w:eastAsia="仿宋" w:cs="Times New Roman"/>
                <w:b w:val="0"/>
                <w:bCs/>
                <w:color w:val="auto"/>
                <w:highlight w:val="none"/>
                <w:lang w:val="zh-CN"/>
              </w:rPr>
              <w:instrText xml:space="preserve"> HYPERLINK "https://middle.zcygov.cn/v-settle-front/registry" </w:instrText>
            </w:r>
            <w:r>
              <w:rPr>
                <w:rFonts w:hint="eastAsia" w:ascii="仿宋" w:hAnsi="仿宋" w:eastAsia="仿宋" w:cs="Times New Roman"/>
                <w:b w:val="0"/>
                <w:bCs/>
                <w:color w:val="auto"/>
                <w:highlight w:val="none"/>
                <w:lang w:val="zh-CN"/>
              </w:rPr>
              <w:fldChar w:fldCharType="separate"/>
            </w:r>
            <w:r>
              <w:rPr>
                <w:rStyle w:val="92"/>
                <w:rFonts w:hint="eastAsia" w:ascii="仿宋" w:hAnsi="仿宋" w:eastAsia="仿宋" w:cs="Times New Roman"/>
                <w:b w:val="0"/>
                <w:bCs/>
                <w:highlight w:val="none"/>
                <w:lang w:val="zh-CN"/>
              </w:rPr>
              <w:t>https://middle.zcygov.cn/v-settle-front/registry</w:t>
            </w:r>
            <w:r>
              <w:rPr>
                <w:rFonts w:hint="eastAsia" w:ascii="仿宋" w:hAnsi="仿宋" w:eastAsia="仿宋" w:cs="Times New Roman"/>
                <w:b w:val="0"/>
                <w:bCs/>
                <w:color w:val="auto"/>
                <w:highlight w:val="none"/>
                <w:lang w:val="zh-CN"/>
              </w:rPr>
              <w:fldChar w:fldCharType="end"/>
            </w:r>
          </w:p>
          <w:p w14:paraId="0BAF2B48">
            <w:pPr>
              <w:pStyle w:val="331"/>
              <w:numPr>
                <w:ilvl w:val="0"/>
                <w:numId w:val="0"/>
              </w:numPr>
              <w:spacing w:line="440" w:lineRule="exact"/>
              <w:rPr>
                <w:rFonts w:hint="eastAsia" w:ascii="仿宋" w:hAnsi="仿宋" w:eastAsia="仿宋" w:cs="仿宋"/>
                <w:b w:val="0"/>
                <w:color w:val="auto"/>
                <w:sz w:val="24"/>
                <w:szCs w:val="24"/>
                <w:highlight w:val="none"/>
                <w:lang w:val="en-US" w:eastAsia="zh-CN" w:bidi="ar-SA"/>
              </w:rPr>
            </w:pPr>
            <w:r>
              <w:rPr>
                <w:rFonts w:hint="eastAsia" w:ascii="仿宋" w:hAnsi="仿宋" w:eastAsia="仿宋" w:cs="仿宋"/>
                <w:b w:val="0"/>
                <w:color w:val="auto"/>
                <w:sz w:val="24"/>
                <w:szCs w:val="24"/>
                <w:highlight w:val="none"/>
                <w:lang w:val="en-US" w:eastAsia="zh-CN" w:bidi="ar-SA"/>
              </w:rPr>
              <w:t>3.采购人在投标有效期内仍保留核验本次响应文件中证件真伪的权利，必要时供应商必须按采购人要求提供相关证件的原件。</w:t>
            </w:r>
          </w:p>
          <w:p w14:paraId="79648203">
            <w:pPr>
              <w:pStyle w:val="331"/>
              <w:keepNext w:val="0"/>
              <w:keepLines w:val="0"/>
              <w:pageBreakBefore w:val="0"/>
              <w:widowControl w:val="0"/>
              <w:numPr>
                <w:ilvl w:val="0"/>
                <w:numId w:val="0"/>
              </w:numPr>
              <w:kinsoku/>
              <w:wordWrap/>
              <w:overflowPunct/>
              <w:topLinePunct w:val="0"/>
              <w:autoSpaceDE w:val="0"/>
              <w:autoSpaceDN w:val="0"/>
              <w:bidi w:val="0"/>
              <w:adjustRightInd w:val="0"/>
              <w:snapToGrid/>
              <w:spacing w:line="430" w:lineRule="exact"/>
              <w:ind w:left="0" w:leftChars="0" w:firstLine="0" w:firstLineChars="0"/>
              <w:textAlignment w:val="auto"/>
              <w:rPr>
                <w:rFonts w:hint="eastAsia" w:ascii="仿宋" w:eastAsia="仿宋" w:cs="Times New Roman"/>
                <w:b/>
                <w:bCs w:val="0"/>
                <w:color w:val="auto"/>
                <w:highlight w:val="none"/>
                <w:lang w:val="zh-CN"/>
              </w:rPr>
            </w:pPr>
            <w:r>
              <w:rPr>
                <w:rFonts w:hint="eastAsia" w:ascii="仿宋" w:hAnsi="仿宋" w:eastAsia="仿宋" w:cs="仿宋"/>
                <w:b w:val="0"/>
                <w:color w:val="auto"/>
                <w:sz w:val="24"/>
                <w:szCs w:val="24"/>
                <w:highlight w:val="none"/>
                <w:lang w:val="en-US" w:eastAsia="zh-CN" w:bidi="ar-SA"/>
              </w:rPr>
              <w:t>4.采购人有权对所有有关承诺和提供的资料进行核查，如未满足相关要求或提供虚假资料的，采购人可以按照评标委员会提出的中标候选人名单排序依次确定其他中标候选人为中标人，也可以重新采购。</w:t>
            </w:r>
          </w:p>
        </w:tc>
      </w:tr>
      <w:tr w14:paraId="5B6C9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8" w:type="dxa"/>
            <w:tcBorders>
              <w:tl2br w:val="nil"/>
              <w:tr2bl w:val="nil"/>
            </w:tcBorders>
            <w:vAlign w:val="center"/>
          </w:tcPr>
          <w:p w14:paraId="540A3C5D">
            <w:pPr>
              <w:pageBreakBefore w:val="0"/>
              <w:widowControl w:val="0"/>
              <w:kinsoku/>
              <w:wordWrap/>
              <w:overflowPunct/>
              <w:topLinePunct w:val="0"/>
              <w:bidi w:val="0"/>
              <w:snapToGrid/>
              <w:spacing w:beforeAutospacing="0" w:afterAutospacing="0" w:line="240" w:lineRule="auto"/>
              <w:ind w:left="0" w:right="0" w:firstLine="0" w:firstLineChars="0"/>
              <w:jc w:val="center"/>
              <w:rPr>
                <w:rFonts w:hint="default" w:ascii="仿宋" w:eastAsia="仿宋"/>
                <w:b w:val="0"/>
                <w:color w:val="auto"/>
                <w:sz w:val="24"/>
                <w:szCs w:val="24"/>
                <w:lang w:val="en-US" w:eastAsia="zh-CN"/>
              </w:rPr>
            </w:pPr>
            <w:r>
              <w:rPr>
                <w:rFonts w:hint="eastAsia" w:ascii="仿宋" w:eastAsia="仿宋"/>
                <w:b w:val="0"/>
                <w:color w:val="auto"/>
                <w:sz w:val="24"/>
                <w:szCs w:val="24"/>
                <w:lang w:val="en-US" w:eastAsia="zh-CN"/>
              </w:rPr>
              <w:t>24</w:t>
            </w:r>
          </w:p>
        </w:tc>
        <w:tc>
          <w:tcPr>
            <w:tcW w:w="1744" w:type="dxa"/>
            <w:tcBorders>
              <w:tl2br w:val="nil"/>
              <w:tr2bl w:val="nil"/>
            </w:tcBorders>
            <w:vAlign w:val="center"/>
          </w:tcPr>
          <w:p w14:paraId="595B21A7">
            <w:pPr>
              <w:pageBreakBefore w:val="0"/>
              <w:kinsoku/>
              <w:wordWrap/>
              <w:overflowPunct/>
              <w:topLinePunct w:val="0"/>
              <w:bidi w:val="0"/>
              <w:snapToGrid/>
              <w:spacing w:beforeAutospacing="0" w:afterAutospacing="0" w:line="240" w:lineRule="auto"/>
              <w:ind w:left="0" w:leftChars="0" w:right="0" w:rightChars="0" w:firstLine="0" w:firstLineChars="0"/>
              <w:jc w:val="center"/>
              <w:rPr>
                <w:rFonts w:hint="eastAsia" w:ascii="仿宋" w:eastAsia="仿宋"/>
                <w:b w:val="0"/>
                <w:color w:val="auto"/>
                <w:sz w:val="24"/>
                <w:szCs w:val="24"/>
                <w:lang w:val="en-US" w:eastAsia="zh-CN"/>
              </w:rPr>
            </w:pPr>
            <w:r>
              <w:rPr>
                <w:rFonts w:hint="eastAsia" w:ascii="仿宋" w:hAnsi="仿宋" w:eastAsia="仿宋" w:cs="Times New Roman"/>
                <w:b w:val="0"/>
                <w:color w:val="auto"/>
                <w:sz w:val="24"/>
                <w:szCs w:val="24"/>
                <w:lang w:val="en-US" w:eastAsia="zh-CN"/>
              </w:rPr>
              <w:t>特殊情况</w:t>
            </w:r>
          </w:p>
        </w:tc>
        <w:tc>
          <w:tcPr>
            <w:tcW w:w="6840" w:type="dxa"/>
            <w:tcBorders>
              <w:tl2br w:val="nil"/>
              <w:tr2bl w:val="nil"/>
            </w:tcBorders>
            <w:vAlign w:val="top"/>
          </w:tcPr>
          <w:p w14:paraId="5BE80EB1">
            <w:pPr>
              <w:pageBreakBefore w:val="0"/>
              <w:kinsoku/>
              <w:wordWrap/>
              <w:overflowPunct/>
              <w:topLinePunct w:val="0"/>
              <w:bidi w:val="0"/>
              <w:snapToGrid/>
              <w:spacing w:beforeAutospacing="0" w:afterAutospacing="0" w:line="240" w:lineRule="auto"/>
              <w:ind w:left="0" w:leftChars="0" w:right="0" w:rightChars="0" w:firstLine="480" w:firstLineChars="200"/>
              <w:jc w:val="left"/>
              <w:rPr>
                <w:rFonts w:hint="eastAsia" w:ascii="仿宋" w:hAnsi="仿宋" w:eastAsia="仿宋" w:cs="Times New Roman"/>
                <w:b w:val="0"/>
                <w:color w:val="auto"/>
                <w:sz w:val="24"/>
                <w:szCs w:val="24"/>
                <w:lang w:val="en-US" w:eastAsia="zh-CN"/>
              </w:rPr>
            </w:pPr>
            <w:r>
              <w:rPr>
                <w:rFonts w:hint="eastAsia" w:ascii="仿宋" w:hAnsi="仿宋" w:eastAsia="仿宋" w:cs="Times New Roman"/>
                <w:b w:val="0"/>
                <w:color w:val="auto"/>
                <w:sz w:val="24"/>
                <w:szCs w:val="24"/>
                <w:lang w:val="en-US" w:eastAsia="zh-CN"/>
              </w:rPr>
              <w:t>出现下列情形之一的，采购人或者采购代理机构应当中止电子化采购活动，并保留相关证明材料备查：</w:t>
            </w:r>
          </w:p>
          <w:p w14:paraId="29B26383">
            <w:pPr>
              <w:pageBreakBefore w:val="0"/>
              <w:kinsoku/>
              <w:wordWrap/>
              <w:overflowPunct/>
              <w:topLinePunct w:val="0"/>
              <w:bidi w:val="0"/>
              <w:snapToGrid/>
              <w:spacing w:beforeAutospacing="0" w:afterAutospacing="0" w:line="240" w:lineRule="auto"/>
              <w:ind w:left="0" w:leftChars="0" w:right="0" w:rightChars="0" w:firstLine="0" w:firstLineChars="0"/>
              <w:jc w:val="left"/>
              <w:rPr>
                <w:rFonts w:hint="eastAsia" w:ascii="仿宋" w:hAnsi="仿宋" w:eastAsia="仿宋" w:cs="Times New Roman"/>
                <w:b w:val="0"/>
                <w:color w:val="auto"/>
                <w:sz w:val="24"/>
                <w:szCs w:val="24"/>
                <w:lang w:val="en-US" w:eastAsia="zh-CN"/>
              </w:rPr>
            </w:pPr>
            <w:r>
              <w:rPr>
                <w:rFonts w:hint="eastAsia" w:ascii="仿宋" w:hAnsi="仿宋" w:eastAsia="仿宋" w:cs="Times New Roman"/>
                <w:b w:val="0"/>
                <w:color w:val="auto"/>
                <w:sz w:val="24"/>
                <w:szCs w:val="24"/>
                <w:lang w:val="en-US" w:eastAsia="zh-CN"/>
              </w:rPr>
              <w:t>（一）交易系统发生故障而无法正常使用的；</w:t>
            </w:r>
          </w:p>
          <w:p w14:paraId="214B2D45">
            <w:pPr>
              <w:pageBreakBefore w:val="0"/>
              <w:kinsoku/>
              <w:wordWrap/>
              <w:overflowPunct/>
              <w:topLinePunct w:val="0"/>
              <w:bidi w:val="0"/>
              <w:snapToGrid/>
              <w:spacing w:beforeAutospacing="0" w:afterAutospacing="0" w:line="240" w:lineRule="auto"/>
              <w:ind w:left="0" w:leftChars="0" w:right="0" w:rightChars="0" w:firstLine="0" w:firstLineChars="0"/>
              <w:jc w:val="left"/>
              <w:rPr>
                <w:rFonts w:hint="eastAsia" w:ascii="仿宋" w:hAnsi="仿宋" w:eastAsia="仿宋" w:cs="Times New Roman"/>
                <w:b w:val="0"/>
                <w:color w:val="auto"/>
                <w:sz w:val="24"/>
                <w:szCs w:val="24"/>
                <w:lang w:val="en-US" w:eastAsia="zh-CN"/>
              </w:rPr>
            </w:pPr>
            <w:r>
              <w:rPr>
                <w:rFonts w:hint="eastAsia" w:ascii="仿宋" w:hAnsi="仿宋" w:eastAsia="仿宋" w:cs="Times New Roman"/>
                <w:b w:val="0"/>
                <w:color w:val="auto"/>
                <w:sz w:val="24"/>
                <w:szCs w:val="24"/>
                <w:lang w:val="en-US" w:eastAsia="zh-CN"/>
              </w:rPr>
              <w:t>（二）因组织场所停电、断网等原因，导致采购活动无法继续通过交易系统实施的；</w:t>
            </w:r>
          </w:p>
          <w:p w14:paraId="6E9436B8">
            <w:pPr>
              <w:pageBreakBefore w:val="0"/>
              <w:kinsoku/>
              <w:wordWrap/>
              <w:overflowPunct/>
              <w:topLinePunct w:val="0"/>
              <w:bidi w:val="0"/>
              <w:snapToGrid/>
              <w:spacing w:beforeAutospacing="0" w:afterAutospacing="0" w:line="240" w:lineRule="auto"/>
              <w:ind w:left="0" w:leftChars="0" w:right="0" w:rightChars="0" w:firstLine="0" w:firstLineChars="0"/>
              <w:jc w:val="left"/>
              <w:rPr>
                <w:rFonts w:hint="eastAsia" w:ascii="仿宋" w:hAnsi="仿宋" w:eastAsia="仿宋" w:cs="Times New Roman"/>
                <w:b w:val="0"/>
                <w:color w:val="auto"/>
                <w:sz w:val="24"/>
                <w:szCs w:val="24"/>
                <w:lang w:val="en-US" w:eastAsia="zh-CN"/>
              </w:rPr>
            </w:pPr>
            <w:r>
              <w:rPr>
                <w:rFonts w:hint="eastAsia" w:ascii="仿宋" w:hAnsi="仿宋" w:eastAsia="仿宋" w:cs="Times New Roman"/>
                <w:b w:val="0"/>
                <w:color w:val="auto"/>
                <w:sz w:val="24"/>
                <w:szCs w:val="24"/>
                <w:lang w:val="en-US" w:eastAsia="zh-CN"/>
              </w:rPr>
              <w:t>（三）其他无法保证电子化交易的公平、公正和安全的情况。</w:t>
            </w:r>
          </w:p>
          <w:p w14:paraId="2A9575DD">
            <w:pPr>
              <w:pageBreakBefore w:val="0"/>
              <w:kinsoku/>
              <w:wordWrap/>
              <w:overflowPunct/>
              <w:topLinePunct w:val="0"/>
              <w:bidi w:val="0"/>
              <w:snapToGrid/>
              <w:spacing w:beforeAutospacing="0" w:afterAutospacing="0" w:line="240" w:lineRule="auto"/>
              <w:ind w:left="0" w:leftChars="0" w:right="0" w:rightChars="0" w:firstLine="480" w:firstLineChars="200"/>
              <w:jc w:val="left"/>
              <w:rPr>
                <w:rFonts w:hint="eastAsia" w:ascii="仿宋" w:hAnsi="仿宋" w:eastAsia="仿宋" w:cs="Times New Roman"/>
                <w:b w:val="0"/>
                <w:color w:val="auto"/>
                <w:sz w:val="24"/>
                <w:szCs w:val="24"/>
                <w:lang w:val="en-US" w:eastAsia="zh-CN"/>
              </w:rPr>
            </w:pPr>
            <w:r>
              <w:rPr>
                <w:rFonts w:hint="eastAsia" w:ascii="仿宋" w:hAnsi="仿宋" w:eastAsia="仿宋" w:cs="Times New Roman"/>
                <w:b w:val="0"/>
                <w:color w:val="auto"/>
                <w:sz w:val="24"/>
                <w:szCs w:val="24"/>
                <w:lang w:val="en-US" w:eastAsia="zh-CN"/>
              </w:rPr>
              <w:t>出现上述的情形，采购人或者采购代理机构、磋商小组应当认真评估影响，对不影响采购公平、公正的，待上述情形消除后继续组织采购活动；影响或者可能影响采购公平、公正的，应当采取顺延相关截止时间等方式依法进行处置；经处置后，仍然影响采购公平、公正的，应当依法废标或者终止采购活动。</w:t>
            </w:r>
          </w:p>
          <w:p w14:paraId="1436B349">
            <w:pPr>
              <w:pageBreakBefore w:val="0"/>
              <w:kinsoku/>
              <w:wordWrap/>
              <w:overflowPunct/>
              <w:topLinePunct w:val="0"/>
              <w:bidi w:val="0"/>
              <w:snapToGrid/>
              <w:spacing w:beforeAutospacing="0" w:afterAutospacing="0" w:line="240" w:lineRule="auto"/>
              <w:ind w:left="0" w:leftChars="0" w:right="0" w:rightChars="0" w:firstLine="480" w:firstLineChars="200"/>
              <w:jc w:val="left"/>
              <w:rPr>
                <w:rFonts w:hint="eastAsia" w:ascii="仿宋" w:eastAsia="仿宋" w:cs="Times New Roman"/>
                <w:bCs/>
                <w:lang w:val="zh-CN"/>
              </w:rPr>
            </w:pPr>
            <w:r>
              <w:rPr>
                <w:rFonts w:hint="eastAsia" w:ascii="仿宋" w:hAnsi="仿宋" w:eastAsia="仿宋" w:cs="Times New Roman"/>
                <w:b w:val="0"/>
                <w:color w:val="auto"/>
                <w:sz w:val="24"/>
                <w:szCs w:val="24"/>
                <w:lang w:val="zh-CN" w:eastAsia="zh-CN"/>
              </w:rPr>
              <w:t>供应商使用的网络环境、计算机终端及软件、数字证书、电子印章等设施设备出现的故障，不属于平台系统故障。供应商应当在使用平台前做好必要的准备和验证工作，并承担准备验证不充分产生的不利后果。</w:t>
            </w:r>
          </w:p>
        </w:tc>
      </w:tr>
      <w:bookmarkEnd w:id="36"/>
    </w:tbl>
    <w:p w14:paraId="1BF5698B">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r>
        <w:rPr>
          <w:rFonts w:ascii="仿宋" w:eastAsia="仿宋"/>
          <w:bCs/>
          <w:color w:val="auto"/>
          <w:kern w:val="2"/>
          <w:sz w:val="24"/>
          <w:szCs w:val="24"/>
          <w:lang w:val="en-US"/>
        </w:rPr>
        <w:t xml:space="preserve"> </w:t>
      </w:r>
      <w:bookmarkStart w:id="38" w:name="_Toc494198588"/>
      <w:bookmarkStart w:id="39" w:name="_Toc40704272"/>
      <w:bookmarkStart w:id="40" w:name="_Toc13664"/>
      <w:bookmarkStart w:id="41" w:name="_Toc36134558"/>
      <w:bookmarkStart w:id="42" w:name="_Toc36215948"/>
      <w:r>
        <w:rPr>
          <w:rFonts w:ascii="仿宋" w:eastAsia="仿宋"/>
          <w:bCs/>
          <w:color w:val="auto"/>
          <w:kern w:val="2"/>
          <w:sz w:val="24"/>
          <w:szCs w:val="24"/>
          <w:lang w:val="en-US"/>
        </w:rPr>
        <w:t>总  则</w:t>
      </w:r>
      <w:bookmarkEnd w:id="38"/>
      <w:bookmarkEnd w:id="39"/>
      <w:bookmarkEnd w:id="40"/>
      <w:bookmarkEnd w:id="41"/>
      <w:bookmarkEnd w:id="42"/>
    </w:p>
    <w:p w14:paraId="2B8B50CD">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43" w:name="_Toc217446034"/>
      <w:bookmarkStart w:id="44" w:name="_Toc500492677"/>
      <w:bookmarkStart w:id="45" w:name="_Toc494198873"/>
      <w:bookmarkStart w:id="46" w:name="_Toc496605581"/>
      <w:r>
        <w:rPr>
          <w:rFonts w:ascii="仿宋" w:eastAsia="仿宋"/>
          <w:bCs/>
          <w:color w:val="auto"/>
          <w:kern w:val="2"/>
          <w:sz w:val="24"/>
          <w:szCs w:val="24"/>
          <w:lang w:val="en-US"/>
        </w:rPr>
        <w:t>适用范围</w:t>
      </w:r>
      <w:bookmarkEnd w:id="43"/>
      <w:bookmarkEnd w:id="44"/>
      <w:bookmarkEnd w:id="45"/>
      <w:bookmarkEnd w:id="46"/>
    </w:p>
    <w:p w14:paraId="4CCC6006">
      <w:pPr>
        <w:pageBreakBefore w:val="0"/>
        <w:widowControl w:val="0"/>
        <w:tabs>
          <w:tab w:val="left" w:pos="0"/>
          <w:tab w:val="left" w:pos="845"/>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本招标文件仅适用于本次公开招标采购项目。</w:t>
      </w:r>
    </w:p>
    <w:p w14:paraId="7035B834">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47" w:name="_Toc217446035"/>
      <w:bookmarkStart w:id="48" w:name="_Toc494198874"/>
      <w:bookmarkStart w:id="49" w:name="_Toc500492678"/>
      <w:bookmarkStart w:id="50" w:name="_Toc496605582"/>
      <w:r>
        <w:rPr>
          <w:rFonts w:ascii="仿宋" w:eastAsia="仿宋"/>
          <w:bCs/>
          <w:color w:val="auto"/>
          <w:kern w:val="2"/>
          <w:sz w:val="24"/>
          <w:szCs w:val="24"/>
          <w:lang w:val="en-US"/>
        </w:rPr>
        <w:t>有关定义</w:t>
      </w:r>
      <w:bookmarkEnd w:id="47"/>
      <w:bookmarkEnd w:id="48"/>
      <w:bookmarkEnd w:id="49"/>
      <w:bookmarkEnd w:id="50"/>
    </w:p>
    <w:p w14:paraId="6A54B82B">
      <w:pPr>
        <w:pageBreakBefore w:val="0"/>
        <w:widowControl w:val="0"/>
        <w:numPr>
          <w:ilvl w:val="1"/>
          <w:numId w:val="28"/>
        </w:numPr>
        <w:tabs>
          <w:tab w:val="left" w:pos="845"/>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“采购人”和“甲方”系指依法进行政府采购的国家机关、事业单位、团体组织。本项目的采购人是</w:t>
      </w:r>
      <w:r>
        <w:rPr>
          <w:rFonts w:hint="eastAsia" w:ascii="仿宋" w:eastAsia="仿宋"/>
          <w:b w:val="0"/>
          <w:color w:val="auto"/>
          <w:kern w:val="2"/>
          <w:sz w:val="24"/>
          <w:szCs w:val="24"/>
          <w:lang w:val="en-US" w:eastAsia="zh-CN"/>
        </w:rPr>
        <w:t>昌吉回族自治州人民医院</w:t>
      </w:r>
      <w:r>
        <w:rPr>
          <w:rFonts w:ascii="仿宋" w:eastAsia="仿宋"/>
          <w:b w:val="0"/>
          <w:color w:val="auto"/>
          <w:kern w:val="2"/>
          <w:sz w:val="24"/>
          <w:szCs w:val="24"/>
          <w:lang w:val="en-US"/>
        </w:rPr>
        <w:t>。</w:t>
      </w:r>
    </w:p>
    <w:p w14:paraId="283F6D7A">
      <w:pPr>
        <w:pageBreakBefore w:val="0"/>
        <w:widowControl w:val="0"/>
        <w:numPr>
          <w:ilvl w:val="1"/>
          <w:numId w:val="28"/>
        </w:numPr>
        <w:tabs>
          <w:tab w:val="left" w:pos="845"/>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“采购代理机构”系指根据采购人的委托依法办理招标事宜的采购机构。本项目的采购代理机构是</w:t>
      </w:r>
      <w:r>
        <w:rPr>
          <w:rFonts w:hint="eastAsia" w:ascii="仿宋" w:eastAsia="仿宋"/>
          <w:b w:val="0"/>
          <w:color w:val="auto"/>
          <w:kern w:val="2"/>
          <w:sz w:val="24"/>
          <w:szCs w:val="24"/>
          <w:lang w:val="en-US" w:eastAsia="zh-CN"/>
        </w:rPr>
        <w:t>新疆驰珑信诚招标代理有限公司</w:t>
      </w:r>
      <w:r>
        <w:rPr>
          <w:rFonts w:ascii="仿宋" w:eastAsia="仿宋"/>
          <w:b w:val="0"/>
          <w:color w:val="auto"/>
          <w:kern w:val="2"/>
          <w:sz w:val="24"/>
          <w:szCs w:val="24"/>
          <w:lang w:val="en-US"/>
        </w:rPr>
        <w:t>。</w:t>
      </w:r>
    </w:p>
    <w:p w14:paraId="66AD661E">
      <w:pPr>
        <w:pageBreakBefore w:val="0"/>
        <w:widowControl w:val="0"/>
        <w:numPr>
          <w:ilvl w:val="1"/>
          <w:numId w:val="28"/>
        </w:numPr>
        <w:tabs>
          <w:tab w:val="left" w:pos="845"/>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“投标人”系指响应招标、参加投标竞争的法人、其他组织或者自然人。</w:t>
      </w:r>
    </w:p>
    <w:p w14:paraId="7A3F1C64">
      <w:pPr>
        <w:pageBreakBefore w:val="0"/>
        <w:widowControl w:val="0"/>
        <w:numPr>
          <w:ilvl w:val="1"/>
          <w:numId w:val="28"/>
        </w:numPr>
        <w:tabs>
          <w:tab w:val="left" w:pos="845"/>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本招标文件按日计算期间的，开始当天不计入，从次日开始计算。期限的最后一日是国家法定节假日的，顺延到节假日后的次日为期限的最后一日。</w:t>
      </w:r>
    </w:p>
    <w:p w14:paraId="3D8900C1">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51" w:name="_Toc500492679"/>
      <w:bookmarkStart w:id="52" w:name="_Toc183582208"/>
      <w:bookmarkStart w:id="53" w:name="_Toc183682345"/>
      <w:bookmarkStart w:id="54" w:name="_Toc494198876"/>
      <w:bookmarkStart w:id="55" w:name="_Toc496605583"/>
      <w:bookmarkStart w:id="56" w:name="_Toc217446037"/>
      <w:r>
        <w:rPr>
          <w:rFonts w:ascii="仿宋" w:eastAsia="仿宋"/>
          <w:bCs/>
          <w:color w:val="auto"/>
          <w:kern w:val="2"/>
          <w:sz w:val="24"/>
          <w:szCs w:val="24"/>
          <w:lang w:val="en-US"/>
        </w:rPr>
        <w:t>投标费用</w:t>
      </w:r>
      <w:bookmarkEnd w:id="51"/>
      <w:bookmarkEnd w:id="52"/>
      <w:bookmarkEnd w:id="53"/>
      <w:bookmarkEnd w:id="54"/>
      <w:bookmarkEnd w:id="55"/>
      <w:bookmarkEnd w:id="56"/>
    </w:p>
    <w:p w14:paraId="2293168A">
      <w:pPr>
        <w:pageBreakBefore w:val="0"/>
        <w:widowControl w:val="0"/>
        <w:tabs>
          <w:tab w:val="left" w:pos="7665"/>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投标人应自行承担参加投标的全部费用。</w:t>
      </w:r>
    </w:p>
    <w:p w14:paraId="23F104A4">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57" w:name="_Toc496605584"/>
      <w:bookmarkStart w:id="58" w:name="_Toc494198877"/>
      <w:bookmarkStart w:id="59" w:name="_Toc500492680"/>
      <w:r>
        <w:rPr>
          <w:rFonts w:ascii="仿宋" w:eastAsia="仿宋"/>
          <w:bCs/>
          <w:color w:val="auto"/>
          <w:kern w:val="2"/>
          <w:sz w:val="24"/>
          <w:szCs w:val="24"/>
          <w:lang w:val="en-US"/>
        </w:rPr>
        <w:t>充分、公平竞争保障措施</w:t>
      </w:r>
      <w:bookmarkEnd w:id="57"/>
      <w:bookmarkEnd w:id="58"/>
      <w:bookmarkEnd w:id="59"/>
      <w:r>
        <w:rPr>
          <w:rFonts w:hint="eastAsia" w:ascii="仿宋" w:eastAsia="仿宋"/>
          <w:bCs/>
          <w:color w:val="auto"/>
          <w:kern w:val="2"/>
          <w:sz w:val="24"/>
          <w:szCs w:val="24"/>
          <w:lang w:val="en-US"/>
        </w:rPr>
        <w:t>（实质性要求）</w:t>
      </w:r>
    </w:p>
    <w:p w14:paraId="1B28E4AB">
      <w:pPr>
        <w:pStyle w:val="282"/>
        <w:pageBreakBefore w:val="0"/>
        <w:widowControl w:val="0"/>
        <w:numPr>
          <w:ilvl w:val="3"/>
          <w:numId w:val="29"/>
        </w:numPr>
        <w:kinsoku/>
        <w:wordWrap/>
        <w:overflowPunct/>
        <w:topLinePunct w:val="0"/>
        <w:bidi w:val="0"/>
        <w:adjustRightInd w:val="0"/>
        <w:snapToGrid w:val="0"/>
        <w:spacing w:beforeAutospacing="0" w:afterAutospacing="0" w:line="360" w:lineRule="auto"/>
        <w:ind w:left="1134" w:right="0" w:hanging="1134"/>
        <w:jc w:val="left"/>
        <w:rPr>
          <w:rFonts w:ascii="仿宋" w:eastAsia="仿宋"/>
          <w:color w:val="auto"/>
          <w:sz w:val="24"/>
          <w:szCs w:val="24"/>
        </w:rPr>
      </w:pPr>
      <w:r>
        <w:rPr>
          <w:rFonts w:ascii="仿宋" w:eastAsia="仿宋"/>
          <w:b/>
          <w:color w:val="auto"/>
          <w:sz w:val="24"/>
          <w:szCs w:val="24"/>
        </w:rPr>
        <w:t>利害关系投标人处理。</w:t>
      </w:r>
      <w:r>
        <w:rPr>
          <w:rFonts w:ascii="仿宋" w:eastAsia="仿宋"/>
          <w:color w:val="auto"/>
          <w:sz w:val="24"/>
          <w:szCs w:val="24"/>
        </w:rPr>
        <w:t>单位负责人为同一人或者存在直接控股、管理关系的不</w:t>
      </w:r>
    </w:p>
    <w:p w14:paraId="039012EC">
      <w:pPr>
        <w:pStyle w:val="282"/>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color w:val="auto"/>
          <w:sz w:val="24"/>
          <w:szCs w:val="24"/>
        </w:rPr>
      </w:pPr>
      <w:r>
        <w:rPr>
          <w:rFonts w:ascii="仿宋" w:eastAsia="仿宋"/>
          <w:color w:val="auto"/>
          <w:sz w:val="24"/>
          <w:szCs w:val="24"/>
        </w:rPr>
        <w:t>同投标人不得参加同一合同项下的政府采购活动。（提供承诺函原件加盖投标人公章，可以与其他承诺一并进行承诺）</w:t>
      </w:r>
    </w:p>
    <w:p w14:paraId="79645ADB">
      <w:pPr>
        <w:pStyle w:val="282"/>
        <w:pageBreakBefore w:val="0"/>
        <w:widowControl w:val="0"/>
        <w:numPr>
          <w:ilvl w:val="0"/>
          <w:numId w:val="30"/>
        </w:numPr>
        <w:kinsoku/>
        <w:wordWrap/>
        <w:overflowPunct/>
        <w:topLinePunct w:val="0"/>
        <w:bidi w:val="0"/>
        <w:adjustRightInd w:val="0"/>
        <w:snapToGrid w:val="0"/>
        <w:spacing w:beforeAutospacing="0" w:afterAutospacing="0" w:line="360" w:lineRule="auto"/>
        <w:ind w:left="0" w:right="0" w:firstLine="482" w:firstLineChars="200"/>
        <w:rPr>
          <w:rFonts w:ascii="仿宋" w:eastAsia="仿宋"/>
          <w:color w:val="auto"/>
          <w:sz w:val="24"/>
          <w:szCs w:val="24"/>
        </w:rPr>
      </w:pPr>
      <w:r>
        <w:rPr>
          <w:rFonts w:ascii="仿宋" w:eastAsia="仿宋"/>
          <w:b/>
          <w:color w:val="auto"/>
          <w:sz w:val="24"/>
          <w:szCs w:val="24"/>
        </w:rPr>
        <w:t>利害关系授权代表处理。</w:t>
      </w:r>
      <w:r>
        <w:rPr>
          <w:rFonts w:ascii="仿宋" w:eastAsia="仿宋"/>
          <w:color w:val="auto"/>
          <w:sz w:val="24"/>
          <w:szCs w:val="24"/>
        </w:rPr>
        <w:t>两家以上的</w:t>
      </w:r>
      <w:r>
        <w:rPr>
          <w:rFonts w:hint="eastAsia" w:ascii="仿宋" w:eastAsia="仿宋"/>
          <w:color w:val="auto"/>
          <w:sz w:val="24"/>
          <w:szCs w:val="24"/>
          <w:lang w:val="en-US" w:eastAsia="zh-CN"/>
        </w:rPr>
        <w:t>投标人</w:t>
      </w:r>
      <w:r>
        <w:rPr>
          <w:rFonts w:ascii="仿宋" w:eastAsia="仿宋"/>
          <w:color w:val="auto"/>
          <w:sz w:val="24"/>
          <w:szCs w:val="24"/>
        </w:rPr>
        <w:t>不得在同一合同项下的采购项目中，委托同一个自然人、同一家庭的人员、同一单位的人员作为其授权代表，否则，其投标文件作为无效处理。（提供承诺函原件加盖投标人公章，可以与其他承诺一并进行承诺）</w:t>
      </w:r>
    </w:p>
    <w:p w14:paraId="5595581D">
      <w:pPr>
        <w:pStyle w:val="282"/>
        <w:pageBreakBefore w:val="0"/>
        <w:widowControl w:val="0"/>
        <w:numPr>
          <w:ilvl w:val="0"/>
          <w:numId w:val="30"/>
        </w:numPr>
        <w:kinsoku/>
        <w:wordWrap/>
        <w:overflowPunct/>
        <w:topLinePunct w:val="0"/>
        <w:bidi w:val="0"/>
        <w:adjustRightInd w:val="0"/>
        <w:snapToGrid w:val="0"/>
        <w:spacing w:beforeAutospacing="0" w:afterAutospacing="0" w:line="360" w:lineRule="auto"/>
        <w:ind w:left="0" w:right="0" w:firstLine="482" w:firstLineChars="200"/>
        <w:rPr>
          <w:rFonts w:ascii="仿宋" w:eastAsia="仿宋"/>
          <w:color w:val="auto"/>
          <w:sz w:val="24"/>
          <w:szCs w:val="24"/>
        </w:rPr>
      </w:pPr>
      <w:r>
        <w:rPr>
          <w:rFonts w:ascii="仿宋" w:eastAsia="仿宋"/>
          <w:b/>
          <w:color w:val="auto"/>
          <w:sz w:val="24"/>
          <w:szCs w:val="24"/>
        </w:rPr>
        <w:t>前期参与投标人处理。</w:t>
      </w:r>
      <w:r>
        <w:rPr>
          <w:rFonts w:ascii="仿宋" w:eastAsia="仿宋"/>
          <w:color w:val="auto"/>
          <w:sz w:val="24"/>
          <w:szCs w:val="24"/>
        </w:rPr>
        <w:t>为采购项目提供整体设计、规范编制或者项目管理、监理、检测等服务的投标人，不得再参加该采购项目的其他采购活动。投标人为采购人、采购代理机构在确定采购需求、编制招标文件过程中提供咨询论证，其提供的咨询论证意见成为招标文件中规定的投标人资格条件、技术服务商务要求、评标因素和标准、政府采购合同等实质性内容条款的，视同为采购项目提供规范编制。（提供承诺函原件加盖投标人公章，可以与其他承诺一并进行承诺）</w:t>
      </w:r>
    </w:p>
    <w:p w14:paraId="696AF438">
      <w:pPr>
        <w:pStyle w:val="282"/>
        <w:pageBreakBefore w:val="0"/>
        <w:widowControl w:val="0"/>
        <w:numPr>
          <w:ilvl w:val="0"/>
          <w:numId w:val="30"/>
        </w:numPr>
        <w:kinsoku/>
        <w:wordWrap/>
        <w:overflowPunct/>
        <w:topLinePunct w:val="0"/>
        <w:bidi w:val="0"/>
        <w:adjustRightInd w:val="0"/>
        <w:snapToGrid w:val="0"/>
        <w:spacing w:beforeAutospacing="0" w:afterAutospacing="0" w:line="360" w:lineRule="auto"/>
        <w:ind w:left="0" w:right="0" w:firstLine="480" w:firstLineChars="200"/>
        <w:rPr>
          <w:rFonts w:ascii="仿宋" w:eastAsia="仿宋"/>
          <w:color w:val="auto"/>
          <w:sz w:val="24"/>
          <w:szCs w:val="24"/>
        </w:rPr>
      </w:pPr>
      <w:r>
        <w:rPr>
          <w:rFonts w:hint="eastAsia" w:ascii="仿宋" w:eastAsia="仿宋"/>
          <w:color w:val="auto"/>
          <w:sz w:val="24"/>
          <w:szCs w:val="24"/>
          <w:lang w:eastAsia="zh-CN"/>
        </w:rPr>
        <w:t>投标人</w:t>
      </w:r>
      <w:r>
        <w:rPr>
          <w:rFonts w:ascii="仿宋" w:eastAsia="仿宋"/>
          <w:color w:val="auto"/>
          <w:sz w:val="24"/>
          <w:szCs w:val="24"/>
        </w:rPr>
        <w:t>实际控制人或者中高级管理人员，同时是采购代理机构工作人员，不得参与本项目政府采购活动。（提供承诺函原件加盖投标人公章，可以与其他承诺一并进行承诺）</w:t>
      </w:r>
    </w:p>
    <w:p w14:paraId="7A4C5C78">
      <w:pPr>
        <w:pStyle w:val="282"/>
        <w:pageBreakBefore w:val="0"/>
        <w:widowControl w:val="0"/>
        <w:numPr>
          <w:ilvl w:val="0"/>
          <w:numId w:val="30"/>
        </w:numPr>
        <w:kinsoku/>
        <w:wordWrap/>
        <w:overflowPunct/>
        <w:topLinePunct w:val="0"/>
        <w:bidi w:val="0"/>
        <w:adjustRightInd w:val="0"/>
        <w:snapToGrid w:val="0"/>
        <w:spacing w:beforeAutospacing="0" w:afterAutospacing="0" w:line="360" w:lineRule="auto"/>
        <w:ind w:left="0" w:right="0" w:firstLine="480" w:firstLineChars="200"/>
        <w:rPr>
          <w:rFonts w:ascii="仿宋" w:eastAsia="仿宋"/>
          <w:color w:val="auto"/>
          <w:sz w:val="24"/>
          <w:szCs w:val="24"/>
        </w:rPr>
      </w:pPr>
      <w:r>
        <w:rPr>
          <w:rFonts w:hint="eastAsia" w:ascii="仿宋" w:eastAsia="仿宋"/>
          <w:color w:val="auto"/>
          <w:sz w:val="24"/>
          <w:szCs w:val="24"/>
          <w:lang w:eastAsia="zh-CN"/>
        </w:rPr>
        <w:t>投标人</w:t>
      </w:r>
      <w:r>
        <w:rPr>
          <w:rFonts w:ascii="仿宋" w:eastAsia="仿宋"/>
          <w:color w:val="auto"/>
          <w:sz w:val="24"/>
          <w:szCs w:val="24"/>
        </w:rPr>
        <w:t>与采购代理机构存在关联关系，或者是采购代理机构的母公司或子公司，不得参加本项目政府采购活动。（提供承诺函原件加盖投标人公章，可以与其他承诺一并进行承诺）</w:t>
      </w:r>
    </w:p>
    <w:p w14:paraId="3C76BABC">
      <w:pPr>
        <w:pStyle w:val="282"/>
        <w:pageBreakBefore w:val="0"/>
        <w:widowControl w:val="0"/>
        <w:numPr>
          <w:ilvl w:val="0"/>
          <w:numId w:val="30"/>
        </w:numPr>
        <w:kinsoku/>
        <w:wordWrap/>
        <w:overflowPunct/>
        <w:topLinePunct w:val="0"/>
        <w:bidi w:val="0"/>
        <w:adjustRightInd w:val="0"/>
        <w:snapToGrid w:val="0"/>
        <w:spacing w:beforeAutospacing="0" w:afterAutospacing="0" w:line="360" w:lineRule="auto"/>
        <w:ind w:left="0" w:right="0" w:firstLine="480" w:firstLineChars="200"/>
        <w:rPr>
          <w:rFonts w:ascii="仿宋" w:eastAsia="仿宋"/>
          <w:color w:val="auto"/>
          <w:sz w:val="24"/>
          <w:szCs w:val="24"/>
        </w:rPr>
      </w:pPr>
      <w:r>
        <w:rPr>
          <w:rFonts w:ascii="仿宋" w:eastAsia="仿宋"/>
          <w:color w:val="auto"/>
          <w:sz w:val="24"/>
          <w:szCs w:val="24"/>
        </w:rPr>
        <w:t>回避。政府采购活动中，采购人员及相关人员与</w:t>
      </w:r>
      <w:r>
        <w:rPr>
          <w:rFonts w:hint="eastAsia" w:ascii="仿宋" w:eastAsia="仿宋"/>
          <w:color w:val="auto"/>
          <w:sz w:val="24"/>
          <w:szCs w:val="24"/>
          <w:lang w:eastAsia="zh-CN"/>
        </w:rPr>
        <w:t>投标人</w:t>
      </w:r>
      <w:r>
        <w:rPr>
          <w:rFonts w:ascii="仿宋" w:eastAsia="仿宋"/>
          <w:color w:val="auto"/>
          <w:sz w:val="24"/>
          <w:szCs w:val="24"/>
        </w:rPr>
        <w:t>有下列利害关系之一的，应当回避：</w:t>
      </w:r>
    </w:p>
    <w:p w14:paraId="2E4E1F0F">
      <w:pPr>
        <w:pageBreakBefore w:val="0"/>
        <w:widowControl w:val="0"/>
        <w:kinsoku/>
        <w:wordWrap/>
        <w:overflowPunct/>
        <w:topLinePunct w:val="0"/>
        <w:bidi w:val="0"/>
        <w:adjustRightInd w:val="0"/>
        <w:snapToGrid w:val="0"/>
        <w:spacing w:beforeAutospacing="0" w:afterAutospacing="0" w:line="360" w:lineRule="auto"/>
        <w:ind w:left="0" w:right="0"/>
        <w:textAlignment w:val="baseline"/>
        <w:rPr>
          <w:rFonts w:ascii="仿宋" w:eastAsia="仿宋"/>
          <w:b w:val="0"/>
          <w:color w:val="auto"/>
          <w:sz w:val="24"/>
          <w:szCs w:val="20"/>
          <w:lang w:val="en-US"/>
        </w:rPr>
      </w:pPr>
      <w:r>
        <w:rPr>
          <w:rFonts w:ascii="仿宋" w:eastAsia="仿宋"/>
          <w:b w:val="0"/>
          <w:color w:val="auto"/>
          <w:sz w:val="24"/>
          <w:szCs w:val="20"/>
          <w:lang w:val="en-US"/>
        </w:rPr>
        <w:t>（1）参加采购活动前3年内与</w:t>
      </w:r>
      <w:r>
        <w:rPr>
          <w:rFonts w:hint="eastAsia" w:ascii="仿宋" w:eastAsia="仿宋"/>
          <w:b w:val="0"/>
          <w:color w:val="auto"/>
          <w:sz w:val="24"/>
          <w:szCs w:val="20"/>
          <w:lang w:val="en-US" w:eastAsia="zh-CN"/>
        </w:rPr>
        <w:t>投标人</w:t>
      </w:r>
      <w:r>
        <w:rPr>
          <w:rFonts w:ascii="仿宋" w:eastAsia="仿宋"/>
          <w:b w:val="0"/>
          <w:color w:val="auto"/>
          <w:sz w:val="24"/>
          <w:szCs w:val="20"/>
          <w:lang w:val="en-US"/>
        </w:rPr>
        <w:t>存在劳动关系；</w:t>
      </w:r>
    </w:p>
    <w:p w14:paraId="2FC267F0">
      <w:pPr>
        <w:pageBreakBefore w:val="0"/>
        <w:widowControl w:val="0"/>
        <w:kinsoku/>
        <w:wordWrap/>
        <w:overflowPunct/>
        <w:topLinePunct w:val="0"/>
        <w:bidi w:val="0"/>
        <w:adjustRightInd w:val="0"/>
        <w:snapToGrid w:val="0"/>
        <w:spacing w:beforeAutospacing="0" w:afterAutospacing="0" w:line="360" w:lineRule="auto"/>
        <w:ind w:left="0" w:right="0"/>
        <w:textAlignment w:val="baseline"/>
        <w:rPr>
          <w:rFonts w:ascii="仿宋" w:eastAsia="仿宋"/>
          <w:b w:val="0"/>
          <w:color w:val="auto"/>
          <w:sz w:val="24"/>
          <w:szCs w:val="20"/>
          <w:lang w:val="en-US"/>
        </w:rPr>
      </w:pPr>
      <w:r>
        <w:rPr>
          <w:rFonts w:ascii="仿宋" w:eastAsia="仿宋"/>
          <w:b w:val="0"/>
          <w:color w:val="auto"/>
          <w:sz w:val="24"/>
          <w:szCs w:val="20"/>
          <w:lang w:val="en-US"/>
        </w:rPr>
        <w:t>（2）参加采购活动前3年内担任</w:t>
      </w:r>
      <w:r>
        <w:rPr>
          <w:rFonts w:hint="eastAsia" w:ascii="仿宋" w:eastAsia="仿宋"/>
          <w:b w:val="0"/>
          <w:color w:val="auto"/>
          <w:sz w:val="24"/>
          <w:szCs w:val="20"/>
          <w:lang w:val="en-US" w:eastAsia="zh-CN"/>
        </w:rPr>
        <w:t>投标人</w:t>
      </w:r>
      <w:r>
        <w:rPr>
          <w:rFonts w:ascii="仿宋" w:eastAsia="仿宋"/>
          <w:b w:val="0"/>
          <w:color w:val="auto"/>
          <w:sz w:val="24"/>
          <w:szCs w:val="20"/>
          <w:lang w:val="en-US"/>
        </w:rPr>
        <w:t>的董事、监事；</w:t>
      </w:r>
    </w:p>
    <w:p w14:paraId="7358EF16">
      <w:pPr>
        <w:pageBreakBefore w:val="0"/>
        <w:widowControl w:val="0"/>
        <w:kinsoku/>
        <w:wordWrap/>
        <w:overflowPunct/>
        <w:topLinePunct w:val="0"/>
        <w:bidi w:val="0"/>
        <w:adjustRightInd w:val="0"/>
        <w:snapToGrid w:val="0"/>
        <w:spacing w:beforeAutospacing="0" w:afterAutospacing="0" w:line="360" w:lineRule="auto"/>
        <w:ind w:left="0" w:right="0"/>
        <w:textAlignment w:val="baseline"/>
        <w:rPr>
          <w:rFonts w:ascii="仿宋" w:eastAsia="仿宋"/>
          <w:b w:val="0"/>
          <w:color w:val="auto"/>
          <w:sz w:val="24"/>
          <w:szCs w:val="20"/>
          <w:lang w:val="en-US"/>
        </w:rPr>
      </w:pPr>
      <w:r>
        <w:rPr>
          <w:rFonts w:ascii="仿宋" w:eastAsia="仿宋"/>
          <w:b w:val="0"/>
          <w:color w:val="auto"/>
          <w:sz w:val="24"/>
          <w:szCs w:val="20"/>
          <w:lang w:val="en-US"/>
        </w:rPr>
        <w:t>（3）参加采购活动前3年内是</w:t>
      </w:r>
      <w:r>
        <w:rPr>
          <w:rFonts w:hint="eastAsia" w:ascii="仿宋" w:eastAsia="仿宋"/>
          <w:b w:val="0"/>
          <w:color w:val="auto"/>
          <w:sz w:val="24"/>
          <w:szCs w:val="20"/>
          <w:lang w:val="en-US" w:eastAsia="zh-CN"/>
        </w:rPr>
        <w:t>投标人</w:t>
      </w:r>
      <w:r>
        <w:rPr>
          <w:rFonts w:ascii="仿宋" w:eastAsia="仿宋"/>
          <w:b w:val="0"/>
          <w:color w:val="auto"/>
          <w:sz w:val="24"/>
          <w:szCs w:val="20"/>
          <w:lang w:val="en-US"/>
        </w:rPr>
        <w:t>的控股股东或者实际控制人；</w:t>
      </w:r>
    </w:p>
    <w:p w14:paraId="5766F4B2">
      <w:pPr>
        <w:pageBreakBefore w:val="0"/>
        <w:widowControl w:val="0"/>
        <w:kinsoku/>
        <w:wordWrap/>
        <w:overflowPunct/>
        <w:topLinePunct w:val="0"/>
        <w:bidi w:val="0"/>
        <w:adjustRightInd w:val="0"/>
        <w:snapToGrid w:val="0"/>
        <w:spacing w:beforeAutospacing="0" w:afterAutospacing="0" w:line="360" w:lineRule="auto"/>
        <w:ind w:left="0" w:right="0"/>
        <w:textAlignment w:val="baseline"/>
        <w:rPr>
          <w:rFonts w:ascii="仿宋" w:eastAsia="仿宋"/>
          <w:b w:val="0"/>
          <w:color w:val="auto"/>
          <w:sz w:val="24"/>
          <w:szCs w:val="20"/>
          <w:lang w:val="en-US"/>
        </w:rPr>
      </w:pPr>
      <w:r>
        <w:rPr>
          <w:rFonts w:ascii="仿宋" w:eastAsia="仿宋"/>
          <w:b w:val="0"/>
          <w:color w:val="auto"/>
          <w:sz w:val="24"/>
          <w:szCs w:val="20"/>
          <w:lang w:val="en-US"/>
        </w:rPr>
        <w:t>（4）与</w:t>
      </w:r>
      <w:r>
        <w:rPr>
          <w:rFonts w:hint="eastAsia" w:ascii="仿宋" w:eastAsia="仿宋"/>
          <w:b w:val="0"/>
          <w:color w:val="auto"/>
          <w:sz w:val="24"/>
          <w:szCs w:val="20"/>
          <w:lang w:val="en-US" w:eastAsia="zh-CN"/>
        </w:rPr>
        <w:t>投标人</w:t>
      </w:r>
      <w:r>
        <w:rPr>
          <w:rFonts w:ascii="仿宋" w:eastAsia="仿宋"/>
          <w:b w:val="0"/>
          <w:color w:val="auto"/>
          <w:sz w:val="24"/>
          <w:szCs w:val="20"/>
          <w:lang w:val="en-US"/>
        </w:rPr>
        <w:t>的法定代表人或者负责人有夫妻、直系血亲、三代以内旁系血亲或者近姻亲关系；</w:t>
      </w:r>
    </w:p>
    <w:p w14:paraId="5CD17862">
      <w:pPr>
        <w:pageBreakBefore w:val="0"/>
        <w:widowControl w:val="0"/>
        <w:kinsoku/>
        <w:wordWrap/>
        <w:overflowPunct/>
        <w:topLinePunct w:val="0"/>
        <w:bidi w:val="0"/>
        <w:adjustRightInd w:val="0"/>
        <w:snapToGrid w:val="0"/>
        <w:spacing w:beforeAutospacing="0" w:afterAutospacing="0" w:line="360" w:lineRule="auto"/>
        <w:ind w:left="0" w:right="0"/>
        <w:textAlignment w:val="baseline"/>
        <w:rPr>
          <w:rFonts w:ascii="仿宋" w:eastAsia="仿宋"/>
          <w:b w:val="0"/>
          <w:color w:val="auto"/>
          <w:sz w:val="24"/>
          <w:szCs w:val="20"/>
          <w:lang w:val="en-US"/>
        </w:rPr>
      </w:pPr>
      <w:r>
        <w:rPr>
          <w:rFonts w:ascii="仿宋" w:eastAsia="仿宋"/>
          <w:b w:val="0"/>
          <w:color w:val="auto"/>
          <w:sz w:val="24"/>
          <w:szCs w:val="20"/>
          <w:lang w:val="en-US"/>
        </w:rPr>
        <w:t>（5）与</w:t>
      </w:r>
      <w:r>
        <w:rPr>
          <w:rFonts w:hint="eastAsia" w:ascii="仿宋" w:eastAsia="仿宋"/>
          <w:b w:val="0"/>
          <w:color w:val="auto"/>
          <w:sz w:val="24"/>
          <w:szCs w:val="20"/>
          <w:lang w:val="en-US" w:eastAsia="zh-CN"/>
        </w:rPr>
        <w:t>投标人</w:t>
      </w:r>
      <w:r>
        <w:rPr>
          <w:rFonts w:ascii="仿宋" w:eastAsia="仿宋"/>
          <w:b w:val="0"/>
          <w:color w:val="auto"/>
          <w:sz w:val="24"/>
          <w:szCs w:val="20"/>
          <w:lang w:val="en-US"/>
        </w:rPr>
        <w:t>有其他可能影响政府采购活动公平、公正进行的关系。</w:t>
      </w:r>
    </w:p>
    <w:p w14:paraId="483EC8B5">
      <w:pPr>
        <w:pageBreakBefore w:val="0"/>
        <w:widowControl w:val="0"/>
        <w:kinsoku/>
        <w:wordWrap/>
        <w:overflowPunct/>
        <w:topLinePunct w:val="0"/>
        <w:bidi w:val="0"/>
        <w:adjustRightInd w:val="0"/>
        <w:snapToGrid w:val="0"/>
        <w:spacing w:beforeAutospacing="0" w:afterAutospacing="0" w:line="360" w:lineRule="auto"/>
        <w:ind w:left="0" w:right="0"/>
        <w:textAlignment w:val="baseline"/>
        <w:rPr>
          <w:rFonts w:ascii="仿宋" w:eastAsia="仿宋"/>
          <w:b w:val="0"/>
          <w:color w:val="auto"/>
          <w:sz w:val="24"/>
          <w:szCs w:val="20"/>
          <w:lang w:val="en-US"/>
        </w:rPr>
      </w:pPr>
      <w:r>
        <w:rPr>
          <w:rFonts w:ascii="仿宋" w:eastAsia="仿宋"/>
          <w:b w:val="0"/>
          <w:color w:val="auto"/>
          <w:sz w:val="24"/>
          <w:szCs w:val="20"/>
          <w:lang w:val="en-US"/>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14:paraId="19A94AA6">
      <w:pPr>
        <w:pStyle w:val="282"/>
        <w:pageBreakBefore w:val="0"/>
        <w:widowControl w:val="0"/>
        <w:kinsoku/>
        <w:wordWrap/>
        <w:overflowPunct/>
        <w:topLinePunct w:val="0"/>
        <w:bidi w:val="0"/>
        <w:adjustRightInd w:val="0"/>
        <w:snapToGrid w:val="0"/>
        <w:spacing w:beforeAutospacing="0" w:afterAutospacing="0" w:line="360" w:lineRule="auto"/>
        <w:ind w:left="0" w:right="0" w:firstLine="480" w:firstLineChars="200"/>
        <w:rPr>
          <w:rFonts w:ascii="仿宋" w:eastAsia="仿宋"/>
          <w:color w:val="auto"/>
          <w:sz w:val="24"/>
          <w:szCs w:val="24"/>
        </w:rPr>
      </w:pPr>
      <w:r>
        <w:rPr>
          <w:rFonts w:hint="eastAsia" w:ascii="仿宋" w:eastAsia="仿宋"/>
          <w:color w:val="auto"/>
          <w:kern w:val="2"/>
          <w:sz w:val="24"/>
          <w:szCs w:val="24"/>
          <w:lang w:eastAsia="zh-CN"/>
        </w:rPr>
        <w:t>投标人</w:t>
      </w:r>
      <w:r>
        <w:rPr>
          <w:rFonts w:ascii="仿宋" w:eastAsia="仿宋"/>
          <w:color w:val="auto"/>
          <w:kern w:val="2"/>
          <w:sz w:val="24"/>
          <w:szCs w:val="24"/>
        </w:rPr>
        <w:t>认为采购人员及相关人员与其他</w:t>
      </w:r>
      <w:r>
        <w:rPr>
          <w:rFonts w:hint="eastAsia" w:ascii="仿宋" w:eastAsia="仿宋"/>
          <w:color w:val="auto"/>
          <w:kern w:val="2"/>
          <w:sz w:val="24"/>
          <w:szCs w:val="24"/>
          <w:lang w:eastAsia="zh-CN"/>
        </w:rPr>
        <w:t>投标人</w:t>
      </w:r>
      <w:r>
        <w:rPr>
          <w:rFonts w:ascii="仿宋" w:eastAsia="仿宋"/>
          <w:color w:val="auto"/>
          <w:kern w:val="2"/>
          <w:sz w:val="24"/>
          <w:szCs w:val="24"/>
        </w:rPr>
        <w:t>有利害关系的，可以向采购代理机构书面提出回避申请，并说明理由。采购代理机构将及时询问被申请回避人员，有利害关系的被申请回避人员应当回避。</w:t>
      </w:r>
    </w:p>
    <w:bookmarkEnd w:id="24"/>
    <w:bookmarkEnd w:id="25"/>
    <w:bookmarkEnd w:id="26"/>
    <w:bookmarkEnd w:id="27"/>
    <w:bookmarkEnd w:id="28"/>
    <w:bookmarkEnd w:id="29"/>
    <w:bookmarkEnd w:id="30"/>
    <w:p w14:paraId="6B614574">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60" w:name="_Toc36215949"/>
      <w:bookmarkStart w:id="61" w:name="_Toc89075875"/>
      <w:bookmarkStart w:id="62" w:name="_Toc77400779"/>
      <w:bookmarkStart w:id="63" w:name="_Toc351016478"/>
      <w:bookmarkStart w:id="64" w:name="_Toc494198589"/>
      <w:bookmarkStart w:id="65" w:name="_Toc183582209"/>
      <w:bookmarkStart w:id="66" w:name="_Toc36134559"/>
      <w:bookmarkStart w:id="67" w:name="_Toc40704273"/>
      <w:bookmarkStart w:id="68" w:name="_Toc217446038"/>
      <w:bookmarkStart w:id="69" w:name="_Toc183682346"/>
      <w:r>
        <w:rPr>
          <w:rFonts w:hint="eastAsia" w:ascii="仿宋" w:eastAsia="仿宋"/>
          <w:bCs/>
          <w:color w:val="auto"/>
          <w:kern w:val="2"/>
          <w:sz w:val="24"/>
          <w:szCs w:val="24"/>
          <w:lang w:val="en-US"/>
        </w:rPr>
        <w:t xml:space="preserve"> </w:t>
      </w:r>
      <w:bookmarkStart w:id="70" w:name="_Toc2033"/>
      <w:r>
        <w:rPr>
          <w:rFonts w:ascii="仿宋" w:eastAsia="仿宋"/>
          <w:bCs/>
          <w:color w:val="auto"/>
          <w:kern w:val="2"/>
          <w:sz w:val="24"/>
          <w:szCs w:val="24"/>
          <w:lang w:val="en-US"/>
        </w:rPr>
        <w:t>招标文件</w:t>
      </w:r>
      <w:bookmarkEnd w:id="60"/>
      <w:bookmarkEnd w:id="61"/>
      <w:bookmarkEnd w:id="62"/>
      <w:bookmarkEnd w:id="63"/>
      <w:bookmarkEnd w:id="64"/>
      <w:bookmarkEnd w:id="65"/>
      <w:bookmarkEnd w:id="66"/>
      <w:bookmarkEnd w:id="67"/>
      <w:bookmarkEnd w:id="68"/>
      <w:bookmarkEnd w:id="69"/>
      <w:bookmarkEnd w:id="70"/>
    </w:p>
    <w:p w14:paraId="1CB63264">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71" w:name="_Toc183682347"/>
      <w:bookmarkStart w:id="72" w:name="_Toc496605586"/>
      <w:bookmarkStart w:id="73" w:name="_Toc183582210"/>
      <w:bookmarkStart w:id="74" w:name="_Toc494198879"/>
      <w:bookmarkStart w:id="75" w:name="_Toc500492682"/>
      <w:bookmarkStart w:id="76" w:name="_Toc217446039"/>
      <w:r>
        <w:rPr>
          <w:rFonts w:ascii="仿宋" w:eastAsia="仿宋"/>
          <w:bCs/>
          <w:color w:val="auto"/>
          <w:kern w:val="2"/>
          <w:sz w:val="24"/>
          <w:szCs w:val="24"/>
          <w:lang w:val="en-US"/>
        </w:rPr>
        <w:t>招标文件的构成</w:t>
      </w:r>
      <w:bookmarkEnd w:id="71"/>
      <w:bookmarkEnd w:id="72"/>
      <w:bookmarkEnd w:id="73"/>
      <w:bookmarkEnd w:id="74"/>
      <w:bookmarkEnd w:id="75"/>
      <w:bookmarkEnd w:id="76"/>
    </w:p>
    <w:p w14:paraId="28148981">
      <w:pPr>
        <w:pageBreakBefore w:val="0"/>
        <w:widowControl w:val="0"/>
        <w:tabs>
          <w:tab w:val="left" w:pos="-142"/>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招标文件是投标人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1837688B">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投标邀请；</w:t>
      </w:r>
    </w:p>
    <w:p w14:paraId="5018E34B">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投标人须知；</w:t>
      </w:r>
    </w:p>
    <w:p w14:paraId="02DC9116">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投标文件格式；</w:t>
      </w:r>
    </w:p>
    <w:p w14:paraId="1CDE6AB6">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投标人应当提供的资格、资质性及其他类似效力要求的相关证明材料；</w:t>
      </w:r>
    </w:p>
    <w:p w14:paraId="1C144C54">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招标项目技术、商务及其他要求；</w:t>
      </w:r>
    </w:p>
    <w:p w14:paraId="5CA98E4A">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评标办法；</w:t>
      </w:r>
    </w:p>
    <w:p w14:paraId="3381188A">
      <w:pPr>
        <w:pageBreakBefore w:val="0"/>
        <w:widowControl w:val="0"/>
        <w:numPr>
          <w:ilvl w:val="0"/>
          <w:numId w:val="31"/>
        </w:numPr>
        <w:kinsoku/>
        <w:wordWrap/>
        <w:overflowPunct/>
        <w:topLinePunct w:val="0"/>
        <w:bidi w:val="0"/>
        <w:spacing w:beforeAutospacing="0" w:afterAutospacing="0" w:line="360" w:lineRule="auto"/>
        <w:ind w:left="420" w:right="0"/>
        <w:rPr>
          <w:rFonts w:ascii="仿宋" w:eastAsia="仿宋"/>
          <w:b w:val="0"/>
          <w:color w:val="auto"/>
          <w:kern w:val="2"/>
          <w:sz w:val="24"/>
          <w:szCs w:val="24"/>
          <w:lang w:val="en-US"/>
        </w:rPr>
      </w:pPr>
      <w:r>
        <w:rPr>
          <w:rFonts w:ascii="仿宋" w:eastAsia="仿宋"/>
          <w:b w:val="0"/>
          <w:color w:val="auto"/>
          <w:kern w:val="2"/>
          <w:sz w:val="24"/>
          <w:szCs w:val="24"/>
          <w:lang w:val="en-US"/>
        </w:rPr>
        <w:t>拟签订的合同文本。</w:t>
      </w:r>
    </w:p>
    <w:p w14:paraId="263178CA">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77" w:name="_Toc183682348"/>
      <w:bookmarkStart w:id="78" w:name="_Toc183582211"/>
      <w:bookmarkStart w:id="79" w:name="_Toc494198880"/>
      <w:bookmarkStart w:id="80" w:name="_Toc496605587"/>
      <w:bookmarkStart w:id="81" w:name="_Toc217446040"/>
      <w:bookmarkStart w:id="82" w:name="_Toc500492683"/>
      <w:r>
        <w:rPr>
          <w:rFonts w:ascii="仿宋" w:eastAsia="仿宋"/>
          <w:bCs/>
          <w:color w:val="auto"/>
          <w:kern w:val="2"/>
          <w:sz w:val="24"/>
          <w:szCs w:val="24"/>
          <w:lang w:val="en-US"/>
        </w:rPr>
        <w:t>招标文件的澄清</w:t>
      </w:r>
      <w:bookmarkEnd w:id="77"/>
      <w:bookmarkEnd w:id="78"/>
      <w:r>
        <w:rPr>
          <w:rFonts w:ascii="仿宋" w:eastAsia="仿宋"/>
          <w:bCs/>
          <w:color w:val="auto"/>
          <w:kern w:val="2"/>
          <w:sz w:val="24"/>
          <w:szCs w:val="24"/>
          <w:lang w:val="en-US"/>
        </w:rPr>
        <w:t>和修改</w:t>
      </w:r>
      <w:bookmarkEnd w:id="79"/>
      <w:bookmarkEnd w:id="80"/>
      <w:bookmarkEnd w:id="81"/>
      <w:bookmarkEnd w:id="82"/>
    </w:p>
    <w:p w14:paraId="7FF35FF3">
      <w:pPr>
        <w:pageBreakBefore w:val="0"/>
        <w:widowControl w:val="0"/>
        <w:numPr>
          <w:ilvl w:val="1"/>
          <w:numId w:val="3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采购人或者采购代理机构可以依法对招标文件进行澄清或者修改。</w:t>
      </w:r>
    </w:p>
    <w:p w14:paraId="57C4C69F">
      <w:pPr>
        <w:pageBreakBefore w:val="0"/>
        <w:widowControl w:val="0"/>
        <w:numPr>
          <w:ilvl w:val="1"/>
          <w:numId w:val="3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人或者采购代理机构可以对已发出的招标文件进行必要的澄清或者修改，但不得改变采购标的和资格条件。澄清或者修改的内容可能影响投标文件编制的，采购人或者采购代理机构应当在投标截止时间至少15日前，</w:t>
      </w:r>
      <w:r>
        <w:rPr>
          <w:rFonts w:ascii="仿宋" w:eastAsia="仿宋"/>
          <w:b w:val="0"/>
          <w:color w:val="auto"/>
          <w:kern w:val="2"/>
          <w:sz w:val="24"/>
          <w:szCs w:val="24"/>
          <w:highlight w:val="none"/>
          <w:lang w:val="en-US"/>
        </w:rPr>
        <w:t>同时在</w:t>
      </w:r>
      <w:r>
        <w:rPr>
          <w:rFonts w:hint="eastAsia" w:ascii="仿宋" w:eastAsia="仿宋"/>
          <w:b w:val="0"/>
          <w:color w:val="auto"/>
          <w:kern w:val="2"/>
          <w:sz w:val="24"/>
          <w:szCs w:val="24"/>
          <w:highlight w:val="none"/>
          <w:lang w:val="en-US" w:eastAsia="zh-CN"/>
        </w:rPr>
        <w:t>新疆政府采购网</w:t>
      </w:r>
      <w:r>
        <w:rPr>
          <w:rFonts w:ascii="仿宋" w:eastAsia="仿宋"/>
          <w:b w:val="0"/>
          <w:color w:val="auto"/>
          <w:kern w:val="2"/>
          <w:sz w:val="24"/>
          <w:szCs w:val="24"/>
          <w:highlight w:val="none"/>
          <w:lang w:val="en-US"/>
        </w:rPr>
        <w:t>上发布更正公告</w:t>
      </w:r>
      <w:r>
        <w:rPr>
          <w:rFonts w:ascii="仿宋" w:eastAsia="仿宋"/>
          <w:b w:val="0"/>
          <w:color w:val="auto"/>
          <w:kern w:val="2"/>
          <w:sz w:val="24"/>
          <w:szCs w:val="24"/>
          <w:lang w:val="en-US"/>
        </w:rPr>
        <w:t>。该澄清或者修改的内容为招标文件的组成部分。</w:t>
      </w:r>
    </w:p>
    <w:p w14:paraId="343B272F">
      <w:pPr>
        <w:pageBreakBefore w:val="0"/>
        <w:widowControl w:val="0"/>
        <w:numPr>
          <w:ilvl w:val="1"/>
          <w:numId w:val="3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投标人要求对招标文件进行澄清的，均应按招标文件中的联系方式，以书面形式向采购人或者采购代理机构提出申请，但采购人或者采购代理机构可以决定是否采纳投标人的申请事项。</w:t>
      </w:r>
    </w:p>
    <w:p w14:paraId="506393BF">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83" w:name="_Toc208848971"/>
      <w:bookmarkStart w:id="84" w:name="_Toc217446041"/>
      <w:bookmarkStart w:id="85" w:name="_Toc496605588"/>
      <w:bookmarkStart w:id="86" w:name="_Toc494198881"/>
      <w:bookmarkStart w:id="87" w:name="_Toc500492684"/>
      <w:r>
        <w:rPr>
          <w:rFonts w:ascii="仿宋" w:eastAsia="仿宋"/>
          <w:bCs/>
          <w:color w:val="auto"/>
          <w:kern w:val="2"/>
          <w:sz w:val="24"/>
          <w:szCs w:val="24"/>
          <w:lang w:val="en-US"/>
        </w:rPr>
        <w:t>答疑会和现场</w:t>
      </w:r>
      <w:bookmarkEnd w:id="83"/>
      <w:bookmarkEnd w:id="84"/>
      <w:r>
        <w:rPr>
          <w:rFonts w:ascii="仿宋" w:eastAsia="仿宋"/>
          <w:bCs/>
          <w:color w:val="auto"/>
          <w:kern w:val="2"/>
          <w:sz w:val="24"/>
          <w:szCs w:val="24"/>
          <w:lang w:val="en-US"/>
        </w:rPr>
        <w:t>踏勘</w:t>
      </w:r>
      <w:bookmarkEnd w:id="85"/>
      <w:bookmarkEnd w:id="86"/>
      <w:bookmarkEnd w:id="87"/>
    </w:p>
    <w:p w14:paraId="1CE1245C">
      <w:pPr>
        <w:pageBreakBefore w:val="0"/>
        <w:widowControl w:val="0"/>
        <w:tabs>
          <w:tab w:val="left" w:pos="-142"/>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bookmarkStart w:id="88" w:name="_Toc351016479"/>
      <w:bookmarkStart w:id="89" w:name="_Toc89075876"/>
      <w:bookmarkStart w:id="90" w:name="_Toc77400780"/>
      <w:bookmarkStart w:id="91" w:name="_Toc217446042"/>
      <w:bookmarkStart w:id="92" w:name="_Toc183682351"/>
      <w:bookmarkStart w:id="93" w:name="_Toc183582214"/>
      <w:r>
        <w:rPr>
          <w:rFonts w:ascii="仿宋" w:eastAsia="仿宋"/>
          <w:b w:val="0"/>
          <w:color w:val="auto"/>
          <w:kern w:val="2"/>
          <w:sz w:val="24"/>
          <w:szCs w:val="24"/>
          <w:lang w:val="en-US"/>
        </w:rPr>
        <w:t>根据采购项目和具体情况，采购人或者采购代理机构认为有必要，可以组织召开标前答疑会或组织投标人对项目现场进行考察。答疑会或进行现场考察的时间，采购人或者采购代理机构将以书面形式通知所有</w:t>
      </w:r>
      <w:r>
        <w:rPr>
          <w:rFonts w:hint="eastAsia" w:ascii="仿宋" w:eastAsia="仿宋"/>
          <w:b w:val="0"/>
          <w:color w:val="auto"/>
          <w:kern w:val="2"/>
          <w:sz w:val="24"/>
          <w:szCs w:val="24"/>
          <w:lang w:val="en-US"/>
        </w:rPr>
        <w:t>获取</w:t>
      </w:r>
      <w:r>
        <w:rPr>
          <w:rFonts w:ascii="仿宋" w:eastAsia="仿宋"/>
          <w:b w:val="0"/>
          <w:color w:val="auto"/>
          <w:kern w:val="2"/>
          <w:sz w:val="24"/>
          <w:szCs w:val="24"/>
          <w:lang w:val="en-US"/>
        </w:rPr>
        <w:t>了招标文件的投标人。</w:t>
      </w:r>
    </w:p>
    <w:bookmarkEnd w:id="88"/>
    <w:bookmarkEnd w:id="89"/>
    <w:bookmarkEnd w:id="90"/>
    <w:bookmarkEnd w:id="91"/>
    <w:bookmarkEnd w:id="92"/>
    <w:bookmarkEnd w:id="93"/>
    <w:p w14:paraId="65869D91">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94" w:name="_Toc353972047"/>
      <w:bookmarkStart w:id="95" w:name="_Toc183582215"/>
      <w:bookmarkStart w:id="96" w:name="_Toc183682352"/>
      <w:bookmarkStart w:id="97" w:name="_Toc217446043"/>
      <w:r>
        <w:rPr>
          <w:rFonts w:ascii="仿宋" w:eastAsia="仿宋"/>
          <w:bCs/>
          <w:color w:val="auto"/>
          <w:kern w:val="2"/>
          <w:sz w:val="24"/>
          <w:szCs w:val="24"/>
          <w:lang w:val="en-US"/>
        </w:rPr>
        <w:t xml:space="preserve"> </w:t>
      </w:r>
      <w:bookmarkStart w:id="98" w:name="_Toc40704274"/>
      <w:bookmarkStart w:id="99" w:name="_Toc17488"/>
      <w:bookmarkStart w:id="100" w:name="_Toc36134560"/>
      <w:bookmarkStart w:id="101" w:name="_Toc36215950"/>
      <w:bookmarkStart w:id="102" w:name="_Toc494198590"/>
      <w:r>
        <w:rPr>
          <w:rFonts w:ascii="仿宋" w:eastAsia="仿宋"/>
          <w:bCs/>
          <w:color w:val="auto"/>
          <w:kern w:val="2"/>
          <w:sz w:val="24"/>
          <w:szCs w:val="24"/>
          <w:lang w:val="en-US"/>
        </w:rPr>
        <w:t>投标文件</w:t>
      </w:r>
      <w:bookmarkEnd w:id="94"/>
      <w:bookmarkEnd w:id="98"/>
      <w:bookmarkEnd w:id="99"/>
      <w:bookmarkEnd w:id="100"/>
      <w:bookmarkEnd w:id="101"/>
      <w:bookmarkEnd w:id="102"/>
    </w:p>
    <w:p w14:paraId="4EEC80ED">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03" w:name="_Toc500492686"/>
      <w:bookmarkStart w:id="104" w:name="_Toc494198883"/>
      <w:bookmarkStart w:id="105" w:name="_Toc496605590"/>
      <w:r>
        <w:rPr>
          <w:rFonts w:ascii="仿宋" w:eastAsia="仿宋"/>
          <w:bCs/>
          <w:color w:val="auto"/>
          <w:kern w:val="2"/>
          <w:sz w:val="24"/>
          <w:szCs w:val="24"/>
          <w:lang w:val="en-US"/>
        </w:rPr>
        <w:t>投标文件的语言</w:t>
      </w:r>
      <w:bookmarkEnd w:id="95"/>
      <w:bookmarkEnd w:id="96"/>
      <w:bookmarkEnd w:id="97"/>
      <w:bookmarkEnd w:id="103"/>
      <w:bookmarkEnd w:id="104"/>
      <w:bookmarkEnd w:id="105"/>
    </w:p>
    <w:p w14:paraId="1BD2748B">
      <w:pPr>
        <w:pageBreakBefore w:val="0"/>
        <w:widowControl w:val="0"/>
        <w:numPr>
          <w:ilvl w:val="1"/>
          <w:numId w:val="3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投标人提交的投标文件以及投标人与采购人或者采购代理机构就有关投标的所有来往书面文件均须使用中文。投标文件中所附或引用的外文资料，应翻译成中文并加盖投</w:t>
      </w:r>
      <w:r>
        <w:rPr>
          <w:rFonts w:ascii="仿宋" w:eastAsia="仿宋"/>
          <w:b w:val="0"/>
          <w:bCs/>
          <w:color w:val="auto"/>
          <w:kern w:val="2"/>
          <w:sz w:val="24"/>
          <w:szCs w:val="24"/>
          <w:lang w:val="en-US"/>
        </w:rPr>
        <w:t>标人公章后附在相关外文资料后面，投标人的法定代表人</w:t>
      </w:r>
      <w:r>
        <w:rPr>
          <w:rFonts w:hint="eastAsia" w:ascii="仿宋" w:eastAsia="仿宋"/>
          <w:b w:val="0"/>
          <w:bCs/>
          <w:color w:val="auto"/>
          <w:kern w:val="2"/>
          <w:sz w:val="24"/>
          <w:szCs w:val="24"/>
          <w:lang w:val="en-US"/>
        </w:rPr>
        <w:t>（主要负责人/经营者）</w:t>
      </w:r>
      <w:r>
        <w:rPr>
          <w:rFonts w:ascii="仿宋" w:eastAsia="仿宋"/>
          <w:b w:val="0"/>
          <w:bCs/>
          <w:color w:val="auto"/>
          <w:kern w:val="2"/>
          <w:sz w:val="24"/>
          <w:szCs w:val="24"/>
          <w:lang w:val="en-US"/>
        </w:rPr>
        <w:t>为外籍人士的，则法</w:t>
      </w:r>
      <w:r>
        <w:rPr>
          <w:rFonts w:ascii="仿宋" w:eastAsia="仿宋"/>
          <w:b w:val="0"/>
          <w:color w:val="auto"/>
          <w:kern w:val="2"/>
          <w:sz w:val="24"/>
          <w:szCs w:val="24"/>
          <w:lang w:val="en-US"/>
        </w:rPr>
        <w:t>定代表人</w:t>
      </w:r>
      <w:r>
        <w:rPr>
          <w:rFonts w:hint="eastAsia" w:ascii="仿宋" w:eastAsia="仿宋"/>
          <w:b w:val="0"/>
          <w:color w:val="auto"/>
          <w:kern w:val="2"/>
          <w:sz w:val="24"/>
          <w:szCs w:val="24"/>
          <w:lang w:val="en-US"/>
        </w:rPr>
        <w:t>（主要负责人/经营者）</w:t>
      </w:r>
      <w:r>
        <w:rPr>
          <w:rFonts w:ascii="仿宋" w:eastAsia="仿宋"/>
          <w:b w:val="0"/>
          <w:color w:val="auto"/>
          <w:kern w:val="2"/>
          <w:sz w:val="24"/>
          <w:szCs w:val="24"/>
          <w:lang w:val="en-US"/>
        </w:rPr>
        <w:t>的签字或印章、护照除外。</w:t>
      </w:r>
    </w:p>
    <w:p w14:paraId="2E68AFFE">
      <w:pPr>
        <w:pageBreakBefore w:val="0"/>
        <w:widowControl w:val="0"/>
        <w:numPr>
          <w:ilvl w:val="1"/>
          <w:numId w:val="3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对不同文字文本投标文件的解释发生异议的，以中文文本为准，若投标人投标文件中提供的外文资料未翻译成中文，则将可视为无效材料。</w:t>
      </w:r>
    </w:p>
    <w:p w14:paraId="76DF8172">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06" w:name="_Toc183682353"/>
      <w:bookmarkStart w:id="107" w:name="_Toc217446044"/>
      <w:bookmarkStart w:id="108" w:name="_Toc496605591"/>
      <w:bookmarkStart w:id="109" w:name="_Toc183582216"/>
      <w:bookmarkStart w:id="110" w:name="_Toc494198884"/>
      <w:bookmarkStart w:id="111" w:name="_Toc500492687"/>
      <w:r>
        <w:rPr>
          <w:rFonts w:ascii="仿宋" w:eastAsia="仿宋"/>
          <w:bCs/>
          <w:color w:val="auto"/>
          <w:kern w:val="2"/>
          <w:sz w:val="24"/>
          <w:szCs w:val="24"/>
          <w:lang w:val="en-US"/>
        </w:rPr>
        <w:t>计量单位</w:t>
      </w:r>
      <w:bookmarkEnd w:id="106"/>
      <w:bookmarkEnd w:id="107"/>
      <w:bookmarkEnd w:id="108"/>
      <w:bookmarkEnd w:id="109"/>
      <w:bookmarkEnd w:id="110"/>
      <w:bookmarkEnd w:id="111"/>
      <w:r>
        <w:rPr>
          <w:rFonts w:hint="eastAsia" w:ascii="仿宋" w:eastAsia="仿宋"/>
          <w:bCs/>
          <w:color w:val="auto"/>
          <w:kern w:val="2"/>
          <w:sz w:val="24"/>
          <w:szCs w:val="24"/>
          <w:lang w:val="en-US" w:eastAsia="zh-CN"/>
        </w:rPr>
        <w:t>（实质性要求）</w:t>
      </w:r>
    </w:p>
    <w:p w14:paraId="09E48E7E">
      <w:pPr>
        <w:pageBreakBefore w:val="0"/>
        <w:widowControl w:val="0"/>
        <w:tabs>
          <w:tab w:val="left" w:pos="-142"/>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除技术规格及要求中另有规定外，本采购项目的投标均采用国家法定的计量单位。</w:t>
      </w:r>
    </w:p>
    <w:p w14:paraId="72122A22">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12" w:name="_Toc496605592"/>
      <w:bookmarkStart w:id="113" w:name="_Toc494198885"/>
      <w:bookmarkStart w:id="114" w:name="_Toc500492688"/>
      <w:bookmarkStart w:id="115" w:name="_Toc217446045"/>
      <w:r>
        <w:rPr>
          <w:rFonts w:ascii="仿宋" w:eastAsia="仿宋"/>
          <w:bCs/>
          <w:color w:val="auto"/>
          <w:kern w:val="2"/>
          <w:sz w:val="24"/>
          <w:szCs w:val="24"/>
          <w:lang w:val="en-US"/>
        </w:rPr>
        <w:t>投标货币</w:t>
      </w:r>
      <w:bookmarkEnd w:id="112"/>
      <w:bookmarkEnd w:id="113"/>
      <w:bookmarkEnd w:id="114"/>
      <w:bookmarkEnd w:id="115"/>
      <w:r>
        <w:rPr>
          <w:rFonts w:hint="eastAsia" w:ascii="仿宋" w:eastAsia="仿宋"/>
          <w:bCs/>
          <w:color w:val="auto"/>
          <w:kern w:val="2"/>
          <w:sz w:val="24"/>
          <w:szCs w:val="24"/>
          <w:lang w:val="en-US" w:eastAsia="zh-CN"/>
        </w:rPr>
        <w:t>（实质性要求）</w:t>
      </w:r>
    </w:p>
    <w:p w14:paraId="4626426C">
      <w:pPr>
        <w:pageBreakBefore w:val="0"/>
        <w:widowControl w:val="0"/>
        <w:tabs>
          <w:tab w:val="left" w:pos="-142"/>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本次招标项目投标货币为人民币，报价以招标文件约定为准。</w:t>
      </w:r>
    </w:p>
    <w:p w14:paraId="148DE9E2">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16" w:name="_Toc500492689"/>
      <w:bookmarkStart w:id="117" w:name="_Toc217446046"/>
      <w:bookmarkStart w:id="118" w:name="_Toc494198886"/>
      <w:bookmarkStart w:id="119" w:name="_Toc315871016"/>
      <w:bookmarkStart w:id="120" w:name="_Toc496605593"/>
      <w:r>
        <w:rPr>
          <w:rFonts w:ascii="仿宋" w:eastAsia="仿宋"/>
          <w:bCs/>
          <w:color w:val="auto"/>
          <w:kern w:val="2"/>
          <w:sz w:val="24"/>
          <w:szCs w:val="24"/>
          <w:lang w:val="en-US"/>
        </w:rPr>
        <w:t>联合体投标</w:t>
      </w:r>
      <w:bookmarkEnd w:id="116"/>
      <w:bookmarkEnd w:id="117"/>
      <w:bookmarkEnd w:id="118"/>
      <w:bookmarkEnd w:id="119"/>
      <w:bookmarkEnd w:id="120"/>
      <w:r>
        <w:rPr>
          <w:rFonts w:hint="eastAsia" w:ascii="仿宋" w:eastAsia="仿宋"/>
          <w:bCs/>
          <w:color w:val="auto"/>
          <w:kern w:val="2"/>
          <w:sz w:val="24"/>
          <w:szCs w:val="24"/>
          <w:lang w:val="en-US" w:eastAsia="zh-CN"/>
        </w:rPr>
        <w:t>（实质性要求）</w:t>
      </w:r>
    </w:p>
    <w:p w14:paraId="7955716D">
      <w:pPr>
        <w:pageBreakBefore w:val="0"/>
        <w:widowControl w:val="0"/>
        <w:tabs>
          <w:tab w:val="left" w:pos="-142"/>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本项目不接受联合体投标，投标人应以非联合体形式参加投标，否则作无效投标处理。</w:t>
      </w:r>
    </w:p>
    <w:p w14:paraId="062C9FF9">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21" w:name="_Toc494198887"/>
      <w:bookmarkStart w:id="122" w:name="_Toc500492690"/>
      <w:bookmarkStart w:id="123" w:name="_Toc496605594"/>
      <w:bookmarkStart w:id="124" w:name="_Toc217446047"/>
      <w:r>
        <w:rPr>
          <w:rFonts w:ascii="仿宋" w:eastAsia="仿宋"/>
          <w:bCs/>
          <w:color w:val="auto"/>
          <w:kern w:val="2"/>
          <w:sz w:val="24"/>
          <w:szCs w:val="24"/>
          <w:lang w:val="en-US"/>
        </w:rPr>
        <w:t>进口产品</w:t>
      </w:r>
      <w:bookmarkEnd w:id="121"/>
      <w:bookmarkEnd w:id="122"/>
      <w:bookmarkEnd w:id="123"/>
    </w:p>
    <w:p w14:paraId="1BA7AAF9">
      <w:pPr>
        <w:pageBreakBefore w:val="0"/>
        <w:widowControl w:val="0"/>
        <w:tabs>
          <w:tab w:val="left" w:pos="-142"/>
        </w:tabs>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lightGray"/>
          <w:lang w:val="en-US" w:eastAsia="zh-CN"/>
        </w:rPr>
      </w:pPr>
      <w:r>
        <w:rPr>
          <w:rFonts w:ascii="仿宋" w:eastAsia="仿宋"/>
          <w:b w:val="0"/>
          <w:color w:val="auto"/>
          <w:kern w:val="2"/>
          <w:sz w:val="24"/>
          <w:szCs w:val="24"/>
          <w:lang w:val="en-US"/>
        </w:rPr>
        <w:t>本项目为服务类采购，不涉及进口产品</w:t>
      </w:r>
      <w:r>
        <w:rPr>
          <w:rFonts w:hint="eastAsia" w:ascii="仿宋" w:eastAsia="仿宋"/>
          <w:b w:val="0"/>
          <w:color w:val="auto"/>
          <w:kern w:val="2"/>
          <w:sz w:val="24"/>
          <w:szCs w:val="24"/>
          <w:lang w:val="en-US" w:eastAsia="zh-CN"/>
        </w:rPr>
        <w:t>。</w:t>
      </w:r>
    </w:p>
    <w:p w14:paraId="3C0CB49F">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25" w:name="_Toc496605595"/>
      <w:bookmarkStart w:id="126" w:name="_Toc494198888"/>
      <w:bookmarkStart w:id="127" w:name="_Toc500492691"/>
      <w:r>
        <w:rPr>
          <w:rFonts w:ascii="仿宋" w:eastAsia="仿宋"/>
          <w:bCs/>
          <w:color w:val="auto"/>
          <w:kern w:val="2"/>
          <w:sz w:val="24"/>
          <w:szCs w:val="24"/>
          <w:lang w:val="en-US"/>
        </w:rPr>
        <w:t>知识产权</w:t>
      </w:r>
      <w:bookmarkEnd w:id="124"/>
      <w:bookmarkEnd w:id="125"/>
      <w:bookmarkEnd w:id="126"/>
      <w:bookmarkEnd w:id="127"/>
      <w:r>
        <w:rPr>
          <w:rFonts w:hint="eastAsia" w:ascii="仿宋" w:eastAsia="仿宋"/>
          <w:bCs/>
          <w:color w:val="auto"/>
          <w:kern w:val="2"/>
          <w:sz w:val="24"/>
          <w:szCs w:val="24"/>
          <w:lang w:val="en-US" w:eastAsia="zh-CN"/>
        </w:rPr>
        <w:t>（实质性要求）</w:t>
      </w:r>
    </w:p>
    <w:p w14:paraId="1098845A">
      <w:pPr>
        <w:pageBreakBefore w:val="0"/>
        <w:widowControl w:val="0"/>
        <w:tabs>
          <w:tab w:val="left" w:pos="-142"/>
        </w:tabs>
        <w:kinsoku/>
        <w:wordWrap/>
        <w:overflowPunct/>
        <w:topLinePunct w:val="0"/>
        <w:bidi w:val="0"/>
        <w:spacing w:beforeAutospacing="0" w:afterAutospacing="0" w:line="360" w:lineRule="auto"/>
        <w:ind w:left="0" w:right="0"/>
        <w:rPr>
          <w:rFonts w:ascii="仿宋" w:eastAsia="仿宋"/>
          <w:b w:val="0"/>
          <w:color w:val="auto"/>
          <w:kern w:val="2"/>
          <w:sz w:val="24"/>
          <w:szCs w:val="24"/>
        </w:rPr>
      </w:pPr>
      <w:r>
        <w:rPr>
          <w:rFonts w:ascii="仿宋" w:eastAsia="仿宋"/>
          <w:b w:val="0"/>
          <w:bCs/>
          <w:color w:val="auto"/>
          <w:kern w:val="2"/>
          <w:sz w:val="24"/>
          <w:szCs w:val="24"/>
          <w:lang w:val="en-US"/>
        </w:rPr>
        <w:t>投标人应对以下有关知识产权进行承诺，否则作无效投标处理。</w:t>
      </w:r>
    </w:p>
    <w:p w14:paraId="6B506C58">
      <w:pPr>
        <w:pageBreakBefore w:val="0"/>
        <w:widowControl w:val="0"/>
        <w:numPr>
          <w:ilvl w:val="1"/>
          <w:numId w:val="3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应保证在本项目使用的任何产品和服务（包括部分使用）时，不会产生因第三方提出侵犯其专利权、商标权或其它合法权益而引起的法律和经济纠纷，如因专利权、商标权或其它合法权益而引起法律和经济纠纷，由投标人承担所有相关责任。</w:t>
      </w:r>
    </w:p>
    <w:p w14:paraId="59E87CF0">
      <w:pPr>
        <w:pageBreakBefore w:val="0"/>
        <w:widowControl w:val="0"/>
        <w:numPr>
          <w:ilvl w:val="1"/>
          <w:numId w:val="3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除非招标文件特别规定，采购人享有本项目实施过程中产生的知识成果及知识产权。</w:t>
      </w:r>
    </w:p>
    <w:p w14:paraId="3BD9682E">
      <w:pPr>
        <w:pageBreakBefore w:val="0"/>
        <w:widowControl w:val="0"/>
        <w:numPr>
          <w:ilvl w:val="1"/>
          <w:numId w:val="3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投标人如欲在项目实施过程中采用自有</w:t>
      </w:r>
      <w:r>
        <w:rPr>
          <w:rFonts w:hint="eastAsia" w:ascii="仿宋" w:eastAsia="仿宋"/>
          <w:b w:val="0"/>
          <w:color w:val="auto"/>
          <w:kern w:val="2"/>
          <w:sz w:val="24"/>
          <w:szCs w:val="24"/>
          <w:lang w:val="en-US"/>
        </w:rPr>
        <w:t>或者第三方知识成果的</w:t>
      </w:r>
      <w:r>
        <w:rPr>
          <w:rFonts w:ascii="仿宋" w:eastAsia="仿宋"/>
          <w:b w:val="0"/>
          <w:color w:val="auto"/>
          <w:kern w:val="2"/>
          <w:sz w:val="24"/>
          <w:szCs w:val="24"/>
          <w:lang w:val="en-US"/>
        </w:rPr>
        <w:t>，使用该知识成果后，投标人需提供开发接口和开发手册等技术</w:t>
      </w:r>
      <w:r>
        <w:rPr>
          <w:rFonts w:hint="eastAsia" w:ascii="仿宋" w:eastAsia="仿宋"/>
          <w:b w:val="0"/>
          <w:color w:val="auto"/>
          <w:kern w:val="2"/>
          <w:sz w:val="24"/>
          <w:szCs w:val="24"/>
          <w:lang w:val="en-US"/>
        </w:rPr>
        <w:t>资料</w:t>
      </w:r>
      <w:r>
        <w:rPr>
          <w:rFonts w:ascii="仿宋" w:eastAsia="仿宋"/>
          <w:b w:val="0"/>
          <w:color w:val="auto"/>
          <w:kern w:val="2"/>
          <w:sz w:val="24"/>
          <w:szCs w:val="24"/>
          <w:lang w:val="en-US"/>
        </w:rPr>
        <w:t>，并承诺提供无限期技术支持，采购人享有永久使用权（含采购人委托第三方在该项目后续开发的使用权），</w:t>
      </w:r>
      <w:r>
        <w:rPr>
          <w:rFonts w:ascii="仿宋" w:eastAsia="仿宋"/>
          <w:color w:val="auto"/>
          <w:kern w:val="2"/>
          <w:sz w:val="24"/>
          <w:szCs w:val="24"/>
          <w:lang w:val="en-US"/>
        </w:rPr>
        <w:t>同时需在投标文件中提供声明，并提供相关知识产权证明文件，否则视为投标人未在本项目实施过程中采用自有知识成果，不影响有效性。</w:t>
      </w:r>
    </w:p>
    <w:p w14:paraId="2A6ECFB4">
      <w:pPr>
        <w:pageBreakBefore w:val="0"/>
        <w:widowControl w:val="0"/>
        <w:numPr>
          <w:ilvl w:val="1"/>
          <w:numId w:val="3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如采用投标人所不拥有的知识产权，则在投标报价中必须包括合法获取该知识产权的相关费用，</w:t>
      </w:r>
      <w:r>
        <w:rPr>
          <w:rFonts w:ascii="仿宋" w:eastAsia="仿宋"/>
          <w:bCs/>
          <w:color w:val="auto"/>
          <w:kern w:val="2"/>
          <w:sz w:val="24"/>
          <w:szCs w:val="24"/>
          <w:lang w:val="en-US"/>
        </w:rPr>
        <w:t>采购人不再因</w:t>
      </w:r>
      <w:r>
        <w:rPr>
          <w:rFonts w:ascii="仿宋" w:eastAsia="仿宋"/>
          <w:color w:val="auto"/>
          <w:kern w:val="2"/>
          <w:sz w:val="24"/>
          <w:szCs w:val="24"/>
          <w:lang w:val="en-US"/>
        </w:rPr>
        <w:t>投标人采用所不拥有的知识产权而另行支付任何费用</w:t>
      </w:r>
      <w:r>
        <w:rPr>
          <w:rFonts w:ascii="仿宋" w:eastAsia="仿宋"/>
          <w:b w:val="0"/>
          <w:color w:val="auto"/>
          <w:kern w:val="2"/>
          <w:sz w:val="24"/>
          <w:szCs w:val="24"/>
          <w:lang w:val="en-US"/>
        </w:rPr>
        <w:t xml:space="preserve">。 </w:t>
      </w:r>
    </w:p>
    <w:p w14:paraId="0C28C698">
      <w:pPr>
        <w:pageBreakBefore w:val="0"/>
        <w:widowControl w:val="0"/>
        <w:numPr>
          <w:ilvl w:val="1"/>
          <w:numId w:val="3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根据《中华人民共和国政府采购法实施条例》第四十三条的规定，公告内容应当包括主要中标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14:paraId="3DC234FC">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highlight w:val="none"/>
          <w:lang w:val="en-US"/>
        </w:rPr>
      </w:pPr>
      <w:bookmarkStart w:id="128" w:name="_Toc494198889"/>
      <w:bookmarkStart w:id="129" w:name="_Toc217446048"/>
      <w:bookmarkStart w:id="130" w:name="_Toc496605596"/>
      <w:bookmarkStart w:id="131" w:name="_Toc183582217"/>
      <w:bookmarkStart w:id="132" w:name="_Toc500492692"/>
      <w:bookmarkStart w:id="133" w:name="_Toc183682354"/>
      <w:r>
        <w:rPr>
          <w:rFonts w:ascii="仿宋" w:eastAsia="仿宋"/>
          <w:bCs/>
          <w:color w:val="auto"/>
          <w:kern w:val="2"/>
          <w:sz w:val="24"/>
          <w:szCs w:val="24"/>
          <w:highlight w:val="none"/>
          <w:lang w:val="en-US"/>
        </w:rPr>
        <w:t>投标文件的组成</w:t>
      </w:r>
      <w:bookmarkEnd w:id="128"/>
      <w:bookmarkEnd w:id="129"/>
      <w:bookmarkEnd w:id="130"/>
      <w:bookmarkEnd w:id="131"/>
      <w:bookmarkEnd w:id="132"/>
      <w:bookmarkEnd w:id="133"/>
    </w:p>
    <w:p w14:paraId="3707D89D">
      <w:pPr>
        <w:pageBreakBefore w:val="0"/>
        <w:widowControl w:val="0"/>
        <w:kinsoku/>
        <w:wordWrap/>
        <w:overflowPunct/>
        <w:topLinePunct w:val="0"/>
        <w:bidi w:val="0"/>
        <w:spacing w:beforeAutospacing="0" w:afterAutospacing="0" w:line="360" w:lineRule="auto"/>
        <w:ind w:left="0" w:right="0"/>
        <w:rPr>
          <w:rFonts w:ascii="仿宋" w:eastAsia="仿宋"/>
          <w:color w:val="auto"/>
          <w:kern w:val="2"/>
          <w:sz w:val="24"/>
          <w:szCs w:val="24"/>
          <w:lang w:val="en-US"/>
        </w:rPr>
      </w:pPr>
      <w:r>
        <w:rPr>
          <w:rFonts w:ascii="仿宋" w:eastAsia="仿宋"/>
          <w:color w:val="auto"/>
          <w:kern w:val="2"/>
          <w:sz w:val="24"/>
          <w:szCs w:val="24"/>
          <w:lang w:val="en-US"/>
        </w:rPr>
        <w:t>投标人编写的投标文件应包括资格</w:t>
      </w:r>
      <w:r>
        <w:rPr>
          <w:rFonts w:hint="eastAsia" w:ascii="仿宋" w:eastAsia="仿宋"/>
          <w:color w:val="auto"/>
          <w:kern w:val="2"/>
          <w:sz w:val="24"/>
          <w:szCs w:val="24"/>
          <w:lang w:val="en-US" w:eastAsia="zh-CN"/>
        </w:rPr>
        <w:t>证明</w:t>
      </w:r>
      <w:r>
        <w:rPr>
          <w:rFonts w:ascii="仿宋" w:eastAsia="仿宋"/>
          <w:color w:val="auto"/>
          <w:kern w:val="2"/>
          <w:sz w:val="24"/>
          <w:szCs w:val="24"/>
          <w:lang w:val="en-US"/>
        </w:rPr>
        <w:t>文件</w:t>
      </w:r>
      <w:r>
        <w:rPr>
          <w:rFonts w:hint="eastAsia" w:ascii="仿宋" w:eastAsia="仿宋"/>
          <w:color w:val="auto"/>
          <w:kern w:val="2"/>
          <w:sz w:val="24"/>
          <w:szCs w:val="24"/>
          <w:lang w:val="en-US" w:eastAsia="zh-CN"/>
        </w:rPr>
        <w:t>、报价文件和商务技术</w:t>
      </w:r>
      <w:r>
        <w:rPr>
          <w:rFonts w:ascii="仿宋" w:eastAsia="仿宋"/>
          <w:color w:val="auto"/>
          <w:kern w:val="2"/>
          <w:sz w:val="24"/>
          <w:szCs w:val="24"/>
          <w:lang w:val="en-US"/>
        </w:rPr>
        <w:t>文件，否则作无效投标处理。</w:t>
      </w:r>
    </w:p>
    <w:p w14:paraId="55B68220">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color w:val="auto"/>
          <w:kern w:val="2"/>
          <w:sz w:val="24"/>
          <w:szCs w:val="24"/>
          <w:lang w:val="en-US"/>
        </w:rPr>
        <w:t>资格</w:t>
      </w:r>
      <w:r>
        <w:rPr>
          <w:rFonts w:hint="eastAsia" w:ascii="仿宋" w:eastAsia="仿宋"/>
          <w:color w:val="auto"/>
          <w:kern w:val="2"/>
          <w:sz w:val="24"/>
          <w:szCs w:val="24"/>
          <w:lang w:val="en-US" w:eastAsia="zh-CN"/>
        </w:rPr>
        <w:t>证明</w:t>
      </w:r>
      <w:r>
        <w:rPr>
          <w:rFonts w:ascii="仿宋" w:eastAsia="仿宋"/>
          <w:color w:val="auto"/>
          <w:kern w:val="2"/>
          <w:sz w:val="24"/>
          <w:szCs w:val="24"/>
          <w:lang w:val="en-US"/>
        </w:rPr>
        <w:t>文件用于资格审查，应包括投标人响应招标文件要求的资格条件的所有证明材料。（详见招标文件</w:t>
      </w:r>
      <w:r>
        <w:rPr>
          <w:rFonts w:ascii="仿宋" w:eastAsia="仿宋"/>
          <w:color w:val="auto"/>
          <w:kern w:val="2"/>
          <w:sz w:val="24"/>
          <w:szCs w:val="24"/>
          <w:highlight w:val="none"/>
          <w:lang w:val="en-US"/>
        </w:rPr>
        <w:t>第</w:t>
      </w:r>
      <w:r>
        <w:rPr>
          <w:rFonts w:hint="eastAsia" w:ascii="仿宋" w:eastAsia="仿宋"/>
          <w:color w:val="auto"/>
          <w:kern w:val="2"/>
          <w:sz w:val="24"/>
          <w:szCs w:val="24"/>
          <w:highlight w:val="none"/>
          <w:lang w:val="en-US" w:eastAsia="zh-CN"/>
        </w:rPr>
        <w:t>3</w:t>
      </w:r>
      <w:r>
        <w:rPr>
          <w:rFonts w:ascii="仿宋" w:eastAsia="仿宋"/>
          <w:color w:val="auto"/>
          <w:kern w:val="2"/>
          <w:sz w:val="24"/>
          <w:szCs w:val="24"/>
          <w:highlight w:val="none"/>
          <w:lang w:val="en-US"/>
        </w:rPr>
        <w:t>章</w:t>
      </w:r>
      <w:r>
        <w:rPr>
          <w:rFonts w:ascii="仿宋" w:eastAsia="仿宋"/>
          <w:color w:val="auto"/>
          <w:kern w:val="2"/>
          <w:sz w:val="24"/>
          <w:szCs w:val="24"/>
          <w:lang w:val="en-US"/>
        </w:rPr>
        <w:t>）</w:t>
      </w:r>
    </w:p>
    <w:p w14:paraId="7C43A201">
      <w:pPr>
        <w:pageBreakBefore w:val="0"/>
        <w:widowControl w:val="0"/>
        <w:kinsoku/>
        <w:wordWrap/>
        <w:overflowPunct/>
        <w:topLinePunct w:val="0"/>
        <w:bidi w:val="0"/>
        <w:spacing w:beforeAutospacing="0" w:afterAutospacing="0" w:line="360" w:lineRule="auto"/>
        <w:ind w:left="0" w:right="0"/>
        <w:rPr>
          <w:rFonts w:ascii="仿宋" w:eastAsia="仿宋"/>
          <w:color w:val="auto"/>
          <w:kern w:val="2"/>
          <w:sz w:val="24"/>
          <w:szCs w:val="24"/>
          <w:lang w:val="en-US" w:eastAsia="zh-CN"/>
        </w:rPr>
      </w:pPr>
      <w:r>
        <w:rPr>
          <w:rFonts w:hint="eastAsia" w:ascii="仿宋" w:eastAsia="仿宋"/>
          <w:color w:val="auto"/>
          <w:kern w:val="2"/>
          <w:sz w:val="24"/>
          <w:szCs w:val="24"/>
          <w:lang w:val="en-US" w:eastAsia="zh-CN"/>
        </w:rPr>
        <w:t>报价文件</w:t>
      </w:r>
      <w:r>
        <w:rPr>
          <w:rFonts w:ascii="仿宋" w:eastAsia="仿宋"/>
          <w:color w:val="auto"/>
          <w:kern w:val="2"/>
          <w:sz w:val="24"/>
          <w:szCs w:val="24"/>
          <w:lang w:val="en-US"/>
        </w:rPr>
        <w:t>用于符合性审查和综合评审</w:t>
      </w:r>
      <w:r>
        <w:rPr>
          <w:rFonts w:hint="eastAsia" w:ascii="仿宋" w:eastAsia="仿宋"/>
          <w:color w:val="auto"/>
          <w:kern w:val="2"/>
          <w:sz w:val="24"/>
          <w:szCs w:val="24"/>
          <w:lang w:val="en-US" w:eastAsia="zh-CN"/>
        </w:rPr>
        <w:t>，包括开标一览表、分项报价表（如有）。</w:t>
      </w:r>
    </w:p>
    <w:p w14:paraId="68519621">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color w:val="auto"/>
          <w:kern w:val="2"/>
          <w:sz w:val="24"/>
          <w:szCs w:val="24"/>
          <w:lang w:val="en-US"/>
        </w:rPr>
        <w:t>投标文件用于符合性审查和综合评审，应包括投标人响应招标文件要求的资格条件以外的所有材料，包括但不限于下列部分：</w:t>
      </w:r>
    </w:p>
    <w:p w14:paraId="6F21B9ED">
      <w:pPr>
        <w:pageBreakBefore w:val="0"/>
        <w:widowControl w:val="0"/>
        <w:numPr>
          <w:ilvl w:val="0"/>
          <w:numId w:val="35"/>
        </w:numPr>
        <w:tabs>
          <w:tab w:val="left" w:pos="640"/>
        </w:tabs>
        <w:kinsoku/>
        <w:wordWrap/>
        <w:overflowPunct/>
        <w:topLinePunct w:val="0"/>
        <w:bidi w:val="0"/>
        <w:spacing w:beforeAutospacing="0" w:afterAutospacing="0" w:line="360" w:lineRule="auto"/>
        <w:ind w:left="640" w:right="0" w:hanging="199" w:firstLineChars="0"/>
        <w:rPr>
          <w:rFonts w:ascii="仿宋" w:eastAsia="仿宋"/>
          <w:b w:val="0"/>
          <w:color w:val="auto"/>
          <w:kern w:val="2"/>
          <w:sz w:val="24"/>
          <w:szCs w:val="24"/>
          <w:lang w:val="en-US"/>
        </w:rPr>
      </w:pPr>
      <w:r>
        <w:rPr>
          <w:rFonts w:ascii="仿宋" w:eastAsia="仿宋"/>
          <w:b w:val="0"/>
          <w:color w:val="auto"/>
          <w:kern w:val="2"/>
          <w:sz w:val="24"/>
          <w:szCs w:val="24"/>
          <w:lang w:val="en-US"/>
        </w:rPr>
        <w:t>投标函</w:t>
      </w:r>
    </w:p>
    <w:p w14:paraId="32F525AD">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hint="eastAsia" w:ascii="仿宋" w:eastAsia="仿宋"/>
          <w:b w:val="0"/>
          <w:color w:val="auto"/>
          <w:kern w:val="2"/>
          <w:sz w:val="24"/>
          <w:szCs w:val="24"/>
          <w:lang w:val="en-US" w:eastAsia="zh-CN"/>
        </w:rPr>
        <w:t>服务</w:t>
      </w:r>
      <w:r>
        <w:rPr>
          <w:rFonts w:ascii="仿宋" w:eastAsia="仿宋"/>
          <w:b w:val="0"/>
          <w:color w:val="auto"/>
          <w:kern w:val="2"/>
          <w:sz w:val="24"/>
          <w:szCs w:val="24"/>
          <w:lang w:val="en-US"/>
        </w:rPr>
        <w:t>偏离表</w:t>
      </w:r>
    </w:p>
    <w:p w14:paraId="6A496F88">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ascii="仿宋" w:eastAsia="仿宋"/>
          <w:b w:val="0"/>
          <w:color w:val="auto"/>
          <w:kern w:val="2"/>
          <w:sz w:val="24"/>
          <w:szCs w:val="24"/>
          <w:lang w:val="en-US"/>
        </w:rPr>
        <w:t>商务</w:t>
      </w:r>
      <w:r>
        <w:rPr>
          <w:rFonts w:hint="eastAsia" w:ascii="仿宋" w:eastAsia="仿宋"/>
          <w:b w:val="0"/>
          <w:color w:val="auto"/>
          <w:kern w:val="2"/>
          <w:sz w:val="24"/>
          <w:szCs w:val="24"/>
          <w:lang w:val="en-US" w:eastAsia="zh-CN"/>
        </w:rPr>
        <w:t>偏离</w:t>
      </w:r>
      <w:r>
        <w:rPr>
          <w:rFonts w:ascii="仿宋" w:eastAsia="仿宋"/>
          <w:b w:val="0"/>
          <w:color w:val="auto"/>
          <w:kern w:val="2"/>
          <w:sz w:val="24"/>
          <w:szCs w:val="24"/>
          <w:lang w:val="en-US"/>
        </w:rPr>
        <w:t>表</w:t>
      </w:r>
    </w:p>
    <w:p w14:paraId="38C449D4">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ascii="仿宋" w:eastAsia="仿宋"/>
          <w:b w:val="0"/>
          <w:color w:val="auto"/>
          <w:kern w:val="2"/>
          <w:sz w:val="24"/>
          <w:szCs w:val="24"/>
          <w:lang w:val="en-US"/>
        </w:rPr>
        <w:t>投标人基本情况表</w:t>
      </w:r>
    </w:p>
    <w:p w14:paraId="230F8C5C">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ascii="仿宋" w:eastAsia="仿宋"/>
          <w:b w:val="0"/>
          <w:color w:val="auto"/>
          <w:kern w:val="2"/>
          <w:sz w:val="24"/>
          <w:szCs w:val="24"/>
          <w:lang w:val="en-US"/>
        </w:rPr>
        <w:t>实施本项目的主要人员情况表</w:t>
      </w:r>
    </w:p>
    <w:p w14:paraId="5E0C71D9">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cs="Times New Roman"/>
          <w:b w:val="0"/>
          <w:bCs/>
          <w:color w:val="auto"/>
          <w:kern w:val="2"/>
          <w:sz w:val="24"/>
          <w:szCs w:val="24"/>
          <w:lang w:val="en-US"/>
        </w:rPr>
      </w:pPr>
      <w:r>
        <w:rPr>
          <w:rFonts w:hint="eastAsia" w:ascii="仿宋" w:eastAsia="仿宋" w:cs="Times New Roman"/>
          <w:b w:val="0"/>
          <w:bCs/>
          <w:color w:val="auto"/>
          <w:kern w:val="2"/>
          <w:sz w:val="24"/>
          <w:szCs w:val="24"/>
          <w:lang w:val="en-US"/>
        </w:rPr>
        <w:t>投标人</w:t>
      </w:r>
      <w:r>
        <w:rPr>
          <w:rFonts w:ascii="仿宋" w:eastAsia="仿宋" w:cs="Times New Roman"/>
          <w:b w:val="0"/>
          <w:bCs/>
          <w:color w:val="auto"/>
          <w:kern w:val="2"/>
          <w:sz w:val="24"/>
          <w:szCs w:val="24"/>
          <w:lang w:val="en-US"/>
        </w:rPr>
        <w:t>类似项目业绩一览表</w:t>
      </w:r>
    </w:p>
    <w:p w14:paraId="534E5E72">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ascii="仿宋" w:eastAsia="仿宋"/>
          <w:b w:val="0"/>
          <w:color w:val="auto"/>
          <w:kern w:val="2"/>
          <w:sz w:val="24"/>
          <w:szCs w:val="24"/>
          <w:lang w:val="en-US"/>
        </w:rPr>
        <w:t>项目实施方案</w:t>
      </w:r>
    </w:p>
    <w:p w14:paraId="2F48A1ED">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ascii="仿宋" w:eastAsia="仿宋"/>
          <w:b w:val="0"/>
          <w:color w:val="auto"/>
          <w:kern w:val="2"/>
          <w:sz w:val="24"/>
          <w:szCs w:val="24"/>
          <w:lang w:val="en-US"/>
        </w:rPr>
        <w:t>知识产权承诺函</w:t>
      </w:r>
    </w:p>
    <w:p w14:paraId="039D05D4">
      <w:pPr>
        <w:pageBreakBefore w:val="0"/>
        <w:widowControl w:val="0"/>
        <w:numPr>
          <w:ilvl w:val="0"/>
          <w:numId w:val="35"/>
        </w:numPr>
        <w:tabs>
          <w:tab w:val="left" w:pos="851"/>
        </w:tabs>
        <w:kinsoku/>
        <w:wordWrap/>
        <w:overflowPunct/>
        <w:topLinePunct w:val="0"/>
        <w:bidi w:val="0"/>
        <w:spacing w:beforeAutospacing="0" w:afterAutospacing="0" w:line="360" w:lineRule="auto"/>
        <w:ind w:left="839" w:right="0" w:hanging="403" w:firstLineChars="0"/>
        <w:rPr>
          <w:rFonts w:ascii="仿宋" w:eastAsia="仿宋"/>
          <w:b w:val="0"/>
          <w:color w:val="auto"/>
          <w:kern w:val="2"/>
          <w:sz w:val="24"/>
          <w:szCs w:val="24"/>
          <w:lang w:val="en-US"/>
        </w:rPr>
      </w:pPr>
      <w:r>
        <w:rPr>
          <w:rFonts w:ascii="仿宋" w:eastAsia="仿宋"/>
          <w:b w:val="0"/>
          <w:color w:val="auto"/>
          <w:kern w:val="2"/>
          <w:sz w:val="24"/>
          <w:szCs w:val="24"/>
          <w:lang w:val="en-US"/>
        </w:rPr>
        <w:t>投标人认为需要提供的其他文件和资料</w:t>
      </w:r>
    </w:p>
    <w:p w14:paraId="2A20010F">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34" w:name="_Toc496605597"/>
      <w:bookmarkStart w:id="135" w:name="_Toc183682355"/>
      <w:bookmarkStart w:id="136" w:name="_Toc494198890"/>
      <w:bookmarkStart w:id="137" w:name="_Toc183582218"/>
      <w:bookmarkStart w:id="138" w:name="_Toc217446049"/>
      <w:bookmarkStart w:id="139" w:name="_Toc500492693"/>
      <w:r>
        <w:rPr>
          <w:rFonts w:ascii="仿宋" w:eastAsia="仿宋"/>
          <w:bCs/>
          <w:color w:val="auto"/>
          <w:kern w:val="2"/>
          <w:sz w:val="24"/>
          <w:szCs w:val="24"/>
          <w:lang w:val="en-US"/>
        </w:rPr>
        <w:t>投标文件格式</w:t>
      </w:r>
      <w:bookmarkEnd w:id="134"/>
      <w:bookmarkEnd w:id="135"/>
      <w:bookmarkEnd w:id="136"/>
      <w:bookmarkEnd w:id="137"/>
      <w:bookmarkEnd w:id="138"/>
      <w:bookmarkEnd w:id="139"/>
      <w:r>
        <w:rPr>
          <w:rFonts w:ascii="仿宋" w:eastAsia="仿宋"/>
          <w:bCs/>
          <w:color w:val="auto"/>
          <w:kern w:val="2"/>
          <w:sz w:val="24"/>
          <w:szCs w:val="24"/>
          <w:lang w:val="en-US"/>
        </w:rPr>
        <w:tab/>
      </w:r>
    </w:p>
    <w:p w14:paraId="5E531190">
      <w:pPr>
        <w:pageBreakBefore w:val="0"/>
        <w:widowControl w:val="0"/>
        <w:numPr>
          <w:ilvl w:val="1"/>
          <w:numId w:val="3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投标人应严格按照招标文</w:t>
      </w:r>
      <w:r>
        <w:rPr>
          <w:rFonts w:ascii="仿宋" w:eastAsia="仿宋"/>
          <w:b w:val="0"/>
          <w:color w:val="auto"/>
          <w:kern w:val="2"/>
          <w:sz w:val="24"/>
          <w:szCs w:val="24"/>
          <w:highlight w:val="none"/>
          <w:lang w:val="en-US"/>
        </w:rPr>
        <w:t>件第</w:t>
      </w:r>
      <w:r>
        <w:rPr>
          <w:rFonts w:hint="eastAsia" w:ascii="仿宋" w:eastAsia="仿宋"/>
          <w:b w:val="0"/>
          <w:color w:val="auto"/>
          <w:kern w:val="2"/>
          <w:sz w:val="24"/>
          <w:szCs w:val="24"/>
          <w:highlight w:val="none"/>
          <w:lang w:val="en-US" w:eastAsia="zh-CN"/>
        </w:rPr>
        <w:t>7</w:t>
      </w:r>
      <w:r>
        <w:rPr>
          <w:rFonts w:ascii="仿宋" w:eastAsia="仿宋"/>
          <w:b w:val="0"/>
          <w:color w:val="auto"/>
          <w:kern w:val="2"/>
          <w:sz w:val="24"/>
          <w:szCs w:val="24"/>
          <w:highlight w:val="none"/>
          <w:lang w:val="en-US"/>
        </w:rPr>
        <w:t>章中</w:t>
      </w:r>
      <w:r>
        <w:rPr>
          <w:rFonts w:ascii="仿宋" w:eastAsia="仿宋"/>
          <w:b w:val="0"/>
          <w:color w:val="auto"/>
          <w:kern w:val="2"/>
          <w:sz w:val="24"/>
          <w:szCs w:val="24"/>
          <w:lang w:val="en-US"/>
        </w:rPr>
        <w:t>提供的“投标文件格式”填写相关内容。</w:t>
      </w:r>
    </w:p>
    <w:p w14:paraId="6A4989D1">
      <w:pPr>
        <w:pageBreakBefore w:val="0"/>
        <w:widowControl w:val="0"/>
        <w:numPr>
          <w:ilvl w:val="1"/>
          <w:numId w:val="3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对于没有格式要求的投标文件由投标人自行编写。</w:t>
      </w:r>
    </w:p>
    <w:p w14:paraId="12689102">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40" w:name="_Toc263753546"/>
      <w:bookmarkStart w:id="141" w:name="_Toc263768807"/>
      <w:bookmarkStart w:id="142" w:name="_Toc494198891"/>
      <w:bookmarkStart w:id="143" w:name="_Toc496605598"/>
      <w:bookmarkStart w:id="144" w:name="_Toc500492694"/>
      <w:bookmarkStart w:id="145" w:name="_Toc298399331"/>
      <w:r>
        <w:rPr>
          <w:rFonts w:ascii="仿宋" w:eastAsia="仿宋"/>
          <w:bCs/>
          <w:color w:val="auto"/>
          <w:kern w:val="2"/>
          <w:sz w:val="24"/>
          <w:szCs w:val="24"/>
          <w:lang w:val="en-US"/>
        </w:rPr>
        <w:t>投标报价</w:t>
      </w:r>
      <w:bookmarkEnd w:id="140"/>
      <w:bookmarkEnd w:id="141"/>
      <w:bookmarkEnd w:id="142"/>
      <w:bookmarkEnd w:id="143"/>
      <w:bookmarkEnd w:id="144"/>
      <w:bookmarkEnd w:id="145"/>
      <w:r>
        <w:rPr>
          <w:rFonts w:hint="eastAsia" w:ascii="仿宋" w:eastAsia="仿宋"/>
          <w:bCs/>
          <w:color w:val="auto"/>
          <w:kern w:val="2"/>
          <w:sz w:val="24"/>
          <w:szCs w:val="24"/>
          <w:lang w:val="en-US" w:eastAsia="zh-CN"/>
        </w:rPr>
        <w:t>（实质性要求）</w:t>
      </w:r>
    </w:p>
    <w:p w14:paraId="54F09E0F">
      <w:pPr>
        <w:pageBreakBefore w:val="0"/>
        <w:widowControl w:val="0"/>
        <w:numPr>
          <w:ilvl w:val="1"/>
          <w:numId w:val="3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投标人的报价是投标人响应招标项目要求的全部工作内容的价格体现，包括投标人完成本项目所需的一切费用。</w:t>
      </w:r>
      <w:r>
        <w:rPr>
          <w:rFonts w:hint="eastAsia" w:ascii="仿宋" w:eastAsia="仿宋"/>
          <w:color w:val="auto"/>
          <w:kern w:val="2"/>
          <w:sz w:val="24"/>
          <w:szCs w:val="24"/>
          <w:lang w:val="en-US" w:eastAsia="zh-CN"/>
        </w:rPr>
        <w:t>投标人应按照“第4章 技术、商务及其他要求”的需求内容、责任范围以及合同条款进行报价。</w:t>
      </w:r>
    </w:p>
    <w:p w14:paraId="71E74F02">
      <w:pPr>
        <w:pageBreakBefore w:val="0"/>
        <w:widowControl w:val="0"/>
        <w:numPr>
          <w:ilvl w:val="1"/>
          <w:numId w:val="3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投标人对每一种货物及服务的报价，在合同履行过程中是固定不变的。</w:t>
      </w:r>
      <w:r>
        <w:rPr>
          <w:rFonts w:hint="eastAsia" w:ascii="仿宋" w:eastAsia="仿宋"/>
          <w:b w:val="0"/>
          <w:color w:val="auto"/>
          <w:kern w:val="2"/>
          <w:sz w:val="24"/>
          <w:szCs w:val="24"/>
          <w:highlight w:val="none"/>
          <w:lang w:val="en-US" w:eastAsia="zh-CN"/>
        </w:rPr>
        <w:t>特殊情况除外，如：</w:t>
      </w:r>
      <w:r>
        <w:rPr>
          <w:rFonts w:hint="eastAsia" w:ascii="仿宋" w:eastAsia="仿宋"/>
          <w:b w:val="0"/>
          <w:color w:val="auto"/>
          <w:kern w:val="2"/>
          <w:sz w:val="24"/>
          <w:szCs w:val="24"/>
          <w:highlight w:val="none"/>
          <w:lang w:val="en-US"/>
        </w:rPr>
        <w:t>若国家或地区对中标物品的价格下调低于合同价格,合同价格在调价文件生效之日起随即下调至文件规定的价格,直到合同期满为止。如国家或地区发布统一执行采购目录的通知,则本合同自动终止。</w:t>
      </w:r>
    </w:p>
    <w:p w14:paraId="0B8ECADB">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46" w:name="_Toc500492696"/>
      <w:bookmarkStart w:id="147" w:name="_Toc183682361"/>
      <w:bookmarkStart w:id="148" w:name="_Toc496605600"/>
      <w:bookmarkStart w:id="149" w:name="_Toc494198893"/>
      <w:bookmarkStart w:id="150" w:name="_Toc217446051"/>
      <w:bookmarkStart w:id="151" w:name="_Toc183582224"/>
      <w:r>
        <w:rPr>
          <w:rFonts w:ascii="仿宋" w:eastAsia="仿宋"/>
          <w:bCs/>
          <w:color w:val="auto"/>
          <w:kern w:val="2"/>
          <w:sz w:val="24"/>
          <w:szCs w:val="24"/>
          <w:lang w:val="en-US"/>
        </w:rPr>
        <w:t>投标有效期</w:t>
      </w:r>
      <w:bookmarkEnd w:id="146"/>
      <w:bookmarkEnd w:id="147"/>
      <w:bookmarkEnd w:id="148"/>
      <w:bookmarkEnd w:id="149"/>
      <w:bookmarkEnd w:id="150"/>
      <w:bookmarkEnd w:id="151"/>
      <w:r>
        <w:rPr>
          <w:rFonts w:hint="eastAsia" w:ascii="仿宋" w:eastAsia="仿宋"/>
          <w:bCs/>
          <w:color w:val="auto"/>
          <w:kern w:val="2"/>
          <w:sz w:val="24"/>
          <w:szCs w:val="24"/>
          <w:lang w:val="en-US" w:eastAsia="zh-CN"/>
        </w:rPr>
        <w:t>（实质性要求）</w:t>
      </w:r>
    </w:p>
    <w:p w14:paraId="7C3636C9">
      <w:pPr>
        <w:pageBreakBefore w:val="0"/>
        <w:widowControl w:val="0"/>
        <w:numPr>
          <w:ilvl w:val="1"/>
          <w:numId w:val="38"/>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投标有效期从提交投标文件的截止之日起90天。投标文件中必须载明投标有效期，投标文件中载明的投标有效期可以长于招标文件规定的期限，但不得短于招标文件规定期限，否则，其投标文件将按无效投标文件处理。</w:t>
      </w:r>
    </w:p>
    <w:p w14:paraId="2FE1F1AE">
      <w:pPr>
        <w:pageBreakBefore w:val="0"/>
        <w:widowControl w:val="0"/>
        <w:numPr>
          <w:ilvl w:val="1"/>
          <w:numId w:val="38"/>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投标人不能修改其投标文件。</w:t>
      </w:r>
    </w:p>
    <w:p w14:paraId="3DDFB538">
      <w:pPr>
        <w:pageBreakBefore w:val="0"/>
        <w:widowControl w:val="0"/>
        <w:numPr>
          <w:ilvl w:val="1"/>
          <w:numId w:val="38"/>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因采购人采购需求作出必要调整，采购人可于投标有效期届满之前与投标人协商延长投标有效期。投标人拒绝延长投标有效期的，不得再参与该项目后续采购活动，但由此给投标人造成的损失，采购人应当予以适当赔偿或者合理补偿。投标人同意延长投标有效期的，投标人不能修改其投标文件。</w:t>
      </w:r>
    </w:p>
    <w:p w14:paraId="6C10E64A">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 w:val="0"/>
          <w:strike w:val="0"/>
          <w:dstrike w:val="0"/>
          <w:color w:val="auto"/>
          <w:kern w:val="2"/>
          <w:sz w:val="24"/>
          <w:szCs w:val="24"/>
          <w:highlight w:val="none"/>
          <w:lang w:val="en-US"/>
        </w:rPr>
      </w:pPr>
      <w:r>
        <w:rPr>
          <w:rFonts w:hint="eastAsia" w:ascii="仿宋" w:eastAsia="仿宋"/>
          <w:bCs/>
          <w:strike w:val="0"/>
          <w:dstrike w:val="0"/>
          <w:color w:val="auto"/>
          <w:kern w:val="2"/>
          <w:sz w:val="24"/>
          <w:szCs w:val="24"/>
          <w:highlight w:val="none"/>
          <w:lang w:val="en-US"/>
        </w:rPr>
        <w:t>投</w:t>
      </w:r>
      <w:r>
        <w:rPr>
          <w:rFonts w:hint="eastAsia" w:ascii="仿宋" w:eastAsia="仿宋"/>
          <w:bCs/>
          <w:color w:val="auto"/>
          <w:kern w:val="2"/>
          <w:sz w:val="24"/>
          <w:szCs w:val="24"/>
          <w:highlight w:val="none"/>
          <w:lang w:val="en-US"/>
        </w:rPr>
        <w:t>标文件的制作和签章、加密</w:t>
      </w:r>
    </w:p>
    <w:p w14:paraId="1ACF2529">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b w:val="0"/>
          <w:color w:val="auto"/>
          <w:kern w:val="2"/>
          <w:sz w:val="24"/>
          <w:szCs w:val="24"/>
          <w:lang w:val="en-US" w:eastAsia="zh-CN"/>
        </w:rPr>
        <w:t>1.</w:t>
      </w:r>
      <w:r>
        <w:rPr>
          <w:rFonts w:hint="eastAsia" w:ascii="仿宋" w:eastAsia="仿宋"/>
          <w:b w:val="0"/>
          <w:color w:val="auto"/>
          <w:kern w:val="2"/>
          <w:sz w:val="24"/>
          <w:szCs w:val="24"/>
          <w:lang w:val="en-US"/>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ascii="仿宋" w:eastAsia="仿宋"/>
          <w:bCs/>
          <w:color w:val="auto"/>
          <w:kern w:val="2"/>
          <w:sz w:val="24"/>
          <w:szCs w:val="24"/>
          <w:lang w:val="en-US"/>
        </w:rPr>
        <w:t>（实质性要求）</w:t>
      </w:r>
    </w:p>
    <w:p w14:paraId="0D1EF220">
      <w:pPr>
        <w:pageBreakBefore w:val="0"/>
        <w:widowControl w:val="0"/>
        <w:tabs>
          <w:tab w:val="left" w:pos="0"/>
        </w:tabs>
        <w:kinsoku/>
        <w:wordWrap/>
        <w:overflowPunct/>
        <w:topLinePunct w:val="0"/>
        <w:bidi w:val="0"/>
        <w:spacing w:beforeAutospacing="0" w:afterAutospacing="0" w:line="360" w:lineRule="auto"/>
        <w:ind w:left="0" w:right="0" w:firstLine="482" w:firstLineChars="200"/>
        <w:rPr>
          <w:rFonts w:ascii="仿宋" w:eastAsia="仿宋"/>
          <w:b w:val="0"/>
          <w:color w:val="auto"/>
          <w:kern w:val="2"/>
          <w:sz w:val="24"/>
          <w:szCs w:val="24"/>
          <w:lang w:val="en-US"/>
        </w:rPr>
      </w:pPr>
      <w:r>
        <w:rPr>
          <w:rFonts w:hint="eastAsia" w:ascii="仿宋" w:eastAsia="仿宋"/>
          <w:bCs/>
          <w:color w:val="auto"/>
          <w:kern w:val="2"/>
          <w:sz w:val="24"/>
          <w:szCs w:val="24"/>
          <w:lang w:val="en-US" w:eastAsia="zh-CN"/>
        </w:rPr>
        <w:t>2.</w:t>
      </w:r>
      <w:r>
        <w:rPr>
          <w:rFonts w:hint="eastAsia" w:ascii="仿宋" w:eastAsia="仿宋"/>
          <w:bCs/>
          <w:color w:val="auto"/>
          <w:kern w:val="2"/>
          <w:sz w:val="24"/>
          <w:szCs w:val="24"/>
          <w:lang w:val="en-US"/>
        </w:rPr>
        <w:t>投标文件应</w:t>
      </w:r>
      <w:r>
        <w:rPr>
          <w:rFonts w:hint="eastAsia" w:ascii="仿宋" w:eastAsia="仿宋"/>
          <w:bCs/>
          <w:color w:val="auto"/>
          <w:kern w:val="2"/>
          <w:sz w:val="24"/>
          <w:szCs w:val="24"/>
          <w:lang w:val="en-US" w:eastAsia="zh-CN"/>
        </w:rPr>
        <w:t>按招标文件要求</w:t>
      </w:r>
      <w:r>
        <w:rPr>
          <w:rFonts w:hint="eastAsia" w:ascii="仿宋" w:eastAsia="仿宋"/>
          <w:bCs/>
          <w:color w:val="auto"/>
          <w:kern w:val="2"/>
          <w:sz w:val="24"/>
          <w:szCs w:val="24"/>
          <w:lang w:val="en-US"/>
        </w:rPr>
        <w:t>加盖投标人（法定名称）电子签章</w:t>
      </w:r>
      <w:r>
        <w:rPr>
          <w:rFonts w:hint="eastAsia" w:ascii="仿宋" w:eastAsia="仿宋"/>
          <w:b w:val="0"/>
          <w:color w:val="auto"/>
          <w:kern w:val="2"/>
          <w:sz w:val="24"/>
          <w:szCs w:val="24"/>
          <w:lang w:val="en-US"/>
        </w:rPr>
        <w:t>，不得使用投标人专用章（如经济合同章、投标专用章等）或下属单位印章代替。</w:t>
      </w:r>
      <w:r>
        <w:rPr>
          <w:rFonts w:hint="eastAsia" w:ascii="仿宋" w:eastAsia="仿宋"/>
          <w:bCs/>
          <w:color w:val="auto"/>
          <w:kern w:val="2"/>
          <w:sz w:val="24"/>
          <w:szCs w:val="24"/>
          <w:lang w:val="en-US"/>
        </w:rPr>
        <w:t>（实质性要求）</w:t>
      </w:r>
    </w:p>
    <w:p w14:paraId="6E3284CB">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b w:val="0"/>
          <w:color w:val="auto"/>
          <w:kern w:val="2"/>
          <w:sz w:val="24"/>
          <w:szCs w:val="24"/>
          <w:lang w:val="en-US" w:eastAsia="zh-CN"/>
        </w:rPr>
        <w:t>3.</w:t>
      </w:r>
      <w:r>
        <w:rPr>
          <w:rFonts w:hint="eastAsia" w:ascii="仿宋" w:eastAsia="仿宋"/>
          <w:b w:val="0"/>
          <w:color w:val="auto"/>
          <w:kern w:val="2"/>
          <w:sz w:val="24"/>
          <w:szCs w:val="24"/>
          <w:lang w:val="en-US"/>
        </w:rPr>
        <w:t>投标人应使用本企业CA数字证书对投标文件进行加密。</w:t>
      </w:r>
      <w:r>
        <w:rPr>
          <w:rFonts w:hint="eastAsia" w:ascii="仿宋" w:eastAsia="仿宋"/>
          <w:bCs/>
          <w:color w:val="auto"/>
          <w:kern w:val="2"/>
          <w:sz w:val="24"/>
          <w:szCs w:val="24"/>
          <w:lang w:val="en-US"/>
        </w:rPr>
        <w:t>（实质性要求）</w:t>
      </w:r>
    </w:p>
    <w:p w14:paraId="69F379A0">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hint="eastAsia" w:ascii="仿宋" w:eastAsia="仿宋" w:cs="Times New Roman"/>
          <w:b w:val="0"/>
          <w:color w:val="auto"/>
          <w:kern w:val="2"/>
          <w:sz w:val="24"/>
          <w:szCs w:val="24"/>
          <w:lang w:val="en-US"/>
        </w:rPr>
      </w:pPr>
      <w:r>
        <w:rPr>
          <w:rFonts w:hint="eastAsia" w:ascii="仿宋" w:eastAsia="仿宋" w:cs="Times New Roman"/>
          <w:b w:val="0"/>
          <w:color w:val="auto"/>
          <w:kern w:val="2"/>
          <w:sz w:val="24"/>
          <w:szCs w:val="24"/>
          <w:lang w:val="en-US" w:eastAsia="zh-CN"/>
        </w:rPr>
        <w:t>4.</w:t>
      </w:r>
      <w:r>
        <w:rPr>
          <w:rFonts w:hint="eastAsia" w:ascii="仿宋" w:eastAsia="仿宋" w:cs="Times New Roman"/>
          <w:b w:val="0"/>
          <w:color w:val="auto"/>
          <w:kern w:val="2"/>
          <w:sz w:val="24"/>
          <w:szCs w:val="24"/>
          <w:lang w:val="en-US"/>
        </w:rPr>
        <w:t>招标文件若有修改，投标人根据修改后的招标文件制作或修改并递交投标文件。</w:t>
      </w:r>
    </w:p>
    <w:p w14:paraId="4E506C08">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cs="Times New Roman"/>
          <w:b w:val="0"/>
          <w:color w:val="auto"/>
          <w:kern w:val="2"/>
          <w:sz w:val="24"/>
          <w:szCs w:val="24"/>
          <w:lang w:val="en-US" w:eastAsia="zh-CN"/>
        </w:rPr>
        <w:t>5.</w:t>
      </w:r>
      <w:r>
        <w:rPr>
          <w:rFonts w:hint="eastAsia" w:ascii="仿宋" w:eastAsia="仿宋" w:cs="Times New Roman"/>
          <w:b w:val="0"/>
          <w:color w:val="auto"/>
          <w:kern w:val="2"/>
          <w:sz w:val="24"/>
          <w:szCs w:val="24"/>
          <w:lang w:val="en-US"/>
        </w:rPr>
        <w:t>使用“政府采购云平台”需要提前申领CA数字证书及电子签章，请自行前往新疆CA等统一认证服务点办理，只需办理其中一家CA数字证书及签章（提示：办理时请说明参与</w:t>
      </w:r>
      <w:r>
        <w:rPr>
          <w:rFonts w:hint="eastAsia" w:ascii="仿宋" w:eastAsia="仿宋" w:cs="Times New Roman"/>
          <w:b w:val="0"/>
          <w:color w:val="auto"/>
          <w:kern w:val="2"/>
          <w:sz w:val="24"/>
          <w:szCs w:val="24"/>
          <w:lang w:val="en-US" w:eastAsia="zh-CN"/>
        </w:rPr>
        <w:t>新疆</w:t>
      </w:r>
      <w:r>
        <w:rPr>
          <w:rFonts w:hint="eastAsia" w:ascii="仿宋" w:eastAsia="仿宋" w:cs="Times New Roman"/>
          <w:b w:val="0"/>
          <w:color w:val="auto"/>
          <w:kern w:val="2"/>
          <w:sz w:val="24"/>
          <w:szCs w:val="24"/>
          <w:lang w:val="en-US"/>
        </w:rPr>
        <w:t>政府采购项目）。投标人应及时完成在“政府采购云平台”的注册及CA账号绑定，确保顺利参与电子投标。</w:t>
      </w:r>
      <w:r>
        <w:rPr>
          <w:rFonts w:hint="eastAsia" w:ascii="仿宋" w:eastAsia="仿宋"/>
          <w:bCs/>
          <w:color w:val="auto"/>
          <w:kern w:val="2"/>
          <w:sz w:val="24"/>
          <w:szCs w:val="24"/>
          <w:lang w:val="en-US"/>
        </w:rPr>
        <w:t>（实质性要求）</w:t>
      </w:r>
      <w:r>
        <w:rPr>
          <w:rFonts w:hint="eastAsia" w:ascii="仿宋" w:eastAsia="仿宋"/>
          <w:b w:val="0"/>
          <w:color w:val="auto"/>
          <w:kern w:val="2"/>
          <w:sz w:val="24"/>
          <w:szCs w:val="24"/>
          <w:lang w:val="en-US" w:eastAsia="zh-CN"/>
        </w:rPr>
        <w:t>。</w:t>
      </w:r>
    </w:p>
    <w:p w14:paraId="4D368557">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52" w:name="_Toc494198896"/>
      <w:bookmarkStart w:id="153" w:name="_Toc263753551"/>
      <w:bookmarkStart w:id="154" w:name="_Toc496605603"/>
      <w:bookmarkStart w:id="155" w:name="_Toc295978771"/>
      <w:bookmarkStart w:id="156" w:name="_Toc500492699"/>
      <w:bookmarkStart w:id="157" w:name="_Toc263768812"/>
      <w:r>
        <w:rPr>
          <w:rFonts w:ascii="仿宋" w:eastAsia="仿宋"/>
          <w:bCs/>
          <w:color w:val="auto"/>
          <w:kern w:val="2"/>
          <w:sz w:val="24"/>
          <w:szCs w:val="24"/>
          <w:lang w:val="en-US"/>
        </w:rPr>
        <w:t>投标文件的递交</w:t>
      </w:r>
      <w:bookmarkEnd w:id="152"/>
      <w:bookmarkEnd w:id="153"/>
      <w:bookmarkEnd w:id="154"/>
      <w:bookmarkEnd w:id="155"/>
      <w:bookmarkEnd w:id="156"/>
      <w:bookmarkEnd w:id="157"/>
    </w:p>
    <w:p w14:paraId="2A41B262">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hint="eastAsia" w:ascii="仿宋" w:eastAsia="仿宋"/>
          <w:b w:val="0"/>
          <w:color w:val="auto"/>
          <w:kern w:val="2"/>
          <w:sz w:val="24"/>
          <w:szCs w:val="24"/>
          <w:lang w:val="en-US"/>
        </w:rPr>
      </w:pPr>
      <w:r>
        <w:rPr>
          <w:rFonts w:hint="eastAsia" w:ascii="仿宋" w:eastAsia="仿宋"/>
          <w:b w:val="0"/>
          <w:color w:val="auto"/>
          <w:kern w:val="2"/>
          <w:sz w:val="24"/>
          <w:szCs w:val="24"/>
          <w:lang w:val="en-US"/>
        </w:rPr>
        <w:t>1.本项目采用远程不见面电子标的方式开标，投标人须在响应文件递交截止时间前通过新疆政府采购网（www.ccgp-xinjiang.gov.cn）的”政采云登录入口”登录后，将加密电子响应文件（为.jmbs后缀格式）上传到对应项目的指定位置。</w:t>
      </w:r>
    </w:p>
    <w:p w14:paraId="1F3D73E9">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eastAsia="zh-CN"/>
        </w:rPr>
      </w:pPr>
      <w:r>
        <w:rPr>
          <w:rFonts w:hint="eastAsia" w:ascii="仿宋" w:eastAsia="仿宋"/>
          <w:b w:val="0"/>
          <w:color w:val="auto"/>
          <w:kern w:val="2"/>
          <w:sz w:val="24"/>
          <w:szCs w:val="24"/>
          <w:lang w:val="en-US"/>
        </w:rPr>
        <w:t>2.纸质版投标文件要求：项目开</w:t>
      </w:r>
      <w:r>
        <w:rPr>
          <w:rFonts w:hint="eastAsia" w:ascii="仿宋" w:eastAsia="仿宋"/>
          <w:b w:val="0"/>
          <w:color w:val="auto"/>
          <w:kern w:val="2"/>
          <w:sz w:val="24"/>
          <w:szCs w:val="24"/>
          <w:lang w:val="en-US" w:eastAsia="zh-CN"/>
        </w:rPr>
        <w:t>评</w:t>
      </w:r>
      <w:r>
        <w:rPr>
          <w:rFonts w:hint="eastAsia" w:ascii="仿宋" w:eastAsia="仿宋"/>
          <w:b w:val="0"/>
          <w:color w:val="auto"/>
          <w:kern w:val="2"/>
          <w:sz w:val="24"/>
          <w:szCs w:val="24"/>
          <w:lang w:val="en-US"/>
        </w:rPr>
        <w:t>标结束后，</w:t>
      </w:r>
      <w:r>
        <w:rPr>
          <w:rFonts w:hint="eastAsia" w:ascii="仿宋" w:eastAsia="仿宋"/>
          <w:b w:val="0"/>
          <w:color w:val="auto"/>
          <w:kern w:val="2"/>
          <w:sz w:val="24"/>
          <w:szCs w:val="24"/>
          <w:lang w:val="en-US" w:eastAsia="zh-CN"/>
        </w:rPr>
        <w:t>成交供应商</w:t>
      </w:r>
      <w:r>
        <w:rPr>
          <w:rFonts w:hint="eastAsia" w:ascii="仿宋" w:eastAsia="仿宋"/>
          <w:b w:val="0"/>
          <w:color w:val="auto"/>
          <w:kern w:val="2"/>
          <w:sz w:val="24"/>
          <w:szCs w:val="24"/>
          <w:lang w:val="en-US"/>
        </w:rPr>
        <w:t>需提供</w:t>
      </w:r>
      <w:r>
        <w:rPr>
          <w:rFonts w:hint="eastAsia" w:ascii="仿宋" w:eastAsia="仿宋"/>
          <w:b w:val="0"/>
          <w:color w:val="auto"/>
          <w:kern w:val="2"/>
          <w:sz w:val="24"/>
          <w:szCs w:val="24"/>
          <w:lang w:val="en-US" w:eastAsia="zh-CN"/>
        </w:rPr>
        <w:t>3</w:t>
      </w:r>
      <w:r>
        <w:rPr>
          <w:rFonts w:hint="eastAsia" w:ascii="仿宋" w:eastAsia="仿宋"/>
          <w:b w:val="0"/>
          <w:color w:val="auto"/>
          <w:kern w:val="2"/>
          <w:sz w:val="24"/>
          <w:szCs w:val="24"/>
          <w:lang w:val="en-US"/>
        </w:rPr>
        <w:t>份纸质投标文件（与网上上传标书一致）至招标代理机构（可邮寄），采用胶装方式装订成册，不得散装或者合页装订；地址：新疆昌吉市建国西路199号和谐国际广场K座1</w:t>
      </w:r>
      <w:r>
        <w:rPr>
          <w:rFonts w:hint="eastAsia" w:ascii="仿宋" w:eastAsia="仿宋"/>
          <w:b w:val="0"/>
          <w:color w:val="auto"/>
          <w:kern w:val="2"/>
          <w:sz w:val="24"/>
          <w:szCs w:val="24"/>
          <w:lang w:val="en-US" w:eastAsia="zh-CN"/>
        </w:rPr>
        <w:t>915</w:t>
      </w:r>
      <w:r>
        <w:rPr>
          <w:rFonts w:hint="eastAsia" w:ascii="仿宋" w:eastAsia="仿宋"/>
          <w:b w:val="0"/>
          <w:color w:val="auto"/>
          <w:kern w:val="2"/>
          <w:sz w:val="24"/>
          <w:szCs w:val="24"/>
          <w:lang w:val="en-US"/>
        </w:rPr>
        <w:t>室;收件人：</w:t>
      </w:r>
      <w:r>
        <w:rPr>
          <w:rFonts w:hint="eastAsia" w:ascii="仿宋" w:eastAsia="仿宋"/>
          <w:b w:val="0"/>
          <w:color w:val="auto"/>
          <w:kern w:val="2"/>
          <w:sz w:val="24"/>
          <w:szCs w:val="24"/>
          <w:lang w:val="en-US" w:eastAsia="zh-CN"/>
        </w:rPr>
        <w:t>杨静</w:t>
      </w:r>
      <w:r>
        <w:rPr>
          <w:rFonts w:hint="eastAsia" w:ascii="仿宋" w:eastAsia="仿宋"/>
          <w:b w:val="0"/>
          <w:color w:val="auto"/>
          <w:kern w:val="2"/>
          <w:sz w:val="24"/>
          <w:szCs w:val="24"/>
          <w:lang w:val="en-US"/>
        </w:rPr>
        <w:t xml:space="preserve">  联系电话：0994-2237888、</w:t>
      </w:r>
      <w:r>
        <w:rPr>
          <w:rFonts w:hint="eastAsia" w:ascii="仿宋" w:eastAsia="仿宋"/>
          <w:b w:val="0"/>
          <w:color w:val="auto"/>
          <w:kern w:val="2"/>
          <w:sz w:val="24"/>
          <w:szCs w:val="24"/>
          <w:lang w:val="en-US" w:eastAsia="zh-CN"/>
        </w:rPr>
        <w:t>13899819470</w:t>
      </w:r>
    </w:p>
    <w:p w14:paraId="5D558AD0">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hint="eastAsia" w:ascii="仿宋" w:eastAsia="仿宋"/>
          <w:b w:val="0"/>
          <w:color w:val="auto"/>
          <w:kern w:val="2"/>
          <w:sz w:val="24"/>
          <w:szCs w:val="24"/>
          <w:highlight w:val="none"/>
          <w:lang w:val="en-US"/>
        </w:rPr>
      </w:pPr>
      <w:r>
        <w:rPr>
          <w:rFonts w:hint="eastAsia" w:ascii="仿宋" w:eastAsia="仿宋"/>
          <w:b w:val="0"/>
          <w:color w:val="auto"/>
          <w:kern w:val="2"/>
          <w:sz w:val="24"/>
          <w:szCs w:val="24"/>
          <w:lang w:val="en-US"/>
        </w:rPr>
        <w:t>3.首次递交响应文件的</w:t>
      </w:r>
      <w:r>
        <w:rPr>
          <w:rFonts w:hint="eastAsia" w:ascii="仿宋" w:eastAsia="仿宋"/>
          <w:b w:val="0"/>
          <w:color w:val="auto"/>
          <w:kern w:val="2"/>
          <w:sz w:val="24"/>
          <w:szCs w:val="24"/>
          <w:lang w:val="en-US" w:eastAsia="zh-CN"/>
        </w:rPr>
        <w:t>投标人</w:t>
      </w:r>
      <w:r>
        <w:rPr>
          <w:rFonts w:hint="eastAsia" w:ascii="仿宋" w:eastAsia="仿宋"/>
          <w:b w:val="0"/>
          <w:color w:val="auto"/>
          <w:kern w:val="2"/>
          <w:sz w:val="24"/>
          <w:szCs w:val="24"/>
          <w:lang w:val="en-US"/>
        </w:rPr>
        <w:t>不</w:t>
      </w:r>
      <w:r>
        <w:rPr>
          <w:rFonts w:hint="eastAsia" w:ascii="仿宋" w:eastAsia="仿宋"/>
          <w:b w:val="0"/>
          <w:color w:val="auto"/>
          <w:kern w:val="2"/>
          <w:sz w:val="24"/>
          <w:szCs w:val="24"/>
          <w:highlight w:val="none"/>
          <w:lang w:val="en-US"/>
        </w:rPr>
        <w:t>足 3 家的，本次采购活动终止。</w:t>
      </w:r>
    </w:p>
    <w:p w14:paraId="7476154B">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4.</w:t>
      </w:r>
      <w:r>
        <w:rPr>
          <w:rFonts w:hint="eastAsia" w:ascii="仿宋" w:eastAsia="仿宋"/>
          <w:b w:val="0"/>
          <w:color w:val="auto"/>
          <w:kern w:val="2"/>
          <w:sz w:val="24"/>
          <w:szCs w:val="24"/>
          <w:highlight w:val="none"/>
          <w:lang w:val="en-US"/>
        </w:rPr>
        <w:t>因招标文件的修改推迟投标截止日期的，投标人按</w:t>
      </w:r>
      <w:r>
        <w:rPr>
          <w:rFonts w:hint="eastAsia" w:ascii="仿宋" w:eastAsia="仿宋"/>
          <w:b w:val="0"/>
          <w:color w:val="auto"/>
          <w:kern w:val="2"/>
          <w:sz w:val="24"/>
          <w:szCs w:val="24"/>
          <w:highlight w:val="none"/>
          <w:lang w:val="en-US" w:eastAsia="zh-CN"/>
        </w:rPr>
        <w:t>新疆驰珑信诚招标代理有限公司</w:t>
      </w:r>
      <w:r>
        <w:rPr>
          <w:rFonts w:hint="eastAsia" w:ascii="仿宋" w:eastAsia="仿宋"/>
          <w:b w:val="0"/>
          <w:color w:val="auto"/>
          <w:kern w:val="2"/>
          <w:sz w:val="24"/>
          <w:szCs w:val="24"/>
          <w:highlight w:val="none"/>
          <w:lang w:val="en-US"/>
        </w:rPr>
        <w:t>在“</w:t>
      </w:r>
      <w:r>
        <w:rPr>
          <w:rFonts w:hint="eastAsia" w:ascii="仿宋" w:eastAsia="仿宋"/>
          <w:b w:val="0"/>
          <w:color w:val="auto"/>
          <w:kern w:val="2"/>
          <w:sz w:val="24"/>
          <w:szCs w:val="24"/>
          <w:highlight w:val="none"/>
          <w:lang w:val="en-US" w:eastAsia="zh-CN"/>
        </w:rPr>
        <w:t>新疆</w:t>
      </w:r>
      <w:r>
        <w:rPr>
          <w:rFonts w:hint="eastAsia" w:ascii="仿宋" w:eastAsia="仿宋"/>
          <w:b w:val="0"/>
          <w:color w:val="auto"/>
          <w:kern w:val="2"/>
          <w:sz w:val="24"/>
          <w:szCs w:val="24"/>
          <w:highlight w:val="none"/>
          <w:lang w:val="en-US"/>
        </w:rPr>
        <w:t>政府采购网”网站上发布的澄清公告中修改的时间递交投标文件。</w:t>
      </w:r>
    </w:p>
    <w:p w14:paraId="388B8A81">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eastAsia="zh-CN"/>
        </w:rPr>
        <w:t>5.</w:t>
      </w:r>
      <w:r>
        <w:rPr>
          <w:rFonts w:hint="eastAsia" w:ascii="仿宋" w:eastAsia="仿宋"/>
          <w:b w:val="0"/>
          <w:color w:val="auto"/>
          <w:kern w:val="2"/>
          <w:sz w:val="24"/>
          <w:szCs w:val="24"/>
          <w:highlight w:val="none"/>
          <w:lang w:val="en-US"/>
        </w:rPr>
        <w:t>投标人应充分考虑递交文件的不可预见因素，在投标截止时间后将无法递交</w:t>
      </w:r>
      <w:r>
        <w:rPr>
          <w:rFonts w:hint="eastAsia" w:ascii="仿宋" w:eastAsia="仿宋"/>
          <w:b w:val="0"/>
          <w:color w:val="auto"/>
          <w:kern w:val="2"/>
          <w:sz w:val="24"/>
          <w:szCs w:val="24"/>
          <w:highlight w:val="none"/>
          <w:lang w:val="en-US" w:eastAsia="zh-CN"/>
        </w:rPr>
        <w:t>。</w:t>
      </w:r>
    </w:p>
    <w:p w14:paraId="3780003B">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highlight w:val="none"/>
          <w:lang w:val="en-US"/>
        </w:rPr>
      </w:pPr>
      <w:bookmarkStart w:id="158" w:name="_Toc89075878"/>
      <w:bookmarkStart w:id="159" w:name="_Toc351016480"/>
      <w:bookmarkStart w:id="160" w:name="_Toc183582231"/>
      <w:bookmarkStart w:id="161" w:name="_Toc183682368"/>
      <w:bookmarkStart w:id="162" w:name="_Toc77400782"/>
      <w:bookmarkStart w:id="163" w:name="_Toc217446056"/>
      <w:r>
        <w:rPr>
          <w:rFonts w:ascii="仿宋" w:eastAsia="仿宋"/>
          <w:bCs/>
          <w:color w:val="auto"/>
          <w:kern w:val="2"/>
          <w:sz w:val="24"/>
          <w:szCs w:val="24"/>
          <w:highlight w:val="none"/>
          <w:lang w:val="en-US"/>
        </w:rPr>
        <w:t>投标文件的修改和撤回</w:t>
      </w:r>
    </w:p>
    <w:p w14:paraId="07531DC4">
      <w:pPr>
        <w:pageBreakBefore w:val="0"/>
        <w:widowControl w:val="0"/>
        <w:numPr>
          <w:ilvl w:val="1"/>
          <w:numId w:val="39"/>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r>
        <w:rPr>
          <w:rFonts w:hint="eastAsia" w:ascii="仿宋" w:eastAsia="仿宋"/>
          <w:b w:val="0"/>
          <w:color w:val="auto"/>
          <w:kern w:val="2"/>
          <w:sz w:val="24"/>
          <w:szCs w:val="24"/>
          <w:highlight w:val="none"/>
          <w:lang w:val="en-US" w:eastAsia="zh-CN"/>
        </w:rPr>
        <w:t>。</w:t>
      </w:r>
    </w:p>
    <w:p w14:paraId="154978AA">
      <w:pPr>
        <w:pageBreakBefore w:val="0"/>
        <w:widowControl w:val="0"/>
        <w:numPr>
          <w:ilvl w:val="1"/>
          <w:numId w:val="39"/>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投标截止时间后，投标人不得对其递交的投标文件做任何补充、修改。</w:t>
      </w:r>
    </w:p>
    <w:p w14:paraId="1E450A5D">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投标文件的</w:t>
      </w:r>
      <w:r>
        <w:rPr>
          <w:rFonts w:hint="eastAsia" w:ascii="仿宋" w:eastAsia="仿宋"/>
          <w:bCs/>
          <w:color w:val="auto"/>
          <w:kern w:val="2"/>
          <w:sz w:val="24"/>
          <w:szCs w:val="24"/>
          <w:highlight w:val="none"/>
          <w:lang w:val="en-US"/>
        </w:rPr>
        <w:t>解密</w:t>
      </w:r>
    </w:p>
    <w:p w14:paraId="5355894A">
      <w:pPr>
        <w:pageBreakBefore w:val="0"/>
        <w:widowControl w:val="0"/>
        <w:tabs>
          <w:tab w:val="left" w:pos="0"/>
        </w:tabs>
        <w:kinsoku/>
        <w:wordWrap/>
        <w:overflowPunct/>
        <w:topLinePunct w:val="0"/>
        <w:bidi w:val="0"/>
        <w:spacing w:beforeAutospacing="0" w:afterAutospacing="0" w:line="360" w:lineRule="auto"/>
        <w:ind w:left="0" w:right="0" w:firstLine="480" w:firstLineChars="200"/>
        <w:rPr>
          <w:rFonts w:ascii="仿宋" w:eastAsia="仿宋"/>
          <w:b w:val="0"/>
          <w:bCs/>
          <w:color w:val="auto"/>
          <w:kern w:val="2"/>
          <w:sz w:val="24"/>
          <w:szCs w:val="24"/>
          <w:highlight w:val="none"/>
          <w:lang w:val="en-US"/>
        </w:rPr>
      </w:pPr>
      <w:r>
        <w:rPr>
          <w:rFonts w:hint="eastAsia" w:ascii="仿宋" w:eastAsia="仿宋"/>
          <w:b w:val="0"/>
          <w:bCs/>
          <w:color w:val="auto"/>
          <w:kern w:val="2"/>
          <w:sz w:val="24"/>
          <w:szCs w:val="24"/>
          <w:highlight w:val="none"/>
          <w:lang w:val="en-US"/>
        </w:rPr>
        <w:t>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14:paraId="6FB18319">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r>
        <w:rPr>
          <w:rFonts w:ascii="仿宋" w:eastAsia="仿宋"/>
          <w:bCs/>
          <w:color w:val="auto"/>
          <w:kern w:val="2"/>
          <w:sz w:val="24"/>
          <w:szCs w:val="24"/>
          <w:lang w:val="en-US"/>
        </w:rPr>
        <w:t xml:space="preserve"> </w:t>
      </w:r>
      <w:bookmarkStart w:id="164" w:name="_Toc18417"/>
      <w:bookmarkStart w:id="165" w:name="_Toc36215951"/>
      <w:bookmarkStart w:id="166" w:name="_Toc36134561"/>
      <w:bookmarkStart w:id="167" w:name="_Toc494198591"/>
      <w:bookmarkStart w:id="168" w:name="_Toc40704275"/>
      <w:r>
        <w:rPr>
          <w:rFonts w:ascii="仿宋" w:eastAsia="仿宋"/>
          <w:bCs/>
          <w:color w:val="auto"/>
          <w:kern w:val="2"/>
          <w:sz w:val="24"/>
          <w:szCs w:val="24"/>
          <w:lang w:val="en-US"/>
        </w:rPr>
        <w:t>开标、评标和中标</w:t>
      </w:r>
      <w:bookmarkEnd w:id="158"/>
      <w:bookmarkEnd w:id="159"/>
      <w:bookmarkEnd w:id="160"/>
      <w:bookmarkEnd w:id="161"/>
      <w:bookmarkEnd w:id="162"/>
      <w:bookmarkEnd w:id="163"/>
      <w:bookmarkEnd w:id="164"/>
      <w:bookmarkEnd w:id="165"/>
      <w:bookmarkEnd w:id="166"/>
      <w:bookmarkEnd w:id="167"/>
      <w:bookmarkEnd w:id="168"/>
    </w:p>
    <w:p w14:paraId="23CE0FB5">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69" w:name="_Toc183682369"/>
      <w:bookmarkStart w:id="170" w:name="_Toc494198899"/>
      <w:bookmarkStart w:id="171" w:name="_Toc500492702"/>
      <w:bookmarkStart w:id="172" w:name="_Toc217446057"/>
      <w:bookmarkStart w:id="173" w:name="_Toc183582232"/>
      <w:bookmarkStart w:id="174" w:name="_Toc496605606"/>
      <w:r>
        <w:rPr>
          <w:rFonts w:ascii="仿宋" w:eastAsia="仿宋"/>
          <w:bCs/>
          <w:color w:val="auto"/>
          <w:kern w:val="2"/>
          <w:sz w:val="24"/>
          <w:szCs w:val="24"/>
          <w:lang w:val="en-US"/>
        </w:rPr>
        <w:t>开标</w:t>
      </w:r>
      <w:bookmarkEnd w:id="169"/>
      <w:bookmarkEnd w:id="170"/>
      <w:bookmarkEnd w:id="171"/>
      <w:bookmarkEnd w:id="172"/>
      <w:bookmarkEnd w:id="173"/>
      <w:bookmarkEnd w:id="174"/>
      <w:r>
        <w:rPr>
          <w:rFonts w:hint="eastAsia" w:ascii="仿宋" w:eastAsia="仿宋"/>
          <w:bCs/>
          <w:color w:val="auto"/>
          <w:kern w:val="2"/>
          <w:sz w:val="24"/>
          <w:szCs w:val="24"/>
          <w:lang w:val="en-US"/>
        </w:rPr>
        <w:t>及开标程序</w:t>
      </w:r>
    </w:p>
    <w:p w14:paraId="5215BEB3">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b w:val="0"/>
          <w:color w:val="auto"/>
          <w:kern w:val="2"/>
          <w:sz w:val="24"/>
          <w:szCs w:val="24"/>
          <w:lang w:val="en-US"/>
        </w:rPr>
        <w:t>本项目为不见面开标项目。（递交电子投标文件的投标人不足3家的，不予开标。）</w:t>
      </w:r>
    </w:p>
    <w:p w14:paraId="598EC1D7">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cs="Times New Roman"/>
          <w:b/>
          <w:bCs/>
          <w:color w:val="auto"/>
          <w:kern w:val="2"/>
          <w:sz w:val="24"/>
          <w:szCs w:val="24"/>
          <w:highlight w:val="none"/>
          <w:lang w:val="en-US" w:eastAsia="zh-CN" w:bidi="ar-SA"/>
        </w:rPr>
      </w:pPr>
      <w:r>
        <w:rPr>
          <w:rFonts w:hint="eastAsia" w:ascii="仿宋" w:eastAsia="仿宋"/>
          <w:b w:val="0"/>
          <w:color w:val="auto"/>
          <w:kern w:val="2"/>
          <w:sz w:val="24"/>
          <w:szCs w:val="24"/>
          <w:lang w:val="en-US"/>
        </w:rPr>
        <w:t>开标准备工作。投标人需在开标当日、投标截止时间前登录“政府采购云平台”，通过本项目“开标大厅”参与不见面开标。登录政府采购云平台—项目采购—开标评标—开标大厅（确保进入本项目开标大厅）。</w:t>
      </w:r>
    </w:p>
    <w:p w14:paraId="08FC15E4">
      <w:pPr>
        <w:pageBreakBefore w:val="0"/>
        <w:widowControl w:val="0"/>
        <w:tabs>
          <w:tab w:val="left" w:pos="0"/>
        </w:tabs>
        <w:kinsoku/>
        <w:wordWrap/>
        <w:overflowPunct/>
        <w:topLinePunct w:val="0"/>
        <w:bidi w:val="0"/>
        <w:spacing w:beforeAutospacing="0" w:afterAutospacing="0" w:line="360" w:lineRule="auto"/>
        <w:ind w:left="0" w:right="0" w:firstLine="482" w:firstLineChars="200"/>
        <w:rPr>
          <w:rFonts w:ascii="仿宋" w:eastAsia="仿宋" w:cs="Times New Roman"/>
          <w:b/>
          <w:bCs/>
          <w:color w:val="auto"/>
          <w:kern w:val="2"/>
          <w:sz w:val="24"/>
          <w:szCs w:val="24"/>
          <w:highlight w:val="none"/>
          <w:lang w:val="en-US" w:eastAsia="zh-CN" w:bidi="ar-SA"/>
        </w:rPr>
      </w:pPr>
      <w:r>
        <w:rPr>
          <w:rFonts w:hint="eastAsia" w:ascii="仿宋" w:eastAsia="仿宋"/>
          <w:bCs/>
          <w:color w:val="auto"/>
          <w:kern w:val="2"/>
          <w:sz w:val="24"/>
          <w:szCs w:val="24"/>
          <w:lang w:val="en-US"/>
        </w:rPr>
        <w:t>提示：投标人未按时登录不见面开标系统，错过开标解密时间的，由投标人自行承担不利后果</w:t>
      </w:r>
      <w:r>
        <w:rPr>
          <w:rFonts w:hint="eastAsia" w:ascii="仿宋" w:eastAsia="仿宋"/>
          <w:bCs/>
          <w:color w:val="auto"/>
          <w:kern w:val="2"/>
          <w:sz w:val="24"/>
          <w:szCs w:val="24"/>
          <w:lang w:val="en-US" w:eastAsia="zh-CN"/>
        </w:rPr>
        <w:t>。</w:t>
      </w:r>
    </w:p>
    <w:p w14:paraId="26196884">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bCs/>
          <w:color w:val="auto"/>
          <w:kern w:val="2"/>
          <w:sz w:val="24"/>
          <w:szCs w:val="24"/>
          <w:lang w:val="en-US"/>
        </w:rPr>
      </w:pPr>
      <w:r>
        <w:rPr>
          <w:rFonts w:hint="eastAsia" w:ascii="仿宋" w:eastAsia="仿宋"/>
          <w:b w:val="0"/>
          <w:color w:val="auto"/>
          <w:kern w:val="2"/>
          <w:sz w:val="24"/>
          <w:szCs w:val="24"/>
          <w:lang w:val="en-US"/>
        </w:rPr>
        <w:t>解密投标文件。等待代理机构开启解密后，投标人进行线上解密。开启解密后，投标人应在</w:t>
      </w:r>
      <w:r>
        <w:rPr>
          <w:rFonts w:hint="eastAsia" w:ascii="仿宋" w:eastAsia="仿宋"/>
          <w:b w:val="0"/>
          <w:color w:val="auto"/>
          <w:kern w:val="2"/>
          <w:sz w:val="24"/>
          <w:szCs w:val="24"/>
          <w:lang w:val="en-US" w:eastAsia="zh-CN"/>
        </w:rPr>
        <w:t>3</w:t>
      </w:r>
      <w:r>
        <w:rPr>
          <w:rFonts w:hint="eastAsia" w:ascii="仿宋" w:eastAsia="仿宋"/>
          <w:b w:val="0"/>
          <w:color w:val="auto"/>
          <w:kern w:val="2"/>
          <w:sz w:val="24"/>
          <w:szCs w:val="24"/>
          <w:lang w:val="en-US"/>
        </w:rPr>
        <w:t>0分钟内，使用加密该投标文件的CA数字证书在线完成投标文件的解密。除因断电、断网、系统故障或其他不可抗力等因素，导致系统无法使用外，投标人在规定的解密时间内，未成功解密的投标文件将视为无效投标文件</w:t>
      </w:r>
      <w:r>
        <w:rPr>
          <w:rFonts w:hint="eastAsia" w:ascii="仿宋" w:eastAsia="仿宋"/>
          <w:b w:val="0"/>
          <w:color w:val="auto"/>
          <w:kern w:val="2"/>
          <w:sz w:val="24"/>
          <w:szCs w:val="24"/>
          <w:lang w:val="en-US" w:eastAsia="zh-CN"/>
        </w:rPr>
        <w:t>。</w:t>
      </w:r>
    </w:p>
    <w:p w14:paraId="2440BEBF">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bCs/>
          <w:color w:val="auto"/>
          <w:kern w:val="2"/>
          <w:sz w:val="24"/>
          <w:szCs w:val="24"/>
          <w:lang w:val="en-US"/>
        </w:rPr>
      </w:pPr>
      <w:r>
        <w:rPr>
          <w:rFonts w:hint="eastAsia" w:ascii="仿宋" w:eastAsia="仿宋"/>
          <w:b w:val="0"/>
          <w:color w:val="auto"/>
          <w:kern w:val="2"/>
          <w:sz w:val="24"/>
          <w:szCs w:val="24"/>
          <w:lang w:val="en-US"/>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r>
        <w:rPr>
          <w:rFonts w:hint="eastAsia" w:ascii="仿宋" w:eastAsia="仿宋"/>
          <w:b w:val="0"/>
          <w:color w:val="auto"/>
          <w:kern w:val="2"/>
          <w:sz w:val="24"/>
          <w:szCs w:val="24"/>
          <w:lang w:val="en-US" w:eastAsia="zh-CN"/>
        </w:rPr>
        <w:t>。</w:t>
      </w:r>
    </w:p>
    <w:p w14:paraId="7B9230E3">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bCs/>
          <w:color w:val="auto"/>
          <w:kern w:val="2"/>
          <w:sz w:val="24"/>
          <w:szCs w:val="24"/>
          <w:lang w:val="en-US"/>
        </w:rPr>
      </w:pPr>
      <w:r>
        <w:rPr>
          <w:rFonts w:hint="eastAsia" w:ascii="仿宋" w:eastAsia="仿宋"/>
          <w:b w:val="0"/>
          <w:color w:val="auto"/>
          <w:kern w:val="2"/>
          <w:sz w:val="24"/>
          <w:szCs w:val="24"/>
          <w:lang w:val="en-US"/>
        </w:rPr>
        <w:t>投标人电脑终端等硬件设备和软件系统配置：投标人电脑终端等硬件设备和软件系统配置应符合电子投标（含不见面开标大厅）投标人电脑终端配置要求并运行正常，投标人承担因未尽职责产生的不利后果</w:t>
      </w:r>
      <w:r>
        <w:rPr>
          <w:rFonts w:hint="eastAsia" w:ascii="仿宋" w:eastAsia="仿宋"/>
          <w:b w:val="0"/>
          <w:color w:val="auto"/>
          <w:kern w:val="2"/>
          <w:sz w:val="24"/>
          <w:szCs w:val="24"/>
          <w:lang w:val="en-US" w:eastAsia="zh-CN"/>
        </w:rPr>
        <w:t>。</w:t>
      </w:r>
    </w:p>
    <w:p w14:paraId="79B47014">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bCs/>
          <w:color w:val="auto"/>
          <w:kern w:val="2"/>
          <w:sz w:val="24"/>
          <w:szCs w:val="24"/>
          <w:lang w:val="en-US"/>
        </w:rPr>
      </w:pPr>
      <w:r>
        <w:rPr>
          <w:rFonts w:hint="eastAsia" w:ascii="仿宋" w:eastAsia="仿宋"/>
          <w:b w:val="0"/>
          <w:color w:val="auto"/>
          <w:kern w:val="2"/>
          <w:sz w:val="24"/>
          <w:szCs w:val="24"/>
          <w:lang w:val="en-US"/>
        </w:rPr>
        <w:t>因断电、断网、系统故障或其他不可抗力等因素导致不见面开标系统无法正常运行的，开标活动中止或延迟，待系统恢复正常后继续进行开标活动</w:t>
      </w:r>
      <w:r>
        <w:rPr>
          <w:rFonts w:hint="eastAsia" w:ascii="仿宋" w:eastAsia="仿宋"/>
          <w:b w:val="0"/>
          <w:color w:val="auto"/>
          <w:kern w:val="2"/>
          <w:sz w:val="24"/>
          <w:szCs w:val="24"/>
          <w:lang w:val="en-US" w:eastAsia="zh-CN"/>
        </w:rPr>
        <w:t>。</w:t>
      </w:r>
    </w:p>
    <w:p w14:paraId="352FF393">
      <w:pPr>
        <w:pageBreakBefore w:val="0"/>
        <w:widowControl w:val="0"/>
        <w:numPr>
          <w:ilvl w:val="1"/>
          <w:numId w:val="40"/>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b w:val="0"/>
          <w:color w:val="auto"/>
          <w:kern w:val="2"/>
          <w:sz w:val="24"/>
          <w:szCs w:val="24"/>
          <w:lang w:val="en-US"/>
        </w:rPr>
        <w:t>不见面开标过程中，各方主体均应遵守互联网有关规定，不得发表与交易活动无关的言论。</w:t>
      </w:r>
    </w:p>
    <w:p w14:paraId="1E0430F8">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highlight w:val="none"/>
          <w:lang w:val="en-US"/>
        </w:rPr>
      </w:pPr>
      <w:bookmarkStart w:id="175" w:name="_Toc496605608"/>
      <w:bookmarkStart w:id="176" w:name="_Toc494198901"/>
      <w:bookmarkStart w:id="177" w:name="_Toc500492704"/>
      <w:r>
        <w:rPr>
          <w:rFonts w:hint="eastAsia" w:ascii="仿宋" w:eastAsia="仿宋"/>
          <w:bCs/>
          <w:color w:val="auto"/>
          <w:kern w:val="2"/>
          <w:sz w:val="24"/>
          <w:szCs w:val="24"/>
          <w:highlight w:val="none"/>
          <w:lang w:val="en-US"/>
        </w:rPr>
        <w:t>开评标过程存档</w:t>
      </w:r>
    </w:p>
    <w:p w14:paraId="5A4D6412">
      <w:pPr>
        <w:keepNext/>
        <w:keepLines/>
        <w:pageBreakBefore w:val="0"/>
        <w:widowControl w:val="0"/>
        <w:tabs>
          <w:tab w:val="left" w:pos="360"/>
        </w:tabs>
        <w:kinsoku/>
        <w:wordWrap/>
        <w:overflowPunct/>
        <w:topLinePunct w:val="0"/>
        <w:bidi w:val="0"/>
        <w:spacing w:beforeAutospacing="0" w:afterAutospacing="0" w:line="360" w:lineRule="auto"/>
        <w:ind w:left="0" w:right="0" w:firstLine="480" w:firstLineChars="200"/>
        <w:outlineLvl w:val="2"/>
        <w:rPr>
          <w:rFonts w:hint="eastAsia" w:ascii="仿宋" w:eastAsia="仿宋"/>
          <w:bCs/>
          <w:color w:val="auto"/>
          <w:kern w:val="2"/>
          <w:sz w:val="24"/>
          <w:szCs w:val="24"/>
          <w:lang w:val="en-US" w:eastAsia="zh-CN"/>
        </w:rPr>
      </w:pPr>
      <w:r>
        <w:rPr>
          <w:rFonts w:hint="eastAsia" w:ascii="仿宋" w:eastAsia="仿宋"/>
          <w:b w:val="0"/>
          <w:color w:val="auto"/>
          <w:kern w:val="2"/>
          <w:sz w:val="24"/>
          <w:szCs w:val="24"/>
          <w:lang w:val="en-US"/>
        </w:rPr>
        <w:t>开标和评标过程进行全过程电子监控，并将电子监控资料存储介质留存归档</w:t>
      </w:r>
      <w:r>
        <w:rPr>
          <w:rFonts w:hint="eastAsia" w:ascii="仿宋" w:eastAsia="仿宋"/>
          <w:b w:val="0"/>
          <w:color w:val="auto"/>
          <w:kern w:val="2"/>
          <w:sz w:val="24"/>
          <w:szCs w:val="24"/>
          <w:lang w:val="en-US" w:eastAsia="zh-CN"/>
        </w:rPr>
        <w:t>。</w:t>
      </w:r>
    </w:p>
    <w:p w14:paraId="4006CE84">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r>
        <w:rPr>
          <w:rFonts w:ascii="仿宋" w:eastAsia="仿宋"/>
          <w:bCs/>
          <w:color w:val="auto"/>
          <w:kern w:val="2"/>
          <w:sz w:val="24"/>
          <w:szCs w:val="24"/>
          <w:lang w:val="en-US"/>
        </w:rPr>
        <w:t>评标</w:t>
      </w:r>
      <w:r>
        <w:rPr>
          <w:rFonts w:hint="eastAsia" w:ascii="仿宋" w:eastAsia="仿宋"/>
          <w:bCs/>
          <w:color w:val="auto"/>
          <w:kern w:val="2"/>
          <w:sz w:val="24"/>
          <w:szCs w:val="24"/>
          <w:lang w:val="en-US"/>
        </w:rPr>
        <w:t>（</w:t>
      </w:r>
      <w:r>
        <w:rPr>
          <w:rFonts w:ascii="仿宋" w:eastAsia="仿宋"/>
          <w:bCs/>
          <w:color w:val="auto"/>
          <w:kern w:val="2"/>
          <w:sz w:val="24"/>
          <w:szCs w:val="24"/>
          <w:lang w:val="en-US"/>
        </w:rPr>
        <w:t>详见招标文件</w:t>
      </w:r>
      <w:r>
        <w:rPr>
          <w:rFonts w:hint="eastAsia" w:ascii="仿宋" w:eastAsia="仿宋"/>
          <w:bCs/>
          <w:color w:val="auto"/>
          <w:kern w:val="2"/>
          <w:sz w:val="24"/>
          <w:szCs w:val="24"/>
          <w:lang w:val="en-US"/>
        </w:rPr>
        <w:t xml:space="preserve"> </w:t>
      </w:r>
      <w:r>
        <w:rPr>
          <w:rFonts w:ascii="仿宋" w:eastAsia="仿宋"/>
          <w:bCs/>
          <w:color w:val="auto"/>
          <w:kern w:val="2"/>
          <w:sz w:val="24"/>
          <w:szCs w:val="24"/>
          <w:lang w:val="en-US"/>
        </w:rPr>
        <w:t>第</w:t>
      </w:r>
      <w:r>
        <w:rPr>
          <w:rFonts w:hint="eastAsia" w:ascii="仿宋" w:eastAsia="仿宋"/>
          <w:bCs/>
          <w:color w:val="auto"/>
          <w:kern w:val="2"/>
          <w:sz w:val="24"/>
          <w:szCs w:val="24"/>
          <w:lang w:val="en-US" w:eastAsia="zh-CN"/>
        </w:rPr>
        <w:t>5</w:t>
      </w:r>
      <w:r>
        <w:rPr>
          <w:rFonts w:ascii="仿宋" w:eastAsia="仿宋"/>
          <w:bCs/>
          <w:color w:val="auto"/>
          <w:kern w:val="2"/>
          <w:sz w:val="24"/>
          <w:szCs w:val="24"/>
          <w:lang w:val="en-US"/>
        </w:rPr>
        <w:t>章</w:t>
      </w:r>
      <w:r>
        <w:rPr>
          <w:rFonts w:hint="eastAsia" w:ascii="仿宋" w:eastAsia="仿宋"/>
          <w:bCs/>
          <w:color w:val="auto"/>
          <w:kern w:val="2"/>
          <w:sz w:val="24"/>
          <w:szCs w:val="24"/>
          <w:lang w:val="en-US"/>
        </w:rPr>
        <w:t>）</w:t>
      </w:r>
      <w:bookmarkEnd w:id="175"/>
      <w:bookmarkEnd w:id="176"/>
      <w:bookmarkEnd w:id="177"/>
    </w:p>
    <w:p w14:paraId="1DF0B8AA">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78" w:name="_Toc496605609"/>
      <w:bookmarkStart w:id="179" w:name="_Toc500492705"/>
      <w:bookmarkStart w:id="180" w:name="_Toc494198902"/>
      <w:r>
        <w:rPr>
          <w:rFonts w:ascii="仿宋" w:eastAsia="仿宋"/>
          <w:bCs/>
          <w:color w:val="auto"/>
          <w:kern w:val="2"/>
          <w:sz w:val="24"/>
          <w:szCs w:val="24"/>
          <w:lang w:val="en-US"/>
        </w:rPr>
        <w:t>关于行贿犯罪档案查询</w:t>
      </w:r>
      <w:bookmarkEnd w:id="178"/>
      <w:bookmarkEnd w:id="179"/>
      <w:bookmarkEnd w:id="180"/>
    </w:p>
    <w:p w14:paraId="2DC432B0">
      <w:pPr>
        <w:pageBreakBefore w:val="0"/>
        <w:widowControl w:val="0"/>
        <w:numPr>
          <w:ilvl w:val="1"/>
          <w:numId w:val="41"/>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b w:val="0"/>
          <w:color w:val="auto"/>
          <w:sz w:val="24"/>
          <w:szCs w:val="24"/>
          <w:lang w:eastAsia="zh-CN"/>
        </w:rPr>
        <w:t>投标人</w:t>
      </w:r>
      <w:r>
        <w:rPr>
          <w:rFonts w:ascii="仿宋" w:eastAsia="仿宋"/>
          <w:b w:val="0"/>
          <w:color w:val="auto"/>
          <w:sz w:val="24"/>
          <w:szCs w:val="24"/>
        </w:rPr>
        <w:t>单位及其现任法定代表人、主要负责人不得具有行贿犯罪记录，否则</w:t>
      </w:r>
      <w:r>
        <w:rPr>
          <w:rFonts w:hint="eastAsia" w:ascii="仿宋" w:eastAsia="仿宋"/>
          <w:b w:val="0"/>
          <w:color w:val="auto"/>
          <w:sz w:val="24"/>
          <w:szCs w:val="24"/>
          <w:lang w:eastAsia="zh-CN"/>
        </w:rPr>
        <w:t>投标人</w:t>
      </w:r>
      <w:r>
        <w:rPr>
          <w:rFonts w:ascii="仿宋" w:eastAsia="仿宋"/>
          <w:b w:val="0"/>
          <w:color w:val="auto"/>
          <w:sz w:val="24"/>
          <w:szCs w:val="24"/>
        </w:rPr>
        <w:t>投标文件应当认定为无效。[</w:t>
      </w:r>
      <w:r>
        <w:rPr>
          <w:rFonts w:hint="eastAsia" w:ascii="仿宋" w:eastAsia="仿宋"/>
          <w:b w:val="0"/>
          <w:color w:val="auto"/>
          <w:sz w:val="24"/>
          <w:szCs w:val="24"/>
          <w:lang w:eastAsia="zh-CN"/>
        </w:rPr>
        <w:t>投标人</w:t>
      </w:r>
      <w:r>
        <w:rPr>
          <w:rFonts w:ascii="仿宋" w:eastAsia="仿宋"/>
          <w:b w:val="0"/>
          <w:color w:val="auto"/>
          <w:sz w:val="24"/>
          <w:szCs w:val="24"/>
        </w:rPr>
        <w:t>承诺单位及其现任法定代表人、主要负责人不存在行贿犯罪记录或者可以通过“中国裁判文书网”自行查询</w:t>
      </w:r>
      <w:r>
        <w:rPr>
          <w:rFonts w:hint="eastAsia" w:ascii="仿宋" w:eastAsia="仿宋"/>
          <w:b w:val="0"/>
          <w:color w:val="auto"/>
          <w:sz w:val="24"/>
          <w:szCs w:val="24"/>
          <w:lang w:eastAsia="zh-CN"/>
        </w:rPr>
        <w:t>投标人</w:t>
      </w:r>
      <w:r>
        <w:rPr>
          <w:rFonts w:ascii="仿宋" w:eastAsia="仿宋"/>
          <w:b w:val="0"/>
          <w:color w:val="auto"/>
          <w:sz w:val="24"/>
          <w:szCs w:val="24"/>
        </w:rPr>
        <w:t>及其现任法定代表人、主要负责人的行贿犯罪记录，提供查询网页截图（现任法定代表人、主要负责人为同一人的需进行情况说明）]。</w:t>
      </w:r>
    </w:p>
    <w:p w14:paraId="645978B8">
      <w:pPr>
        <w:pageBreakBefore w:val="0"/>
        <w:widowControl w:val="0"/>
        <w:numPr>
          <w:ilvl w:val="1"/>
          <w:numId w:val="41"/>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bookmarkStart w:id="181" w:name="_Toc477358989"/>
      <w:bookmarkStart w:id="182" w:name="_Toc482094332"/>
      <w:bookmarkStart w:id="183" w:name="_Toc477425539"/>
      <w:bookmarkStart w:id="184" w:name="_Toc477423531"/>
      <w:r>
        <w:rPr>
          <w:rFonts w:ascii="仿宋" w:eastAsia="仿宋"/>
          <w:b w:val="0"/>
          <w:color w:val="auto"/>
          <w:kern w:val="2"/>
          <w:sz w:val="24"/>
          <w:szCs w:val="24"/>
          <w:lang w:val="en-US"/>
        </w:rPr>
        <w:t>若存在行贿犯罪记录的，中标后未签订政府采购合同的，应当认定中标无效；中标后签订政府采购合同未履行的，应当认定中标无效，同时撤销政府采购合同；中标后签订政府采购合同且已经履行的，应当认定采购活动违法，由相关当事人承担赔偿责任。</w:t>
      </w:r>
      <w:bookmarkEnd w:id="181"/>
      <w:bookmarkEnd w:id="182"/>
      <w:bookmarkEnd w:id="183"/>
      <w:bookmarkEnd w:id="184"/>
    </w:p>
    <w:p w14:paraId="64ECFA00">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185" w:name="_Toc496605610"/>
      <w:bookmarkStart w:id="186" w:name="_Toc494198903"/>
      <w:bookmarkStart w:id="187" w:name="_Toc500492706"/>
      <w:r>
        <w:rPr>
          <w:rFonts w:ascii="仿宋" w:eastAsia="仿宋"/>
          <w:bCs/>
          <w:color w:val="auto"/>
          <w:kern w:val="2"/>
          <w:sz w:val="24"/>
          <w:szCs w:val="24"/>
          <w:lang w:val="en-US"/>
        </w:rPr>
        <w:t>中标结果公告</w:t>
      </w:r>
      <w:bookmarkEnd w:id="185"/>
      <w:bookmarkEnd w:id="186"/>
      <w:bookmarkEnd w:id="187"/>
    </w:p>
    <w:p w14:paraId="71B86D9B">
      <w:pPr>
        <w:pageBreakBefore w:val="0"/>
        <w:widowControl w:val="0"/>
        <w:numPr>
          <w:ilvl w:val="1"/>
          <w:numId w:val="4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采购人或者采购代理机构应当自中标人确定之日起2个工作日内，在</w:t>
      </w:r>
      <w:r>
        <w:rPr>
          <w:rFonts w:hint="eastAsia" w:ascii="仿宋" w:eastAsia="仿宋"/>
          <w:b w:val="0"/>
          <w:color w:val="auto"/>
          <w:kern w:val="2"/>
          <w:sz w:val="24"/>
          <w:szCs w:val="24"/>
          <w:lang w:val="en-US" w:eastAsia="zh-CN"/>
        </w:rPr>
        <w:t>新疆政府采购网</w:t>
      </w:r>
      <w:r>
        <w:rPr>
          <w:rFonts w:ascii="仿宋" w:eastAsia="仿宋"/>
          <w:b w:val="0"/>
          <w:color w:val="auto"/>
          <w:kern w:val="2"/>
          <w:sz w:val="24"/>
          <w:szCs w:val="24"/>
          <w:lang w:val="en-US"/>
        </w:rPr>
        <w:t>上公告中标结果，招标文件应当随中标结果同时公告。</w:t>
      </w:r>
    </w:p>
    <w:p w14:paraId="6D94E4E6">
      <w:pPr>
        <w:pageBreakBefore w:val="0"/>
        <w:widowControl w:val="0"/>
        <w:numPr>
          <w:ilvl w:val="1"/>
          <w:numId w:val="4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中标结果公告内容应当包括采购人及其委托的采购代理机构的名称、地址、联系方式，项目名称和项目编号，中标人名称、地址和中标金额，主要中标标的的名称、数量、单价、服务要求，中标公告期限，评审专家名单等。</w:t>
      </w:r>
    </w:p>
    <w:p w14:paraId="1036013D">
      <w:pPr>
        <w:pageBreakBefore w:val="0"/>
        <w:widowControl w:val="0"/>
        <w:numPr>
          <w:ilvl w:val="1"/>
          <w:numId w:val="4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在公告中标结果的同时，采购人或者采购代理机构应当向中标人发出中标通知书；对未通过资格审查的投标人，应当告知其未通过的原因；采用综合评分法评审的，还应当告知未中标人本人的评审得分与排序。</w:t>
      </w:r>
    </w:p>
    <w:p w14:paraId="014F5EFE">
      <w:pPr>
        <w:pageBreakBefore w:val="0"/>
        <w:widowControl w:val="0"/>
        <w:numPr>
          <w:ilvl w:val="1"/>
          <w:numId w:val="42"/>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中标公告期限自发布公告之日起1个工作日。</w:t>
      </w:r>
    </w:p>
    <w:p w14:paraId="260F954C">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highlight w:val="none"/>
          <w:lang w:val="en-US"/>
        </w:rPr>
      </w:pPr>
      <w:bookmarkStart w:id="188" w:name="_Toc183682375"/>
      <w:bookmarkStart w:id="189" w:name="_Toc183582238"/>
      <w:bookmarkStart w:id="190" w:name="_Toc217446063"/>
      <w:bookmarkStart w:id="191" w:name="_Toc500492707"/>
      <w:bookmarkStart w:id="192" w:name="_Toc496605611"/>
      <w:bookmarkStart w:id="193" w:name="_Toc494198904"/>
      <w:r>
        <w:rPr>
          <w:rFonts w:ascii="仿宋" w:eastAsia="仿宋"/>
          <w:bCs/>
          <w:color w:val="auto"/>
          <w:kern w:val="2"/>
          <w:sz w:val="24"/>
          <w:szCs w:val="24"/>
          <w:highlight w:val="none"/>
          <w:lang w:val="en-US"/>
        </w:rPr>
        <w:t>中标通知</w:t>
      </w:r>
      <w:bookmarkEnd w:id="188"/>
      <w:bookmarkEnd w:id="189"/>
      <w:r>
        <w:rPr>
          <w:rFonts w:ascii="仿宋" w:eastAsia="仿宋"/>
          <w:bCs/>
          <w:color w:val="auto"/>
          <w:kern w:val="2"/>
          <w:sz w:val="24"/>
          <w:szCs w:val="24"/>
          <w:highlight w:val="none"/>
          <w:lang w:val="en-US"/>
        </w:rPr>
        <w:t>书</w:t>
      </w:r>
      <w:bookmarkEnd w:id="190"/>
      <w:bookmarkEnd w:id="191"/>
      <w:bookmarkEnd w:id="192"/>
      <w:bookmarkEnd w:id="193"/>
    </w:p>
    <w:p w14:paraId="673A8EF8">
      <w:pPr>
        <w:pageBreakBefore w:val="0"/>
        <w:widowControl w:val="0"/>
        <w:numPr>
          <w:ilvl w:val="1"/>
          <w:numId w:val="4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中标通知书为签订政府采购合同的依据之一，是合同的有效组成部分。</w:t>
      </w:r>
    </w:p>
    <w:p w14:paraId="207939FB">
      <w:pPr>
        <w:pageBreakBefore w:val="0"/>
        <w:widowControl w:val="0"/>
        <w:numPr>
          <w:ilvl w:val="1"/>
          <w:numId w:val="4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投标人中标后，拒绝领取中标通知书的，采购代理机构将采取邮寄、快递方式按照投标人投标文件中的地址发出中标通知书，同时，中标通知书邮寄、快递发出之日起即视中标人已领取中标通知书</w:t>
      </w:r>
      <w:r>
        <w:rPr>
          <w:rFonts w:hint="eastAsia" w:ascii="仿宋" w:eastAsia="仿宋"/>
          <w:b w:val="0"/>
          <w:color w:val="auto"/>
          <w:kern w:val="2"/>
          <w:sz w:val="24"/>
          <w:szCs w:val="24"/>
          <w:highlight w:val="none"/>
          <w:lang w:val="en-US" w:eastAsia="zh-CN"/>
        </w:rPr>
        <w:t>。</w:t>
      </w:r>
    </w:p>
    <w:p w14:paraId="65A2D2C0">
      <w:pPr>
        <w:pageBreakBefore w:val="0"/>
        <w:widowControl w:val="0"/>
        <w:numPr>
          <w:ilvl w:val="1"/>
          <w:numId w:val="4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中标通知书发出后，采购人不得违法改变中标结果，中标人无正当理由不得放弃中标</w:t>
      </w:r>
      <w:r>
        <w:rPr>
          <w:rFonts w:hint="eastAsia" w:ascii="仿宋" w:eastAsia="仿宋"/>
          <w:b w:val="0"/>
          <w:color w:val="auto"/>
          <w:kern w:val="2"/>
          <w:sz w:val="24"/>
          <w:szCs w:val="24"/>
          <w:highlight w:val="none"/>
          <w:lang w:val="en-US"/>
        </w:rPr>
        <w:t>。</w:t>
      </w:r>
    </w:p>
    <w:p w14:paraId="4AC2AD6C">
      <w:pPr>
        <w:pageBreakBefore w:val="0"/>
        <w:widowControl w:val="0"/>
        <w:numPr>
          <w:ilvl w:val="1"/>
          <w:numId w:val="4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中标通知书对采购人和中标人均具有法律效力。中标通知书发出后，采购人改变中标结果，或者中标人无正当理由放弃中标的，应当承担相应的法律责任。</w:t>
      </w:r>
    </w:p>
    <w:p w14:paraId="6F86E3A5">
      <w:pPr>
        <w:pageBreakBefore w:val="0"/>
        <w:widowControl w:val="0"/>
        <w:numPr>
          <w:ilvl w:val="1"/>
          <w:numId w:val="43"/>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hint="eastAsia" w:ascii="仿宋" w:eastAsia="仿宋"/>
          <w:b w:val="0"/>
          <w:color w:val="auto"/>
          <w:kern w:val="2"/>
          <w:sz w:val="24"/>
          <w:szCs w:val="24"/>
          <w:highlight w:val="none"/>
          <w:lang w:val="en-US"/>
        </w:rPr>
        <w:t>中标人的投标文件本应作为无效投标处理或者有政府采购法律法规规章制度规定的中标无效情形的，</w:t>
      </w:r>
      <w:r>
        <w:rPr>
          <w:rFonts w:hint="eastAsia" w:ascii="仿宋" w:eastAsia="仿宋"/>
          <w:b w:val="0"/>
          <w:color w:val="auto"/>
          <w:kern w:val="2"/>
          <w:sz w:val="24"/>
          <w:szCs w:val="24"/>
          <w:highlight w:val="none"/>
          <w:lang w:val="en-US" w:eastAsia="zh-CN"/>
        </w:rPr>
        <w:t>新疆驰珑信诚招标代理有限公司</w:t>
      </w:r>
      <w:r>
        <w:rPr>
          <w:rFonts w:hint="eastAsia" w:ascii="仿宋" w:eastAsia="仿宋"/>
          <w:b w:val="0"/>
          <w:color w:val="auto"/>
          <w:kern w:val="2"/>
          <w:sz w:val="24"/>
          <w:szCs w:val="24"/>
          <w:lang w:val="en-US"/>
        </w:rPr>
        <w:t>在取得有权主体的认定以后，将宣布发出的中标通知书无效，并收回发出的中标通知书（中标人也应当缴回），依法重新确定中标人或者重新开展采购活动。</w:t>
      </w:r>
    </w:p>
    <w:p w14:paraId="09C42DCD">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r>
        <w:rPr>
          <w:rFonts w:ascii="仿宋" w:eastAsia="仿宋"/>
          <w:bCs/>
          <w:color w:val="auto"/>
          <w:kern w:val="2"/>
          <w:sz w:val="24"/>
          <w:szCs w:val="24"/>
          <w:lang w:val="en-US"/>
        </w:rPr>
        <w:t xml:space="preserve"> </w:t>
      </w:r>
      <w:bookmarkStart w:id="194" w:name="_Toc496605612"/>
      <w:bookmarkStart w:id="195" w:name="_Toc500492708"/>
      <w:bookmarkStart w:id="196" w:name="_Toc494198905"/>
      <w:r>
        <w:rPr>
          <w:rFonts w:ascii="仿宋" w:eastAsia="仿宋"/>
          <w:bCs/>
          <w:color w:val="auto"/>
          <w:kern w:val="2"/>
          <w:sz w:val="24"/>
          <w:szCs w:val="24"/>
          <w:lang w:val="en-US"/>
        </w:rPr>
        <w:t>招标代理服务费</w:t>
      </w:r>
      <w:bookmarkEnd w:id="194"/>
      <w:bookmarkEnd w:id="195"/>
      <w:bookmarkEnd w:id="196"/>
    </w:p>
    <w:p w14:paraId="6A0F122C">
      <w:pPr>
        <w:pageBreakBefore w:val="0"/>
        <w:widowControl w:val="0"/>
        <w:tabs>
          <w:tab w:val="left" w:pos="1620"/>
        </w:tabs>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详见投标人须知前附表。</w:t>
      </w:r>
    </w:p>
    <w:p w14:paraId="3C7E44E0">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197" w:name="_Toc217446064"/>
      <w:bookmarkStart w:id="198" w:name="_Toc351016481"/>
      <w:bookmarkStart w:id="199" w:name="_Toc183682377"/>
      <w:bookmarkStart w:id="200" w:name="_Toc183582240"/>
      <w:r>
        <w:rPr>
          <w:rFonts w:ascii="仿宋" w:eastAsia="仿宋"/>
          <w:bCs/>
          <w:color w:val="auto"/>
          <w:kern w:val="2"/>
          <w:sz w:val="24"/>
          <w:szCs w:val="24"/>
          <w:lang w:val="en-US"/>
        </w:rPr>
        <w:t xml:space="preserve"> </w:t>
      </w:r>
      <w:bookmarkStart w:id="201" w:name="_Toc36215952"/>
      <w:bookmarkStart w:id="202" w:name="_Toc36134562"/>
      <w:bookmarkStart w:id="203" w:name="_Toc21506"/>
      <w:bookmarkStart w:id="204" w:name="_Toc494198592"/>
      <w:bookmarkStart w:id="205" w:name="_Toc40704276"/>
      <w:r>
        <w:rPr>
          <w:rFonts w:ascii="仿宋" w:eastAsia="仿宋"/>
          <w:bCs/>
          <w:color w:val="auto"/>
          <w:kern w:val="2"/>
          <w:sz w:val="24"/>
          <w:szCs w:val="24"/>
          <w:lang w:val="en-US"/>
        </w:rPr>
        <w:t>签订及履行合同</w:t>
      </w:r>
      <w:bookmarkEnd w:id="197"/>
      <w:bookmarkEnd w:id="198"/>
      <w:bookmarkEnd w:id="201"/>
      <w:bookmarkEnd w:id="202"/>
      <w:bookmarkEnd w:id="203"/>
      <w:bookmarkEnd w:id="204"/>
      <w:bookmarkEnd w:id="205"/>
    </w:p>
    <w:p w14:paraId="44821FB8">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06" w:name="_Toc500492710"/>
      <w:bookmarkStart w:id="207" w:name="_Toc217446065"/>
      <w:bookmarkStart w:id="208" w:name="_Toc494198907"/>
      <w:bookmarkStart w:id="209" w:name="_Toc496605614"/>
      <w:r>
        <w:rPr>
          <w:rFonts w:ascii="仿宋" w:eastAsia="仿宋"/>
          <w:bCs/>
          <w:color w:val="auto"/>
          <w:kern w:val="2"/>
          <w:sz w:val="24"/>
          <w:szCs w:val="24"/>
          <w:lang w:val="en-US"/>
        </w:rPr>
        <w:t>签订合同</w:t>
      </w:r>
      <w:bookmarkEnd w:id="206"/>
      <w:bookmarkEnd w:id="207"/>
      <w:bookmarkEnd w:id="208"/>
      <w:bookmarkEnd w:id="209"/>
    </w:p>
    <w:p w14:paraId="265C5649">
      <w:pPr>
        <w:pageBreakBefore w:val="0"/>
        <w:widowControl w:val="0"/>
        <w:numPr>
          <w:ilvl w:val="1"/>
          <w:numId w:val="44"/>
        </w:numPr>
        <w:tabs>
          <w:tab w:val="left" w:pos="851"/>
        </w:tabs>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采购人应当自中标通知书发出之日起30日内，按照招标文件和中标人投标文件的规定，与中标人签订书面合同。所签订的合同不得对招标文件确定的事项和中标人投标文件作实质性修改。</w:t>
      </w:r>
    </w:p>
    <w:p w14:paraId="65631474">
      <w:pPr>
        <w:pageBreakBefore w:val="0"/>
        <w:widowControl w:val="0"/>
        <w:numPr>
          <w:ilvl w:val="1"/>
          <w:numId w:val="4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采购人不得向中标人提出任何不合理的要求作为签订合同的条件。</w:t>
      </w:r>
    </w:p>
    <w:p w14:paraId="460E001E">
      <w:pPr>
        <w:pageBreakBefore w:val="0"/>
        <w:widowControl w:val="0"/>
        <w:numPr>
          <w:ilvl w:val="1"/>
          <w:numId w:val="4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政府采购合同应当包括采购人与中标人的名称和住所、标的、数量、质量、价款或者报酬、履行期限及地点和方式、验收要求、违约责任、解决争议的方法等内容。</w:t>
      </w:r>
    </w:p>
    <w:p w14:paraId="112351A5">
      <w:pPr>
        <w:pageBreakBefore w:val="0"/>
        <w:widowControl w:val="0"/>
        <w:numPr>
          <w:ilvl w:val="1"/>
          <w:numId w:val="44"/>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中标人因不可抗力原因不能履行采购合同或放弃中标的，采购人可以与排在中标人之后第一位的中标候选人签订采购合同，以此类推。</w:t>
      </w:r>
    </w:p>
    <w:p w14:paraId="7DA1765C">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10" w:name="_Toc217446066"/>
      <w:bookmarkStart w:id="211" w:name="_Toc496605615"/>
      <w:bookmarkStart w:id="212" w:name="_Toc500492711"/>
      <w:bookmarkStart w:id="213" w:name="_Toc494198908"/>
      <w:r>
        <w:rPr>
          <w:rFonts w:ascii="仿宋" w:eastAsia="仿宋"/>
          <w:bCs/>
          <w:color w:val="auto"/>
          <w:kern w:val="2"/>
          <w:sz w:val="24"/>
          <w:szCs w:val="24"/>
          <w:lang w:val="en-US"/>
        </w:rPr>
        <w:t>合同分包</w:t>
      </w:r>
      <w:bookmarkEnd w:id="210"/>
      <w:bookmarkEnd w:id="211"/>
      <w:bookmarkEnd w:id="212"/>
      <w:bookmarkEnd w:id="213"/>
    </w:p>
    <w:p w14:paraId="26835D54">
      <w:pPr>
        <w:pageBreakBefore w:val="0"/>
        <w:widowControl w:val="0"/>
        <w:tabs>
          <w:tab w:val="left" w:pos="0"/>
        </w:tabs>
        <w:kinsoku/>
        <w:wordWrap/>
        <w:overflowPunct/>
        <w:topLinePunct w:val="0"/>
        <w:bidi w:val="0"/>
        <w:spacing w:beforeAutospacing="0" w:afterAutospacing="0" w:line="360" w:lineRule="auto"/>
        <w:ind w:left="0" w:right="0" w:firstLine="0" w:firstLineChars="0"/>
        <w:rPr>
          <w:rFonts w:ascii="仿宋" w:eastAsia="仿宋"/>
          <w:b w:val="0"/>
          <w:color w:val="auto"/>
          <w:kern w:val="2"/>
          <w:sz w:val="24"/>
          <w:szCs w:val="24"/>
          <w:lang w:val="en-US"/>
        </w:rPr>
      </w:pPr>
      <w:r>
        <w:rPr>
          <w:rFonts w:ascii="仿宋" w:eastAsia="仿宋"/>
          <w:b w:val="0"/>
          <w:color w:val="auto"/>
          <w:kern w:val="2"/>
          <w:sz w:val="24"/>
          <w:szCs w:val="24"/>
          <w:lang w:val="en-US"/>
        </w:rPr>
        <w:t>本项目不允许合同分包，否则作无效投标处理。</w:t>
      </w:r>
    </w:p>
    <w:p w14:paraId="2BA05DF6">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14" w:name="_Toc494198909"/>
      <w:bookmarkStart w:id="215" w:name="_Toc496605616"/>
      <w:bookmarkStart w:id="216" w:name="_Toc500492712"/>
      <w:r>
        <w:rPr>
          <w:rFonts w:ascii="仿宋" w:eastAsia="仿宋"/>
          <w:bCs/>
          <w:color w:val="auto"/>
          <w:kern w:val="2"/>
          <w:sz w:val="24"/>
          <w:szCs w:val="24"/>
          <w:lang w:val="en-US"/>
        </w:rPr>
        <w:t>合同转包</w:t>
      </w:r>
      <w:bookmarkEnd w:id="214"/>
      <w:bookmarkEnd w:id="215"/>
      <w:bookmarkEnd w:id="216"/>
    </w:p>
    <w:p w14:paraId="54CA6517">
      <w:pPr>
        <w:pageBreakBefore w:val="0"/>
        <w:widowControl w:val="0"/>
        <w:numPr>
          <w:ilvl w:val="1"/>
          <w:numId w:val="45"/>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本项目严禁中标人将任何政府采购合同义务转包。本项目所称转包，是指中标人将政府采购合同义务转让给第三人，并退出现有政府采购合同当事人双方的权利义务关系，受让人（第三人）成为政府采购合同的另一方当事人的行为。</w:t>
      </w:r>
    </w:p>
    <w:p w14:paraId="7218D39B">
      <w:pPr>
        <w:pageBreakBefore w:val="0"/>
        <w:widowControl w:val="0"/>
        <w:numPr>
          <w:ilvl w:val="1"/>
          <w:numId w:val="45"/>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中标人转包的，视同拒绝履行政府采购合同义务，将依法追究法律责任。</w:t>
      </w:r>
    </w:p>
    <w:p w14:paraId="29823A1C">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17" w:name="_Toc217446067"/>
      <w:bookmarkStart w:id="218" w:name="_Toc496605617"/>
      <w:bookmarkStart w:id="219" w:name="_Toc500492713"/>
      <w:bookmarkStart w:id="220" w:name="_Toc494198910"/>
      <w:r>
        <w:rPr>
          <w:rFonts w:ascii="仿宋" w:eastAsia="仿宋"/>
          <w:bCs/>
          <w:color w:val="auto"/>
          <w:kern w:val="2"/>
          <w:sz w:val="24"/>
          <w:szCs w:val="24"/>
          <w:lang w:val="en-US"/>
        </w:rPr>
        <w:t>采购人增加合同标的权</w:t>
      </w:r>
      <w:bookmarkEnd w:id="217"/>
      <w:r>
        <w:rPr>
          <w:rFonts w:ascii="仿宋" w:eastAsia="仿宋"/>
          <w:bCs/>
          <w:color w:val="auto"/>
          <w:kern w:val="2"/>
          <w:sz w:val="24"/>
          <w:szCs w:val="24"/>
          <w:lang w:val="en-US"/>
        </w:rPr>
        <w:t>利</w:t>
      </w:r>
      <w:bookmarkEnd w:id="218"/>
      <w:bookmarkEnd w:id="219"/>
      <w:bookmarkEnd w:id="220"/>
    </w:p>
    <w:p w14:paraId="730D1F56">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11AC71CE">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21" w:name="_Toc494198911"/>
      <w:bookmarkStart w:id="222" w:name="_Toc500492714"/>
      <w:bookmarkStart w:id="223" w:name="_Toc217446068"/>
      <w:bookmarkStart w:id="224" w:name="_Toc496605618"/>
      <w:r>
        <w:rPr>
          <w:rFonts w:ascii="仿宋" w:eastAsia="仿宋"/>
          <w:bCs/>
          <w:color w:val="auto"/>
          <w:kern w:val="2"/>
          <w:sz w:val="24"/>
          <w:szCs w:val="24"/>
          <w:lang w:val="en-US"/>
        </w:rPr>
        <w:t>履约保证金</w:t>
      </w:r>
      <w:bookmarkEnd w:id="221"/>
      <w:bookmarkEnd w:id="222"/>
      <w:bookmarkEnd w:id="223"/>
      <w:bookmarkEnd w:id="224"/>
    </w:p>
    <w:p w14:paraId="36B7CB4E">
      <w:pPr>
        <w:pageBreakBefore w:val="0"/>
        <w:widowControl w:val="0"/>
        <w:tabs>
          <w:tab w:val="left" w:pos="0"/>
        </w:tabs>
        <w:kinsoku/>
        <w:wordWrap/>
        <w:overflowPunct/>
        <w:topLinePunct w:val="0"/>
        <w:bidi w:val="0"/>
        <w:spacing w:beforeAutospacing="0" w:afterAutospacing="0" w:line="360" w:lineRule="auto"/>
        <w:ind w:left="0" w:right="0" w:firstLine="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本项目不作要求。</w:t>
      </w:r>
    </w:p>
    <w:p w14:paraId="5BB6E109">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25" w:name="_Toc496605619"/>
      <w:bookmarkStart w:id="226" w:name="_Toc494198912"/>
      <w:bookmarkStart w:id="227" w:name="_Toc500492715"/>
      <w:r>
        <w:rPr>
          <w:rFonts w:ascii="仿宋" w:eastAsia="仿宋"/>
          <w:bCs/>
          <w:color w:val="auto"/>
          <w:kern w:val="2"/>
          <w:sz w:val="24"/>
          <w:szCs w:val="24"/>
          <w:lang w:val="en-US"/>
        </w:rPr>
        <w:t>合同公告</w:t>
      </w:r>
      <w:bookmarkEnd w:id="225"/>
      <w:bookmarkEnd w:id="226"/>
      <w:bookmarkEnd w:id="227"/>
    </w:p>
    <w:p w14:paraId="40251FDC">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采购人应当自政府采购合同签订（双方当事人均已签字盖章）之日起2个工作日内，将政府采购合同在省级以上人民政府财政部门指定的媒体上公告（</w:t>
      </w:r>
      <w:r>
        <w:rPr>
          <w:rFonts w:hint="eastAsia" w:ascii="仿宋" w:eastAsia="仿宋"/>
          <w:b w:val="0"/>
          <w:color w:val="auto"/>
          <w:kern w:val="2"/>
          <w:sz w:val="24"/>
          <w:szCs w:val="24"/>
          <w:lang w:val="en-US" w:eastAsia="zh-CN"/>
        </w:rPr>
        <w:t>新疆政府采购网</w:t>
      </w:r>
      <w:r>
        <w:rPr>
          <w:rFonts w:ascii="仿宋" w:eastAsia="仿宋"/>
          <w:b w:val="0"/>
          <w:color w:val="auto"/>
          <w:kern w:val="2"/>
          <w:sz w:val="24"/>
          <w:szCs w:val="24"/>
          <w:lang w:val="en-US"/>
        </w:rPr>
        <w:t>），但政府采购合同中涉及国家秘密、商业秘密的内容除外。</w:t>
      </w:r>
    </w:p>
    <w:p w14:paraId="64317E71">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28" w:name="_Toc500492716"/>
      <w:bookmarkStart w:id="229" w:name="_Toc496605620"/>
      <w:bookmarkStart w:id="230" w:name="_Toc494198913"/>
      <w:r>
        <w:rPr>
          <w:rFonts w:ascii="仿宋" w:eastAsia="仿宋"/>
          <w:bCs/>
          <w:color w:val="auto"/>
          <w:kern w:val="2"/>
          <w:sz w:val="24"/>
          <w:szCs w:val="24"/>
          <w:lang w:val="en-US"/>
        </w:rPr>
        <w:t>合同备案</w:t>
      </w:r>
      <w:bookmarkEnd w:id="228"/>
      <w:bookmarkEnd w:id="229"/>
      <w:bookmarkEnd w:id="230"/>
    </w:p>
    <w:p w14:paraId="524D1DE0">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hint="eastAsia" w:ascii="仿宋" w:eastAsia="仿宋"/>
          <w:b w:val="0"/>
          <w:color w:val="auto"/>
          <w:kern w:val="2"/>
          <w:sz w:val="24"/>
          <w:szCs w:val="24"/>
          <w:lang w:val="en-US" w:eastAsia="zh-CN"/>
        </w:rPr>
        <w:t>/</w:t>
      </w:r>
      <w:r>
        <w:rPr>
          <w:rFonts w:ascii="仿宋" w:eastAsia="仿宋"/>
          <w:b w:val="0"/>
          <w:color w:val="auto"/>
          <w:kern w:val="2"/>
          <w:sz w:val="24"/>
          <w:szCs w:val="24"/>
          <w:lang w:val="en-US"/>
        </w:rPr>
        <w:t>。</w:t>
      </w:r>
    </w:p>
    <w:p w14:paraId="74DC036E">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31" w:name="_Toc217446069"/>
      <w:bookmarkStart w:id="232" w:name="_Toc500492717"/>
      <w:bookmarkStart w:id="233" w:name="_Toc494198914"/>
      <w:bookmarkStart w:id="234" w:name="_Toc496605621"/>
      <w:r>
        <w:rPr>
          <w:rFonts w:ascii="仿宋" w:eastAsia="仿宋"/>
          <w:bCs/>
          <w:color w:val="auto"/>
          <w:kern w:val="2"/>
          <w:sz w:val="24"/>
          <w:szCs w:val="24"/>
          <w:lang w:val="en-US"/>
        </w:rPr>
        <w:t>履行合同</w:t>
      </w:r>
      <w:bookmarkEnd w:id="231"/>
      <w:bookmarkEnd w:id="232"/>
      <w:bookmarkEnd w:id="233"/>
      <w:bookmarkEnd w:id="234"/>
    </w:p>
    <w:p w14:paraId="45022E47">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bookmarkStart w:id="235" w:name="_Toc217446070"/>
      <w:r>
        <w:rPr>
          <w:rFonts w:ascii="仿宋" w:eastAsia="仿宋"/>
          <w:b w:val="0"/>
          <w:color w:val="auto"/>
          <w:kern w:val="2"/>
          <w:sz w:val="24"/>
          <w:szCs w:val="24"/>
          <w:lang w:val="en-US"/>
        </w:rPr>
        <w:t>采购人与中标人应当根据合同的约定依法履行合同义务。政府采购合同的履行、违约责任和解决争议的方法等适用《</w:t>
      </w:r>
      <w:r>
        <w:rPr>
          <w:rFonts w:hint="eastAsia" w:ascii="仿宋" w:eastAsia="仿宋"/>
          <w:b w:val="0"/>
          <w:color w:val="auto"/>
          <w:kern w:val="2"/>
          <w:sz w:val="24"/>
          <w:szCs w:val="24"/>
          <w:lang w:val="en-US"/>
        </w:rPr>
        <w:t>中华人民共和国民法典</w:t>
      </w:r>
      <w:r>
        <w:rPr>
          <w:rFonts w:ascii="仿宋" w:eastAsia="仿宋"/>
          <w:b w:val="0"/>
          <w:color w:val="auto"/>
          <w:kern w:val="2"/>
          <w:sz w:val="24"/>
          <w:szCs w:val="24"/>
          <w:lang w:val="en-US"/>
        </w:rPr>
        <w:t>》。</w:t>
      </w:r>
    </w:p>
    <w:p w14:paraId="3FDFCAED">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36" w:name="_Toc496605622"/>
      <w:bookmarkStart w:id="237" w:name="_Toc494198915"/>
      <w:bookmarkStart w:id="238" w:name="_Toc500492718"/>
      <w:r>
        <w:rPr>
          <w:rFonts w:ascii="仿宋" w:eastAsia="仿宋"/>
          <w:bCs/>
          <w:color w:val="auto"/>
          <w:kern w:val="2"/>
          <w:sz w:val="24"/>
          <w:szCs w:val="24"/>
          <w:lang w:val="en-US"/>
        </w:rPr>
        <w:t>验收</w:t>
      </w:r>
      <w:bookmarkEnd w:id="235"/>
      <w:bookmarkEnd w:id="236"/>
      <w:bookmarkEnd w:id="237"/>
      <w:bookmarkEnd w:id="238"/>
    </w:p>
    <w:p w14:paraId="153277C7">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bookmarkStart w:id="239" w:name="_Toc217446071"/>
      <w:r>
        <w:rPr>
          <w:rFonts w:ascii="仿宋" w:eastAsia="仿宋"/>
          <w:b w:val="0"/>
          <w:color w:val="auto"/>
          <w:kern w:val="2"/>
          <w:sz w:val="24"/>
          <w:szCs w:val="24"/>
          <w:lang w:val="en-US"/>
        </w:rPr>
        <w:t>严格按照政府采购相关法律法规以及</w:t>
      </w:r>
      <w:r>
        <w:rPr>
          <w:rFonts w:hint="eastAsia" w:ascii="仿宋" w:eastAsia="仿宋"/>
          <w:b w:val="0"/>
          <w:color w:val="auto"/>
          <w:kern w:val="2"/>
          <w:sz w:val="24"/>
          <w:szCs w:val="24"/>
          <w:lang w:val="en-US"/>
        </w:rPr>
        <w:t>《财政部关于进一步加强政府采购需求和履约验收管理的指导意见》（</w:t>
      </w:r>
      <w:r>
        <w:rPr>
          <w:rFonts w:ascii="仿宋" w:eastAsia="仿宋"/>
          <w:b w:val="0"/>
          <w:color w:val="auto"/>
          <w:kern w:val="2"/>
          <w:sz w:val="24"/>
          <w:szCs w:val="24"/>
          <w:lang w:val="en-US"/>
        </w:rPr>
        <w:t>财库[2016]205号</w:t>
      </w:r>
      <w:r>
        <w:rPr>
          <w:rFonts w:hint="eastAsia" w:ascii="仿宋" w:eastAsia="仿宋"/>
          <w:b w:val="0"/>
          <w:color w:val="auto"/>
          <w:kern w:val="2"/>
          <w:sz w:val="24"/>
          <w:szCs w:val="24"/>
          <w:lang w:val="en-US"/>
        </w:rPr>
        <w:t>）</w:t>
      </w:r>
      <w:r>
        <w:rPr>
          <w:rFonts w:ascii="仿宋" w:eastAsia="仿宋"/>
          <w:b w:val="0"/>
          <w:color w:val="auto"/>
          <w:kern w:val="2"/>
          <w:sz w:val="24"/>
          <w:szCs w:val="24"/>
          <w:lang w:val="en-US"/>
        </w:rPr>
        <w:t>的要求进行验收。</w:t>
      </w:r>
    </w:p>
    <w:bookmarkEnd w:id="199"/>
    <w:bookmarkEnd w:id="200"/>
    <w:bookmarkEnd w:id="239"/>
    <w:p w14:paraId="7E21FE81">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240" w:name="_Toc217446074"/>
      <w:bookmarkStart w:id="241" w:name="_Toc351016482"/>
      <w:bookmarkStart w:id="242" w:name="_Toc183682380"/>
      <w:bookmarkStart w:id="243" w:name="_Toc183582243"/>
      <w:r>
        <w:rPr>
          <w:rFonts w:ascii="仿宋" w:eastAsia="仿宋"/>
          <w:bCs/>
          <w:color w:val="auto"/>
          <w:kern w:val="2"/>
          <w:sz w:val="24"/>
          <w:szCs w:val="24"/>
          <w:lang w:val="en-US"/>
        </w:rPr>
        <w:t xml:space="preserve"> </w:t>
      </w:r>
      <w:bookmarkStart w:id="244" w:name="_Toc36215953"/>
      <w:bookmarkStart w:id="245" w:name="_Toc36134563"/>
      <w:bookmarkStart w:id="246" w:name="_Toc26466"/>
      <w:bookmarkStart w:id="247" w:name="_Toc494198593"/>
      <w:bookmarkStart w:id="248" w:name="_Toc40704277"/>
      <w:r>
        <w:rPr>
          <w:rFonts w:ascii="仿宋" w:eastAsia="仿宋"/>
          <w:bCs/>
          <w:color w:val="auto"/>
          <w:kern w:val="2"/>
          <w:sz w:val="24"/>
          <w:szCs w:val="24"/>
          <w:lang w:val="en-US"/>
        </w:rPr>
        <w:t>投标纪律要求</w:t>
      </w:r>
      <w:bookmarkEnd w:id="240"/>
      <w:bookmarkEnd w:id="241"/>
      <w:bookmarkEnd w:id="244"/>
      <w:bookmarkEnd w:id="245"/>
      <w:bookmarkEnd w:id="246"/>
      <w:bookmarkEnd w:id="247"/>
      <w:bookmarkEnd w:id="248"/>
    </w:p>
    <w:p w14:paraId="51A60CB6">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49" w:name="_Toc500492720"/>
      <w:bookmarkStart w:id="250" w:name="_Toc496605624"/>
      <w:bookmarkStart w:id="251" w:name="_Toc217446075"/>
      <w:bookmarkStart w:id="252" w:name="_Toc494198917"/>
      <w:r>
        <w:rPr>
          <w:rFonts w:ascii="仿宋" w:eastAsia="仿宋"/>
          <w:bCs/>
          <w:color w:val="auto"/>
          <w:kern w:val="2"/>
          <w:sz w:val="24"/>
          <w:szCs w:val="24"/>
          <w:lang w:val="en-US"/>
        </w:rPr>
        <w:t>投标人不得具有的情形</w:t>
      </w:r>
      <w:bookmarkEnd w:id="249"/>
      <w:bookmarkEnd w:id="250"/>
      <w:bookmarkEnd w:id="251"/>
      <w:bookmarkEnd w:id="252"/>
    </w:p>
    <w:p w14:paraId="3C54E430">
      <w:pPr>
        <w:pageBreakBefore w:val="0"/>
        <w:widowControl w:val="0"/>
        <w:numPr>
          <w:ilvl w:val="1"/>
          <w:numId w:val="4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提供虚假材料谋取中标；</w:t>
      </w:r>
    </w:p>
    <w:p w14:paraId="6798D214">
      <w:pPr>
        <w:pageBreakBefore w:val="0"/>
        <w:widowControl w:val="0"/>
        <w:numPr>
          <w:ilvl w:val="1"/>
          <w:numId w:val="4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采取不正当手段诋毁、排挤其他投标人；</w:t>
      </w:r>
    </w:p>
    <w:p w14:paraId="730CE581">
      <w:pPr>
        <w:pageBreakBefore w:val="0"/>
        <w:widowControl w:val="0"/>
        <w:numPr>
          <w:ilvl w:val="1"/>
          <w:numId w:val="4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与采购人或者采购代理机构、其他投标人恶意串通；</w:t>
      </w:r>
    </w:p>
    <w:p w14:paraId="4687B010">
      <w:pPr>
        <w:pageBreakBefore w:val="0"/>
        <w:widowControl w:val="0"/>
        <w:numPr>
          <w:ilvl w:val="1"/>
          <w:numId w:val="4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向采购人或者采购代理机构、评标委员会成员行贿或者提供其他不正当利益；</w:t>
      </w:r>
    </w:p>
    <w:p w14:paraId="41014735">
      <w:pPr>
        <w:pageBreakBefore w:val="0"/>
        <w:widowControl w:val="0"/>
        <w:numPr>
          <w:ilvl w:val="1"/>
          <w:numId w:val="4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在招标过程中与采购人或者采购代理机构进行协商谈判；</w:t>
      </w:r>
    </w:p>
    <w:p w14:paraId="7977BDAF">
      <w:pPr>
        <w:pageBreakBefore w:val="0"/>
        <w:widowControl w:val="0"/>
        <w:numPr>
          <w:ilvl w:val="1"/>
          <w:numId w:val="46"/>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拒绝有关部门的监督检查或者向监督检查部门提供虚假情况。</w:t>
      </w:r>
    </w:p>
    <w:p w14:paraId="2FCF88A0">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有上述情形之一的投标人，属于不合格投标人，其投标或中标资格将被取消。</w:t>
      </w:r>
    </w:p>
    <w:p w14:paraId="2191026D">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53" w:name="_Toc496605625"/>
      <w:bookmarkStart w:id="254" w:name="_Toc494198918"/>
      <w:bookmarkStart w:id="255" w:name="_Toc500492721"/>
      <w:r>
        <w:rPr>
          <w:rFonts w:ascii="仿宋" w:eastAsia="仿宋"/>
          <w:bCs/>
          <w:color w:val="auto"/>
          <w:kern w:val="2"/>
          <w:sz w:val="24"/>
          <w:szCs w:val="24"/>
          <w:lang w:val="en-US"/>
        </w:rPr>
        <w:t>有下列情形之一的，视为投标人串通投标，其投标无效：</w:t>
      </w:r>
      <w:bookmarkEnd w:id="253"/>
      <w:bookmarkEnd w:id="254"/>
      <w:bookmarkEnd w:id="255"/>
    </w:p>
    <w:p w14:paraId="2EA56D5B">
      <w:pPr>
        <w:pageBreakBefore w:val="0"/>
        <w:widowControl w:val="0"/>
        <w:numPr>
          <w:ilvl w:val="1"/>
          <w:numId w:val="4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不同投标人的投标文件由同一单位或者个人编制；</w:t>
      </w:r>
    </w:p>
    <w:p w14:paraId="19441E69">
      <w:pPr>
        <w:pageBreakBefore w:val="0"/>
        <w:widowControl w:val="0"/>
        <w:numPr>
          <w:ilvl w:val="1"/>
          <w:numId w:val="4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不同投标人委托同一单位或者个人办理投标事宜；</w:t>
      </w:r>
    </w:p>
    <w:p w14:paraId="5B2740F8">
      <w:pPr>
        <w:pageBreakBefore w:val="0"/>
        <w:widowControl w:val="0"/>
        <w:numPr>
          <w:ilvl w:val="1"/>
          <w:numId w:val="4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不同投标人的投标文件载明的项目管理成员或者联系人员为同一人；</w:t>
      </w:r>
      <w:r>
        <w:rPr>
          <w:rFonts w:hint="eastAsia" w:ascii="仿宋" w:eastAsia="仿宋"/>
          <w:b w:val="0"/>
          <w:color w:val="auto"/>
          <w:kern w:val="2"/>
          <w:sz w:val="24"/>
          <w:szCs w:val="24"/>
          <w:lang w:val="en-US"/>
        </w:rPr>
        <w:t>（本项目管理成员为投标人《实施本项目的主要人员情况表》中项目经理。）</w:t>
      </w:r>
    </w:p>
    <w:p w14:paraId="3ACD1EEF">
      <w:pPr>
        <w:pageBreakBefore w:val="0"/>
        <w:widowControl w:val="0"/>
        <w:numPr>
          <w:ilvl w:val="1"/>
          <w:numId w:val="4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不同投标人的投标文件异常一致或者投标报价呈规律性差异；</w:t>
      </w:r>
    </w:p>
    <w:p w14:paraId="771E6DE8">
      <w:pPr>
        <w:pageBreakBefore w:val="0"/>
        <w:widowControl w:val="0"/>
        <w:numPr>
          <w:ilvl w:val="1"/>
          <w:numId w:val="47"/>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lang w:val="en-US"/>
        </w:rPr>
      </w:pPr>
      <w:r>
        <w:rPr>
          <w:rFonts w:ascii="仿宋" w:eastAsia="仿宋"/>
          <w:b w:val="0"/>
          <w:color w:val="auto"/>
          <w:kern w:val="2"/>
          <w:sz w:val="24"/>
          <w:szCs w:val="24"/>
          <w:lang w:val="en-US"/>
        </w:rPr>
        <w:t>不同投标人的投标文件相互混装</w:t>
      </w:r>
      <w:r>
        <w:rPr>
          <w:rFonts w:hint="eastAsia" w:ascii="仿宋" w:eastAsia="仿宋"/>
          <w:b w:val="0"/>
          <w:color w:val="auto"/>
          <w:kern w:val="2"/>
          <w:sz w:val="24"/>
          <w:szCs w:val="24"/>
          <w:lang w:val="en-US" w:eastAsia="zh-CN"/>
        </w:rPr>
        <w:t>。</w:t>
      </w:r>
    </w:p>
    <w:bookmarkEnd w:id="242"/>
    <w:bookmarkEnd w:id="243"/>
    <w:p w14:paraId="3FD18960">
      <w:pPr>
        <w:keepNext/>
        <w:keepLines/>
        <w:pageBreakBefore w:val="0"/>
        <w:widowControl w:val="0"/>
        <w:numPr>
          <w:ilvl w:val="2"/>
          <w:numId w:val="22"/>
        </w:numPr>
        <w:tabs>
          <w:tab w:val="left" w:pos="360"/>
        </w:tabs>
        <w:kinsoku/>
        <w:wordWrap/>
        <w:overflowPunct/>
        <w:topLinePunct w:val="0"/>
        <w:bidi w:val="0"/>
        <w:spacing w:beforeAutospacing="0" w:afterAutospacing="0" w:line="360" w:lineRule="auto"/>
        <w:ind w:left="850" w:right="0" w:hanging="567" w:firstLineChars="0"/>
        <w:outlineLvl w:val="2"/>
        <w:rPr>
          <w:rFonts w:ascii="仿宋" w:eastAsia="仿宋"/>
          <w:bCs/>
          <w:color w:val="auto"/>
          <w:kern w:val="2"/>
          <w:sz w:val="24"/>
          <w:szCs w:val="24"/>
          <w:lang w:val="en-US"/>
        </w:rPr>
      </w:pPr>
      <w:bookmarkStart w:id="256" w:name="_Toc500492722"/>
      <w:bookmarkStart w:id="257" w:name="_Toc496605626"/>
      <w:bookmarkStart w:id="258" w:name="_Toc494198919"/>
      <w:bookmarkStart w:id="259" w:name="_Toc314574786"/>
      <w:r>
        <w:rPr>
          <w:rFonts w:ascii="仿宋" w:eastAsia="仿宋"/>
          <w:bCs/>
          <w:color w:val="auto"/>
          <w:kern w:val="2"/>
          <w:sz w:val="24"/>
          <w:szCs w:val="24"/>
          <w:lang w:val="en-US"/>
        </w:rPr>
        <w:t>保密</w:t>
      </w:r>
      <w:bookmarkEnd w:id="256"/>
      <w:bookmarkEnd w:id="257"/>
      <w:bookmarkEnd w:id="258"/>
      <w:bookmarkEnd w:id="259"/>
    </w:p>
    <w:p w14:paraId="3FAA7745">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投标截止时间前，采购人、采购代理机构和有关人员不得向他人透露已获取招标文件的潜在投标人的名称、数量以及可能影响公平竞争的有关招标投标的其他情况。</w:t>
      </w:r>
    </w:p>
    <w:p w14:paraId="38283948">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260" w:name="_Toc21247"/>
      <w:bookmarkStart w:id="261" w:name="_Toc351016483"/>
      <w:r>
        <w:rPr>
          <w:rFonts w:ascii="仿宋" w:eastAsia="仿宋"/>
          <w:bCs/>
          <w:color w:val="auto"/>
          <w:kern w:val="2"/>
          <w:sz w:val="24"/>
          <w:szCs w:val="24"/>
          <w:lang w:val="en-US"/>
        </w:rPr>
        <w:t xml:space="preserve"> </w:t>
      </w:r>
      <w:bookmarkStart w:id="262" w:name="_Toc36215954"/>
      <w:bookmarkStart w:id="263" w:name="_Toc20794"/>
      <w:bookmarkStart w:id="264" w:name="_Toc40704278"/>
      <w:bookmarkStart w:id="265" w:name="_Toc36134564"/>
      <w:bookmarkStart w:id="266" w:name="_Toc494198594"/>
      <w:r>
        <w:rPr>
          <w:rFonts w:ascii="仿宋" w:eastAsia="仿宋"/>
          <w:bCs/>
          <w:color w:val="auto"/>
          <w:kern w:val="2"/>
          <w:sz w:val="24"/>
          <w:szCs w:val="24"/>
          <w:lang w:val="en-US"/>
        </w:rPr>
        <w:t>资金支付</w:t>
      </w:r>
      <w:bookmarkEnd w:id="260"/>
      <w:bookmarkEnd w:id="261"/>
      <w:bookmarkEnd w:id="262"/>
      <w:bookmarkEnd w:id="263"/>
      <w:bookmarkEnd w:id="264"/>
      <w:bookmarkEnd w:id="265"/>
      <w:bookmarkEnd w:id="266"/>
    </w:p>
    <w:p w14:paraId="1606617E">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采购人将按照政府采购合同规定，及时向中标人支付采购资金。</w:t>
      </w:r>
    </w:p>
    <w:p w14:paraId="7F7B8B8E">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bookmarkStart w:id="267" w:name="_Toc351016484"/>
      <w:bookmarkStart w:id="268" w:name="_Toc11604"/>
      <w:bookmarkStart w:id="269" w:name="_Toc217446078"/>
      <w:r>
        <w:rPr>
          <w:rFonts w:ascii="仿宋" w:eastAsia="仿宋"/>
          <w:bCs/>
          <w:color w:val="auto"/>
          <w:kern w:val="2"/>
          <w:sz w:val="24"/>
          <w:szCs w:val="24"/>
          <w:lang w:val="en-US"/>
        </w:rPr>
        <w:t xml:space="preserve"> </w:t>
      </w:r>
      <w:bookmarkStart w:id="270" w:name="_Toc494198595"/>
      <w:bookmarkStart w:id="271" w:name="_Toc1980"/>
      <w:bookmarkStart w:id="272" w:name="_Toc36134565"/>
      <w:bookmarkStart w:id="273" w:name="_Toc40704279"/>
      <w:bookmarkStart w:id="274" w:name="_Toc36215955"/>
      <w:r>
        <w:rPr>
          <w:rFonts w:ascii="仿宋" w:eastAsia="仿宋"/>
          <w:bCs/>
          <w:color w:val="auto"/>
          <w:kern w:val="2"/>
          <w:sz w:val="24"/>
          <w:szCs w:val="24"/>
          <w:lang w:val="en-US"/>
        </w:rPr>
        <w:t>询问、质疑和投诉</w:t>
      </w:r>
      <w:bookmarkEnd w:id="267"/>
      <w:bookmarkEnd w:id="268"/>
      <w:bookmarkEnd w:id="269"/>
      <w:bookmarkEnd w:id="270"/>
      <w:bookmarkEnd w:id="271"/>
      <w:bookmarkEnd w:id="272"/>
      <w:bookmarkEnd w:id="273"/>
      <w:bookmarkEnd w:id="274"/>
      <w:bookmarkStart w:id="275" w:name="_Toc217446079"/>
    </w:p>
    <w:bookmarkEnd w:id="275"/>
    <w:p w14:paraId="4CB1B60C">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询问、质疑、投诉的接收和处理严格按照《中华人民共和国政府采购法》、《中华人民共和国政府采购法实施条例》、《政府采购货物和服务招标投标管理办法》（财政部令第87号）、《政府采购质疑和投诉办法》</w:t>
      </w:r>
      <w:r>
        <w:rPr>
          <w:rFonts w:hint="eastAsia" w:ascii="仿宋" w:eastAsia="仿宋"/>
          <w:b w:val="0"/>
          <w:color w:val="auto"/>
          <w:kern w:val="2"/>
          <w:sz w:val="24"/>
          <w:szCs w:val="24"/>
          <w:lang w:val="en-US" w:eastAsia="zh-CN"/>
        </w:rPr>
        <w:t>和</w:t>
      </w:r>
      <w:r>
        <w:rPr>
          <w:rFonts w:ascii="仿宋" w:eastAsia="仿宋"/>
          <w:b w:val="0"/>
          <w:color w:val="auto"/>
          <w:kern w:val="2"/>
          <w:sz w:val="24"/>
          <w:szCs w:val="24"/>
          <w:lang w:val="en-US"/>
        </w:rPr>
        <w:t>《财政部关于加强政府采购供应商投诉受理审查工作的通知》</w:t>
      </w:r>
      <w:r>
        <w:rPr>
          <w:rFonts w:hint="eastAsia" w:ascii="仿宋" w:eastAsia="仿宋"/>
          <w:b w:val="0"/>
          <w:color w:val="auto"/>
          <w:kern w:val="2"/>
          <w:sz w:val="24"/>
          <w:szCs w:val="24"/>
          <w:lang w:val="en-US" w:eastAsia="zh-CN"/>
        </w:rPr>
        <w:t>的</w:t>
      </w:r>
      <w:r>
        <w:rPr>
          <w:rFonts w:ascii="仿宋" w:eastAsia="仿宋"/>
          <w:b w:val="0"/>
          <w:color w:val="auto"/>
          <w:kern w:val="2"/>
          <w:sz w:val="24"/>
          <w:szCs w:val="24"/>
          <w:lang w:val="en-US"/>
        </w:rPr>
        <w:t>规定办理。</w:t>
      </w:r>
    </w:p>
    <w:p w14:paraId="3DFF9E5E">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lang w:val="en-US"/>
        </w:rPr>
      </w:pPr>
      <w:r>
        <w:rPr>
          <w:rFonts w:ascii="仿宋" w:eastAsia="仿宋"/>
          <w:bCs/>
          <w:color w:val="auto"/>
          <w:kern w:val="2"/>
          <w:sz w:val="24"/>
          <w:szCs w:val="24"/>
          <w:lang w:val="en-US"/>
        </w:rPr>
        <w:t xml:space="preserve"> </w:t>
      </w:r>
      <w:bookmarkStart w:id="276" w:name="_Toc494198596"/>
      <w:bookmarkStart w:id="277" w:name="_Toc36215956"/>
      <w:bookmarkStart w:id="278" w:name="_Toc36134566"/>
      <w:bookmarkStart w:id="279" w:name="_Toc40704280"/>
      <w:bookmarkStart w:id="280" w:name="_Toc10310"/>
      <w:r>
        <w:rPr>
          <w:rFonts w:ascii="仿宋" w:eastAsia="仿宋"/>
          <w:bCs/>
          <w:color w:val="auto"/>
          <w:kern w:val="2"/>
          <w:sz w:val="24"/>
          <w:szCs w:val="24"/>
          <w:lang w:val="en-US"/>
        </w:rPr>
        <w:t>其他</w:t>
      </w:r>
      <w:bookmarkEnd w:id="276"/>
      <w:bookmarkEnd w:id="277"/>
      <w:bookmarkEnd w:id="278"/>
      <w:bookmarkEnd w:id="279"/>
      <w:bookmarkEnd w:id="280"/>
    </w:p>
    <w:p w14:paraId="534233A1">
      <w:pPr>
        <w:pageBreakBefore w:val="0"/>
        <w:widowControl w:val="0"/>
        <w:numPr>
          <w:ilvl w:val="0"/>
          <w:numId w:val="48"/>
        </w:numPr>
        <w:kinsoku/>
        <w:wordWrap/>
        <w:overflowPunct/>
        <w:topLinePunct w:val="0"/>
        <w:bidi w:val="0"/>
        <w:spacing w:beforeAutospacing="0" w:afterAutospacing="0" w:line="360" w:lineRule="auto"/>
        <w:ind w:left="0" w:right="0" w:firstLine="480" w:firstLineChars="0"/>
        <w:rPr>
          <w:rFonts w:ascii="仿宋" w:eastAsia="仿宋"/>
          <w:b w:val="0"/>
          <w:color w:val="auto"/>
          <w:kern w:val="2"/>
          <w:sz w:val="24"/>
          <w:szCs w:val="24"/>
          <w:lang w:val="en-US"/>
        </w:rPr>
      </w:pPr>
      <w:r>
        <w:rPr>
          <w:rFonts w:ascii="仿宋" w:eastAsia="仿宋"/>
          <w:b w:val="0"/>
          <w:color w:val="auto"/>
          <w:kern w:val="2"/>
          <w:sz w:val="24"/>
          <w:szCs w:val="24"/>
          <w:lang w:val="en-US"/>
        </w:rPr>
        <w:t>本招标文件中所引相关法律制度规定以及政府采购政策，在政府采购过程中有变化的，按照变化后的相关法律制度规定及政府采购政策执行。本章和第</w:t>
      </w:r>
      <w:r>
        <w:rPr>
          <w:rFonts w:hint="eastAsia" w:ascii="仿宋" w:eastAsia="仿宋"/>
          <w:b w:val="0"/>
          <w:color w:val="auto"/>
          <w:kern w:val="2"/>
          <w:sz w:val="24"/>
          <w:szCs w:val="24"/>
          <w:lang w:val="en-US" w:eastAsia="zh-CN"/>
        </w:rPr>
        <w:t>5</w:t>
      </w:r>
      <w:r>
        <w:rPr>
          <w:rFonts w:ascii="仿宋" w:eastAsia="仿宋"/>
          <w:b w:val="0"/>
          <w:color w:val="auto"/>
          <w:kern w:val="2"/>
          <w:sz w:val="24"/>
          <w:szCs w:val="24"/>
          <w:lang w:val="en-US"/>
        </w:rPr>
        <w:t>章中“1.总则、2.评标方法、3.评标程序”规定的内容条款，在本项目投标截止时间届满后，因相关法律制度规定及政府采购政策的变化导致不符合相关法律制度规定及政府采购政策的，直接按照变化后的相关法律制度规定及政府采购政策执行，本项目不再发布更正公告、招标文件不再做调整。</w:t>
      </w:r>
    </w:p>
    <w:p w14:paraId="63B43599">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lang w:val="en-US"/>
        </w:rPr>
      </w:pPr>
      <w:r>
        <w:rPr>
          <w:rFonts w:ascii="仿宋" w:eastAsia="仿宋"/>
          <w:b w:val="0"/>
          <w:color w:val="auto"/>
          <w:kern w:val="2"/>
          <w:sz w:val="24"/>
          <w:szCs w:val="24"/>
          <w:lang w:val="en-US"/>
        </w:rPr>
        <w:t>本招标文件中未引用的相关法律制度规定，按照中华人民共和国政府采购法及其实施条例，以及其他相关的法律、规章的规定执行。</w:t>
      </w:r>
    </w:p>
    <w:p w14:paraId="06708000">
      <w:pPr>
        <w:pageBreakBefore w:val="0"/>
        <w:widowControl w:val="0"/>
        <w:numPr>
          <w:ilvl w:val="0"/>
          <w:numId w:val="48"/>
        </w:numPr>
        <w:kinsoku/>
        <w:wordWrap/>
        <w:overflowPunct/>
        <w:topLinePunct w:val="0"/>
        <w:bidi w:val="0"/>
        <w:spacing w:beforeAutospacing="0" w:afterAutospacing="0" w:line="360" w:lineRule="auto"/>
        <w:ind w:left="0" w:right="0" w:firstLine="480" w:firstLineChars="0"/>
        <w:rPr>
          <w:rFonts w:ascii="仿宋" w:eastAsia="仿宋"/>
          <w:b w:val="0"/>
          <w:color w:val="auto"/>
          <w:kern w:val="2"/>
          <w:sz w:val="24"/>
          <w:szCs w:val="24"/>
          <w:lang w:val="en-US"/>
        </w:rPr>
      </w:pPr>
      <w:r>
        <w:rPr>
          <w:rFonts w:ascii="仿宋" w:eastAsia="仿宋"/>
          <w:b w:val="0"/>
          <w:color w:val="auto"/>
          <w:kern w:val="2"/>
          <w:sz w:val="24"/>
          <w:szCs w:val="24"/>
          <w:lang w:val="en-US"/>
        </w:rPr>
        <w:t>国家或行业主管部门对投标人和采购产品的技术标准、质量标准和资格资质条件等有强制性规定的，投标人必须承诺符合其要求，否则作无效投标处理。</w:t>
      </w:r>
    </w:p>
    <w:p w14:paraId="495EC8B1">
      <w:pPr>
        <w:pageBreakBefore w:val="0"/>
        <w:widowControl w:val="0"/>
        <w:numPr>
          <w:ilvl w:val="0"/>
          <w:numId w:val="48"/>
        </w:numPr>
        <w:kinsoku/>
        <w:wordWrap/>
        <w:overflowPunct/>
        <w:topLinePunct w:val="0"/>
        <w:bidi w:val="0"/>
        <w:spacing w:beforeAutospacing="0" w:afterAutospacing="0" w:line="360" w:lineRule="auto"/>
        <w:ind w:left="0" w:right="0" w:firstLine="480" w:firstLineChars="0"/>
        <w:rPr>
          <w:rFonts w:ascii="仿宋" w:eastAsia="仿宋"/>
          <w:b w:val="0"/>
          <w:color w:val="auto"/>
          <w:kern w:val="2"/>
          <w:sz w:val="24"/>
          <w:szCs w:val="24"/>
          <w:lang w:val="en-US"/>
        </w:rPr>
        <w:sectPr>
          <w:footerReference r:id="rId8" w:type="first"/>
          <w:footerReference r:id="rId7" w:type="default"/>
          <w:pgSz w:w="11906" w:h="16838"/>
          <w:pgMar w:top="1418" w:right="1134" w:bottom="1418" w:left="1701" w:header="850" w:footer="454" w:gutter="0"/>
          <w:pgNumType w:start="1"/>
          <w:cols w:space="720" w:num="1"/>
          <w:titlePg/>
          <w:docGrid w:type="lines" w:linePitch="437" w:charSpace="0"/>
        </w:sectPr>
      </w:pPr>
    </w:p>
    <w:p w14:paraId="0020E78C">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highlight w:val="none"/>
        </w:rPr>
      </w:pPr>
      <w:bookmarkStart w:id="281" w:name="_Toc318203496"/>
      <w:bookmarkEnd w:id="281"/>
      <w:bookmarkStart w:id="282" w:name="_Toc318203495"/>
      <w:bookmarkEnd w:id="282"/>
      <w:bookmarkStart w:id="283" w:name="_Toc494198617"/>
      <w:bookmarkStart w:id="284" w:name="_Toc36215962"/>
      <w:bookmarkStart w:id="285" w:name="_Toc353972070"/>
      <w:bookmarkStart w:id="286" w:name="_Toc36134572"/>
      <w:bookmarkStart w:id="287" w:name="_Toc325356173"/>
      <w:bookmarkStart w:id="288" w:name="_Toc40704286"/>
      <w:r>
        <w:rPr>
          <w:rFonts w:hint="eastAsia" w:ascii="仿宋" w:eastAsia="仿宋"/>
          <w:b/>
          <w:color w:val="auto"/>
          <w:highlight w:val="none"/>
          <w:lang w:val="en-US" w:eastAsia="zh-CN"/>
        </w:rPr>
        <w:t xml:space="preserve"> </w:t>
      </w:r>
      <w:bookmarkStart w:id="289" w:name="_Toc23012"/>
      <w:r>
        <w:rPr>
          <w:rFonts w:ascii="仿宋" w:eastAsia="仿宋"/>
          <w:b/>
          <w:color w:val="auto"/>
          <w:highlight w:val="none"/>
        </w:rPr>
        <w:t>投标人应当提供的资格、资质性及其他具有类似效力的</w:t>
      </w:r>
      <w:r>
        <w:rPr>
          <w:rFonts w:hint="eastAsia" w:ascii="仿宋" w:eastAsia="仿宋"/>
          <w:b/>
          <w:color w:val="auto"/>
          <w:highlight w:val="none"/>
        </w:rPr>
        <w:t>　</w:t>
      </w:r>
      <w:r>
        <w:rPr>
          <w:rFonts w:ascii="仿宋" w:eastAsia="仿宋"/>
          <w:b/>
          <w:color w:val="auto"/>
          <w:highlight w:val="none"/>
        </w:rPr>
        <w:t>要求的相关证明材料</w:t>
      </w:r>
      <w:bookmarkEnd w:id="283"/>
      <w:bookmarkEnd w:id="284"/>
      <w:bookmarkEnd w:id="285"/>
      <w:bookmarkEnd w:id="286"/>
      <w:bookmarkEnd w:id="287"/>
      <w:bookmarkEnd w:id="288"/>
      <w:bookmarkEnd w:id="289"/>
      <w:bookmarkStart w:id="290" w:name="_Toc353972071"/>
      <w:r>
        <w:rPr>
          <w:rFonts w:ascii="仿宋" w:eastAsia="仿宋"/>
          <w:b/>
          <w:color w:val="auto"/>
          <w:highlight w:val="none"/>
        </w:rPr>
        <w:t xml:space="preserve"> </w:t>
      </w:r>
    </w:p>
    <w:p w14:paraId="046AE7F7">
      <w:pPr>
        <w:pageBreakBefore w:val="0"/>
        <w:widowControl w:val="0"/>
        <w:numPr>
          <w:ilvl w:val="0"/>
          <w:numId w:val="49"/>
        </w:numPr>
        <w:kinsoku/>
        <w:wordWrap/>
        <w:overflowPunct/>
        <w:topLinePunct w:val="0"/>
        <w:bidi w:val="0"/>
        <w:spacing w:beforeAutospacing="0" w:afterAutospacing="0" w:line="360" w:lineRule="auto"/>
        <w:ind w:left="0" w:right="0"/>
        <w:rPr>
          <w:rFonts w:hint="eastAsia" w:ascii="仿宋" w:eastAsia="仿宋"/>
          <w:color w:val="auto"/>
          <w:sz w:val="24"/>
          <w:szCs w:val="24"/>
          <w:highlight w:val="none"/>
        </w:rPr>
      </w:pPr>
      <w:r>
        <w:rPr>
          <w:rFonts w:ascii="仿宋" w:eastAsia="仿宋"/>
          <w:color w:val="auto"/>
          <w:sz w:val="24"/>
          <w:szCs w:val="24"/>
          <w:highlight w:val="none"/>
        </w:rPr>
        <w:t>投标人的资格、资质性要求相关证明材料：</w:t>
      </w:r>
    </w:p>
    <w:p w14:paraId="41F9DBA0">
      <w:pPr>
        <w:pageBreakBefore w:val="0"/>
        <w:widowControl w:val="0"/>
        <w:kinsoku/>
        <w:wordWrap/>
        <w:overflowPunct/>
        <w:topLinePunct w:val="0"/>
        <w:bidi w:val="0"/>
        <w:spacing w:beforeAutospacing="0" w:afterAutospacing="0" w:line="360" w:lineRule="auto"/>
        <w:ind w:left="0" w:right="0" w:firstLine="354" w:firstLineChars="147"/>
        <w:rPr>
          <w:rFonts w:ascii="仿宋" w:eastAsia="仿宋"/>
          <w:color w:val="auto"/>
          <w:sz w:val="24"/>
          <w:szCs w:val="24"/>
          <w:highlight w:val="none"/>
        </w:rPr>
      </w:pPr>
      <w:r>
        <w:rPr>
          <w:rFonts w:hint="eastAsia" w:ascii="仿宋" w:eastAsia="仿宋"/>
          <w:color w:val="auto"/>
          <w:sz w:val="24"/>
          <w:szCs w:val="24"/>
          <w:highlight w:val="none"/>
        </w:rPr>
        <w:t>（一）资格要求相关证明材料：</w:t>
      </w:r>
    </w:p>
    <w:p w14:paraId="0AE53ECD">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1．</w:t>
      </w:r>
      <w:r>
        <w:rPr>
          <w:rFonts w:hint="eastAsia" w:ascii="仿宋" w:eastAsia="仿宋"/>
          <w:b w:val="0"/>
          <w:color w:val="auto"/>
          <w:sz w:val="24"/>
          <w:szCs w:val="24"/>
          <w:highlight w:val="none"/>
        </w:rPr>
        <w:t>具有法人或其他组织的营业执照（或法人证书）或执业许可证明材料；自然人的则为身份证明材料；（需在有效期内，加盖供应商公章）</w:t>
      </w:r>
    </w:p>
    <w:p w14:paraId="3653ED75">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2．具有良好的商业信誉和健全的财务会计制度的证明材料（加盖投标人公章)：</w:t>
      </w:r>
    </w:p>
    <w:p w14:paraId="4901631E">
      <w:pPr>
        <w:pageBreakBefore w:val="0"/>
        <w:widowControl w:val="0"/>
        <w:kinsoku/>
        <w:wordWrap/>
        <w:overflowPunct/>
        <w:topLinePunct w:val="0"/>
        <w:bidi w:val="0"/>
        <w:spacing w:beforeAutospacing="0" w:afterAutospacing="0" w:line="360" w:lineRule="auto"/>
        <w:ind w:left="0" w:right="0" w:firstLine="360" w:firstLineChars="150"/>
        <w:rPr>
          <w:rFonts w:ascii="仿宋" w:eastAsia="仿宋"/>
          <w:b w:val="0"/>
          <w:color w:val="auto"/>
          <w:sz w:val="24"/>
          <w:szCs w:val="24"/>
          <w:highlight w:val="none"/>
        </w:rPr>
      </w:pPr>
      <w:r>
        <w:rPr>
          <w:rFonts w:ascii="仿宋" w:eastAsia="仿宋"/>
          <w:b w:val="0"/>
          <w:color w:val="auto"/>
          <w:sz w:val="24"/>
          <w:szCs w:val="24"/>
          <w:highlight w:val="none"/>
        </w:rPr>
        <w:t xml:space="preserve">（1）提供具有良好的商业信誉承诺函原件； </w:t>
      </w:r>
    </w:p>
    <w:p w14:paraId="2ED4AA0D">
      <w:pPr>
        <w:pageBreakBefore w:val="0"/>
        <w:widowControl w:val="0"/>
        <w:kinsoku/>
        <w:wordWrap/>
        <w:overflowPunct/>
        <w:topLinePunct w:val="0"/>
        <w:bidi w:val="0"/>
        <w:spacing w:beforeAutospacing="0" w:afterAutospacing="0" w:line="360" w:lineRule="auto"/>
        <w:ind w:left="0" w:right="0" w:firstLine="360" w:firstLineChars="150"/>
        <w:rPr>
          <w:rFonts w:ascii="仿宋" w:eastAsia="仿宋"/>
          <w:b w:val="0"/>
          <w:color w:val="auto"/>
          <w:sz w:val="24"/>
          <w:szCs w:val="24"/>
          <w:highlight w:val="none"/>
        </w:rPr>
      </w:pPr>
      <w:r>
        <w:rPr>
          <w:rFonts w:ascii="仿宋" w:eastAsia="仿宋"/>
          <w:b w:val="0"/>
          <w:color w:val="auto"/>
          <w:sz w:val="24"/>
          <w:szCs w:val="24"/>
          <w:highlight w:val="none"/>
        </w:rPr>
        <w:t>（2）财务状况报告：</w:t>
      </w:r>
      <w:r>
        <w:rPr>
          <w:rFonts w:hint="eastAsia" w:ascii="仿宋" w:eastAsia="仿宋" w:cs="宋体"/>
          <w:b w:val="0"/>
          <w:color w:val="auto"/>
          <w:sz w:val="24"/>
          <w:szCs w:val="24"/>
          <w:highlight w:val="none"/>
        </w:rPr>
        <w:t>①</w:t>
      </w:r>
      <w:r>
        <w:rPr>
          <w:rFonts w:hint="eastAsia" w:ascii="仿宋" w:eastAsia="仿宋"/>
          <w:b w:val="0"/>
          <w:color w:val="auto"/>
          <w:sz w:val="24"/>
          <w:szCs w:val="24"/>
          <w:highlight w:val="none"/>
          <w:lang w:val="en-US" w:eastAsia="zh-CN"/>
        </w:rPr>
        <w:t>2024</w:t>
      </w:r>
      <w:r>
        <w:rPr>
          <w:rFonts w:hint="eastAsia" w:ascii="仿宋" w:eastAsia="仿宋"/>
          <w:b w:val="0"/>
          <w:color w:val="auto"/>
          <w:sz w:val="24"/>
          <w:szCs w:val="24"/>
          <w:highlight w:val="none"/>
          <w:lang w:val="en-US"/>
        </w:rPr>
        <w:t>年度</w:t>
      </w:r>
      <w:r>
        <w:rPr>
          <w:rFonts w:hint="eastAsia" w:ascii="仿宋" w:eastAsia="仿宋"/>
          <w:b w:val="0"/>
          <w:color w:val="auto"/>
          <w:sz w:val="24"/>
          <w:szCs w:val="24"/>
          <w:highlight w:val="none"/>
          <w:lang w:val="en-US" w:eastAsia="zh-CN"/>
        </w:rPr>
        <w:t>或2025年度</w:t>
      </w:r>
      <w:r>
        <w:rPr>
          <w:rFonts w:ascii="仿宋" w:eastAsia="仿宋"/>
          <w:b w:val="0"/>
          <w:color w:val="auto"/>
          <w:sz w:val="24"/>
          <w:szCs w:val="24"/>
          <w:highlight w:val="none"/>
        </w:rPr>
        <w:t>经审计的财务报告</w:t>
      </w:r>
      <w:r>
        <w:rPr>
          <w:rFonts w:hint="eastAsia" w:ascii="仿宋" w:eastAsia="仿宋"/>
          <w:b w:val="0"/>
          <w:color w:val="auto"/>
          <w:sz w:val="24"/>
          <w:szCs w:val="24"/>
          <w:highlight w:val="none"/>
        </w:rPr>
        <w:t>（</w:t>
      </w:r>
      <w:r>
        <w:rPr>
          <w:rFonts w:ascii="仿宋" w:eastAsia="仿宋"/>
          <w:b w:val="0"/>
          <w:color w:val="auto"/>
          <w:sz w:val="24"/>
          <w:szCs w:val="24"/>
          <w:highlight w:val="none"/>
        </w:rPr>
        <w:t>包含审计报告和审计报告中所涉及的财务报表、报表附注和出具报告机构、人员的证照</w:t>
      </w:r>
      <w:r>
        <w:rPr>
          <w:rFonts w:hint="eastAsia" w:ascii="仿宋" w:eastAsia="仿宋"/>
          <w:b w:val="0"/>
          <w:color w:val="auto"/>
          <w:sz w:val="24"/>
          <w:szCs w:val="24"/>
          <w:highlight w:val="none"/>
        </w:rPr>
        <w:t>）</w:t>
      </w:r>
      <w:r>
        <w:rPr>
          <w:rFonts w:ascii="仿宋" w:eastAsia="仿宋"/>
          <w:b w:val="0"/>
          <w:color w:val="auto"/>
          <w:sz w:val="24"/>
          <w:szCs w:val="24"/>
          <w:highlight w:val="none"/>
        </w:rPr>
        <w:t>复印件</w:t>
      </w:r>
      <w:r>
        <w:rPr>
          <w:rFonts w:hint="eastAsia" w:ascii="仿宋" w:eastAsia="仿宋" w:cs="宋体"/>
          <w:b w:val="0"/>
          <w:color w:val="auto"/>
          <w:sz w:val="24"/>
          <w:szCs w:val="24"/>
          <w:highlight w:val="none"/>
          <w:lang w:val="en-US" w:eastAsia="zh-CN"/>
        </w:rPr>
        <w:t>或</w:t>
      </w:r>
      <w:r>
        <w:rPr>
          <w:rFonts w:ascii="仿宋" w:eastAsia="仿宋"/>
          <w:b w:val="0"/>
          <w:color w:val="auto"/>
          <w:sz w:val="24"/>
          <w:szCs w:val="24"/>
          <w:highlight w:val="none"/>
        </w:rPr>
        <w:t>银行出具的资信证明复印件</w:t>
      </w:r>
      <w:r>
        <w:rPr>
          <w:rFonts w:hint="eastAsia" w:ascii="仿宋" w:eastAsia="仿宋"/>
          <w:b w:val="0"/>
          <w:color w:val="auto"/>
          <w:sz w:val="24"/>
          <w:szCs w:val="24"/>
          <w:highlight w:val="none"/>
          <w:lang w:eastAsia="zh-CN"/>
        </w:rPr>
        <w:t>；</w:t>
      </w:r>
      <w:r>
        <w:rPr>
          <w:rFonts w:hint="eastAsia" w:ascii="仿宋" w:eastAsia="仿宋" w:cs="仿宋"/>
          <w:b w:val="0"/>
          <w:color w:val="auto"/>
          <w:sz w:val="24"/>
          <w:szCs w:val="24"/>
          <w:highlight w:val="none"/>
          <w:lang w:val="en-US" w:eastAsia="zh-CN"/>
        </w:rPr>
        <w:t>②</w:t>
      </w:r>
      <w:r>
        <w:rPr>
          <w:rFonts w:ascii="仿宋" w:eastAsia="仿宋"/>
          <w:b w:val="0"/>
          <w:color w:val="auto"/>
          <w:sz w:val="24"/>
          <w:szCs w:val="24"/>
          <w:highlight w:val="none"/>
        </w:rPr>
        <w:t>提供具有良好的财务会计制度</w:t>
      </w:r>
      <w:r>
        <w:rPr>
          <w:rFonts w:hint="eastAsia" w:ascii="仿宋" w:eastAsia="仿宋"/>
          <w:b w:val="0"/>
          <w:color w:val="auto"/>
          <w:sz w:val="24"/>
          <w:szCs w:val="24"/>
          <w:highlight w:val="none"/>
          <w:lang w:val="en-US" w:eastAsia="zh-CN"/>
        </w:rPr>
        <w:t>或</w:t>
      </w:r>
      <w:r>
        <w:rPr>
          <w:rFonts w:ascii="仿宋" w:eastAsia="仿宋"/>
          <w:b w:val="0"/>
          <w:color w:val="auto"/>
          <w:sz w:val="24"/>
          <w:szCs w:val="24"/>
          <w:highlight w:val="none"/>
        </w:rPr>
        <w:t>财务会计制度承诺函原件；注：以上</w:t>
      </w:r>
      <w:r>
        <w:rPr>
          <w:rFonts w:hint="eastAsia" w:ascii="仿宋" w:eastAsia="仿宋" w:cs="宋体"/>
          <w:b w:val="0"/>
          <w:color w:val="auto"/>
          <w:sz w:val="24"/>
          <w:szCs w:val="24"/>
          <w:highlight w:val="none"/>
        </w:rPr>
        <w:t>①②</w:t>
      </w:r>
      <w:r>
        <w:rPr>
          <w:rFonts w:hint="eastAsia" w:ascii="仿宋" w:eastAsia="仿宋" w:cs="宋体"/>
          <w:b w:val="0"/>
          <w:color w:val="auto"/>
          <w:sz w:val="24"/>
          <w:szCs w:val="24"/>
          <w:highlight w:val="none"/>
          <w:lang w:val="en-US" w:eastAsia="zh-CN"/>
        </w:rPr>
        <w:t>必须同时提供</w:t>
      </w:r>
      <w:r>
        <w:rPr>
          <w:rFonts w:hint="eastAsia" w:ascii="仿宋" w:eastAsia="仿宋"/>
          <w:b w:val="0"/>
          <w:color w:val="auto"/>
          <w:sz w:val="24"/>
          <w:szCs w:val="24"/>
          <w:highlight w:val="none"/>
        </w:rPr>
        <w:t>；</w:t>
      </w:r>
    </w:p>
    <w:p w14:paraId="3178E97B">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3．具备履行合同所必需的设备和专业技术能力的证明材料</w:t>
      </w:r>
      <w:r>
        <w:rPr>
          <w:rFonts w:hint="eastAsia" w:ascii="仿宋" w:eastAsia="仿宋"/>
          <w:b w:val="0"/>
          <w:color w:val="auto"/>
          <w:sz w:val="24"/>
          <w:szCs w:val="24"/>
          <w:highlight w:val="none"/>
        </w:rPr>
        <w:t>（</w:t>
      </w:r>
      <w:r>
        <w:rPr>
          <w:rFonts w:ascii="仿宋" w:eastAsia="仿宋"/>
          <w:b w:val="0"/>
          <w:color w:val="auto"/>
          <w:sz w:val="24"/>
          <w:szCs w:val="24"/>
          <w:highlight w:val="none"/>
        </w:rPr>
        <w:t>承诺函原件加盖投标人公章</w:t>
      </w:r>
      <w:r>
        <w:rPr>
          <w:rFonts w:hint="eastAsia" w:ascii="仿宋" w:eastAsia="仿宋"/>
          <w:b w:val="0"/>
          <w:color w:val="auto"/>
          <w:sz w:val="24"/>
          <w:szCs w:val="24"/>
          <w:highlight w:val="none"/>
        </w:rPr>
        <w:t>）</w:t>
      </w:r>
      <w:r>
        <w:rPr>
          <w:rFonts w:ascii="仿宋" w:eastAsia="仿宋"/>
          <w:b w:val="0"/>
          <w:color w:val="auto"/>
          <w:sz w:val="24"/>
          <w:szCs w:val="24"/>
          <w:highlight w:val="none"/>
        </w:rPr>
        <w:t>；</w:t>
      </w:r>
    </w:p>
    <w:p w14:paraId="3FCD5D8A">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4．具有依法缴纳税收和社会保障资金的良好记录的相关材料</w:t>
      </w:r>
      <w:r>
        <w:rPr>
          <w:rFonts w:hint="eastAsia" w:ascii="仿宋" w:eastAsia="仿宋"/>
          <w:b w:val="0"/>
          <w:color w:val="auto"/>
          <w:sz w:val="24"/>
          <w:szCs w:val="24"/>
          <w:highlight w:val="none"/>
        </w:rPr>
        <w:t>（</w:t>
      </w:r>
      <w:r>
        <w:rPr>
          <w:rFonts w:hint="eastAsia" w:ascii="仿宋" w:eastAsia="仿宋" w:cs="宋体"/>
          <w:b w:val="0"/>
          <w:color w:val="auto"/>
          <w:sz w:val="24"/>
          <w:szCs w:val="24"/>
          <w:highlight w:val="none"/>
        </w:rPr>
        <w:t>①</w:t>
      </w:r>
      <w:r>
        <w:rPr>
          <w:rFonts w:ascii="仿宋" w:eastAsia="仿宋"/>
          <w:b w:val="0"/>
          <w:color w:val="auto"/>
          <w:sz w:val="24"/>
          <w:szCs w:val="24"/>
          <w:highlight w:val="none"/>
        </w:rPr>
        <w:t>加盖投标人公章</w:t>
      </w:r>
      <w:r>
        <w:rPr>
          <w:rFonts w:hint="eastAsia" w:ascii="仿宋" w:eastAsia="仿宋"/>
          <w:b w:val="0"/>
          <w:color w:val="auto"/>
          <w:sz w:val="24"/>
          <w:szCs w:val="24"/>
          <w:highlight w:val="none"/>
        </w:rPr>
        <w:t>；</w:t>
      </w:r>
      <w:r>
        <w:rPr>
          <w:rFonts w:hint="eastAsia" w:ascii="仿宋" w:eastAsia="仿宋" w:cs="宋体"/>
          <w:b w:val="0"/>
          <w:color w:val="auto"/>
          <w:sz w:val="24"/>
          <w:szCs w:val="24"/>
          <w:highlight w:val="none"/>
        </w:rPr>
        <w:t>②</w:t>
      </w:r>
      <w:r>
        <w:rPr>
          <w:rFonts w:hint="eastAsia" w:ascii="仿宋" w:eastAsia="仿宋"/>
          <w:b w:val="0"/>
          <w:color w:val="auto"/>
          <w:sz w:val="24"/>
          <w:szCs w:val="24"/>
          <w:highlight w:val="none"/>
        </w:rPr>
        <w:t>采购活动结束后，采购代理机构将通过信用中国等网站核实投标人所作承诺真实性）</w:t>
      </w:r>
      <w:r>
        <w:rPr>
          <w:rFonts w:ascii="仿宋" w:eastAsia="仿宋"/>
          <w:b w:val="0"/>
          <w:color w:val="auto"/>
          <w:sz w:val="24"/>
          <w:szCs w:val="24"/>
          <w:highlight w:val="none"/>
        </w:rPr>
        <w:t>：</w:t>
      </w:r>
    </w:p>
    <w:p w14:paraId="3F40BF5A">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（1）20</w:t>
      </w:r>
      <w:r>
        <w:rPr>
          <w:rFonts w:hint="eastAsia" w:ascii="仿宋" w:eastAsia="仿宋"/>
          <w:b w:val="0"/>
          <w:color w:val="auto"/>
          <w:sz w:val="24"/>
          <w:szCs w:val="24"/>
          <w:highlight w:val="none"/>
          <w:lang w:val="en-US"/>
        </w:rPr>
        <w:t>2</w:t>
      </w:r>
      <w:r>
        <w:rPr>
          <w:rFonts w:hint="eastAsia" w:ascii="仿宋" w:eastAsia="仿宋"/>
          <w:b w:val="0"/>
          <w:color w:val="auto"/>
          <w:sz w:val="24"/>
          <w:szCs w:val="24"/>
          <w:highlight w:val="none"/>
          <w:lang w:val="en-US" w:eastAsia="zh-CN"/>
        </w:rPr>
        <w:t>6</w:t>
      </w:r>
      <w:r>
        <w:rPr>
          <w:rFonts w:ascii="仿宋" w:eastAsia="仿宋"/>
          <w:b w:val="0"/>
          <w:color w:val="auto"/>
          <w:sz w:val="24"/>
          <w:szCs w:val="24"/>
          <w:highlight w:val="none"/>
        </w:rPr>
        <w:t>年以来任意1个月的税收缴纳证明材料复印件（注：证明材料可为银行电子回单或者税务部门出具的纳税证明或完税证明或有效票据的复印件）；</w:t>
      </w:r>
    </w:p>
    <w:p w14:paraId="41CDBFB7">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（2）20</w:t>
      </w:r>
      <w:r>
        <w:rPr>
          <w:rFonts w:hint="eastAsia" w:ascii="仿宋" w:eastAsia="仿宋"/>
          <w:b w:val="0"/>
          <w:color w:val="auto"/>
          <w:sz w:val="24"/>
          <w:szCs w:val="24"/>
          <w:highlight w:val="none"/>
          <w:lang w:val="en-US" w:eastAsia="zh-CN"/>
        </w:rPr>
        <w:t>26</w:t>
      </w:r>
      <w:r>
        <w:rPr>
          <w:rFonts w:ascii="仿宋" w:eastAsia="仿宋"/>
          <w:b w:val="0"/>
          <w:color w:val="auto"/>
          <w:sz w:val="24"/>
          <w:szCs w:val="24"/>
          <w:highlight w:val="none"/>
        </w:rPr>
        <w:t>年以来任意1个月的社保缴纳证明材料复印件（注：证明材料可为银行电子回单或社保部门出具的社保缴纳证明材料或有效票据复印件）；</w:t>
      </w:r>
    </w:p>
    <w:p w14:paraId="7E41FE49">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5．参加本次政府采购活动前三年内，在经营活动中没有重大违法记录的证明材料</w:t>
      </w:r>
      <w:r>
        <w:rPr>
          <w:rFonts w:hint="eastAsia" w:ascii="仿宋" w:eastAsia="仿宋"/>
          <w:b w:val="0"/>
          <w:color w:val="auto"/>
          <w:sz w:val="24"/>
          <w:szCs w:val="24"/>
          <w:highlight w:val="none"/>
        </w:rPr>
        <w:t>（</w:t>
      </w:r>
      <w:r>
        <w:rPr>
          <w:rFonts w:ascii="仿宋" w:eastAsia="仿宋"/>
          <w:b w:val="0"/>
          <w:color w:val="auto"/>
          <w:sz w:val="24"/>
          <w:szCs w:val="24"/>
          <w:highlight w:val="none"/>
        </w:rPr>
        <w:t>承诺函原件加盖投标人公章。</w:t>
      </w:r>
      <w:r>
        <w:rPr>
          <w:rFonts w:hint="eastAsia" w:ascii="仿宋" w:eastAsia="仿宋"/>
          <w:b w:val="0"/>
          <w:color w:val="auto"/>
          <w:sz w:val="24"/>
          <w:szCs w:val="24"/>
          <w:highlight w:val="none"/>
        </w:rPr>
        <w:t>）</w:t>
      </w:r>
      <w:r>
        <w:rPr>
          <w:rFonts w:ascii="仿宋" w:eastAsia="仿宋"/>
          <w:b w:val="0"/>
          <w:color w:val="auto"/>
          <w:sz w:val="24"/>
          <w:szCs w:val="24"/>
          <w:highlight w:val="none"/>
        </w:rPr>
        <w:t>；</w:t>
      </w:r>
    </w:p>
    <w:p w14:paraId="0DE45B84">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6．具备法律、行政法规规定的其他条件的证明材料复印件或承诺函原件（加盖投标人公章）；</w:t>
      </w:r>
    </w:p>
    <w:p w14:paraId="01FE8CA5">
      <w:pPr>
        <w:pStyle w:val="101"/>
        <w:pageBreakBefore w:val="0"/>
        <w:widowControl w:val="0"/>
        <w:kinsoku/>
        <w:wordWrap/>
        <w:overflowPunct/>
        <w:topLinePunct w:val="0"/>
        <w:bidi w:val="0"/>
        <w:spacing w:beforeAutospacing="0" w:afterAutospacing="0" w:line="360" w:lineRule="auto"/>
        <w:ind w:left="0" w:right="0"/>
        <w:rPr>
          <w:rFonts w:hint="eastAsia" w:ascii="仿宋" w:eastAsia="仿宋" w:cs="仿宋"/>
          <w:b w:val="0"/>
          <w:bCs/>
          <w:color w:val="auto"/>
          <w:sz w:val="24"/>
          <w:szCs w:val="24"/>
          <w:highlight w:val="none"/>
        </w:rPr>
      </w:pPr>
      <w:r>
        <w:rPr>
          <w:rFonts w:ascii="仿宋" w:eastAsia="仿宋"/>
          <w:b w:val="0"/>
          <w:color w:val="auto"/>
          <w:sz w:val="24"/>
          <w:szCs w:val="24"/>
          <w:highlight w:val="none"/>
        </w:rPr>
        <w:t>7</w:t>
      </w:r>
      <w:r>
        <w:rPr>
          <w:rFonts w:hint="eastAsia" w:ascii="仿宋" w:eastAsia="仿宋"/>
          <w:b w:val="0"/>
          <w:color w:val="auto"/>
          <w:sz w:val="24"/>
          <w:szCs w:val="24"/>
          <w:highlight w:val="none"/>
        </w:rPr>
        <w:t>．</w:t>
      </w:r>
      <w:r>
        <w:rPr>
          <w:rFonts w:hint="eastAsia" w:ascii="仿宋" w:eastAsia="仿宋" w:cs="仿宋"/>
          <w:b w:val="0"/>
          <w:bCs/>
          <w:color w:val="auto"/>
          <w:sz w:val="24"/>
          <w:szCs w:val="24"/>
          <w:highlight w:val="none"/>
        </w:rPr>
        <w:t>采购人根据采购项目提出的特殊条件证明材料：</w:t>
      </w:r>
    </w:p>
    <w:p w14:paraId="166AF0EF">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right="0"/>
        <w:textAlignment w:val="auto"/>
        <w:rPr>
          <w:rFonts w:ascii="仿宋" w:eastAsia="仿宋" w:cs="仿宋"/>
          <w:b w:val="0"/>
          <w:bCs/>
          <w:strike/>
          <w:dstrike w:val="0"/>
          <w:color w:val="auto"/>
          <w:sz w:val="24"/>
          <w:szCs w:val="24"/>
          <w:highlight w:val="none"/>
          <w:lang w:val="en-US" w:eastAsia="zh-CN"/>
        </w:rPr>
      </w:pPr>
      <w:r>
        <w:rPr>
          <w:rFonts w:hint="eastAsia" w:ascii="仿宋" w:eastAsia="仿宋"/>
          <w:b w:val="0"/>
          <w:color w:val="auto"/>
          <w:kern w:val="2"/>
          <w:sz w:val="24"/>
          <w:szCs w:val="24"/>
          <w:highlight w:val="none"/>
          <w:lang w:val="en-US" w:eastAsia="zh-CN"/>
        </w:rPr>
        <w:t>（1）餐食保障和人员服务保障。供应商须具有有效的《食品生产许可证》或《食品经营许可证》，若为经营企业则须提供《食品经营许可证》；</w:t>
      </w:r>
      <w:r>
        <w:rPr>
          <w:rFonts w:hint="eastAsia" w:ascii="仿宋" w:eastAsia="仿宋" w:cs="Times New Roman"/>
          <w:b w:val="0"/>
          <w:color w:val="auto"/>
          <w:kern w:val="2"/>
          <w:sz w:val="24"/>
          <w:szCs w:val="24"/>
          <w:highlight w:val="none"/>
          <w:lang w:val="en-US" w:eastAsia="zh-CN"/>
        </w:rPr>
        <w:t>（2）本项目提供的工作人员要足额配置，由承包方自行招聘，并提供人员清单。所有从业人员均须持有效的健康证，并且能够提供无犯罪记录证明，以此确保食堂运营的规范性与可靠性（按要求提供证明文件，加盖公章。）</w:t>
      </w:r>
      <w:r>
        <w:rPr>
          <w:rFonts w:hint="eastAsia" w:ascii="仿宋" w:eastAsia="仿宋"/>
          <w:b w:val="0"/>
          <w:color w:val="auto"/>
          <w:kern w:val="2"/>
          <w:sz w:val="24"/>
          <w:szCs w:val="24"/>
          <w:highlight w:val="none"/>
          <w:lang w:val="en-US" w:eastAsia="zh-CN"/>
        </w:rPr>
        <w:t>；（3）未被“信用中国”（www.creditchina.gov.cn）列入失信被执行人、重大税收违法案件当事人名单，未被“中国政府采购网”（www.ccgp.gov.cn）列入政府采购严重违法失信行为记录名单（提供查询截图，</w:t>
      </w:r>
      <w:r>
        <w:rPr>
          <w:rFonts w:hint="eastAsia" w:ascii="仿宋" w:eastAsia="仿宋" w:cs="仿宋"/>
          <w:b w:val="0"/>
          <w:bCs/>
          <w:color w:val="auto"/>
          <w:spacing w:val="-8"/>
          <w:sz w:val="24"/>
          <w:szCs w:val="24"/>
        </w:rPr>
        <w:t>网页打印件须自</w:t>
      </w:r>
      <w:r>
        <w:rPr>
          <w:rFonts w:hint="eastAsia" w:ascii="仿宋" w:eastAsia="仿宋" w:cs="仿宋"/>
          <w:b w:val="0"/>
          <w:bCs/>
          <w:color w:val="auto"/>
          <w:spacing w:val="-8"/>
          <w:sz w:val="24"/>
          <w:szCs w:val="24"/>
          <w:lang w:val="en-US" w:eastAsia="zh-CN"/>
        </w:rPr>
        <w:t>招标</w:t>
      </w:r>
      <w:r>
        <w:rPr>
          <w:rFonts w:hint="eastAsia" w:ascii="仿宋" w:eastAsia="仿宋" w:cs="仿宋"/>
          <w:b w:val="0"/>
          <w:bCs/>
          <w:color w:val="auto"/>
          <w:spacing w:val="-8"/>
          <w:sz w:val="24"/>
          <w:szCs w:val="24"/>
        </w:rPr>
        <w:t>公告发布之日起至首次提交</w:t>
      </w:r>
      <w:r>
        <w:rPr>
          <w:rFonts w:hint="eastAsia" w:ascii="仿宋" w:eastAsia="仿宋" w:cs="仿宋"/>
          <w:b w:val="0"/>
          <w:bCs/>
          <w:color w:val="auto"/>
          <w:spacing w:val="-8"/>
          <w:sz w:val="24"/>
          <w:szCs w:val="24"/>
          <w:lang w:val="en-US" w:eastAsia="zh-CN"/>
        </w:rPr>
        <w:t>投标</w:t>
      </w:r>
      <w:r>
        <w:rPr>
          <w:rFonts w:hint="eastAsia" w:ascii="仿宋" w:eastAsia="仿宋" w:cs="仿宋"/>
          <w:b w:val="0"/>
          <w:bCs/>
          <w:color w:val="auto"/>
          <w:spacing w:val="-8"/>
          <w:sz w:val="24"/>
          <w:szCs w:val="24"/>
        </w:rPr>
        <w:t>文件截止时间内从上述网站中打印）并加盖公章</w:t>
      </w:r>
      <w:r>
        <w:rPr>
          <w:rFonts w:hint="eastAsia" w:ascii="仿宋" w:eastAsia="仿宋"/>
          <w:b w:val="0"/>
          <w:color w:val="auto"/>
          <w:kern w:val="2"/>
          <w:sz w:val="24"/>
          <w:szCs w:val="24"/>
          <w:highlight w:val="none"/>
          <w:lang w:val="en-US" w:eastAsia="zh-CN"/>
        </w:rPr>
        <w:t>；（4）本项目不允许转包或分包，不允许联合体投标，提供承诺书（加盖投标人公章和法人章）。（5）</w:t>
      </w:r>
      <w:r>
        <w:rPr>
          <w:rFonts w:hint="eastAsia" w:ascii="仿宋" w:eastAsia="仿宋" w:cs="仿宋"/>
          <w:b w:val="0"/>
          <w:bCs/>
          <w:color w:val="auto"/>
          <w:sz w:val="24"/>
          <w:szCs w:val="24"/>
          <w:highlight w:val="none"/>
        </w:rPr>
        <w:t>单位负责人为同一人或者存在直接控股、管理关系的不同</w:t>
      </w:r>
      <w:r>
        <w:rPr>
          <w:rFonts w:hint="eastAsia" w:ascii="仿宋" w:eastAsia="仿宋" w:cs="仿宋"/>
          <w:b w:val="0"/>
          <w:bCs/>
          <w:color w:val="auto"/>
          <w:sz w:val="24"/>
          <w:szCs w:val="24"/>
          <w:highlight w:val="none"/>
          <w:lang w:eastAsia="zh-CN"/>
        </w:rPr>
        <w:t>投标人</w:t>
      </w:r>
      <w:r>
        <w:rPr>
          <w:rFonts w:hint="eastAsia" w:ascii="仿宋" w:eastAsia="仿宋" w:cs="仿宋"/>
          <w:b w:val="0"/>
          <w:bCs/>
          <w:color w:val="auto"/>
          <w:sz w:val="24"/>
          <w:szCs w:val="24"/>
          <w:highlight w:val="none"/>
        </w:rPr>
        <w:t>，不得参加同一合同项下的政府采购活动</w:t>
      </w:r>
      <w:r>
        <w:rPr>
          <w:rFonts w:hint="eastAsia" w:ascii="仿宋" w:eastAsia="仿宋"/>
          <w:b w:val="0"/>
          <w:color w:val="auto"/>
          <w:kern w:val="2"/>
          <w:sz w:val="24"/>
          <w:szCs w:val="24"/>
          <w:highlight w:val="none"/>
          <w:lang w:val="en-US" w:eastAsia="zh-CN"/>
        </w:rPr>
        <w:t>；（6）提供</w:t>
      </w:r>
      <w:r>
        <w:rPr>
          <w:rFonts w:hint="eastAsia" w:ascii="仿宋" w:eastAsia="仿宋" w:cs="仿宋"/>
          <w:b w:val="0"/>
          <w:bCs/>
          <w:color w:val="auto"/>
          <w:sz w:val="24"/>
          <w:szCs w:val="24"/>
          <w:highlight w:val="none"/>
          <w:shd w:val="clear" w:color="auto" w:fill="auto"/>
          <w:lang w:val="en-US" w:eastAsia="zh-CN"/>
        </w:rPr>
        <w:t>针对本次招标项目《反商业贿赂承诺书》的书面声明（加盖投标人公章和法人章）。</w:t>
      </w:r>
    </w:p>
    <w:p w14:paraId="7FB6B16A">
      <w:pPr>
        <w:keepNext w:val="0"/>
        <w:keepLines w:val="0"/>
        <w:pageBreakBefore w:val="0"/>
        <w:widowControl w:val="0"/>
        <w:tabs>
          <w:tab w:val="left" w:pos="1134"/>
        </w:tabs>
        <w:kinsoku/>
        <w:wordWrap/>
        <w:overflowPunct/>
        <w:topLinePunct w:val="0"/>
        <w:autoSpaceDE/>
        <w:autoSpaceDN/>
        <w:bidi w:val="0"/>
        <w:adjustRightInd/>
        <w:snapToGrid/>
        <w:spacing w:beforeAutospacing="0" w:afterAutospacing="0" w:line="360" w:lineRule="auto"/>
        <w:ind w:left="480" w:leftChars="150" w:right="0" w:firstLine="0" w:firstLineChars="0"/>
        <w:jc w:val="left"/>
        <w:textAlignment w:val="auto"/>
        <w:rPr>
          <w:rFonts w:hint="eastAsia" w:ascii="仿宋" w:eastAsia="仿宋"/>
          <w:b w:val="0"/>
          <w:color w:val="auto"/>
          <w:sz w:val="24"/>
          <w:szCs w:val="24"/>
          <w:highlight w:val="none"/>
        </w:rPr>
      </w:pPr>
      <w:r>
        <w:rPr>
          <w:rFonts w:hint="eastAsia" w:ascii="仿宋" w:eastAsia="仿宋"/>
          <w:b w:val="0"/>
          <w:color w:val="auto"/>
          <w:sz w:val="24"/>
          <w:szCs w:val="24"/>
          <w:highlight w:val="none"/>
          <w:lang w:val="en-US" w:eastAsia="zh-CN"/>
        </w:rPr>
        <w:t>8</w:t>
      </w:r>
      <w:r>
        <w:rPr>
          <w:rFonts w:hint="eastAsia" w:ascii="仿宋" w:eastAsia="仿宋"/>
          <w:b w:val="0"/>
          <w:color w:val="auto"/>
          <w:sz w:val="24"/>
          <w:szCs w:val="24"/>
          <w:highlight w:val="none"/>
        </w:rPr>
        <w:t>．</w:t>
      </w:r>
      <w:r>
        <w:rPr>
          <w:rFonts w:hint="eastAsia" w:ascii="仿宋" w:eastAsia="仿宋"/>
          <w:b w:val="0"/>
          <w:bCs/>
          <w:color w:val="auto"/>
          <w:sz w:val="24"/>
          <w:szCs w:val="24"/>
          <w:highlight w:val="none"/>
        </w:rPr>
        <w:t>按照规定获取了招标文件</w:t>
      </w:r>
      <w:r>
        <w:rPr>
          <w:rFonts w:hint="eastAsia" w:ascii="仿宋" w:eastAsia="仿宋"/>
          <w:b w:val="0"/>
          <w:color w:val="auto"/>
          <w:sz w:val="24"/>
          <w:szCs w:val="24"/>
          <w:highlight w:val="none"/>
        </w:rPr>
        <w:t>（代理机构出具的登记表即可，投标人无须提供）</w:t>
      </w:r>
    </w:p>
    <w:p w14:paraId="4C0AE86C">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right="0"/>
        <w:textAlignment w:val="auto"/>
        <w:rPr>
          <w:rFonts w:hint="eastAsia" w:ascii="仿宋" w:eastAsia="仿宋"/>
          <w:b w:val="0"/>
          <w:color w:val="auto"/>
          <w:sz w:val="24"/>
          <w:szCs w:val="24"/>
          <w:highlight w:val="none"/>
        </w:rPr>
      </w:pPr>
      <w:r>
        <w:rPr>
          <w:rFonts w:hint="eastAsia" w:ascii="仿宋" w:eastAsia="仿宋"/>
          <w:b w:val="0"/>
          <w:bCs/>
          <w:color w:val="auto"/>
          <w:sz w:val="24"/>
          <w:szCs w:val="24"/>
          <w:highlight w:val="none"/>
          <w:lang w:val="en-US" w:eastAsia="zh-CN"/>
        </w:rPr>
        <w:t>9</w:t>
      </w:r>
      <w:r>
        <w:rPr>
          <w:rFonts w:hint="eastAsia" w:ascii="仿宋" w:eastAsia="仿宋"/>
          <w:b w:val="0"/>
          <w:color w:val="auto"/>
          <w:sz w:val="24"/>
          <w:szCs w:val="24"/>
          <w:highlight w:val="none"/>
        </w:rPr>
        <w:t>．本项目不接受联合体参与投标，联合体参与投标的，作无效处理。</w:t>
      </w:r>
      <w:r>
        <w:rPr>
          <w:rFonts w:hint="eastAsia" w:ascii="仿宋" w:eastAsia="仿宋"/>
          <w:b w:val="0"/>
          <w:color w:val="auto"/>
          <w:sz w:val="24"/>
          <w:szCs w:val="24"/>
          <w:highlight w:val="none"/>
          <w:lang w:val="en-US" w:eastAsia="zh-CN"/>
        </w:rPr>
        <w:t>需提供声明或承诺函并加盖公章。</w:t>
      </w:r>
    </w:p>
    <w:p w14:paraId="21352324">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textAlignment w:val="auto"/>
        <w:rPr>
          <w:rFonts w:ascii="仿宋" w:eastAsia="仿宋" w:cs="Times New Roman"/>
          <w:b w:val="0"/>
          <w:color w:val="auto"/>
          <w:sz w:val="24"/>
          <w:szCs w:val="24"/>
          <w:highlight w:val="none"/>
          <w:lang w:val="en-US" w:eastAsia="zh-CN"/>
        </w:rPr>
      </w:pPr>
      <w:r>
        <w:rPr>
          <w:rFonts w:hint="eastAsia" w:ascii="仿宋" w:eastAsia="仿宋" w:cs="Times New Roman"/>
          <w:b w:val="0"/>
          <w:color w:val="auto"/>
          <w:sz w:val="24"/>
          <w:szCs w:val="24"/>
          <w:highlight w:val="none"/>
          <w:lang w:val="en-US" w:eastAsia="zh-CN"/>
        </w:rPr>
        <w:t>10.按照规定缴纳了投标保证金（投标单位出具的投标保证金缴纳凭证与《基本账户开户许可证》（或基本存款账户信息的扫描件）复印件加盖公章）。</w:t>
      </w:r>
    </w:p>
    <w:p w14:paraId="1C83B55E">
      <w:pPr>
        <w:pageBreakBefore w:val="0"/>
        <w:widowControl w:val="0"/>
        <w:kinsoku/>
        <w:wordWrap/>
        <w:overflowPunct/>
        <w:topLinePunct w:val="0"/>
        <w:bidi w:val="0"/>
        <w:spacing w:beforeAutospacing="0" w:afterAutospacing="0" w:line="360" w:lineRule="auto"/>
        <w:ind w:left="0" w:right="0" w:firstLine="361" w:firstLineChars="150"/>
        <w:rPr>
          <w:rFonts w:hint="eastAsia" w:ascii="仿宋" w:eastAsia="仿宋"/>
          <w:color w:val="auto"/>
          <w:sz w:val="24"/>
          <w:szCs w:val="24"/>
          <w:highlight w:val="none"/>
        </w:rPr>
      </w:pPr>
      <w:r>
        <w:rPr>
          <w:rFonts w:hint="eastAsia" w:ascii="仿宋" w:eastAsia="仿宋"/>
          <w:color w:val="auto"/>
          <w:sz w:val="24"/>
          <w:szCs w:val="24"/>
          <w:highlight w:val="none"/>
        </w:rPr>
        <w:t>（二）落实政府采购政策需满足的资格要求证明材料</w:t>
      </w:r>
    </w:p>
    <w:p w14:paraId="55B92270">
      <w:pPr>
        <w:pStyle w:val="75"/>
        <w:snapToGrid/>
        <w:spacing w:before="60" w:beforeAutospacing="0" w:after="60" w:afterAutospacing="0" w:line="420" w:lineRule="exact"/>
        <w:ind w:firstLine="480"/>
        <w:rPr>
          <w:rFonts w:hint="eastAsia" w:ascii="仿宋" w:hAnsi="仿宋" w:eastAsia="仿宋" w:cs="宋体"/>
          <w:b w:val="0"/>
          <w:color w:val="auto"/>
          <w:sz w:val="24"/>
          <w:szCs w:val="24"/>
          <w:highlight w:val="none"/>
          <w:lang w:val="en-US"/>
        </w:rPr>
      </w:pPr>
      <w:r>
        <w:rPr>
          <w:rFonts w:hint="eastAsia" w:ascii="仿宋" w:eastAsia="仿宋" w:cs="宋体"/>
          <w:b w:val="0"/>
          <w:color w:val="auto"/>
          <w:sz w:val="24"/>
          <w:szCs w:val="24"/>
          <w:highlight w:val="none"/>
          <w:lang w:val="en-US"/>
        </w:rPr>
        <w:t>专门面向中小企业</w:t>
      </w:r>
      <w:r>
        <w:rPr>
          <w:rFonts w:hint="eastAsia" w:ascii="仿宋" w:eastAsia="仿宋" w:cs="宋体"/>
          <w:b w:val="0"/>
          <w:color w:val="auto"/>
          <w:sz w:val="24"/>
          <w:szCs w:val="24"/>
          <w:highlight w:val="none"/>
          <w:lang w:val="en-US" w:eastAsia="zh-CN"/>
        </w:rPr>
        <w:t>：</w:t>
      </w:r>
      <w:r>
        <w:rPr>
          <w:rFonts w:hint="eastAsia" w:ascii="仿宋" w:eastAsia="仿宋" w:cs="宋体"/>
          <w:b w:val="0"/>
          <w:color w:val="auto"/>
          <w:sz w:val="24"/>
          <w:szCs w:val="24"/>
          <w:lang w:val="en-US" w:eastAsia="zh-CN"/>
        </w:rPr>
        <w:t>根据《政府采购促进中小企业发展管理办法》（财库[2020]46号）的规定，</w:t>
      </w:r>
      <w:r>
        <w:rPr>
          <w:rFonts w:hint="eastAsia" w:ascii="仿宋" w:hAnsi="仿宋" w:eastAsia="仿宋" w:cs="宋体"/>
          <w:b w:val="0"/>
          <w:color w:val="auto"/>
          <w:sz w:val="24"/>
          <w:szCs w:val="24"/>
          <w:highlight w:val="none"/>
          <w:lang w:val="en-US"/>
        </w:rPr>
        <w:t>评审时不再执行价格评审优惠的扶持政策。应当提供《中小企业声明函》</w:t>
      </w:r>
      <w:r>
        <w:rPr>
          <w:rFonts w:hint="eastAsia" w:ascii="仿宋" w:hAnsi="仿宋" w:eastAsia="仿宋" w:cs="宋体"/>
          <w:b w:val="0"/>
          <w:color w:val="auto"/>
          <w:sz w:val="24"/>
          <w:szCs w:val="24"/>
          <w:highlight w:val="none"/>
          <w:lang w:val="en-US" w:eastAsia="zh-CN"/>
        </w:rPr>
        <w:t>（复印件加盖公章）</w:t>
      </w:r>
      <w:r>
        <w:rPr>
          <w:rFonts w:hint="eastAsia" w:ascii="仿宋" w:hAnsi="仿宋" w:eastAsia="仿宋" w:cs="宋体"/>
          <w:b w:val="0"/>
          <w:color w:val="auto"/>
          <w:sz w:val="24"/>
          <w:szCs w:val="24"/>
          <w:highlight w:val="none"/>
          <w:lang w:val="en-US"/>
        </w:rPr>
        <w:t xml:space="preserve">（格式详见 </w:t>
      </w:r>
      <w:r>
        <w:rPr>
          <w:rFonts w:hint="eastAsia" w:ascii="仿宋" w:hAnsi="仿宋" w:eastAsia="仿宋" w:cs="宋体"/>
          <w:b w:val="0"/>
          <w:color w:val="auto"/>
          <w:sz w:val="24"/>
          <w:szCs w:val="24"/>
          <w:highlight w:val="none"/>
          <w:lang w:val="en-US" w:eastAsia="zh-CN"/>
        </w:rPr>
        <w:t>投标</w:t>
      </w:r>
      <w:r>
        <w:rPr>
          <w:rFonts w:hint="eastAsia" w:ascii="仿宋" w:hAnsi="仿宋" w:eastAsia="仿宋" w:cs="宋体"/>
          <w:b w:val="0"/>
          <w:color w:val="auto"/>
          <w:sz w:val="24"/>
          <w:szCs w:val="24"/>
          <w:highlight w:val="none"/>
          <w:lang w:val="en-US"/>
        </w:rPr>
        <w:t>文件格式《中小企业声明函》）</w:t>
      </w:r>
      <w:r>
        <w:rPr>
          <w:rFonts w:hint="eastAsia" w:ascii="仿宋" w:hAnsi="仿宋" w:eastAsia="仿宋" w:cs="宋体"/>
          <w:b w:val="0"/>
          <w:color w:val="auto"/>
          <w:sz w:val="24"/>
          <w:szCs w:val="24"/>
          <w:highlight w:val="none"/>
          <w:lang w:val="en-US" w:eastAsia="zh-CN"/>
        </w:rPr>
        <w:t>，</w:t>
      </w:r>
      <w:r>
        <w:rPr>
          <w:rFonts w:hint="eastAsia" w:ascii="仿宋" w:hAnsi="仿宋" w:eastAsia="仿宋" w:cs="宋体"/>
          <w:b/>
          <w:bCs/>
          <w:color w:val="auto"/>
          <w:sz w:val="24"/>
          <w:szCs w:val="24"/>
          <w:highlight w:val="none"/>
          <w:lang w:val="en-US"/>
        </w:rPr>
        <w:t>未提供的，作为无效投标处理。</w:t>
      </w:r>
    </w:p>
    <w:p w14:paraId="29CEE133">
      <w:pPr>
        <w:pageBreakBefore w:val="0"/>
        <w:widowControl w:val="0"/>
        <w:kinsoku/>
        <w:wordWrap/>
        <w:overflowPunct/>
        <w:topLinePunct w:val="0"/>
        <w:bidi w:val="0"/>
        <w:spacing w:beforeAutospacing="0" w:afterAutospacing="0" w:line="360" w:lineRule="auto"/>
        <w:ind w:left="0" w:right="0" w:firstLine="0" w:firstLineChars="0"/>
        <w:rPr>
          <w:rFonts w:ascii="仿宋" w:eastAsia="仿宋"/>
          <w:b w:val="0"/>
          <w:color w:val="auto"/>
          <w:sz w:val="24"/>
          <w:szCs w:val="24"/>
          <w:highlight w:val="none"/>
        </w:rPr>
      </w:pPr>
    </w:p>
    <w:p w14:paraId="24D7824F">
      <w:pPr>
        <w:pageBreakBefore w:val="0"/>
        <w:widowControl w:val="0"/>
        <w:kinsoku/>
        <w:wordWrap/>
        <w:overflowPunct/>
        <w:topLinePunct w:val="0"/>
        <w:bidi w:val="0"/>
        <w:spacing w:beforeAutospacing="0" w:afterAutospacing="0" w:line="360" w:lineRule="auto"/>
        <w:ind w:left="0" w:right="0" w:firstLine="0" w:firstLineChars="0"/>
        <w:rPr>
          <w:rFonts w:ascii="仿宋" w:eastAsia="仿宋"/>
          <w:b w:val="0"/>
          <w:color w:val="auto"/>
          <w:sz w:val="24"/>
          <w:szCs w:val="24"/>
          <w:highlight w:val="none"/>
        </w:rPr>
      </w:pPr>
    </w:p>
    <w:p w14:paraId="793B8C6C">
      <w:pPr>
        <w:pageBreakBefore w:val="0"/>
        <w:widowControl w:val="0"/>
        <w:kinsoku/>
        <w:wordWrap/>
        <w:overflowPunct/>
        <w:topLinePunct w:val="0"/>
        <w:bidi w:val="0"/>
        <w:spacing w:beforeAutospacing="0" w:afterAutospacing="0" w:line="360" w:lineRule="auto"/>
        <w:ind w:left="0" w:right="0" w:firstLine="0" w:firstLineChars="0"/>
        <w:rPr>
          <w:rFonts w:ascii="仿宋" w:eastAsia="仿宋"/>
          <w:b/>
          <w:bCs/>
          <w:color w:val="auto"/>
          <w:sz w:val="24"/>
          <w:szCs w:val="24"/>
          <w:highlight w:val="none"/>
          <w:lang w:val="en-US"/>
        </w:rPr>
      </w:pPr>
      <w:r>
        <w:rPr>
          <w:rFonts w:ascii="仿宋" w:eastAsia="仿宋"/>
          <w:b/>
          <w:bCs/>
          <w:color w:val="auto"/>
          <w:sz w:val="24"/>
          <w:szCs w:val="24"/>
          <w:highlight w:val="none"/>
        </w:rPr>
        <w:t>注意</w:t>
      </w:r>
      <w:r>
        <w:rPr>
          <w:rFonts w:ascii="仿宋" w:eastAsia="仿宋"/>
          <w:b/>
          <w:bCs/>
          <w:color w:val="auto"/>
          <w:sz w:val="24"/>
          <w:szCs w:val="24"/>
          <w:highlight w:val="none"/>
          <w:lang w:val="en-US"/>
        </w:rPr>
        <w:t>：</w:t>
      </w:r>
    </w:p>
    <w:p w14:paraId="42245D56">
      <w:pPr>
        <w:pageBreakBefore w:val="0"/>
        <w:widowControl w:val="0"/>
        <w:numPr>
          <w:ilvl w:val="0"/>
          <w:numId w:val="50"/>
        </w:numPr>
        <w:kinsoku/>
        <w:wordWrap/>
        <w:overflowPunct/>
        <w:topLinePunct w:val="0"/>
        <w:bidi w:val="0"/>
        <w:spacing w:beforeAutospacing="0" w:afterAutospacing="0" w:line="360" w:lineRule="auto"/>
        <w:ind w:left="0" w:right="0" w:firstLine="480" w:firstLineChars="200"/>
        <w:rPr>
          <w:rFonts w:hint="eastAsia" w:ascii="仿宋" w:eastAsia="仿宋"/>
          <w:b w:val="0"/>
          <w:color w:val="auto"/>
          <w:sz w:val="24"/>
          <w:szCs w:val="24"/>
          <w:highlight w:val="none"/>
          <w:lang w:eastAsia="zh-CN"/>
        </w:rPr>
      </w:pPr>
      <w:r>
        <w:rPr>
          <w:rFonts w:ascii="仿宋" w:eastAsia="仿宋"/>
          <w:b w:val="0"/>
          <w:color w:val="auto"/>
          <w:sz w:val="24"/>
          <w:szCs w:val="24"/>
          <w:highlight w:val="none"/>
        </w:rPr>
        <w:t>招标文件要求相关证明材料签字或盖章的，应签字或盖章，否则视为无效证明材料</w:t>
      </w:r>
      <w:r>
        <w:rPr>
          <w:rFonts w:hint="eastAsia" w:ascii="仿宋" w:eastAsia="仿宋"/>
          <w:b w:val="0"/>
          <w:color w:val="auto"/>
          <w:sz w:val="24"/>
          <w:szCs w:val="24"/>
          <w:highlight w:val="none"/>
          <w:lang w:eastAsia="zh-CN"/>
        </w:rPr>
        <w:t>；</w:t>
      </w:r>
    </w:p>
    <w:p w14:paraId="5050DC86">
      <w:pPr>
        <w:pStyle w:val="30"/>
        <w:pageBreakBefore w:val="0"/>
        <w:widowControl w:val="0"/>
        <w:numPr>
          <w:ilvl w:val="0"/>
          <w:numId w:val="50"/>
        </w:numPr>
        <w:kinsoku/>
        <w:wordWrap/>
        <w:overflowPunct/>
        <w:topLinePunct w:val="0"/>
        <w:bidi w:val="0"/>
        <w:spacing w:beforeAutospacing="0" w:after="0" w:afterAutospacing="0" w:line="360" w:lineRule="auto"/>
        <w:ind w:left="0" w:right="0"/>
        <w:rPr>
          <w:rFonts w:hint="eastAsia"/>
          <w:lang w:eastAsia="zh-CN"/>
        </w:rPr>
      </w:pPr>
      <w:r>
        <w:rPr>
          <w:rFonts w:ascii="仿宋" w:eastAsia="仿宋"/>
          <w:b w:val="0"/>
          <w:color w:val="auto"/>
          <w:sz w:val="24"/>
          <w:szCs w:val="24"/>
          <w:highlight w:val="none"/>
        </w:rPr>
        <w:t>上述内容中涉及承诺函的，投标人可以单独提供，也可以一并进行承诺</w:t>
      </w:r>
      <w:r>
        <w:rPr>
          <w:rFonts w:hint="eastAsia" w:ascii="仿宋" w:eastAsia="仿宋"/>
          <w:b w:val="0"/>
          <w:color w:val="auto"/>
          <w:sz w:val="24"/>
          <w:szCs w:val="24"/>
          <w:highlight w:val="none"/>
          <w:lang w:eastAsia="zh-CN"/>
        </w:rPr>
        <w:t>；</w:t>
      </w:r>
    </w:p>
    <w:p w14:paraId="07EA320D">
      <w:pPr>
        <w:pStyle w:val="30"/>
        <w:pageBreakBefore w:val="0"/>
        <w:widowControl w:val="0"/>
        <w:numPr>
          <w:ilvl w:val="0"/>
          <w:numId w:val="50"/>
        </w:numPr>
        <w:kinsoku/>
        <w:wordWrap/>
        <w:overflowPunct/>
        <w:topLinePunct w:val="0"/>
        <w:bidi w:val="0"/>
        <w:spacing w:beforeAutospacing="0" w:after="0" w:afterAutospacing="0" w:line="360" w:lineRule="auto"/>
        <w:ind w:left="0" w:right="0"/>
        <w:rPr>
          <w:rFonts w:hint="eastAsia"/>
          <w:lang w:eastAsia="zh-CN"/>
        </w:rPr>
      </w:pPr>
      <w:r>
        <w:rPr>
          <w:rFonts w:ascii="仿宋" w:eastAsia="仿宋"/>
          <w:b/>
          <w:bCs w:val="0"/>
          <w:color w:val="auto"/>
          <w:sz w:val="24"/>
          <w:szCs w:val="24"/>
          <w:highlight w:val="none"/>
          <w:lang w:val="en-US"/>
        </w:rPr>
        <w:t>投标人若未将用于资格审查的证明材料</w:t>
      </w:r>
      <w:r>
        <w:rPr>
          <w:rFonts w:hint="eastAsia" w:ascii="仿宋" w:eastAsia="仿宋"/>
          <w:b/>
          <w:bCs w:val="0"/>
          <w:color w:val="auto"/>
          <w:sz w:val="24"/>
          <w:szCs w:val="24"/>
          <w:highlight w:val="none"/>
          <w:lang w:val="en-US" w:eastAsia="zh-CN"/>
        </w:rPr>
        <w:t>放</w:t>
      </w:r>
      <w:r>
        <w:rPr>
          <w:rFonts w:ascii="仿宋" w:eastAsia="仿宋"/>
          <w:b/>
          <w:bCs w:val="0"/>
          <w:color w:val="auto"/>
          <w:sz w:val="24"/>
          <w:szCs w:val="24"/>
          <w:highlight w:val="none"/>
          <w:lang w:val="en-US"/>
        </w:rPr>
        <w:t>入资格性</w:t>
      </w:r>
      <w:r>
        <w:rPr>
          <w:rFonts w:hint="eastAsia" w:ascii="仿宋" w:eastAsia="仿宋"/>
          <w:b/>
          <w:bCs w:val="0"/>
          <w:color w:val="auto"/>
          <w:sz w:val="24"/>
          <w:szCs w:val="24"/>
          <w:highlight w:val="none"/>
          <w:lang w:val="en-US" w:eastAsia="zh-CN"/>
        </w:rPr>
        <w:t>审查阶段对应的界面</w:t>
      </w:r>
      <w:r>
        <w:rPr>
          <w:rFonts w:ascii="仿宋" w:eastAsia="仿宋"/>
          <w:b/>
          <w:bCs w:val="0"/>
          <w:color w:val="auto"/>
          <w:sz w:val="24"/>
          <w:szCs w:val="24"/>
          <w:highlight w:val="none"/>
          <w:lang w:val="en-US"/>
        </w:rPr>
        <w:t>的，视为未提供相应资格证明材料，资格审查将不予通过</w:t>
      </w:r>
      <w:r>
        <w:rPr>
          <w:rFonts w:hint="eastAsia" w:ascii="仿宋" w:eastAsia="仿宋"/>
          <w:b/>
          <w:bCs w:val="0"/>
          <w:color w:val="auto"/>
          <w:sz w:val="24"/>
          <w:szCs w:val="24"/>
          <w:highlight w:val="none"/>
          <w:lang w:val="en-US" w:eastAsia="zh-CN"/>
        </w:rPr>
        <w:t>。</w:t>
      </w:r>
    </w:p>
    <w:p w14:paraId="7A6CB930">
      <w:pPr>
        <w:rPr>
          <w:rFonts w:ascii="仿宋" w:eastAsia="仿宋"/>
          <w:b w:val="0"/>
          <w:color w:val="auto"/>
          <w:highlight w:val="none"/>
        </w:rPr>
      </w:pPr>
    </w:p>
    <w:p w14:paraId="4ADA4871">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highlight w:val="none"/>
        </w:rPr>
      </w:pPr>
      <w:r>
        <w:rPr>
          <w:rFonts w:hint="eastAsia" w:ascii="仿宋" w:eastAsia="仿宋"/>
          <w:b/>
          <w:color w:val="auto"/>
          <w:highlight w:val="none"/>
          <w:lang w:val="en-US" w:eastAsia="zh-CN"/>
        </w:rPr>
        <w:br w:type="page"/>
      </w:r>
      <w:r>
        <w:rPr>
          <w:rFonts w:hint="eastAsia" w:ascii="仿宋" w:eastAsia="仿宋"/>
          <w:b/>
          <w:color w:val="auto"/>
          <w:highlight w:val="none"/>
          <w:lang w:val="en-US" w:eastAsia="zh-CN"/>
        </w:rPr>
        <w:t xml:space="preserve"> </w:t>
      </w:r>
      <w:bookmarkStart w:id="291" w:name="_Toc11526"/>
      <w:r>
        <w:rPr>
          <w:rFonts w:ascii="仿宋" w:eastAsia="仿宋"/>
          <w:b/>
          <w:color w:val="auto"/>
          <w:highlight w:val="none"/>
        </w:rPr>
        <w:t>技术</w:t>
      </w:r>
      <w:r>
        <w:rPr>
          <w:rFonts w:hint="eastAsia" w:ascii="仿宋" w:eastAsia="仿宋"/>
          <w:b/>
          <w:color w:val="auto"/>
          <w:highlight w:val="none"/>
          <w:lang w:val="en-US" w:eastAsia="zh-CN"/>
        </w:rPr>
        <w:t>服务</w:t>
      </w:r>
      <w:r>
        <w:rPr>
          <w:rFonts w:ascii="仿宋" w:eastAsia="仿宋"/>
          <w:b/>
          <w:color w:val="auto"/>
          <w:highlight w:val="none"/>
        </w:rPr>
        <w:t>、商务及其他要求</w:t>
      </w:r>
      <w:bookmarkEnd w:id="291"/>
    </w:p>
    <w:p w14:paraId="464235EE">
      <w:pPr>
        <w:pageBreakBefore w:val="0"/>
        <w:widowControl w:val="0"/>
        <w:numPr>
          <w:ilvl w:val="0"/>
          <w:numId w:val="51"/>
        </w:numPr>
        <w:kinsoku/>
        <w:wordWrap/>
        <w:overflowPunct/>
        <w:topLinePunct w:val="0"/>
        <w:bidi w:val="0"/>
        <w:spacing w:beforeAutospacing="0" w:afterAutospacing="0" w:line="360" w:lineRule="auto"/>
        <w:ind w:left="0" w:right="0"/>
        <w:jc w:val="center"/>
        <w:rPr>
          <w:rFonts w:hint="eastAsia" w:ascii="仿宋" w:hAnsi="仿宋" w:eastAsia="仿宋" w:cs="仿宋"/>
          <w:b w:val="0"/>
          <w:bCs w:val="0"/>
          <w:color w:val="000000"/>
          <w:kern w:val="2"/>
          <w:sz w:val="24"/>
          <w:szCs w:val="24"/>
          <w:lang w:val="en-US"/>
        </w:rPr>
      </w:pPr>
      <w:r>
        <w:rPr>
          <w:rFonts w:hint="eastAsia" w:ascii="仿宋" w:eastAsia="仿宋"/>
          <w:b/>
          <w:bCs/>
          <w:color w:val="auto"/>
          <w:sz w:val="36"/>
          <w:szCs w:val="36"/>
          <w:highlight w:val="none"/>
          <w:lang w:val="en-US" w:eastAsia="zh-CN"/>
        </w:rPr>
        <w:t xml:space="preserve"> 商务</w:t>
      </w:r>
      <w:r>
        <w:rPr>
          <w:rFonts w:hint="eastAsia" w:ascii="仿宋" w:eastAsia="仿宋"/>
          <w:b/>
          <w:bCs/>
          <w:color w:val="auto"/>
          <w:sz w:val="36"/>
          <w:szCs w:val="36"/>
          <w:highlight w:val="none"/>
          <w:lang w:eastAsia="zh-CN"/>
        </w:rPr>
        <w:t>要求</w:t>
      </w:r>
    </w:p>
    <w:p w14:paraId="10FC5B87">
      <w:pPr>
        <w:numPr>
          <w:ilvl w:val="0"/>
          <w:numId w:val="5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项目概况</w:t>
      </w:r>
      <w:r>
        <w:rPr>
          <w:rFonts w:hint="eastAsia" w:ascii="仿宋" w:hAnsi="仿宋" w:eastAsia="仿宋" w:cs="仿宋"/>
          <w:b w:val="0"/>
          <w:bCs w:val="0"/>
          <w:color w:val="000000"/>
          <w:kern w:val="2"/>
          <w:sz w:val="24"/>
          <w:szCs w:val="24"/>
          <w:lang w:val="en-US"/>
        </w:rPr>
        <w:t xml:space="preserve"> </w:t>
      </w:r>
    </w:p>
    <w:p w14:paraId="6D513411">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项目名称：</w:t>
      </w:r>
      <w:r>
        <w:rPr>
          <w:rFonts w:hint="eastAsia" w:ascii="仿宋" w:hAnsi="仿宋" w:eastAsia="仿宋" w:cs="仿宋"/>
          <w:b w:val="0"/>
          <w:bCs w:val="0"/>
          <w:color w:val="000000"/>
          <w:kern w:val="2"/>
          <w:sz w:val="24"/>
          <w:szCs w:val="24"/>
          <w:lang w:val="en-US" w:eastAsia="zh-CN"/>
        </w:rPr>
        <w:t>昌吉回族自治州人民医院本院区</w:t>
      </w:r>
      <w:r>
        <w:rPr>
          <w:rFonts w:hint="eastAsia" w:ascii="仿宋" w:hAnsi="仿宋" w:eastAsia="仿宋" w:cs="仿宋"/>
          <w:b w:val="0"/>
          <w:bCs w:val="0"/>
          <w:color w:val="000000"/>
          <w:kern w:val="2"/>
          <w:sz w:val="24"/>
          <w:szCs w:val="24"/>
          <w:lang w:val="en-US"/>
        </w:rPr>
        <w:t>食堂</w:t>
      </w:r>
      <w:r>
        <w:rPr>
          <w:rFonts w:hint="eastAsia" w:ascii="仿宋" w:hAnsi="仿宋" w:eastAsia="仿宋" w:cs="仿宋"/>
          <w:b w:val="0"/>
          <w:bCs w:val="0"/>
          <w:color w:val="000000"/>
          <w:kern w:val="2"/>
          <w:sz w:val="24"/>
          <w:szCs w:val="24"/>
          <w:lang w:val="en-US" w:eastAsia="zh-CN"/>
        </w:rPr>
        <w:t>餐饮</w:t>
      </w:r>
      <w:r>
        <w:rPr>
          <w:rFonts w:hint="eastAsia" w:ascii="仿宋" w:hAnsi="仿宋" w:eastAsia="仿宋" w:cs="仿宋"/>
          <w:b w:val="0"/>
          <w:bCs w:val="0"/>
          <w:color w:val="000000"/>
          <w:kern w:val="2"/>
          <w:sz w:val="24"/>
          <w:szCs w:val="24"/>
          <w:lang w:val="en-US"/>
        </w:rPr>
        <w:t>服务外包项目</w:t>
      </w:r>
    </w:p>
    <w:p w14:paraId="147B6FEA">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项目范围：</w:t>
      </w:r>
      <w:r>
        <w:rPr>
          <w:rFonts w:hint="eastAsia" w:ascii="仿宋" w:hAnsi="仿宋" w:eastAsia="仿宋" w:cs="仿宋"/>
          <w:b w:val="0"/>
          <w:bCs w:val="0"/>
          <w:color w:val="000000"/>
          <w:kern w:val="2"/>
          <w:sz w:val="24"/>
          <w:szCs w:val="24"/>
          <w:lang w:val="en-US" w:eastAsia="zh-CN"/>
        </w:rPr>
        <w:t>昌吉回族自治州人民医院本院区</w:t>
      </w:r>
      <w:r>
        <w:rPr>
          <w:rFonts w:hint="eastAsia" w:ascii="仿宋" w:hAnsi="仿宋" w:eastAsia="仿宋" w:cs="仿宋"/>
          <w:b w:val="0"/>
          <w:bCs w:val="0"/>
          <w:color w:val="000000"/>
          <w:kern w:val="2"/>
          <w:sz w:val="24"/>
          <w:szCs w:val="24"/>
          <w:lang w:val="en-US"/>
        </w:rPr>
        <w:t xml:space="preserve">食堂的整体运营服务 </w:t>
      </w:r>
    </w:p>
    <w:p w14:paraId="3BC11306">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eastAsia="zh-CN"/>
        </w:rPr>
      </w:pPr>
      <w:r>
        <w:rPr>
          <w:rFonts w:hint="eastAsia" w:ascii="仿宋" w:hAnsi="仿宋" w:eastAsia="仿宋" w:cs="仿宋"/>
          <w:b/>
          <w:bCs/>
          <w:color w:val="000000"/>
          <w:kern w:val="2"/>
          <w:sz w:val="24"/>
          <w:szCs w:val="24"/>
          <w:lang w:val="en-US"/>
        </w:rPr>
        <w:t>预算金额：</w:t>
      </w:r>
      <w:r>
        <w:rPr>
          <w:rFonts w:hint="eastAsia" w:ascii="仿宋" w:hAnsi="仿宋" w:eastAsia="仿宋" w:cs="仿宋"/>
          <w:b w:val="0"/>
          <w:bCs w:val="0"/>
          <w:color w:val="000000"/>
          <w:kern w:val="2"/>
          <w:sz w:val="24"/>
          <w:szCs w:val="24"/>
          <w:lang w:val="en-US" w:eastAsia="zh-CN"/>
        </w:rPr>
        <w:t>133万元/年，20</w:t>
      </w:r>
      <w:r>
        <w:rPr>
          <w:rFonts w:hint="eastAsia" w:ascii="仿宋" w:hAnsi="仿宋" w:eastAsia="仿宋" w:cs="仿宋"/>
          <w:b w:val="0"/>
          <w:bCs w:val="0"/>
          <w:color w:val="000000"/>
          <w:kern w:val="2"/>
          <w:sz w:val="24"/>
          <w:szCs w:val="24"/>
          <w:lang w:val="en-US"/>
        </w:rPr>
        <w:t>元/人/天（按单价报价，按月据实结算）</w:t>
      </w:r>
      <w:r>
        <w:rPr>
          <w:rFonts w:hint="eastAsia" w:ascii="仿宋" w:hAnsi="仿宋" w:eastAsia="仿宋" w:cs="仿宋"/>
          <w:b w:val="0"/>
          <w:bCs w:val="0"/>
          <w:color w:val="000000"/>
          <w:kern w:val="2"/>
          <w:sz w:val="24"/>
          <w:szCs w:val="24"/>
          <w:lang w:val="en-US" w:eastAsia="zh-CN"/>
        </w:rPr>
        <w:t>。</w:t>
      </w:r>
    </w:p>
    <w:p w14:paraId="4741B6C4">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eastAsia="zh-CN"/>
        </w:rPr>
        <w:t>承包费用：</w:t>
      </w:r>
      <w:r>
        <w:rPr>
          <w:rFonts w:hint="eastAsia" w:ascii="仿宋" w:hAnsi="仿宋" w:eastAsia="仿宋" w:cs="仿宋"/>
          <w:b w:val="0"/>
          <w:bCs w:val="0"/>
          <w:color w:val="000000"/>
          <w:kern w:val="2"/>
          <w:sz w:val="24"/>
          <w:szCs w:val="24"/>
          <w:lang w:val="en-US" w:eastAsia="zh-CN"/>
        </w:rPr>
        <w:t>承包费用不低于30万元/年（不含水、电、燃气、采暖费等一切经营相关费用），投标文件中的承包报价即为承包费；</w:t>
      </w:r>
      <w:r>
        <w:rPr>
          <w:rFonts w:hint="eastAsia" w:ascii="仿宋" w:hAnsi="仿宋" w:eastAsia="仿宋" w:cs="仿宋"/>
          <w:b w:val="0"/>
          <w:bCs w:val="0"/>
          <w:color w:val="000000"/>
          <w:kern w:val="2"/>
          <w:sz w:val="24"/>
          <w:szCs w:val="24"/>
          <w:lang w:val="en-US"/>
        </w:rPr>
        <w:t xml:space="preserve"> </w:t>
      </w:r>
    </w:p>
    <w:p w14:paraId="0750F64C">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就餐人数：</w:t>
      </w:r>
      <w:r>
        <w:rPr>
          <w:rFonts w:hint="eastAsia" w:ascii="仿宋" w:hAnsi="仿宋" w:eastAsia="仿宋" w:cs="仿宋"/>
          <w:b w:val="0"/>
          <w:bCs/>
          <w:kern w:val="2"/>
          <w:sz w:val="24"/>
          <w:szCs w:val="24"/>
          <w:highlight w:val="none"/>
          <w:shd w:val="clear" w:color="auto" w:fill="auto"/>
          <w:lang w:val="en-US" w:eastAsia="zh-CN" w:bidi="ar-SA"/>
        </w:rPr>
        <w:t>本院区餐厅预计每日午餐职工就餐人数大约250人，</w:t>
      </w:r>
      <w:r>
        <w:rPr>
          <w:rFonts w:hint="eastAsia" w:ascii="仿宋" w:hAnsi="仿宋" w:eastAsia="仿宋" w:cs="仿宋"/>
          <w:b w:val="0"/>
          <w:bCs w:val="0"/>
          <w:color w:val="000000"/>
          <w:kern w:val="2"/>
          <w:sz w:val="24"/>
          <w:szCs w:val="24"/>
          <w:lang w:val="en-US"/>
        </w:rPr>
        <w:t xml:space="preserve">最终按实际刷卡就餐人数为准，每月一核算。 </w:t>
      </w:r>
    </w:p>
    <w:p w14:paraId="624D9325">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leftChars="0" w:right="0" w:firstLine="241" w:firstLineChars="100"/>
        <w:jc w:val="left"/>
        <w:textAlignment w:val="auto"/>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bCs/>
          <w:color w:val="000000"/>
          <w:kern w:val="2"/>
          <w:sz w:val="24"/>
          <w:szCs w:val="24"/>
          <w:lang w:val="en-US"/>
        </w:rPr>
        <w:t>服务期限：</w:t>
      </w:r>
      <w:r>
        <w:rPr>
          <w:rFonts w:hint="eastAsia" w:ascii="仿宋" w:eastAsia="仿宋"/>
          <w:b w:val="0"/>
          <w:color w:val="auto"/>
          <w:kern w:val="2"/>
          <w:sz w:val="24"/>
          <w:szCs w:val="24"/>
          <w:highlight w:val="none"/>
          <w:lang w:val="en-US" w:eastAsia="zh-CN"/>
        </w:rPr>
        <w:t>1年（从合同签订之日起）。本项目一采三年，合同一年签订一次，承包期内承包方通过医院的监督考核且满意度达85%以上后，签订次年承包合同，否则甲方有权终止承包。</w:t>
      </w:r>
    </w:p>
    <w:p w14:paraId="5B2189A9">
      <w:pPr>
        <w:numPr>
          <w:ilvl w:val="0"/>
          <w:numId w:val="0"/>
        </w:numPr>
        <w:snapToGrid/>
        <w:spacing w:line="240" w:lineRule="auto"/>
        <w:ind w:left="140" w:leftChars="0" w:firstLine="480" w:firstLineChars="200"/>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本项目一采三年。依据如下：</w:t>
      </w:r>
    </w:p>
    <w:p w14:paraId="58A38162">
      <w:pPr>
        <w:numPr>
          <w:ilvl w:val="0"/>
          <w:numId w:val="0"/>
        </w:numPr>
        <w:snapToGrid/>
        <w:spacing w:line="240" w:lineRule="auto"/>
        <w:ind w:left="140" w:leftChars="0" w:firstLine="480" w:firstLineChars="200"/>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《政府购买服务管理办法》（财政部中华人民共和国财政部令第102号令）“第二十四条 政府购买服务合同履行期限一般不超过1年；在预算保障的前提下，对于购买内容相对固定、连续性强、经费来源稳定、价格变化幅度小的政府购买服务项目，可以签订履行期限不超过3年的政府购买服务合同。”。</w:t>
      </w:r>
    </w:p>
    <w:p w14:paraId="21784964">
      <w:pPr>
        <w:numPr>
          <w:ilvl w:val="0"/>
          <w:numId w:val="0"/>
        </w:numPr>
        <w:snapToGrid/>
        <w:spacing w:line="240" w:lineRule="auto"/>
        <w:ind w:left="140" w:leftChars="0" w:firstLine="480" w:firstLineChars="200"/>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《财政部关于推进和完善服务项目政府采购有关问题的通知》（财库〔2014〕37号）“一、分类推进服务项目政府采购工作中写明：根据现行政府采购品目分类，按照服务受益对象将服务项目分为三类，其中第三类 为增加国民福利、受益对象特定，政府向社会公众提供的公共服务。包括：以物为对象的公共服务，如公共设施管理服务、环境服务、专业技术服务等；以人为对象的公共服务，如教育、医疗卫生和社会服务等。”、“三、灵活开展服务项目政府采购活动中写明：采购需求具有相对固定性、延续性且价格变化幅度小的服务项目，在年度预算能保障的前提下，采购人可以签订不超过三年履行期限的政府采购合同。”。</w:t>
      </w:r>
    </w:p>
    <w:p w14:paraId="43DBBDA8">
      <w:pPr>
        <w:numPr>
          <w:ilvl w:val="0"/>
          <w:numId w:val="0"/>
        </w:numPr>
        <w:snapToGrid/>
        <w:spacing w:line="240" w:lineRule="auto"/>
        <w:ind w:left="140" w:leftChars="0" w:firstLine="480" w:firstLineChars="200"/>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昌吉回族自治州人民医院招标采购食堂服务，属于第三类情形。此项目合同一年签订一次，承包期内承包方通过医院的监督考核且满意度达85%以上后，签订次年承包合同，否则甲方有权终止承包。每年一续签，可以续签两次。</w:t>
      </w:r>
    </w:p>
    <w:p w14:paraId="4B59F33E">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eastAsia="zh-CN"/>
        </w:rPr>
      </w:pPr>
      <w:r>
        <w:rPr>
          <w:rFonts w:hint="eastAsia" w:ascii="仿宋" w:hAnsi="仿宋" w:eastAsia="仿宋" w:cs="仿宋"/>
          <w:b/>
          <w:bCs/>
          <w:color w:val="000000"/>
          <w:kern w:val="2"/>
          <w:sz w:val="24"/>
          <w:szCs w:val="24"/>
          <w:lang w:val="en-US"/>
        </w:rPr>
        <w:t>经营模式：</w:t>
      </w:r>
      <w:r>
        <w:rPr>
          <w:rFonts w:hint="eastAsia" w:ascii="仿宋" w:hAnsi="仿宋" w:eastAsia="仿宋" w:cs="仿宋"/>
          <w:b w:val="0"/>
          <w:bCs w:val="0"/>
          <w:color w:val="000000"/>
          <w:kern w:val="2"/>
          <w:sz w:val="24"/>
          <w:szCs w:val="24"/>
          <w:lang w:val="en-US" w:eastAsia="zh-CN"/>
        </w:rPr>
        <w:t>采用合作承包经营模式，即通过招标引进专业餐饮管理公司，由专业餐饮管理公司负责食堂的运营、管理服务。承包方为食堂经营管理方，可自行经营食堂，在经营期间需接受医院的监督考核及合理的改进意见；</w:t>
      </w:r>
    </w:p>
    <w:p w14:paraId="4DBF78F8">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餐费及服务费标准：</w:t>
      </w:r>
      <w:r>
        <w:rPr>
          <w:rFonts w:hint="eastAsia" w:ascii="仿宋" w:hAnsi="仿宋" w:eastAsia="仿宋" w:cs="仿宋"/>
          <w:b w:val="0"/>
          <w:bCs w:val="0"/>
          <w:color w:val="000000"/>
          <w:kern w:val="2"/>
          <w:sz w:val="24"/>
          <w:szCs w:val="24"/>
          <w:lang w:val="en-US"/>
        </w:rPr>
        <w:t xml:space="preserve">本项目预算单价金额 </w:t>
      </w:r>
      <w:r>
        <w:rPr>
          <w:rFonts w:hint="eastAsia" w:ascii="仿宋" w:hAnsi="仿宋" w:eastAsia="仿宋" w:cs="仿宋"/>
          <w:b w:val="0"/>
          <w:bCs w:val="0"/>
          <w:color w:val="000000"/>
          <w:kern w:val="2"/>
          <w:sz w:val="24"/>
          <w:szCs w:val="24"/>
          <w:lang w:val="en-US" w:eastAsia="zh-CN"/>
        </w:rPr>
        <w:t>20</w:t>
      </w:r>
      <w:r>
        <w:rPr>
          <w:rFonts w:hint="eastAsia" w:ascii="仿宋" w:hAnsi="仿宋" w:eastAsia="仿宋" w:cs="仿宋"/>
          <w:b w:val="0"/>
          <w:bCs w:val="0"/>
          <w:color w:val="000000"/>
          <w:kern w:val="2"/>
          <w:sz w:val="24"/>
          <w:szCs w:val="24"/>
          <w:lang w:val="en-US"/>
        </w:rPr>
        <w:t xml:space="preserve"> 元/人/天（其中服务费</w:t>
      </w:r>
      <w:r>
        <w:rPr>
          <w:rFonts w:hint="eastAsia" w:ascii="仿宋" w:hAnsi="仿宋" w:eastAsia="仿宋" w:cs="仿宋"/>
          <w:b w:val="0"/>
          <w:bCs w:val="0"/>
          <w:color w:val="000000"/>
          <w:kern w:val="2"/>
          <w:sz w:val="24"/>
          <w:szCs w:val="24"/>
          <w:lang w:val="en-US" w:eastAsia="zh-CN"/>
        </w:rPr>
        <w:t>2</w:t>
      </w:r>
      <w:r>
        <w:rPr>
          <w:rFonts w:hint="eastAsia" w:ascii="仿宋" w:hAnsi="仿宋" w:eastAsia="仿宋" w:cs="仿宋"/>
          <w:b w:val="0"/>
          <w:bCs w:val="0"/>
          <w:color w:val="000000"/>
          <w:kern w:val="2"/>
          <w:sz w:val="24"/>
          <w:szCs w:val="24"/>
          <w:lang w:val="en-US"/>
        </w:rPr>
        <w:t xml:space="preserve">元/人/天，午餐18元/人），包含内容：食材采购费用、劳务工资、低值易耗品采购费用（其他事宜在采购合同中另行约定）。 </w:t>
      </w:r>
    </w:p>
    <w:p w14:paraId="5FEA55CB">
      <w:pPr>
        <w:numPr>
          <w:ilvl w:val="0"/>
          <w:numId w:val="52"/>
        </w:numPr>
        <w:snapToGrid/>
        <w:spacing w:line="240" w:lineRule="auto"/>
        <w:ind w:left="140" w:leftChars="0" w:firstLine="0" w:firstLineChars="0"/>
        <w:rPr>
          <w:rFonts w:hint="eastAsia" w:ascii="仿宋" w:hAnsi="仿宋" w:eastAsia="仿宋" w:cs="仿宋"/>
          <w:b/>
          <w:bCs/>
          <w:color w:val="000000"/>
          <w:kern w:val="2"/>
          <w:sz w:val="24"/>
          <w:szCs w:val="24"/>
          <w:highlight w:val="none"/>
          <w:lang w:val="en-US"/>
        </w:rPr>
      </w:pPr>
      <w:r>
        <w:rPr>
          <w:rFonts w:hint="eastAsia" w:ascii="仿宋" w:hAnsi="仿宋" w:eastAsia="仿宋" w:cs="仿宋"/>
          <w:b/>
          <w:bCs/>
          <w:color w:val="000000"/>
          <w:kern w:val="2"/>
          <w:sz w:val="24"/>
          <w:szCs w:val="24"/>
          <w:highlight w:val="none"/>
          <w:lang w:val="en-US"/>
        </w:rPr>
        <w:t>报价要求</w:t>
      </w:r>
    </w:p>
    <w:p w14:paraId="3B2CF367">
      <w:pPr>
        <w:pStyle w:val="331"/>
        <w:pageBreakBefore w:val="0"/>
        <w:widowControl w:val="0"/>
        <w:kinsoku/>
        <w:wordWrap/>
        <w:overflowPunct/>
        <w:topLinePunct w:val="0"/>
        <w:autoSpaceDE w:val="0"/>
        <w:autoSpaceDN w:val="0"/>
        <w:bidi w:val="0"/>
        <w:spacing w:beforeAutospacing="0" w:afterAutospacing="0" w:line="240" w:lineRule="auto"/>
        <w:ind w:right="0" w:firstLine="482" w:firstLineChars="200"/>
        <w:rPr>
          <w:rFonts w:hint="default" w:ascii="仿宋" w:eastAsia="仿宋" w:cs="Times New Roman"/>
          <w:b/>
          <w:bCs/>
          <w:color w:val="auto"/>
          <w:highlight w:val="none"/>
          <w:lang w:val="en-US" w:eastAsia="zh-CN"/>
        </w:rPr>
      </w:pPr>
      <w:r>
        <w:rPr>
          <w:rFonts w:hint="eastAsia" w:ascii="仿宋" w:eastAsia="仿宋" w:cs="Times New Roman"/>
          <w:b/>
          <w:bCs/>
          <w:color w:val="auto"/>
          <w:highlight w:val="none"/>
          <w:lang w:val="en-US" w:eastAsia="zh-CN"/>
        </w:rPr>
        <w:t>本项目报价分为两部分：</w:t>
      </w:r>
    </w:p>
    <w:p w14:paraId="72876F5F">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zh-CN"/>
        </w:rPr>
      </w:pPr>
      <w:r>
        <w:rPr>
          <w:rFonts w:hint="eastAsia" w:ascii="仿宋" w:hAnsi="仿宋" w:eastAsia="仿宋" w:cs="仿宋"/>
          <w:b w:val="0"/>
          <w:bCs w:val="0"/>
          <w:color w:val="000000"/>
          <w:kern w:val="2"/>
          <w:sz w:val="24"/>
          <w:szCs w:val="24"/>
          <w:lang w:val="en-US" w:eastAsia="zh-CN"/>
        </w:rPr>
        <w:t>（1）</w:t>
      </w:r>
      <w:r>
        <w:rPr>
          <w:rFonts w:hint="eastAsia" w:ascii="仿宋" w:hAnsi="仿宋" w:eastAsia="仿宋" w:cs="仿宋"/>
          <w:b w:val="0"/>
          <w:bCs w:val="0"/>
          <w:color w:val="000000"/>
          <w:kern w:val="2"/>
          <w:sz w:val="24"/>
          <w:szCs w:val="24"/>
          <w:lang w:val="zh-CN"/>
        </w:rPr>
        <w:t>本项目</w:t>
      </w:r>
      <w:r>
        <w:rPr>
          <w:rFonts w:hint="eastAsia" w:ascii="仿宋" w:hAnsi="仿宋" w:eastAsia="仿宋" w:cs="仿宋"/>
          <w:b w:val="0"/>
          <w:bCs w:val="0"/>
          <w:color w:val="000000"/>
          <w:kern w:val="2"/>
          <w:sz w:val="24"/>
          <w:szCs w:val="24"/>
          <w:lang w:val="en-US" w:eastAsia="zh-CN"/>
        </w:rPr>
        <w:t>餐费及服务费：</w:t>
      </w:r>
      <w:r>
        <w:rPr>
          <w:rFonts w:hint="eastAsia" w:ascii="仿宋" w:hAnsi="仿宋" w:eastAsia="仿宋" w:cs="仿宋"/>
          <w:b w:val="0"/>
          <w:bCs w:val="0"/>
          <w:color w:val="000000"/>
          <w:kern w:val="2"/>
          <w:sz w:val="24"/>
          <w:szCs w:val="24"/>
          <w:lang w:val="zh-CN"/>
        </w:rPr>
        <w:t>最高限价为人民币</w:t>
      </w:r>
      <w:r>
        <w:rPr>
          <w:rFonts w:hint="eastAsia" w:ascii="仿宋" w:hAnsi="仿宋" w:eastAsia="仿宋" w:cs="仿宋"/>
          <w:b w:val="0"/>
          <w:bCs w:val="0"/>
          <w:color w:val="000000"/>
          <w:kern w:val="2"/>
          <w:sz w:val="24"/>
          <w:szCs w:val="24"/>
          <w:lang w:val="en-US" w:eastAsia="zh-CN"/>
        </w:rPr>
        <w:t>1330000.00</w:t>
      </w:r>
      <w:r>
        <w:rPr>
          <w:rFonts w:hint="eastAsia" w:ascii="仿宋" w:hAnsi="仿宋" w:eastAsia="仿宋" w:cs="仿宋"/>
          <w:b w:val="0"/>
          <w:bCs w:val="0"/>
          <w:color w:val="000000"/>
          <w:kern w:val="2"/>
          <w:sz w:val="24"/>
          <w:szCs w:val="24"/>
          <w:lang w:val="zh-CN"/>
        </w:rPr>
        <w:t>元（大写：</w:t>
      </w:r>
      <w:r>
        <w:rPr>
          <w:rFonts w:hint="eastAsia" w:ascii="仿宋" w:hAnsi="仿宋" w:eastAsia="仿宋" w:cs="仿宋"/>
          <w:b w:val="0"/>
          <w:bCs w:val="0"/>
          <w:color w:val="000000"/>
          <w:kern w:val="2"/>
          <w:sz w:val="24"/>
          <w:szCs w:val="24"/>
          <w:lang w:val="en-US" w:eastAsia="zh-CN"/>
        </w:rPr>
        <w:t>壹佰叁拾叁万元整</w:t>
      </w:r>
      <w:r>
        <w:rPr>
          <w:rFonts w:hint="eastAsia" w:ascii="仿宋" w:hAnsi="仿宋" w:eastAsia="仿宋" w:cs="仿宋"/>
          <w:b w:val="0"/>
          <w:bCs w:val="0"/>
          <w:color w:val="000000"/>
          <w:kern w:val="2"/>
          <w:sz w:val="24"/>
          <w:szCs w:val="24"/>
          <w:lang w:val="zh-CN"/>
        </w:rPr>
        <w:t>），</w:t>
      </w:r>
      <w:r>
        <w:rPr>
          <w:rFonts w:hint="eastAsia" w:ascii="仿宋" w:hAnsi="仿宋" w:eastAsia="仿宋" w:cs="仿宋"/>
          <w:b w:val="0"/>
          <w:bCs w:val="0"/>
          <w:color w:val="000000"/>
          <w:kern w:val="2"/>
          <w:sz w:val="24"/>
          <w:szCs w:val="24"/>
          <w:lang w:val="en-US" w:eastAsia="zh-CN"/>
        </w:rPr>
        <w:t>控制</w:t>
      </w:r>
      <w:r>
        <w:rPr>
          <w:rFonts w:hint="eastAsia" w:ascii="仿宋" w:hAnsi="仿宋" w:eastAsia="仿宋" w:cs="仿宋"/>
          <w:b w:val="0"/>
          <w:bCs w:val="0"/>
          <w:color w:val="000000"/>
          <w:kern w:val="2"/>
          <w:sz w:val="24"/>
          <w:szCs w:val="24"/>
          <w:lang w:val="zh-CN"/>
        </w:rPr>
        <w:t>单价金额</w:t>
      </w:r>
      <w:r>
        <w:rPr>
          <w:rFonts w:hint="eastAsia" w:ascii="仿宋" w:hAnsi="仿宋" w:eastAsia="仿宋" w:cs="仿宋"/>
          <w:b w:val="0"/>
          <w:bCs w:val="0"/>
          <w:color w:val="000000"/>
          <w:kern w:val="2"/>
          <w:sz w:val="24"/>
          <w:szCs w:val="24"/>
          <w:lang w:val="en-US" w:eastAsia="zh-CN"/>
        </w:rPr>
        <w:t>20</w:t>
      </w:r>
      <w:r>
        <w:rPr>
          <w:rFonts w:hint="eastAsia" w:ascii="仿宋" w:hAnsi="仿宋" w:eastAsia="仿宋" w:cs="仿宋"/>
          <w:b w:val="0"/>
          <w:bCs w:val="0"/>
          <w:color w:val="000000"/>
          <w:kern w:val="2"/>
          <w:sz w:val="24"/>
          <w:szCs w:val="24"/>
          <w:lang w:val="zh-CN"/>
        </w:rPr>
        <w:t>元/人/天。</w:t>
      </w:r>
      <w:r>
        <w:rPr>
          <w:rFonts w:hint="eastAsia" w:ascii="仿宋" w:hAnsi="仿宋" w:eastAsia="仿宋" w:cs="仿宋"/>
          <w:b w:val="0"/>
          <w:bCs w:val="0"/>
          <w:color w:val="000000"/>
          <w:kern w:val="2"/>
          <w:sz w:val="24"/>
          <w:szCs w:val="24"/>
          <w:lang w:val="en-US" w:eastAsia="zh-CN"/>
        </w:rPr>
        <w:t>供应商</w:t>
      </w:r>
      <w:r>
        <w:rPr>
          <w:rFonts w:hint="eastAsia" w:ascii="仿宋" w:hAnsi="仿宋" w:eastAsia="仿宋" w:cs="仿宋"/>
          <w:b w:val="0"/>
          <w:bCs w:val="0"/>
          <w:color w:val="000000"/>
          <w:kern w:val="2"/>
          <w:sz w:val="24"/>
          <w:szCs w:val="24"/>
          <w:lang w:val="zh-CN"/>
        </w:rPr>
        <w:t>报价超过本项目最高限价的，</w:t>
      </w:r>
      <w:r>
        <w:rPr>
          <w:rFonts w:hint="eastAsia" w:ascii="仿宋" w:hAnsi="仿宋" w:eastAsia="仿宋" w:cs="仿宋"/>
          <w:b w:val="0"/>
          <w:bCs w:val="0"/>
          <w:color w:val="000000"/>
          <w:kern w:val="2"/>
          <w:sz w:val="24"/>
          <w:szCs w:val="24"/>
          <w:lang w:val="en-US" w:eastAsia="zh-CN"/>
        </w:rPr>
        <w:t>其响应文件作为</w:t>
      </w:r>
      <w:r>
        <w:rPr>
          <w:rFonts w:hint="eastAsia" w:ascii="仿宋" w:hAnsi="仿宋" w:eastAsia="仿宋" w:cs="仿宋"/>
          <w:b w:val="0"/>
          <w:bCs w:val="0"/>
          <w:color w:val="000000"/>
          <w:kern w:val="2"/>
          <w:sz w:val="24"/>
          <w:szCs w:val="24"/>
          <w:lang w:val="zh-CN"/>
        </w:rPr>
        <w:t>无效</w:t>
      </w:r>
      <w:r>
        <w:rPr>
          <w:rFonts w:hint="eastAsia" w:ascii="仿宋" w:hAnsi="仿宋" w:eastAsia="仿宋" w:cs="仿宋"/>
          <w:b w:val="0"/>
          <w:bCs w:val="0"/>
          <w:color w:val="000000"/>
          <w:kern w:val="2"/>
          <w:sz w:val="24"/>
          <w:szCs w:val="24"/>
          <w:lang w:val="en-US" w:eastAsia="zh-CN"/>
        </w:rPr>
        <w:t>处理</w:t>
      </w:r>
      <w:r>
        <w:rPr>
          <w:rFonts w:hint="eastAsia" w:ascii="仿宋" w:hAnsi="仿宋" w:eastAsia="仿宋" w:cs="仿宋"/>
          <w:b w:val="0"/>
          <w:bCs w:val="0"/>
          <w:color w:val="000000"/>
          <w:kern w:val="2"/>
          <w:sz w:val="24"/>
          <w:szCs w:val="24"/>
          <w:lang w:val="zh-CN"/>
        </w:rPr>
        <w:t>。本项目投标报价仅允许对服务费标准（2元/人）进行下浮调整，午餐标准（18元/人）为固定费用，供应商不得降低，报价中若出现餐费下调，视为无效投标。</w:t>
      </w:r>
    </w:p>
    <w:p w14:paraId="4F8138B1">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eastAsia="zh-CN"/>
        </w:rPr>
        <w:t>（2）投标人承包费用：承包费用不低于30万元/年（不含水、电、燃气、采暖费等一切经营相关费用），即投标人承包费用≥30万元/年。投标文件中的承包报价即为承包费。</w:t>
      </w:r>
    </w:p>
    <w:p w14:paraId="17E8DE72">
      <w:pPr>
        <w:numPr>
          <w:ilvl w:val="0"/>
          <w:numId w:val="5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服务内容及要求</w:t>
      </w:r>
      <w:r>
        <w:rPr>
          <w:rFonts w:hint="eastAsia" w:ascii="仿宋" w:hAnsi="仿宋" w:eastAsia="仿宋" w:cs="仿宋"/>
          <w:b w:val="0"/>
          <w:bCs w:val="0"/>
          <w:color w:val="000000"/>
          <w:kern w:val="2"/>
          <w:sz w:val="24"/>
          <w:szCs w:val="24"/>
          <w:lang w:val="en-US"/>
        </w:rPr>
        <w:t xml:space="preserve"> </w:t>
      </w:r>
    </w:p>
    <w:p w14:paraId="54D14F8C">
      <w:pPr>
        <w:numPr>
          <w:ilvl w:val="0"/>
          <w:numId w:val="53"/>
        </w:numPr>
        <w:snapToGrid/>
        <w:spacing w:line="240" w:lineRule="auto"/>
        <w:ind w:left="140" w:leftChars="0" w:firstLine="0" w:firstLineChars="0"/>
        <w:rPr>
          <w:rFonts w:hint="eastAsia" w:ascii="仿宋" w:hAnsi="仿宋" w:eastAsia="仿宋" w:cs="仿宋"/>
          <w:b/>
          <w:bCs/>
          <w:color w:val="000000"/>
          <w:kern w:val="2"/>
          <w:sz w:val="24"/>
          <w:szCs w:val="24"/>
          <w:lang w:val="en-US"/>
        </w:rPr>
      </w:pPr>
      <w:r>
        <w:rPr>
          <w:rFonts w:hint="eastAsia" w:ascii="仿宋" w:hAnsi="仿宋" w:eastAsia="仿宋" w:cs="仿宋"/>
          <w:b/>
          <w:bCs/>
          <w:color w:val="000000"/>
          <w:kern w:val="2"/>
          <w:sz w:val="24"/>
          <w:szCs w:val="24"/>
          <w:lang w:val="en-US"/>
        </w:rPr>
        <w:t xml:space="preserve">服务质量与安全管理要求 </w:t>
      </w:r>
    </w:p>
    <w:p w14:paraId="31C79374">
      <w:pPr>
        <w:numPr>
          <w:ilvl w:val="0"/>
          <w:numId w:val="54"/>
        </w:numPr>
        <w:snapToGrid/>
        <w:spacing w:line="240" w:lineRule="auto"/>
        <w:ind w:firstLine="0" w:firstLineChars="0"/>
        <w:rPr>
          <w:rFonts w:hint="eastAsia" w:ascii="仿宋" w:hAnsi="仿宋" w:eastAsia="仿宋" w:cs="仿宋"/>
          <w:b w:val="0"/>
          <w:bCs w:val="0"/>
          <w:color w:val="000000"/>
          <w:kern w:val="2"/>
          <w:sz w:val="24"/>
          <w:szCs w:val="24"/>
          <w:highlight w:val="none"/>
          <w:lang w:val="en-US"/>
        </w:rPr>
      </w:pPr>
      <w:r>
        <w:rPr>
          <w:rFonts w:hint="eastAsia" w:ascii="仿宋" w:hAnsi="仿宋" w:eastAsia="仿宋" w:cs="仿宋"/>
          <w:b w:val="0"/>
          <w:bCs w:val="0"/>
          <w:color w:val="000000"/>
          <w:kern w:val="2"/>
          <w:sz w:val="24"/>
          <w:szCs w:val="24"/>
          <w:highlight w:val="none"/>
          <w:lang w:val="en-US"/>
        </w:rPr>
        <w:t>投标供应商须书面承诺按招标方要求采购绿色新鲜无公害食材，且食材供应商选用及采购须经采购人认可。</w:t>
      </w:r>
      <w:r>
        <w:rPr>
          <w:rFonts w:hint="eastAsia" w:ascii="仿宋" w:hAnsi="仿宋" w:eastAsia="仿宋" w:cs="仿宋"/>
          <w:b/>
          <w:bCs/>
          <w:color w:val="000000"/>
          <w:kern w:val="2"/>
          <w:sz w:val="24"/>
          <w:szCs w:val="24"/>
          <w:highlight w:val="none"/>
          <w:lang w:val="en-US"/>
        </w:rPr>
        <w:t>（</w:t>
      </w:r>
      <w:r>
        <w:rPr>
          <w:rFonts w:hint="eastAsia" w:ascii="仿宋" w:hAnsi="仿宋" w:eastAsia="仿宋" w:cs="仿宋"/>
          <w:b/>
          <w:bCs/>
          <w:color w:val="000000"/>
          <w:kern w:val="2"/>
          <w:sz w:val="24"/>
          <w:szCs w:val="24"/>
          <w:highlight w:val="none"/>
          <w:lang w:val="en-US" w:eastAsia="zh-CN"/>
        </w:rPr>
        <w:t>投标时应提供</w:t>
      </w:r>
      <w:r>
        <w:rPr>
          <w:rFonts w:hint="eastAsia" w:ascii="仿宋" w:hAnsi="仿宋" w:eastAsia="仿宋" w:cs="仿宋"/>
          <w:b/>
          <w:bCs/>
          <w:color w:val="000000"/>
          <w:kern w:val="2"/>
          <w:sz w:val="24"/>
          <w:szCs w:val="24"/>
          <w:highlight w:val="none"/>
          <w:lang w:val="en-US"/>
        </w:rPr>
        <w:t>自拟格式承诺函）</w:t>
      </w:r>
      <w:r>
        <w:rPr>
          <w:rFonts w:hint="eastAsia" w:ascii="仿宋" w:hAnsi="仿宋" w:eastAsia="仿宋" w:cs="仿宋"/>
          <w:b w:val="0"/>
          <w:bCs w:val="0"/>
          <w:color w:val="000000"/>
          <w:kern w:val="2"/>
          <w:sz w:val="24"/>
          <w:szCs w:val="24"/>
          <w:highlight w:val="none"/>
          <w:lang w:val="en-US"/>
        </w:rPr>
        <w:t xml:space="preserve"> </w:t>
      </w:r>
    </w:p>
    <w:p w14:paraId="56F291E4">
      <w:pPr>
        <w:numPr>
          <w:ilvl w:val="0"/>
          <w:numId w:val="54"/>
        </w:numPr>
        <w:snapToGrid/>
        <w:spacing w:line="240" w:lineRule="auto"/>
        <w:ind w:left="0" w:leftChars="0" w:firstLine="0" w:firstLineChars="0"/>
        <w:rPr>
          <w:rFonts w:hint="eastAsia" w:ascii="仿宋" w:hAnsi="仿宋" w:eastAsia="仿宋" w:cs="仿宋"/>
          <w:b w:val="0"/>
          <w:bCs w:val="0"/>
          <w:color w:val="000000"/>
          <w:kern w:val="2"/>
          <w:sz w:val="24"/>
          <w:szCs w:val="24"/>
          <w:highlight w:val="none"/>
          <w:lang w:val="en-US"/>
        </w:rPr>
      </w:pPr>
      <w:r>
        <w:rPr>
          <w:rFonts w:hint="eastAsia" w:ascii="仿宋" w:hAnsi="仿宋" w:eastAsia="仿宋" w:cs="仿宋"/>
          <w:b w:val="0"/>
          <w:bCs w:val="0"/>
          <w:color w:val="000000"/>
          <w:kern w:val="2"/>
          <w:sz w:val="24"/>
          <w:szCs w:val="24"/>
          <w:highlight w:val="none"/>
          <w:lang w:val="en-US"/>
        </w:rPr>
        <w:t>投标供应商应信誉良好、透明经营，且过往餐饮服务无食物中毒、安全生产事故及债务纠纷。</w:t>
      </w:r>
      <w:r>
        <w:rPr>
          <w:rFonts w:hint="eastAsia" w:ascii="仿宋" w:hAnsi="仿宋" w:eastAsia="仿宋" w:cs="仿宋"/>
          <w:b/>
          <w:bCs/>
          <w:color w:val="000000"/>
          <w:kern w:val="2"/>
          <w:sz w:val="24"/>
          <w:szCs w:val="24"/>
          <w:highlight w:val="none"/>
          <w:lang w:val="en-US"/>
        </w:rPr>
        <w:t>（</w:t>
      </w:r>
      <w:r>
        <w:rPr>
          <w:rFonts w:hint="eastAsia" w:ascii="仿宋" w:hAnsi="仿宋" w:eastAsia="仿宋" w:cs="仿宋"/>
          <w:b/>
          <w:bCs/>
          <w:color w:val="000000"/>
          <w:kern w:val="2"/>
          <w:sz w:val="24"/>
          <w:szCs w:val="24"/>
          <w:highlight w:val="none"/>
          <w:lang w:val="en-US" w:eastAsia="zh-CN"/>
        </w:rPr>
        <w:t>投标时应提供</w:t>
      </w:r>
      <w:r>
        <w:rPr>
          <w:rFonts w:hint="eastAsia" w:ascii="仿宋" w:hAnsi="仿宋" w:eastAsia="仿宋" w:cs="仿宋"/>
          <w:b/>
          <w:bCs/>
          <w:color w:val="000000"/>
          <w:kern w:val="2"/>
          <w:sz w:val="24"/>
          <w:szCs w:val="24"/>
          <w:highlight w:val="none"/>
          <w:lang w:val="en-US"/>
        </w:rPr>
        <w:t>自拟格式承诺函）</w:t>
      </w:r>
      <w:r>
        <w:rPr>
          <w:rFonts w:hint="eastAsia" w:ascii="仿宋" w:hAnsi="仿宋" w:eastAsia="仿宋" w:cs="仿宋"/>
          <w:b w:val="0"/>
          <w:bCs w:val="0"/>
          <w:color w:val="000000"/>
          <w:kern w:val="2"/>
          <w:sz w:val="24"/>
          <w:szCs w:val="24"/>
          <w:highlight w:val="none"/>
          <w:lang w:val="en-US"/>
        </w:rPr>
        <w:t xml:space="preserve"> </w:t>
      </w:r>
    </w:p>
    <w:p w14:paraId="7E7F5A9C">
      <w:pPr>
        <w:numPr>
          <w:ilvl w:val="0"/>
          <w:numId w:val="54"/>
        </w:numPr>
        <w:snapToGrid/>
        <w:spacing w:line="240" w:lineRule="auto"/>
        <w:ind w:left="0" w:leftChars="0" w:firstLine="0" w:firstLineChars="0"/>
        <w:rPr>
          <w:rFonts w:hint="eastAsia" w:ascii="仿宋" w:hAnsi="仿宋" w:eastAsia="仿宋" w:cs="仿宋"/>
          <w:b w:val="0"/>
          <w:bCs w:val="0"/>
          <w:color w:val="000000"/>
          <w:kern w:val="2"/>
          <w:sz w:val="24"/>
          <w:szCs w:val="24"/>
          <w:highlight w:val="none"/>
          <w:lang w:val="en-US"/>
        </w:rPr>
      </w:pPr>
      <w:r>
        <w:rPr>
          <w:rFonts w:hint="eastAsia" w:ascii="仿宋" w:hAnsi="仿宋" w:eastAsia="仿宋" w:cs="仿宋"/>
          <w:b w:val="0"/>
          <w:bCs w:val="0"/>
          <w:color w:val="000000"/>
          <w:kern w:val="2"/>
          <w:sz w:val="24"/>
          <w:szCs w:val="24"/>
          <w:highlight w:val="none"/>
          <w:lang w:val="en-US"/>
        </w:rPr>
        <w:t>供应商须依法经营，保障职工权益与饮食安全，提供优质服务。应遵守《食品安全法》</w:t>
      </w:r>
      <w:r>
        <w:rPr>
          <w:rFonts w:hint="eastAsia" w:ascii="仿宋" w:hAnsi="仿宋" w:eastAsia="仿宋" w:cs="仿宋"/>
          <w:b w:val="0"/>
          <w:bCs w:val="0"/>
          <w:color w:val="000000"/>
          <w:kern w:val="2"/>
          <w:sz w:val="24"/>
          <w:szCs w:val="24"/>
          <w:highlight w:val="none"/>
          <w:lang w:val="en-US" w:eastAsia="zh-CN"/>
        </w:rPr>
        <w:t>、</w:t>
      </w:r>
      <w:r>
        <w:rPr>
          <w:rFonts w:hint="eastAsia" w:ascii="仿宋" w:hAnsi="仿宋" w:eastAsia="仿宋" w:cs="仿宋"/>
          <w:b w:val="0"/>
          <w:bCs w:val="0"/>
          <w:color w:val="000000"/>
          <w:kern w:val="2"/>
          <w:sz w:val="24"/>
          <w:szCs w:val="24"/>
          <w:highlight w:val="none"/>
          <w:lang w:val="en-US"/>
        </w:rPr>
        <w:t>《安全生产法》</w:t>
      </w:r>
      <w:r>
        <w:rPr>
          <w:rFonts w:hint="eastAsia" w:ascii="仿宋" w:hAnsi="仿宋" w:eastAsia="仿宋" w:cs="仿宋"/>
          <w:b w:val="0"/>
          <w:bCs w:val="0"/>
          <w:color w:val="000000"/>
          <w:kern w:val="2"/>
          <w:sz w:val="24"/>
          <w:szCs w:val="24"/>
          <w:highlight w:val="none"/>
          <w:lang w:val="en-US" w:eastAsia="zh-CN"/>
        </w:rPr>
        <w:t>、</w:t>
      </w:r>
      <w:r>
        <w:rPr>
          <w:rFonts w:hint="eastAsia" w:ascii="仿宋" w:hAnsi="仿宋" w:eastAsia="仿宋" w:cs="仿宋"/>
          <w:b w:val="0"/>
          <w:bCs w:val="0"/>
          <w:color w:val="000000"/>
          <w:kern w:val="2"/>
          <w:sz w:val="24"/>
          <w:szCs w:val="24"/>
          <w:highlight w:val="none"/>
          <w:lang w:val="en-US"/>
        </w:rPr>
        <w:t xml:space="preserve">《餐饮服务食品安全操作规范》等法规，建食品安全管理机构，制定实施方案与应急处置方案。遵守采购人管理规定，做好食堂经营管理，完善操作规程。 </w:t>
      </w:r>
    </w:p>
    <w:p w14:paraId="405EC2AC">
      <w:pPr>
        <w:numPr>
          <w:ilvl w:val="0"/>
          <w:numId w:val="54"/>
        </w:numPr>
        <w:snapToGrid/>
        <w:spacing w:line="240" w:lineRule="auto"/>
        <w:ind w:left="0" w:leftChars="0" w:firstLine="0" w:firstLineChars="0"/>
        <w:rPr>
          <w:rFonts w:hint="eastAsia" w:ascii="仿宋" w:hAnsi="仿宋" w:eastAsia="仿宋" w:cs="仿宋"/>
          <w:b w:val="0"/>
          <w:bCs w:val="0"/>
          <w:color w:val="000000"/>
          <w:kern w:val="2"/>
          <w:sz w:val="24"/>
          <w:szCs w:val="24"/>
          <w:highlight w:val="none"/>
          <w:lang w:val="en-US"/>
        </w:rPr>
      </w:pPr>
      <w:r>
        <w:rPr>
          <w:rFonts w:hint="eastAsia" w:ascii="仿宋" w:hAnsi="仿宋" w:eastAsia="仿宋" w:cs="仿宋"/>
          <w:b w:val="0"/>
          <w:bCs w:val="0"/>
          <w:color w:val="000000"/>
          <w:kern w:val="2"/>
          <w:sz w:val="24"/>
          <w:szCs w:val="24"/>
          <w:highlight w:val="none"/>
          <w:lang w:val="en-US"/>
        </w:rPr>
        <w:t>供应商需配合采购方在 832 平台上完成政府采购扶贫商品的年度采购份额。</w:t>
      </w:r>
      <w:r>
        <w:rPr>
          <w:rFonts w:hint="eastAsia" w:ascii="仿宋" w:hAnsi="仿宋" w:eastAsia="仿宋" w:cs="仿宋"/>
          <w:b/>
          <w:bCs/>
          <w:color w:val="000000"/>
          <w:kern w:val="2"/>
          <w:sz w:val="24"/>
          <w:szCs w:val="24"/>
          <w:highlight w:val="none"/>
          <w:lang w:val="en-US"/>
        </w:rPr>
        <w:t>（</w:t>
      </w:r>
      <w:r>
        <w:rPr>
          <w:rFonts w:hint="eastAsia" w:ascii="仿宋" w:hAnsi="仿宋" w:eastAsia="仿宋" w:cs="仿宋"/>
          <w:b/>
          <w:bCs/>
          <w:color w:val="000000"/>
          <w:kern w:val="2"/>
          <w:sz w:val="24"/>
          <w:szCs w:val="24"/>
          <w:highlight w:val="none"/>
          <w:lang w:val="en-US" w:eastAsia="zh-CN"/>
        </w:rPr>
        <w:t>投标时应</w:t>
      </w:r>
      <w:r>
        <w:rPr>
          <w:rFonts w:hint="eastAsia" w:ascii="仿宋" w:hAnsi="仿宋" w:eastAsia="仿宋" w:cs="仿宋"/>
          <w:b/>
          <w:bCs/>
          <w:color w:val="000000"/>
          <w:kern w:val="2"/>
          <w:sz w:val="24"/>
          <w:szCs w:val="24"/>
          <w:highlight w:val="none"/>
          <w:lang w:val="en-US"/>
        </w:rPr>
        <w:t xml:space="preserve">提供承诺函，格式自拟） </w:t>
      </w:r>
    </w:p>
    <w:p w14:paraId="43368201">
      <w:pPr>
        <w:numPr>
          <w:ilvl w:val="0"/>
          <w:numId w:val="53"/>
        </w:numPr>
        <w:snapToGrid/>
        <w:spacing w:line="240" w:lineRule="auto"/>
        <w:ind w:left="140" w:leftChars="0" w:firstLine="0" w:firstLineChars="0"/>
        <w:rPr>
          <w:rFonts w:hint="eastAsia" w:ascii="仿宋" w:hAnsi="仿宋" w:eastAsia="仿宋" w:cs="仿宋"/>
          <w:b/>
          <w:bCs/>
          <w:color w:val="000000"/>
          <w:kern w:val="2"/>
          <w:sz w:val="24"/>
          <w:szCs w:val="24"/>
          <w:lang w:val="en-US"/>
        </w:rPr>
      </w:pPr>
      <w:r>
        <w:rPr>
          <w:rFonts w:hint="eastAsia" w:ascii="仿宋" w:hAnsi="仿宋" w:eastAsia="仿宋" w:cs="仿宋"/>
          <w:b/>
          <w:bCs/>
          <w:color w:val="000000"/>
          <w:kern w:val="2"/>
          <w:sz w:val="24"/>
          <w:szCs w:val="24"/>
          <w:lang w:val="en-US"/>
        </w:rPr>
        <w:t xml:space="preserve">服务目标 </w:t>
      </w:r>
    </w:p>
    <w:p w14:paraId="5711CB76">
      <w:pPr>
        <w:numPr>
          <w:ilvl w:val="0"/>
          <w:numId w:val="55"/>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做好</w:t>
      </w:r>
      <w:r>
        <w:rPr>
          <w:rFonts w:hint="eastAsia" w:ascii="仿宋" w:hAnsi="仿宋" w:eastAsia="仿宋" w:cs="仿宋"/>
          <w:b w:val="0"/>
          <w:bCs w:val="0"/>
          <w:color w:val="000000"/>
          <w:kern w:val="2"/>
          <w:sz w:val="24"/>
          <w:szCs w:val="24"/>
          <w:lang w:val="en-US" w:eastAsia="zh-CN"/>
        </w:rPr>
        <w:t>昌吉回族自治州人民医院职工及患者的</w:t>
      </w:r>
      <w:r>
        <w:rPr>
          <w:rFonts w:hint="eastAsia" w:ascii="仿宋" w:hAnsi="仿宋" w:eastAsia="仿宋" w:cs="仿宋"/>
          <w:b w:val="0"/>
          <w:bCs w:val="0"/>
          <w:color w:val="000000"/>
          <w:kern w:val="2"/>
          <w:sz w:val="24"/>
          <w:szCs w:val="24"/>
          <w:lang w:val="en-US"/>
        </w:rPr>
        <w:t xml:space="preserve">餐饮服务。 </w:t>
      </w:r>
    </w:p>
    <w:p w14:paraId="6040F9FA">
      <w:pPr>
        <w:numPr>
          <w:ilvl w:val="0"/>
          <w:numId w:val="55"/>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妥善完成甲方临时安排的用餐任务。 </w:t>
      </w:r>
    </w:p>
    <w:p w14:paraId="578429A0">
      <w:pPr>
        <w:numPr>
          <w:ilvl w:val="0"/>
          <w:numId w:val="53"/>
        </w:numPr>
        <w:snapToGrid/>
        <w:spacing w:line="240" w:lineRule="auto"/>
        <w:ind w:left="140" w:leftChars="0" w:firstLine="0" w:firstLineChars="0"/>
        <w:rPr>
          <w:rFonts w:hint="eastAsia" w:ascii="仿宋" w:hAnsi="仿宋" w:eastAsia="仿宋" w:cs="仿宋"/>
          <w:b/>
          <w:bCs/>
          <w:color w:val="000000"/>
          <w:kern w:val="2"/>
          <w:sz w:val="24"/>
          <w:szCs w:val="24"/>
          <w:lang w:val="en-US"/>
        </w:rPr>
      </w:pPr>
      <w:r>
        <w:rPr>
          <w:rFonts w:hint="eastAsia" w:ascii="仿宋" w:hAnsi="仿宋" w:eastAsia="仿宋" w:cs="仿宋"/>
          <w:b/>
          <w:bCs/>
          <w:color w:val="000000"/>
          <w:kern w:val="2"/>
          <w:sz w:val="24"/>
          <w:szCs w:val="24"/>
          <w:lang w:val="en-US"/>
        </w:rPr>
        <w:t>服务内容及要求</w:t>
      </w:r>
    </w:p>
    <w:p w14:paraId="71AC8902">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全年提供早餐、午餐</w:t>
      </w:r>
      <w:r>
        <w:rPr>
          <w:rFonts w:hint="eastAsia" w:ascii="仿宋" w:hAnsi="仿宋" w:eastAsia="仿宋" w:cs="仿宋"/>
          <w:b w:val="0"/>
          <w:bCs w:val="0"/>
          <w:color w:val="000000"/>
          <w:kern w:val="2"/>
          <w:sz w:val="24"/>
          <w:szCs w:val="24"/>
          <w:lang w:val="en-US" w:eastAsia="zh-CN"/>
        </w:rPr>
        <w:t>、晚餐</w:t>
      </w:r>
      <w:r>
        <w:rPr>
          <w:rFonts w:hint="eastAsia" w:ascii="仿宋" w:hAnsi="仿宋" w:eastAsia="仿宋" w:cs="仿宋"/>
          <w:b w:val="0"/>
          <w:bCs w:val="0"/>
          <w:color w:val="000000"/>
          <w:kern w:val="2"/>
          <w:sz w:val="24"/>
          <w:szCs w:val="24"/>
          <w:lang w:val="en-US"/>
        </w:rPr>
        <w:t>及承担临时供餐服务。中标方无条件供餐，费用按照实际用餐人数结算，不增加服务费用。</w:t>
      </w:r>
    </w:p>
    <w:p w14:paraId="28A0C89C">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按招标方要求售卖自制食品及规定商品。 </w:t>
      </w:r>
    </w:p>
    <w:p w14:paraId="1031F56E">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根据餐厅服务标准不同，不断创新花色品种。 </w:t>
      </w:r>
    </w:p>
    <w:p w14:paraId="7903A557">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负责食堂账目盘点及刷卡监督、食材采购等相关管理工作。 </w:t>
      </w:r>
    </w:p>
    <w:p w14:paraId="1917D6F2">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严格执行垃圾分类、卫生大扫除等相关规定，按照招标方要求开展工作。 </w:t>
      </w:r>
    </w:p>
    <w:p w14:paraId="392F5E79">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坚决制止餐饮浪费行为，营造浪费可耻、节约为荣的氛围，按招标方要求开展工作。</w:t>
      </w:r>
    </w:p>
    <w:p w14:paraId="5E1B13D2">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每个月开展一次消防安全培训且建立台账。</w:t>
      </w:r>
    </w:p>
    <w:p w14:paraId="256A5A92">
      <w:pPr>
        <w:numPr>
          <w:ilvl w:val="0"/>
          <w:numId w:val="56"/>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食堂设施设备的日常维修维护，须安排专人负责管理各种设施、设备,保证水、电</w:t>
      </w:r>
      <w:r>
        <w:rPr>
          <w:rFonts w:hint="eastAsia" w:ascii="仿宋" w:hAnsi="仿宋" w:eastAsia="仿宋" w:cs="仿宋"/>
          <w:b w:val="0"/>
          <w:bCs w:val="0"/>
          <w:color w:val="000000"/>
          <w:kern w:val="2"/>
          <w:sz w:val="24"/>
          <w:szCs w:val="24"/>
          <w:lang w:val="en-US" w:eastAsia="zh-CN"/>
        </w:rPr>
        <w:t>、燃气</w:t>
      </w:r>
      <w:r>
        <w:rPr>
          <w:rFonts w:hint="eastAsia" w:ascii="仿宋" w:hAnsi="仿宋" w:eastAsia="仿宋" w:cs="仿宋"/>
          <w:b w:val="0"/>
          <w:bCs w:val="0"/>
          <w:color w:val="000000"/>
          <w:kern w:val="2"/>
          <w:sz w:val="24"/>
          <w:szCs w:val="24"/>
          <w:lang w:val="en-US"/>
        </w:rPr>
        <w:t xml:space="preserve">等的使用安全，加强对电器的日常检查，每年不少于四次烟道清洗。与采购人签订消防安全责任书、安全生产责任书，经营期间所发生的人员伤亡、财产损失均由供应商负责。供应商建立完善的人员档案,能随时提供从业人员信息。 </w:t>
      </w:r>
    </w:p>
    <w:p w14:paraId="21695E64">
      <w:pPr>
        <w:numPr>
          <w:ilvl w:val="0"/>
          <w:numId w:val="56"/>
        </w:numPr>
        <w:snapToGrid/>
        <w:spacing w:line="240" w:lineRule="auto"/>
        <w:ind w:left="140" w:leftChars="0" w:firstLine="0" w:firstLineChars="0"/>
        <w:rPr>
          <w:rFonts w:hint="eastAsia" w:ascii="仿宋" w:hAnsi="仿宋" w:eastAsia="仿宋" w:cs="仿宋"/>
          <w:b w:val="0"/>
          <w:bCs w:val="0"/>
          <w:color w:val="0D0D0D"/>
          <w:kern w:val="2"/>
          <w:sz w:val="24"/>
          <w:szCs w:val="24"/>
          <w:lang w:val="en-US"/>
        </w:rPr>
      </w:pPr>
      <w:r>
        <w:rPr>
          <w:rFonts w:hint="eastAsia" w:ascii="仿宋" w:hAnsi="仿宋" w:eastAsia="仿宋" w:cs="仿宋"/>
          <w:b w:val="0"/>
          <w:bCs w:val="0"/>
          <w:color w:val="0D0D0D"/>
          <w:kern w:val="2"/>
          <w:sz w:val="24"/>
          <w:szCs w:val="24"/>
          <w:lang w:val="en-US"/>
        </w:rPr>
        <w:t xml:space="preserve">负责食堂每日产生的餐厨垃圾的清运工作，避免造成环境污染和卫生隐患。 </w:t>
      </w:r>
    </w:p>
    <w:p w14:paraId="636E0456">
      <w:pPr>
        <w:numPr>
          <w:ilvl w:val="0"/>
          <w:numId w:val="0"/>
        </w:numPr>
        <w:snapToGrid/>
        <w:spacing w:line="240" w:lineRule="auto"/>
        <w:ind w:left="140" w:leftChars="0" w:firstLine="0" w:firstLineChars="0"/>
        <w:rPr>
          <w:rFonts w:hint="eastAsia" w:ascii="仿宋" w:hAnsi="仿宋" w:eastAsia="仿宋" w:cs="仿宋"/>
          <w:b w:val="0"/>
          <w:bCs w:val="0"/>
          <w:color w:val="0D0D0D"/>
          <w:kern w:val="2"/>
          <w:sz w:val="24"/>
          <w:szCs w:val="24"/>
          <w:lang w:val="en-US"/>
        </w:rPr>
      </w:pPr>
      <w:r>
        <w:rPr>
          <w:rFonts w:hint="eastAsia" w:ascii="仿宋" w:hAnsi="仿宋" w:eastAsia="仿宋" w:cs="仿宋"/>
          <w:b w:val="0"/>
          <w:bCs w:val="0"/>
          <w:color w:val="0D0D0D"/>
          <w:kern w:val="2"/>
          <w:sz w:val="24"/>
          <w:szCs w:val="24"/>
          <w:lang w:val="en-US" w:eastAsia="zh-CN"/>
        </w:rPr>
        <w:t>4、</w:t>
      </w:r>
      <w:r>
        <w:rPr>
          <w:rFonts w:hint="eastAsia" w:ascii="仿宋" w:hAnsi="仿宋" w:eastAsia="仿宋" w:cs="仿宋"/>
          <w:b/>
          <w:bCs/>
          <w:color w:val="0D0D0D"/>
          <w:kern w:val="2"/>
          <w:sz w:val="24"/>
          <w:szCs w:val="24"/>
          <w:lang w:val="en-US"/>
        </w:rPr>
        <w:t xml:space="preserve">供餐服务标准及供应品种 </w:t>
      </w:r>
    </w:p>
    <w:p w14:paraId="43D0B21C">
      <w:pPr>
        <w:numPr>
          <w:ilvl w:val="0"/>
          <w:numId w:val="57"/>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餐费自费标准（自助餐）：午餐18元/人。 </w:t>
      </w:r>
    </w:p>
    <w:p w14:paraId="2068E768">
      <w:pPr>
        <w:numPr>
          <w:ilvl w:val="0"/>
          <w:numId w:val="57"/>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午餐供应时间：1</w:t>
      </w:r>
      <w:r>
        <w:rPr>
          <w:rFonts w:hint="eastAsia" w:ascii="仿宋" w:hAnsi="仿宋" w:eastAsia="仿宋" w:cs="仿宋"/>
          <w:b w:val="0"/>
          <w:bCs w:val="0"/>
          <w:color w:val="000000"/>
          <w:kern w:val="2"/>
          <w:sz w:val="24"/>
          <w:szCs w:val="24"/>
          <w:lang w:val="en-US" w:eastAsia="zh-CN"/>
        </w:rPr>
        <w:t>2</w:t>
      </w:r>
      <w:r>
        <w:rPr>
          <w:rFonts w:hint="eastAsia" w:ascii="仿宋" w:hAnsi="仿宋" w:eastAsia="仿宋" w:cs="仿宋"/>
          <w:b w:val="0"/>
          <w:bCs w:val="0"/>
          <w:color w:val="000000"/>
          <w:kern w:val="2"/>
          <w:sz w:val="24"/>
          <w:szCs w:val="24"/>
          <w:lang w:val="en-US"/>
        </w:rPr>
        <w:t>:30至1</w:t>
      </w:r>
      <w:r>
        <w:rPr>
          <w:rFonts w:hint="eastAsia" w:ascii="仿宋" w:hAnsi="仿宋" w:eastAsia="仿宋" w:cs="仿宋"/>
          <w:b w:val="0"/>
          <w:bCs w:val="0"/>
          <w:color w:val="000000"/>
          <w:kern w:val="2"/>
          <w:sz w:val="24"/>
          <w:szCs w:val="24"/>
          <w:lang w:val="en-US" w:eastAsia="zh-CN"/>
        </w:rPr>
        <w:t>5</w:t>
      </w:r>
      <w:r>
        <w:rPr>
          <w:rFonts w:hint="eastAsia" w:ascii="仿宋" w:hAnsi="仿宋" w:eastAsia="仿宋" w:cs="仿宋"/>
          <w:b w:val="0"/>
          <w:bCs w:val="0"/>
          <w:color w:val="000000"/>
          <w:kern w:val="2"/>
          <w:sz w:val="24"/>
          <w:szCs w:val="24"/>
          <w:lang w:val="en-US"/>
        </w:rPr>
        <w:t xml:space="preserve">:30 </w:t>
      </w:r>
      <w:r>
        <w:rPr>
          <w:rFonts w:hint="eastAsia" w:ascii="仿宋" w:hAnsi="仿宋" w:eastAsia="仿宋" w:cs="仿宋"/>
          <w:b w:val="0"/>
          <w:bCs w:val="0"/>
          <w:color w:val="000000"/>
          <w:kern w:val="2"/>
          <w:sz w:val="24"/>
          <w:szCs w:val="24"/>
          <w:lang w:val="en-US" w:eastAsia="zh-CN"/>
        </w:rPr>
        <w:t>。</w:t>
      </w:r>
    </w:p>
    <w:p w14:paraId="3A55A1FD">
      <w:pPr>
        <w:numPr>
          <w:ilvl w:val="0"/>
          <w:numId w:val="57"/>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午餐标准：</w:t>
      </w:r>
      <w:r>
        <w:rPr>
          <w:rFonts w:hint="eastAsia" w:ascii="仿宋" w:hAnsi="仿宋" w:eastAsia="仿宋" w:cs="仿宋"/>
          <w:b w:val="0"/>
          <w:bCs w:val="0"/>
          <w:color w:val="000000"/>
          <w:kern w:val="2"/>
          <w:sz w:val="24"/>
          <w:szCs w:val="24"/>
          <w:lang w:val="en-US" w:eastAsia="zh-CN"/>
        </w:rPr>
        <w:t>热</w:t>
      </w:r>
      <w:r>
        <w:rPr>
          <w:rFonts w:hint="eastAsia" w:ascii="仿宋" w:hAnsi="仿宋" w:eastAsia="仿宋" w:cs="仿宋"/>
          <w:b w:val="0"/>
          <w:bCs w:val="0"/>
          <w:color w:val="000000"/>
          <w:kern w:val="2"/>
          <w:sz w:val="24"/>
          <w:szCs w:val="24"/>
          <w:lang w:val="en-US"/>
        </w:rPr>
        <w:t>荤</w:t>
      </w:r>
      <w:r>
        <w:rPr>
          <w:rFonts w:hint="eastAsia" w:ascii="仿宋" w:hAnsi="仿宋" w:eastAsia="仿宋" w:cs="仿宋"/>
          <w:b w:val="0"/>
          <w:bCs w:val="0"/>
          <w:color w:val="000000"/>
          <w:kern w:val="2"/>
          <w:sz w:val="24"/>
          <w:szCs w:val="24"/>
          <w:lang w:val="en-US" w:eastAsia="zh-CN"/>
        </w:rPr>
        <w:t>菜4道（其中大荤2道、半荤2道）、热</w:t>
      </w:r>
      <w:r>
        <w:rPr>
          <w:rFonts w:hint="eastAsia" w:ascii="仿宋" w:hAnsi="仿宋" w:eastAsia="仿宋" w:cs="仿宋"/>
          <w:b w:val="0"/>
          <w:bCs w:val="0"/>
          <w:color w:val="000000"/>
          <w:kern w:val="2"/>
          <w:sz w:val="24"/>
          <w:szCs w:val="24"/>
          <w:lang w:val="en-US"/>
        </w:rPr>
        <w:t>素</w:t>
      </w:r>
      <w:r>
        <w:rPr>
          <w:rFonts w:hint="eastAsia" w:ascii="仿宋" w:hAnsi="仿宋" w:eastAsia="仿宋" w:cs="仿宋"/>
          <w:b w:val="0"/>
          <w:bCs w:val="0"/>
          <w:color w:val="000000"/>
          <w:kern w:val="2"/>
          <w:sz w:val="24"/>
          <w:szCs w:val="24"/>
          <w:lang w:val="en-US" w:eastAsia="zh-CN"/>
        </w:rPr>
        <w:t>菜4道、凉菜2道、杂粮1道、小吃1道、主食4种（其中米饭每日供应）、调剂品3种（其中拌面每日供应，拌面菜2道）、水果1种、糕点1种，</w:t>
      </w:r>
      <w:r>
        <w:rPr>
          <w:rFonts w:hint="eastAsia" w:ascii="仿宋" w:hAnsi="仿宋" w:eastAsia="仿宋" w:cs="仿宋"/>
          <w:b w:val="0"/>
          <w:bCs w:val="0"/>
          <w:color w:val="000000"/>
          <w:kern w:val="2"/>
          <w:sz w:val="24"/>
          <w:szCs w:val="24"/>
          <w:lang w:val="en-US"/>
        </w:rPr>
        <w:t>汤</w:t>
      </w:r>
      <w:r>
        <w:rPr>
          <w:rFonts w:hint="eastAsia" w:ascii="仿宋" w:hAnsi="仿宋" w:eastAsia="仿宋" w:cs="仿宋"/>
          <w:b w:val="0"/>
          <w:bCs w:val="0"/>
          <w:color w:val="000000"/>
          <w:kern w:val="2"/>
          <w:sz w:val="24"/>
          <w:szCs w:val="24"/>
          <w:lang w:val="en-US" w:eastAsia="zh-CN"/>
        </w:rPr>
        <w:t>1道</w:t>
      </w:r>
      <w:r>
        <w:rPr>
          <w:rFonts w:hint="eastAsia" w:ascii="仿宋" w:hAnsi="仿宋" w:eastAsia="仿宋" w:cs="仿宋"/>
          <w:b w:val="0"/>
          <w:bCs w:val="0"/>
          <w:color w:val="000000"/>
          <w:kern w:val="2"/>
          <w:sz w:val="24"/>
          <w:szCs w:val="24"/>
          <w:lang w:val="en-US"/>
        </w:rPr>
        <w:t>，其中包括但不限于下列餐食</w:t>
      </w:r>
      <w:r>
        <w:rPr>
          <w:rFonts w:hint="eastAsia" w:ascii="仿宋" w:hAnsi="仿宋" w:eastAsia="仿宋" w:cs="仿宋"/>
          <w:b w:val="0"/>
          <w:bCs w:val="0"/>
          <w:color w:val="000000"/>
          <w:kern w:val="2"/>
          <w:sz w:val="24"/>
          <w:szCs w:val="24"/>
          <w:lang w:val="en-US" w:eastAsia="zh-CN"/>
        </w:rPr>
        <w:t>：</w:t>
      </w:r>
      <w:r>
        <w:rPr>
          <w:rFonts w:hint="eastAsia" w:ascii="仿宋" w:hAnsi="仿宋" w:eastAsia="仿宋" w:cs="仿宋"/>
          <w:b w:val="0"/>
          <w:bCs w:val="0"/>
          <w:color w:val="000000"/>
          <w:kern w:val="2"/>
          <w:sz w:val="24"/>
          <w:szCs w:val="24"/>
          <w:lang w:val="en-US"/>
        </w:rPr>
        <w:t xml:space="preserve"> </w:t>
      </w:r>
    </w:p>
    <w:p w14:paraId="5EC4E7DA">
      <w:pPr>
        <w:numPr>
          <w:ilvl w:val="0"/>
          <w:numId w:val="58"/>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大荤菜：（红烧牛排、红烧羊排、杂粮烧牛腩、土豆烧牛腩、梭边鱼烧豆腐、红烧草鱼、剁椒鱼块、辣子鸡、椒麻鸡、大盘鸡、风味烤肉、过油肉、牛肉大杂烩、麻辣虾尾、薯条大虾、 红烧带鱼、红烧丸子）</w:t>
      </w:r>
      <w:r>
        <w:rPr>
          <w:rFonts w:hint="eastAsia" w:ascii="仿宋" w:hAnsi="仿宋" w:eastAsia="仿宋" w:cs="仿宋"/>
          <w:b w:val="0"/>
          <w:bCs w:val="0"/>
          <w:color w:val="000000"/>
          <w:kern w:val="2"/>
          <w:sz w:val="24"/>
          <w:szCs w:val="24"/>
          <w:lang w:val="en-US" w:eastAsia="zh-CN"/>
        </w:rPr>
        <w:t>；</w:t>
      </w:r>
    </w:p>
    <w:p w14:paraId="226F53A8">
      <w:pPr>
        <w:numPr>
          <w:ilvl w:val="0"/>
          <w:numId w:val="58"/>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主食</w:t>
      </w:r>
      <w:r>
        <w:rPr>
          <w:rFonts w:hint="eastAsia" w:ascii="仿宋" w:hAnsi="仿宋" w:eastAsia="仿宋" w:cs="仿宋"/>
          <w:b w:val="0"/>
          <w:bCs w:val="0"/>
          <w:color w:val="000000"/>
          <w:kern w:val="2"/>
          <w:sz w:val="24"/>
          <w:szCs w:val="24"/>
          <w:lang w:val="en-US" w:eastAsia="zh-CN"/>
        </w:rPr>
        <w:t>：</w:t>
      </w:r>
      <w:r>
        <w:rPr>
          <w:rFonts w:hint="eastAsia" w:ascii="仿宋" w:hAnsi="仿宋" w:eastAsia="仿宋" w:cs="仿宋"/>
          <w:b w:val="0"/>
          <w:bCs w:val="0"/>
          <w:color w:val="000000"/>
          <w:kern w:val="2"/>
          <w:sz w:val="24"/>
          <w:szCs w:val="24"/>
          <w:lang w:val="en-US"/>
        </w:rPr>
        <w:t>（米饭、抓饭、什锦炒饭、蛋炒饭、干煸炒面、丁丁炒面、爆炒黄面）</w:t>
      </w:r>
      <w:r>
        <w:rPr>
          <w:rFonts w:hint="eastAsia" w:ascii="仿宋" w:hAnsi="仿宋" w:eastAsia="仿宋" w:cs="仿宋"/>
          <w:b w:val="0"/>
          <w:bCs w:val="0"/>
          <w:color w:val="000000"/>
          <w:kern w:val="2"/>
          <w:sz w:val="24"/>
          <w:szCs w:val="24"/>
          <w:lang w:val="en-US" w:eastAsia="zh-CN"/>
        </w:rPr>
        <w:t>；</w:t>
      </w:r>
    </w:p>
    <w:p w14:paraId="0E9A9388">
      <w:pPr>
        <w:numPr>
          <w:ilvl w:val="0"/>
          <w:numId w:val="58"/>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eastAsia="zh-CN"/>
        </w:rPr>
        <w:t>调剂品：</w:t>
      </w:r>
      <w:r>
        <w:rPr>
          <w:rFonts w:hint="eastAsia" w:ascii="仿宋" w:hAnsi="仿宋" w:eastAsia="仿宋" w:cs="仿宋"/>
          <w:b w:val="0"/>
          <w:bCs w:val="0"/>
          <w:color w:val="000000"/>
          <w:kern w:val="2"/>
          <w:sz w:val="24"/>
          <w:szCs w:val="24"/>
          <w:lang w:val="en-US"/>
        </w:rPr>
        <w:t>（</w:t>
      </w:r>
      <w:r>
        <w:rPr>
          <w:rFonts w:hint="eastAsia" w:ascii="仿宋" w:hAnsi="仿宋" w:eastAsia="仿宋" w:cs="仿宋"/>
          <w:b w:val="0"/>
          <w:bCs w:val="0"/>
          <w:color w:val="000000"/>
          <w:kern w:val="2"/>
          <w:sz w:val="24"/>
          <w:szCs w:val="24"/>
          <w:lang w:val="en-US" w:eastAsia="zh-CN"/>
        </w:rPr>
        <w:t>拌面、</w:t>
      </w:r>
      <w:r>
        <w:rPr>
          <w:rFonts w:hint="eastAsia" w:ascii="仿宋" w:hAnsi="仿宋" w:eastAsia="仿宋" w:cs="仿宋"/>
          <w:b w:val="0"/>
          <w:bCs w:val="0"/>
          <w:color w:val="000000"/>
          <w:kern w:val="2"/>
          <w:sz w:val="24"/>
          <w:szCs w:val="24"/>
          <w:lang w:val="en-US"/>
        </w:rPr>
        <w:t>臊子面、炸酱面、打卤面、丸子汤、粉汤、饺子、凉皮）</w:t>
      </w:r>
      <w:r>
        <w:rPr>
          <w:rFonts w:hint="eastAsia" w:ascii="仿宋" w:hAnsi="仿宋" w:eastAsia="仿宋" w:cs="仿宋"/>
          <w:b w:val="0"/>
          <w:bCs w:val="0"/>
          <w:color w:val="000000"/>
          <w:kern w:val="2"/>
          <w:sz w:val="24"/>
          <w:szCs w:val="24"/>
          <w:lang w:val="en-US" w:eastAsia="zh-CN"/>
        </w:rPr>
        <w:t>；</w:t>
      </w:r>
    </w:p>
    <w:p w14:paraId="75D8DF08">
      <w:pPr>
        <w:numPr>
          <w:ilvl w:val="0"/>
          <w:numId w:val="57"/>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点餐菜品价格不得高于市场价格。(具体事项以甲乙双方约定为准) </w:t>
      </w:r>
    </w:p>
    <w:p w14:paraId="25738858">
      <w:pPr>
        <w:numPr>
          <w:ilvl w:val="0"/>
          <w:numId w:val="57"/>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依据节气、四季更迭及传统节日，紧密融合食品安全及营养学要求，每月更新菜谱；不断尝试新的配方和烹饪方法，对菜品的口感、色泽、香气等方面细心调整，确保达到最佳效 果，不断增进食堂餐饮服务的质量与水平。 </w:t>
      </w:r>
    </w:p>
    <w:p w14:paraId="146CB27C">
      <w:pPr>
        <w:numPr>
          <w:ilvl w:val="0"/>
          <w:numId w:val="57"/>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采购的原材料必须符合国家食品卫生安全的要求，所提供的米、面、油、肉和调、配料 等食材必须是符合国家标准的产品并有相关佐证材料，并且需通过甲方的验收。要求及验收 标准：</w:t>
      </w:r>
    </w:p>
    <w:p w14:paraId="71D77D7F">
      <w:pPr>
        <w:numPr>
          <w:ilvl w:val="0"/>
          <w:numId w:val="59"/>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蔬菜类：色泽鲜嫩、无黑斑、无烂叶、无烂心、无虫眼、无机械损伤等。农残不超标， 并可溯源。品种丰富，质量均匀。</w:t>
      </w:r>
    </w:p>
    <w:p w14:paraId="6D052324">
      <w:pPr>
        <w:numPr>
          <w:ilvl w:val="0"/>
          <w:numId w:val="59"/>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瓜果类：果形完整、未软化、新鲜、完好，无腐烂变质，基本不含可见异物，无坏死斑 块、无明显机械损伤，基本无虫害，无异常气味和味道，发育充分，达到适当的成熟度。农残不超标，并可溯源。要求品种丰富，质量合格。</w:t>
      </w:r>
    </w:p>
    <w:p w14:paraId="07AC9AC0">
      <w:pPr>
        <w:numPr>
          <w:ilvl w:val="0"/>
          <w:numId w:val="59"/>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粮油、副食品类：品牌不限，不得有变质、变味、过期等现象出现，须有生产日期及有 效期。 </w:t>
      </w:r>
    </w:p>
    <w:p w14:paraId="68AF5C3D">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（d）牛羊肉类：牛羊肉（均为鲜肉），供货时每批次货物必须提供动物检疫合格证明，均匀 深红色、表面光泽、纹路紧密、脂肪乳白色或是微黄无异味、触摸时不粘手、弹性好、严禁 使用注水肉、冷冻肉。 </w:t>
      </w:r>
    </w:p>
    <w:p w14:paraId="00DE8828">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eastAsia="zh-CN"/>
        </w:rPr>
        <w:t>（7）</w:t>
      </w:r>
      <w:r>
        <w:rPr>
          <w:rFonts w:hint="eastAsia" w:ascii="仿宋" w:hAnsi="仿宋" w:eastAsia="仿宋" w:cs="仿宋"/>
          <w:b w:val="0"/>
          <w:bCs w:val="0"/>
          <w:color w:val="000000"/>
          <w:kern w:val="2"/>
          <w:sz w:val="24"/>
          <w:szCs w:val="24"/>
          <w:lang w:val="en-US"/>
        </w:rPr>
        <w:t xml:space="preserve">牛羊鸡鸭鱼肉供货时每批次货物必须提供动物检疫合格证明；包装必须标识齐全，有生产日期、保质期。无干缩、无变色、无异味，水分损失不得超过3%。理化指标及药残必须符合 国家对于新鲜牛羊鸡鸭鱼肉要求的相关质量标准，并符合《中华人民共和国食品安全法》及《动物检疫法》。 </w:t>
      </w:r>
    </w:p>
    <w:p w14:paraId="07E492D7">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eastAsia="zh-CN"/>
        </w:rPr>
        <w:t>5、</w:t>
      </w:r>
      <w:r>
        <w:rPr>
          <w:rFonts w:hint="eastAsia" w:ascii="仿宋" w:hAnsi="仿宋" w:eastAsia="仿宋" w:cs="仿宋"/>
          <w:b/>
          <w:bCs/>
          <w:color w:val="000000"/>
          <w:kern w:val="2"/>
          <w:sz w:val="24"/>
          <w:szCs w:val="24"/>
          <w:lang w:val="en-US"/>
        </w:rPr>
        <w:t xml:space="preserve">人员配备要求 </w:t>
      </w:r>
    </w:p>
    <w:p w14:paraId="58ABEA69">
      <w:pPr>
        <w:numPr>
          <w:ilvl w:val="0"/>
          <w:numId w:val="0"/>
        </w:numPr>
        <w:snapToGrid/>
        <w:spacing w:line="240" w:lineRule="auto"/>
        <w:ind w:left="140" w:leftChars="0" w:firstLine="480" w:firstLineChars="200"/>
        <w:rPr>
          <w:rFonts w:hint="eastAsia" w:ascii="仿宋" w:hAnsi="仿宋" w:eastAsia="仿宋" w:cs="仿宋"/>
          <w:b w:val="0"/>
          <w:bCs w:val="0"/>
          <w:color w:val="000000"/>
          <w:kern w:val="2"/>
          <w:sz w:val="24"/>
          <w:szCs w:val="24"/>
          <w:lang w:val="en-US" w:eastAsia="zh-CN"/>
        </w:rPr>
      </w:pPr>
      <w:r>
        <w:rPr>
          <w:rFonts w:hint="eastAsia" w:ascii="仿宋" w:hAnsi="仿宋" w:eastAsia="仿宋" w:cs="仿宋"/>
          <w:b w:val="0"/>
          <w:bCs w:val="0"/>
          <w:color w:val="000000"/>
          <w:kern w:val="2"/>
          <w:sz w:val="24"/>
          <w:szCs w:val="24"/>
          <w:lang w:val="en-US"/>
        </w:rPr>
        <w:t>鉴于食堂每日就餐人数</w:t>
      </w:r>
      <w:r>
        <w:rPr>
          <w:rFonts w:hint="eastAsia" w:ascii="仿宋" w:hAnsi="仿宋" w:eastAsia="仿宋" w:cs="仿宋"/>
          <w:b w:val="0"/>
          <w:bCs w:val="0"/>
          <w:color w:val="000000"/>
          <w:kern w:val="2"/>
          <w:sz w:val="24"/>
          <w:szCs w:val="24"/>
          <w:lang w:val="en-US" w:eastAsia="zh-CN"/>
        </w:rPr>
        <w:t>较大</w:t>
      </w:r>
      <w:r>
        <w:rPr>
          <w:rFonts w:hint="eastAsia" w:ascii="仿宋" w:hAnsi="仿宋" w:eastAsia="仿宋" w:cs="仿宋"/>
          <w:b w:val="0"/>
          <w:bCs w:val="0"/>
          <w:color w:val="000000"/>
          <w:kern w:val="2"/>
          <w:sz w:val="24"/>
          <w:szCs w:val="24"/>
          <w:lang w:val="en-US"/>
        </w:rPr>
        <w:t>，为保障食堂餐饮服务的质量与安全，现</w:t>
      </w:r>
      <w:r>
        <w:rPr>
          <w:rFonts w:hint="eastAsia" w:ascii="仿宋" w:hAnsi="仿宋" w:eastAsia="仿宋" w:cs="仿宋"/>
          <w:b w:val="0"/>
          <w:bCs w:val="0"/>
          <w:color w:val="000000"/>
          <w:kern w:val="2"/>
          <w:sz w:val="24"/>
          <w:szCs w:val="24"/>
          <w:lang w:val="en-US" w:eastAsia="zh-CN"/>
        </w:rPr>
        <w:t>需配备一套完整的人员体系。该人员体系涵盖厨师、面点师、西点师、切配人员、服务员、保洁人员等关键岗位。</w:t>
      </w:r>
    </w:p>
    <w:p w14:paraId="66F5343C">
      <w:pPr>
        <w:numPr>
          <w:ilvl w:val="0"/>
          <w:numId w:val="5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费用构成</w:t>
      </w:r>
      <w:r>
        <w:rPr>
          <w:rFonts w:hint="eastAsia" w:ascii="仿宋" w:hAnsi="仿宋" w:eastAsia="仿宋" w:cs="仿宋"/>
          <w:b w:val="0"/>
          <w:bCs w:val="0"/>
          <w:color w:val="000000"/>
          <w:kern w:val="2"/>
          <w:sz w:val="24"/>
          <w:szCs w:val="24"/>
          <w:lang w:val="en-US"/>
        </w:rPr>
        <w:t xml:space="preserve"> </w:t>
      </w:r>
    </w:p>
    <w:p w14:paraId="2D42E3BE">
      <w:pPr>
        <w:numPr>
          <w:ilvl w:val="0"/>
          <w:numId w:val="6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中标方保障性服务费用含人工工资、社保、管理费、税费</w:t>
      </w:r>
      <w:r>
        <w:rPr>
          <w:rFonts w:hint="eastAsia" w:ascii="仿宋" w:hAnsi="仿宋" w:eastAsia="仿宋" w:cs="仿宋"/>
          <w:b w:val="0"/>
          <w:bCs w:val="0"/>
          <w:color w:val="000000"/>
          <w:kern w:val="2"/>
          <w:sz w:val="24"/>
          <w:szCs w:val="24"/>
          <w:lang w:val="en-US" w:eastAsia="zh-CN"/>
        </w:rPr>
        <w:t>。</w:t>
      </w:r>
    </w:p>
    <w:p w14:paraId="1B781578">
      <w:pPr>
        <w:numPr>
          <w:ilvl w:val="0"/>
          <w:numId w:val="6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中标方</w:t>
      </w:r>
      <w:r>
        <w:rPr>
          <w:rFonts w:hint="eastAsia" w:ascii="仿宋" w:hAnsi="仿宋" w:eastAsia="仿宋" w:cs="仿宋"/>
          <w:b w:val="0"/>
          <w:bCs w:val="0"/>
          <w:color w:val="000000"/>
          <w:kern w:val="2"/>
          <w:sz w:val="24"/>
          <w:szCs w:val="24"/>
          <w:lang w:val="en-US" w:eastAsia="zh-CN"/>
        </w:rPr>
        <w:t>自行承担经营产生的水费、电费、燃气费、</w:t>
      </w:r>
      <w:r>
        <w:rPr>
          <w:rFonts w:hint="eastAsia" w:ascii="仿宋" w:hAnsi="仿宋" w:eastAsia="仿宋" w:cs="仿宋"/>
          <w:b w:val="0"/>
          <w:bCs w:val="0"/>
          <w:color w:val="000000"/>
          <w:kern w:val="2"/>
          <w:sz w:val="24"/>
          <w:szCs w:val="24"/>
          <w:lang w:val="en-US"/>
        </w:rPr>
        <w:t xml:space="preserve">低值易耗品采购（含消杀用品）、餐厨垃圾清运费、食堂设施设备的日常维修维护（每年两次）、烟道清洗（每年四次） 等费用。 </w:t>
      </w:r>
    </w:p>
    <w:p w14:paraId="2BE13BEB">
      <w:pPr>
        <w:numPr>
          <w:ilvl w:val="0"/>
          <w:numId w:val="60"/>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食堂现有</w:t>
      </w:r>
      <w:r>
        <w:rPr>
          <w:rFonts w:hint="eastAsia" w:ascii="仿宋" w:hAnsi="仿宋" w:eastAsia="仿宋" w:cs="仿宋"/>
          <w:b w:val="0"/>
          <w:bCs w:val="0"/>
          <w:color w:val="000000"/>
          <w:kern w:val="2"/>
          <w:sz w:val="24"/>
          <w:szCs w:val="24"/>
          <w:lang w:val="en-US" w:eastAsia="zh-CN"/>
        </w:rPr>
        <w:t>房屋基础设施</w:t>
      </w:r>
      <w:r>
        <w:rPr>
          <w:rFonts w:hint="eastAsia" w:ascii="仿宋" w:hAnsi="仿宋" w:eastAsia="仿宋" w:cs="仿宋"/>
          <w:b w:val="0"/>
          <w:bCs w:val="0"/>
          <w:color w:val="000000"/>
          <w:kern w:val="2"/>
          <w:sz w:val="24"/>
          <w:szCs w:val="24"/>
          <w:lang w:val="en-US"/>
        </w:rPr>
        <w:t>中标方应按照要求使用，在使用过程中必须爱惜，因中标方造成</w:t>
      </w:r>
      <w:r>
        <w:rPr>
          <w:rFonts w:hint="eastAsia" w:ascii="仿宋" w:hAnsi="仿宋" w:eastAsia="仿宋" w:cs="仿宋"/>
          <w:b w:val="0"/>
          <w:bCs w:val="0"/>
          <w:color w:val="000000"/>
          <w:kern w:val="2"/>
          <w:sz w:val="24"/>
          <w:szCs w:val="24"/>
          <w:lang w:val="en-US" w:eastAsia="zh-CN"/>
        </w:rPr>
        <w:t>设施</w:t>
      </w:r>
      <w:r>
        <w:rPr>
          <w:rFonts w:hint="eastAsia" w:ascii="仿宋" w:hAnsi="仿宋" w:eastAsia="仿宋" w:cs="仿宋"/>
          <w:b w:val="0"/>
          <w:bCs w:val="0"/>
          <w:color w:val="000000"/>
          <w:kern w:val="2"/>
          <w:sz w:val="24"/>
          <w:szCs w:val="24"/>
          <w:lang w:val="en-US"/>
        </w:rPr>
        <w:t>损坏，中标方有责任修复或照价赔偿。日常正常维修费用由中标方承担，维修所使用的材料必须三证齐全，不得以次充好，以假充真，不得因材料耽误维修，影响设备设施正常运行。因工作需要餐厅</w:t>
      </w:r>
      <w:r>
        <w:rPr>
          <w:rFonts w:hint="eastAsia" w:ascii="仿宋" w:hAnsi="仿宋" w:eastAsia="仿宋" w:cs="仿宋"/>
          <w:b w:val="0"/>
          <w:bCs w:val="0"/>
          <w:color w:val="000000"/>
          <w:kern w:val="2"/>
          <w:sz w:val="24"/>
          <w:szCs w:val="24"/>
          <w:lang w:val="en-US" w:eastAsia="zh-CN"/>
        </w:rPr>
        <w:t>房屋布局需发生改变</w:t>
      </w:r>
      <w:r>
        <w:rPr>
          <w:rFonts w:hint="eastAsia" w:ascii="仿宋" w:hAnsi="仿宋" w:eastAsia="仿宋" w:cs="仿宋"/>
          <w:b w:val="0"/>
          <w:bCs w:val="0"/>
          <w:color w:val="000000"/>
          <w:kern w:val="2"/>
          <w:sz w:val="24"/>
          <w:szCs w:val="24"/>
          <w:lang w:val="en-US"/>
        </w:rPr>
        <w:t>，由中标方书面向采购人提出申请，待采购人审定批准后</w:t>
      </w:r>
      <w:r>
        <w:rPr>
          <w:rFonts w:hint="eastAsia" w:ascii="仿宋" w:hAnsi="仿宋" w:eastAsia="仿宋" w:cs="仿宋"/>
          <w:b w:val="0"/>
          <w:bCs w:val="0"/>
          <w:color w:val="000000"/>
          <w:kern w:val="2"/>
          <w:sz w:val="24"/>
          <w:szCs w:val="24"/>
          <w:lang w:val="en-US" w:eastAsia="zh-CN"/>
        </w:rPr>
        <w:t>进行</w:t>
      </w:r>
      <w:r>
        <w:rPr>
          <w:rFonts w:hint="eastAsia" w:ascii="仿宋" w:hAnsi="仿宋" w:eastAsia="仿宋" w:cs="仿宋"/>
          <w:b w:val="0"/>
          <w:bCs w:val="0"/>
          <w:color w:val="000000"/>
          <w:kern w:val="2"/>
          <w:sz w:val="24"/>
          <w:szCs w:val="24"/>
          <w:lang w:val="en-US"/>
        </w:rPr>
        <w:t xml:space="preserve">。 </w:t>
      </w:r>
    </w:p>
    <w:p w14:paraId="163A2039">
      <w:pPr>
        <w:numPr>
          <w:ilvl w:val="0"/>
          <w:numId w:val="60"/>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中标方应对所使用的全部厨具在保证日常清洁卫生正常使用的情况下还必须对设备进行定期的维护和保养，其中对厨具设备必须每半年进行不少于一次的检修和清理；要求重点加强对电器及烟道的日常检查；烟道清洗一年不少于四次。以上所需费用由中标方承担。</w:t>
      </w:r>
    </w:p>
    <w:p w14:paraId="477057D8">
      <w:pPr>
        <w:numPr>
          <w:ilvl w:val="0"/>
          <w:numId w:val="5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费用调整规则</w:t>
      </w:r>
      <w:r>
        <w:rPr>
          <w:rFonts w:hint="eastAsia" w:ascii="仿宋" w:hAnsi="仿宋" w:eastAsia="仿宋" w:cs="仿宋"/>
          <w:b w:val="0"/>
          <w:bCs w:val="0"/>
          <w:color w:val="000000"/>
          <w:kern w:val="2"/>
          <w:sz w:val="24"/>
          <w:szCs w:val="24"/>
          <w:lang w:val="en-US"/>
        </w:rPr>
        <w:t xml:space="preserve"> </w:t>
      </w:r>
    </w:p>
    <w:p w14:paraId="34F864D2">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1.本项目投标报价仅允许对服务费标准（2元/人）进行下浮调整，午餐标准（18元/人）为固定费用，供应商不得降低，报价中若出现餐费下调，视为无效投标。</w:t>
      </w:r>
    </w:p>
    <w:p w14:paraId="79474437">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2.本项目承包费最低标准￥30万元/年，报价小于30万元，为无效标。</w:t>
      </w:r>
    </w:p>
    <w:p w14:paraId="13F70B62">
      <w:pPr>
        <w:numPr>
          <w:ilvl w:val="0"/>
          <w:numId w:val="5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bCs/>
          <w:color w:val="000000"/>
          <w:kern w:val="2"/>
          <w:sz w:val="24"/>
          <w:szCs w:val="24"/>
          <w:lang w:val="en-US"/>
        </w:rPr>
        <w:t>食品安全及卫生要求</w:t>
      </w:r>
      <w:r>
        <w:rPr>
          <w:rFonts w:hint="eastAsia" w:ascii="仿宋" w:hAnsi="仿宋" w:eastAsia="仿宋" w:cs="仿宋"/>
          <w:b w:val="0"/>
          <w:bCs w:val="0"/>
          <w:color w:val="000000"/>
          <w:kern w:val="2"/>
          <w:sz w:val="24"/>
          <w:szCs w:val="24"/>
          <w:lang w:val="en-US"/>
        </w:rPr>
        <w:t xml:space="preserve"> </w:t>
      </w:r>
    </w:p>
    <w:p w14:paraId="634BDE7A">
      <w:pPr>
        <w:numPr>
          <w:ilvl w:val="0"/>
          <w:numId w:val="61"/>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积极配合餐饮服务食品安全监管部门及其派驻工作人员的监督管理，对监管部门及其工作人员所提出的意见认真整改。</w:t>
      </w:r>
    </w:p>
    <w:p w14:paraId="30A167BD">
      <w:pPr>
        <w:numPr>
          <w:ilvl w:val="0"/>
          <w:numId w:val="61"/>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实施原料采购控制，加强采购检验，落实索证索票、进货查验和台账登记制度，食品、食品添加剂和食品相关产品符合食品安全标准。 </w:t>
      </w:r>
    </w:p>
    <w:p w14:paraId="2B7E2A7F">
      <w:pPr>
        <w:numPr>
          <w:ilvl w:val="0"/>
          <w:numId w:val="61"/>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加强对食品加工、贮存、陈列等设施设备的定期维护，加强对保温设施及冷藏、冷冻设施 的定期清洗、校验，按要求对餐具、饮具的清洗、消毒。 </w:t>
      </w:r>
    </w:p>
    <w:p w14:paraId="30528733">
      <w:pPr>
        <w:numPr>
          <w:ilvl w:val="0"/>
          <w:numId w:val="61"/>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做好蔬菜、米面、油、肉、副食品等食材的储存保管工作，确保食品安全。严格按照规范 动作完成捡菜、洗菜、切菜、烹饪等流程操作，确保食品卫生。</w:t>
      </w:r>
    </w:p>
    <w:p w14:paraId="23857F04">
      <w:pPr>
        <w:numPr>
          <w:ilvl w:val="0"/>
          <w:numId w:val="61"/>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按规定做好食品留样，留样食品按品种分别存放于清洗消毒后的密闭专用容器内，在冷藏 条件下存放48小时以上，每个品种留样量满足检验需要，并做好记录。食品留样存放的冰箱 应专用，并专人负责，上锁保管。</w:t>
      </w:r>
    </w:p>
    <w:p w14:paraId="720491CD">
      <w:pPr>
        <w:numPr>
          <w:ilvl w:val="0"/>
          <w:numId w:val="61"/>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不使用下列食品、食品添加剂和食品相关产品： </w:t>
      </w:r>
    </w:p>
    <w:p w14:paraId="610A54DC">
      <w:pPr>
        <w:numPr>
          <w:ilvl w:val="0"/>
          <w:numId w:val="6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法律法规禁止生产经营的食品、食品添加剂和食品相关产品； </w:t>
      </w:r>
    </w:p>
    <w:p w14:paraId="57DA969E">
      <w:pPr>
        <w:numPr>
          <w:ilvl w:val="0"/>
          <w:numId w:val="62"/>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检验检测不合格的生活饮用水和食品；</w:t>
      </w:r>
    </w:p>
    <w:p w14:paraId="7B26F26E">
      <w:pPr>
        <w:numPr>
          <w:ilvl w:val="0"/>
          <w:numId w:val="6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超过保质期的食品、食品添加剂； </w:t>
      </w:r>
    </w:p>
    <w:p w14:paraId="6878E137">
      <w:pPr>
        <w:numPr>
          <w:ilvl w:val="0"/>
          <w:numId w:val="6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外购的散装直接入口熟食制品及半成品； </w:t>
      </w:r>
    </w:p>
    <w:p w14:paraId="780C93AF">
      <w:pPr>
        <w:numPr>
          <w:ilvl w:val="0"/>
          <w:numId w:val="62"/>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监管部门在食谱审查时认定不适宜提供的食品。 </w:t>
      </w:r>
    </w:p>
    <w:p w14:paraId="52E14274">
      <w:pPr>
        <w:numPr>
          <w:ilvl w:val="0"/>
          <w:numId w:val="52"/>
        </w:numPr>
        <w:snapToGrid/>
        <w:spacing w:line="240" w:lineRule="auto"/>
        <w:ind w:left="140" w:leftChars="0" w:firstLine="0" w:firstLineChars="0"/>
        <w:rPr>
          <w:rFonts w:hint="eastAsia" w:ascii="仿宋" w:hAnsi="仿宋" w:eastAsia="仿宋" w:cs="仿宋"/>
          <w:b/>
          <w:bCs/>
          <w:color w:val="000000"/>
          <w:kern w:val="2"/>
          <w:sz w:val="24"/>
          <w:szCs w:val="24"/>
          <w:lang w:val="en-US"/>
        </w:rPr>
      </w:pPr>
      <w:r>
        <w:rPr>
          <w:rFonts w:hint="eastAsia" w:ascii="仿宋" w:hAnsi="仿宋" w:eastAsia="仿宋" w:cs="仿宋"/>
          <w:b/>
          <w:bCs/>
          <w:color w:val="000000"/>
          <w:kern w:val="2"/>
          <w:sz w:val="24"/>
          <w:szCs w:val="24"/>
          <w:lang w:val="en-US"/>
        </w:rPr>
        <w:t xml:space="preserve">中标方要求 </w:t>
      </w:r>
    </w:p>
    <w:p w14:paraId="79A65BC2">
      <w:pPr>
        <w:numPr>
          <w:ilvl w:val="0"/>
          <w:numId w:val="63"/>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中标方负责安全经营，严格遵守食品卫生安全生产等相关法律法规，不得将餐厅转让或委托他人经营管理，不能在餐厅内进行合同约定以外的经营。 </w:t>
      </w:r>
    </w:p>
    <w:p w14:paraId="1C2CDC3F">
      <w:pPr>
        <w:numPr>
          <w:ilvl w:val="0"/>
          <w:numId w:val="63"/>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中标方要立足为就餐人员提供优质服务的思想，有健全的规章制度，包括人事管理、用工 培训、工作规范、安全防患、卫生保障、文明服务、价格管理等制度。接受</w:t>
      </w:r>
      <w:r>
        <w:rPr>
          <w:rFonts w:hint="eastAsia" w:ascii="仿宋" w:hAnsi="仿宋" w:eastAsia="仿宋" w:cs="仿宋"/>
          <w:b w:val="0"/>
          <w:bCs w:val="0"/>
          <w:color w:val="000000"/>
          <w:kern w:val="2"/>
          <w:sz w:val="24"/>
          <w:szCs w:val="24"/>
          <w:lang w:val="en-US" w:eastAsia="zh-CN"/>
        </w:rPr>
        <w:t>招标方</w:t>
      </w:r>
      <w:r>
        <w:rPr>
          <w:rFonts w:hint="eastAsia" w:ascii="仿宋" w:hAnsi="仿宋" w:eastAsia="仿宋" w:cs="仿宋"/>
          <w:b w:val="0"/>
          <w:bCs w:val="0"/>
          <w:color w:val="000000"/>
          <w:kern w:val="2"/>
          <w:sz w:val="24"/>
          <w:szCs w:val="24"/>
          <w:lang w:val="en-US"/>
        </w:rPr>
        <w:t xml:space="preserve">的监督和职工代表的合理建议。严格服从卫生部门和行业监督管理部门的监督指导。 </w:t>
      </w:r>
    </w:p>
    <w:p w14:paraId="62968B12">
      <w:pPr>
        <w:numPr>
          <w:ilvl w:val="0"/>
          <w:numId w:val="63"/>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中标方负责餐厅的安全生产工作，服从管理部门的统一管理，确保无安全事故。招标方有权对中标项目食堂的财务状况、服务质量、饭菜价格状况进行监督和提出改善意见，中标方必须采纳管理方的合理意见。</w:t>
      </w:r>
    </w:p>
    <w:p w14:paraId="01FB333C">
      <w:pPr>
        <w:numPr>
          <w:ilvl w:val="0"/>
          <w:numId w:val="63"/>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中标方经营服务所需用工必须符合《劳动合同法》要求，依法用工。如发生用工纠纷，由中标方自行承担责任；主要管理人员应具备专业技术职称；餐厅员工上岗前必须进行岗前培 训、身体体检，体检费用均由中标方自理。工作人员要遵守餐饮法规以及管理制度，提供热情周到服务，不得与就餐人员发生争吵或冲突，如发现违规者，</w:t>
      </w:r>
      <w:r>
        <w:rPr>
          <w:rFonts w:hint="eastAsia" w:ascii="仿宋" w:hAnsi="仿宋" w:eastAsia="仿宋" w:cs="仿宋"/>
          <w:b w:val="0"/>
          <w:bCs w:val="0"/>
          <w:color w:val="000000"/>
          <w:kern w:val="2"/>
          <w:sz w:val="24"/>
          <w:szCs w:val="24"/>
          <w:lang w:val="en-US" w:eastAsia="zh-CN"/>
        </w:rPr>
        <w:t>招标方</w:t>
      </w:r>
      <w:r>
        <w:rPr>
          <w:rFonts w:hint="eastAsia" w:ascii="仿宋" w:hAnsi="仿宋" w:eastAsia="仿宋" w:cs="仿宋"/>
          <w:b w:val="0"/>
          <w:bCs w:val="0"/>
          <w:color w:val="000000"/>
          <w:kern w:val="2"/>
          <w:sz w:val="24"/>
          <w:szCs w:val="24"/>
          <w:lang w:val="en-US"/>
        </w:rPr>
        <w:t xml:space="preserve">有权提出处理意见。 </w:t>
      </w:r>
    </w:p>
    <w:p w14:paraId="0036F455">
      <w:pPr>
        <w:numPr>
          <w:ilvl w:val="0"/>
          <w:numId w:val="63"/>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 xml:space="preserve">工作人员必须统一着装，个人仪容仪表符合卫生制度标准；工作人员在工作中因自身原因 违反操作规程，所产生的一切事故和人身损害（含第三人及工伤）等相关责任、损失均由中标方承担，其他事宜在采购合同中另行约定。 </w:t>
      </w:r>
    </w:p>
    <w:p w14:paraId="79CEAEA3">
      <w:pPr>
        <w:numPr>
          <w:ilvl w:val="0"/>
          <w:numId w:val="63"/>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eastAsia="zh-CN"/>
        </w:rPr>
        <w:t>中标方必须在合同签订之日起30个日历日内完成餐厅装修改造、设备设施安装调试、各类资质证照办理等相关工作达到正常营业标准。</w:t>
      </w:r>
    </w:p>
    <w:p w14:paraId="27BAA845">
      <w:pPr>
        <w:numPr>
          <w:ilvl w:val="0"/>
          <w:numId w:val="52"/>
        </w:numPr>
        <w:snapToGrid/>
        <w:spacing w:line="240" w:lineRule="auto"/>
        <w:ind w:left="140" w:leftChars="0" w:firstLine="0" w:firstLineChars="0"/>
        <w:rPr>
          <w:rFonts w:hint="eastAsia" w:ascii="仿宋" w:hAnsi="仿宋" w:eastAsia="仿宋" w:cs="仿宋"/>
          <w:b/>
          <w:bCs/>
          <w:color w:val="000000"/>
          <w:kern w:val="2"/>
          <w:sz w:val="24"/>
          <w:szCs w:val="24"/>
          <w:lang w:val="en-US"/>
        </w:rPr>
      </w:pPr>
      <w:r>
        <w:rPr>
          <w:rFonts w:hint="eastAsia" w:ascii="仿宋" w:hAnsi="仿宋" w:eastAsia="仿宋" w:cs="仿宋"/>
          <w:b/>
          <w:bCs/>
          <w:color w:val="000000"/>
          <w:kern w:val="2"/>
          <w:sz w:val="24"/>
          <w:szCs w:val="24"/>
          <w:lang w:val="en-US"/>
        </w:rPr>
        <w:t xml:space="preserve">考核制度 </w:t>
      </w:r>
    </w:p>
    <w:p w14:paraId="3DA1FB11">
      <w:pPr>
        <w:numPr>
          <w:ilvl w:val="0"/>
          <w:numId w:val="64"/>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中标方人员配备应根据甲方的要求，明确人数、工种； </w:t>
      </w:r>
    </w:p>
    <w:p w14:paraId="4D78416A">
      <w:pPr>
        <w:numPr>
          <w:ilvl w:val="0"/>
          <w:numId w:val="64"/>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 xml:space="preserve">采购食品（蔬菜为时令蔬菜，肉蛋禽等要有防疫、检疫证，保证新鲜）； </w:t>
      </w:r>
    </w:p>
    <w:p w14:paraId="708A0E0B">
      <w:pPr>
        <w:numPr>
          <w:ilvl w:val="0"/>
          <w:numId w:val="64"/>
        </w:numPr>
        <w:snapToGrid/>
        <w:spacing w:line="240" w:lineRule="auto"/>
        <w:ind w:left="140" w:leftChars="0" w:firstLine="0" w:firstLineChars="0"/>
        <w:rPr>
          <w:rFonts w:hint="eastAsia" w:ascii="仿宋" w:hAnsi="仿宋" w:eastAsia="仿宋" w:cs="仿宋"/>
          <w:b w:val="0"/>
          <w:bCs w:val="0"/>
          <w:color w:val="000000"/>
          <w:kern w:val="2"/>
          <w:sz w:val="24"/>
          <w:szCs w:val="24"/>
          <w:lang w:val="en-US"/>
        </w:rPr>
      </w:pPr>
      <w:r>
        <w:rPr>
          <w:rFonts w:hint="eastAsia" w:ascii="仿宋" w:hAnsi="仿宋" w:eastAsia="仿宋" w:cs="仿宋"/>
          <w:b w:val="0"/>
          <w:bCs w:val="0"/>
          <w:color w:val="000000"/>
          <w:kern w:val="2"/>
          <w:sz w:val="24"/>
          <w:szCs w:val="24"/>
          <w:lang w:val="en-US"/>
        </w:rPr>
        <w:t>食谱每周五进行审核、公布、临时调整应提前报备；</w:t>
      </w:r>
    </w:p>
    <w:p w14:paraId="2DB84EF5">
      <w:pPr>
        <w:numPr>
          <w:ilvl w:val="0"/>
          <w:numId w:val="64"/>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 xml:space="preserve">经营场所的电力、给排水、安防监控等改造，以及有关部门要求的改造内容均由中标单位自行无偿承担相关费用。 </w:t>
      </w:r>
    </w:p>
    <w:p w14:paraId="0210EF63">
      <w:pPr>
        <w:numPr>
          <w:ilvl w:val="0"/>
          <w:numId w:val="64"/>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定期向采购人汇报工作情况，了解职工对食堂伙食的满意程度，并设立意见箱， 随时听取职工意见和建议，接受采购人检查监督。</w:t>
      </w:r>
    </w:p>
    <w:p w14:paraId="1482479B">
      <w:pPr>
        <w:numPr>
          <w:ilvl w:val="0"/>
          <w:numId w:val="64"/>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 xml:space="preserve">其他未尽事宜，均按照合同约定执行。 </w:t>
      </w:r>
    </w:p>
    <w:p w14:paraId="5E849AB2">
      <w:pPr>
        <w:numPr>
          <w:ilvl w:val="0"/>
          <w:numId w:val="64"/>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 xml:space="preserve">采购人不定期对食堂卫生，菜品抽样检查，不达标将按合同进行相应处罚。 </w:t>
      </w:r>
    </w:p>
    <w:p w14:paraId="6BE632EF">
      <w:pPr>
        <w:numPr>
          <w:ilvl w:val="0"/>
          <w:numId w:val="64"/>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食堂进行绩效考核制度，考核标准见附件</w:t>
      </w:r>
      <w:r>
        <w:rPr>
          <w:rFonts w:hint="eastAsia" w:ascii="仿宋" w:hAnsi="仿宋" w:eastAsia="仿宋" w:cs="仿宋"/>
          <w:b w:val="0"/>
          <w:bCs w:val="0"/>
          <w:color w:val="000000"/>
          <w:kern w:val="2"/>
          <w:sz w:val="24"/>
          <w:szCs w:val="24"/>
          <w:lang w:val="en-US" w:eastAsia="zh-CN"/>
        </w:rPr>
        <w:t>一</w:t>
      </w:r>
      <w:r>
        <w:rPr>
          <w:rFonts w:hint="eastAsia" w:ascii="仿宋" w:hAnsi="仿宋" w:eastAsia="仿宋" w:cs="仿宋"/>
          <w:b w:val="0"/>
          <w:bCs w:val="0"/>
          <w:color w:val="000000"/>
          <w:kern w:val="2"/>
          <w:sz w:val="24"/>
          <w:szCs w:val="24"/>
          <w:lang w:val="en-US"/>
        </w:rPr>
        <w:t>《</w:t>
      </w:r>
      <w:r>
        <w:rPr>
          <w:rFonts w:hint="eastAsia" w:ascii="仿宋" w:hAnsi="仿宋" w:eastAsia="仿宋" w:cs="仿宋"/>
          <w:b w:val="0"/>
          <w:bCs w:val="0"/>
          <w:color w:val="000000"/>
          <w:kern w:val="2"/>
          <w:sz w:val="24"/>
          <w:szCs w:val="24"/>
          <w:lang w:val="en-US" w:eastAsia="zh-CN"/>
        </w:rPr>
        <w:t>昌吉回族自治州人民医院</w:t>
      </w:r>
      <w:r>
        <w:rPr>
          <w:rFonts w:hint="eastAsia" w:ascii="仿宋" w:hAnsi="仿宋" w:eastAsia="仿宋" w:cs="仿宋"/>
          <w:b w:val="0"/>
          <w:bCs w:val="0"/>
          <w:color w:val="000000"/>
          <w:kern w:val="2"/>
          <w:sz w:val="24"/>
          <w:szCs w:val="24"/>
          <w:lang w:val="en-US"/>
        </w:rPr>
        <w:t>食堂餐饮服务单位绩效考核标准》，如一年内连续3 次考核达不到服务要求（考核</w:t>
      </w:r>
      <w:r>
        <w:rPr>
          <w:rFonts w:hint="eastAsia" w:ascii="仿宋" w:hAnsi="仿宋" w:eastAsia="仿宋" w:cs="仿宋"/>
          <w:b w:val="0"/>
          <w:bCs w:val="0"/>
          <w:color w:val="000000"/>
          <w:kern w:val="2"/>
          <w:sz w:val="24"/>
          <w:szCs w:val="24"/>
          <w:lang w:val="en-US" w:eastAsia="zh-CN"/>
        </w:rPr>
        <w:t>7</w:t>
      </w:r>
      <w:r>
        <w:rPr>
          <w:rFonts w:hint="eastAsia" w:ascii="仿宋" w:hAnsi="仿宋" w:eastAsia="仿宋" w:cs="仿宋"/>
          <w:b w:val="0"/>
          <w:bCs w:val="0"/>
          <w:color w:val="000000"/>
          <w:kern w:val="2"/>
          <w:sz w:val="24"/>
          <w:szCs w:val="24"/>
          <w:lang w:val="en-US"/>
        </w:rPr>
        <w:t>0分以下）</w:t>
      </w:r>
      <w:r>
        <w:rPr>
          <w:rFonts w:hint="eastAsia" w:ascii="仿宋" w:hAnsi="仿宋" w:eastAsia="仿宋" w:cs="仿宋"/>
          <w:b w:val="0"/>
          <w:bCs w:val="0"/>
          <w:color w:val="000000"/>
          <w:kern w:val="2"/>
          <w:sz w:val="24"/>
          <w:szCs w:val="24"/>
          <w:lang w:val="en-US" w:eastAsia="zh-CN"/>
        </w:rPr>
        <w:t>，或</w:t>
      </w:r>
      <w:r>
        <w:rPr>
          <w:rFonts w:hint="eastAsia" w:ascii="仿宋" w:hAnsi="仿宋" w:eastAsia="仿宋" w:cs="仿宋"/>
          <w:b w:val="0"/>
          <w:kern w:val="2"/>
          <w:sz w:val="24"/>
          <w:szCs w:val="24"/>
          <w:lang w:val="en-US"/>
        </w:rPr>
        <w:t>连续2次月度满意度＜70%，或年度累计3次满意度＜75%</w:t>
      </w:r>
      <w:r>
        <w:rPr>
          <w:rFonts w:hint="eastAsia" w:ascii="仿宋" w:hAnsi="仿宋" w:eastAsia="仿宋" w:cs="仿宋"/>
          <w:b w:val="0"/>
          <w:bCs w:val="0"/>
          <w:color w:val="000000"/>
          <w:kern w:val="2"/>
          <w:sz w:val="24"/>
          <w:szCs w:val="24"/>
          <w:lang w:val="en-US"/>
        </w:rPr>
        <w:t xml:space="preserve">，甲方有权解除合同，重新进行采购，对此产生的后果由中标方自行承担。 </w:t>
      </w:r>
    </w:p>
    <w:p w14:paraId="00E334BA">
      <w:pPr>
        <w:numPr>
          <w:ilvl w:val="0"/>
          <w:numId w:val="64"/>
        </w:numPr>
        <w:snapToGrid/>
        <w:spacing w:line="240" w:lineRule="auto"/>
        <w:ind w:left="140" w:leftChars="0" w:firstLine="0" w:firstLineChars="0"/>
        <w:rPr>
          <w:rFonts w:hint="eastAsia" w:ascii="仿宋" w:hAnsi="仿宋" w:eastAsia="仿宋" w:cs="仿宋"/>
          <w:b w:val="0"/>
          <w:kern w:val="2"/>
          <w:sz w:val="24"/>
          <w:szCs w:val="24"/>
          <w:lang w:val="en-US"/>
        </w:rPr>
      </w:pPr>
      <w:r>
        <w:rPr>
          <w:rFonts w:hint="eastAsia" w:ascii="仿宋" w:hAnsi="仿宋" w:eastAsia="仿宋" w:cs="仿宋"/>
          <w:b w:val="0"/>
          <w:bCs w:val="0"/>
          <w:color w:val="000000"/>
          <w:kern w:val="2"/>
          <w:sz w:val="24"/>
          <w:szCs w:val="24"/>
          <w:lang w:val="en-US"/>
        </w:rPr>
        <w:t xml:space="preserve">根据食堂就餐人数设置岗位，合理配置工作人员。炒锅、面点、主食的岗位需配备 专业技术较强的人员（经营方派遣厨师需具备相应的厨师资质证书或经甲方测试后予以确认）。 </w:t>
      </w:r>
    </w:p>
    <w:p w14:paraId="4747AFFA">
      <w:pPr>
        <w:snapToGrid/>
        <w:spacing w:line="360" w:lineRule="auto"/>
        <w:ind w:firstLine="0" w:firstLineChars="0"/>
        <w:outlineLvl w:val="9"/>
        <w:rPr>
          <w:rFonts w:hint="eastAsia" w:ascii="仿宋" w:hAnsi="仿宋" w:eastAsia="仿宋" w:cs="仿宋"/>
          <w:b/>
          <w:bCs/>
          <w:kern w:val="2"/>
          <w:sz w:val="24"/>
          <w:szCs w:val="24"/>
          <w:highlight w:val="none"/>
          <w:shd w:val="clear" w:color="auto" w:fill="auto"/>
          <w:lang w:val="en-US"/>
        </w:rPr>
      </w:pPr>
      <w:r>
        <w:rPr>
          <w:rFonts w:hint="eastAsia" w:ascii="仿宋" w:hAnsi="仿宋" w:eastAsia="仿宋" w:cs="仿宋"/>
          <w:b/>
          <w:bCs/>
          <w:kern w:val="2"/>
          <w:sz w:val="24"/>
          <w:szCs w:val="24"/>
          <w:highlight w:val="none"/>
          <w:shd w:val="clear" w:color="auto" w:fill="auto"/>
          <w:lang w:val="en-US" w:eastAsia="zh-CN"/>
        </w:rPr>
        <w:t>九、</w:t>
      </w:r>
      <w:r>
        <w:rPr>
          <w:rFonts w:hint="eastAsia" w:ascii="仿宋" w:hAnsi="仿宋" w:eastAsia="仿宋" w:cs="仿宋"/>
          <w:b/>
          <w:bCs/>
          <w:kern w:val="2"/>
          <w:sz w:val="24"/>
          <w:szCs w:val="24"/>
          <w:highlight w:val="none"/>
          <w:shd w:val="clear" w:color="auto" w:fill="auto"/>
          <w:lang w:val="en-US"/>
        </w:rPr>
        <w:t>付款方式</w:t>
      </w:r>
    </w:p>
    <w:p w14:paraId="0B3460F3">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甲方职工用餐单位补助费用按照午餐按20元/人/餐每日实名刷卡（脸）（其中其中服务费2元/人/天，午餐18元/人），月度根据实际消费人次据实结算，甲方初步按照每人每月补助22次进行补助。乙方每月10日前提供上月实际费用清单和企业管理服务发票（发票开具仅限于单位补助部分开票），甲方每月30日前将款项打入乙方对公账户内。</w:t>
      </w:r>
    </w:p>
    <w:p w14:paraId="74462E65">
      <w:pPr>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kern w:val="2"/>
          <w:sz w:val="24"/>
          <w:szCs w:val="24"/>
          <w:highlight w:val="none"/>
          <w:shd w:val="clear" w:color="auto" w:fill="auto"/>
          <w:lang w:val="en-US"/>
        </w:rPr>
      </w:pPr>
      <w:r>
        <w:rPr>
          <w:rFonts w:hint="eastAsia" w:ascii="仿宋" w:hAnsi="仿宋" w:eastAsia="仿宋" w:cs="仿宋"/>
          <w:b/>
          <w:bCs/>
          <w:kern w:val="2"/>
          <w:sz w:val="24"/>
          <w:szCs w:val="24"/>
          <w:highlight w:val="none"/>
          <w:shd w:val="clear" w:color="auto" w:fill="auto"/>
          <w:lang w:val="en-US" w:eastAsia="zh-CN"/>
        </w:rPr>
        <w:t>十、</w:t>
      </w:r>
      <w:r>
        <w:rPr>
          <w:rFonts w:hint="eastAsia" w:ascii="仿宋" w:hAnsi="仿宋" w:eastAsia="仿宋" w:cs="仿宋"/>
          <w:b/>
          <w:bCs/>
          <w:kern w:val="2"/>
          <w:sz w:val="24"/>
          <w:szCs w:val="24"/>
          <w:highlight w:val="none"/>
          <w:shd w:val="clear" w:color="auto" w:fill="auto"/>
          <w:lang w:val="en-US"/>
        </w:rPr>
        <w:t>项目技术规格及要求</w:t>
      </w:r>
    </w:p>
    <w:p w14:paraId="70278FE8">
      <w:pPr>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bCs/>
          <w:kern w:val="2"/>
          <w:sz w:val="24"/>
          <w:szCs w:val="24"/>
          <w:highlight w:val="none"/>
          <w:shd w:val="clear" w:color="auto" w:fill="auto"/>
          <w:lang w:val="en-US" w:eastAsia="zh-CN" w:bidi="ar-SA"/>
        </w:rPr>
      </w:pPr>
      <w:r>
        <w:rPr>
          <w:rFonts w:hint="eastAsia" w:ascii="仿宋" w:hAnsi="仿宋" w:eastAsia="仿宋" w:cs="仿宋"/>
          <w:b/>
          <w:bCs w:val="0"/>
          <w:kern w:val="2"/>
          <w:sz w:val="24"/>
          <w:szCs w:val="24"/>
          <w:highlight w:val="none"/>
          <w:shd w:val="clear" w:color="auto" w:fill="auto"/>
          <w:lang w:val="en-US" w:eastAsia="zh-CN" w:bidi="ar-SA"/>
        </w:rPr>
        <w:t>（一）项目概况</w:t>
      </w:r>
      <w:r>
        <w:rPr>
          <w:rFonts w:hint="eastAsia" w:ascii="仿宋" w:hAnsi="仿宋" w:eastAsia="仿宋" w:cs="仿宋"/>
          <w:bCs/>
          <w:kern w:val="2"/>
          <w:sz w:val="24"/>
          <w:szCs w:val="24"/>
          <w:highlight w:val="none"/>
          <w:shd w:val="clear" w:color="auto" w:fill="auto"/>
          <w:lang w:val="en-US" w:eastAsia="zh-CN" w:bidi="ar-SA"/>
        </w:rPr>
        <w:t>：全院现有职工1600多人，开放病床1000张，本院区餐厅预计每日午餐职工就餐人数大约250人（以实际就餐人数据实结算）。中标方中标后取得昌吉回族自治州人民医院本院区（含北院儿童医院食堂）承包经营权，本院食堂位于医院综合后勤服务楼一楼，总建筑面积为1600㎡。分一个后堂、两个就餐区（职工、患者）、2个包厢。北院儿童医院食堂位于北院规培楼一楼只有一个就餐区。本项目可自行踏勘现场。</w:t>
      </w:r>
    </w:p>
    <w:p w14:paraId="45EF7DE7">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bCs w:val="0"/>
          <w:kern w:val="2"/>
          <w:sz w:val="24"/>
          <w:szCs w:val="24"/>
          <w:highlight w:val="none"/>
          <w:shd w:val="clear" w:color="auto" w:fill="auto"/>
          <w:lang w:val="en-US" w:eastAsia="zh-CN" w:bidi="ar-SA"/>
        </w:rPr>
        <w:t>（二）简要规格描述：</w:t>
      </w:r>
      <w:r>
        <w:rPr>
          <w:rFonts w:hint="eastAsia" w:ascii="仿宋" w:hAnsi="仿宋" w:eastAsia="仿宋" w:cs="仿宋"/>
          <w:b w:val="0"/>
          <w:bCs/>
          <w:kern w:val="2"/>
          <w:sz w:val="24"/>
          <w:szCs w:val="24"/>
          <w:highlight w:val="none"/>
          <w:shd w:val="clear" w:color="auto" w:fill="auto"/>
          <w:lang w:val="en-US" w:eastAsia="zh-CN" w:bidi="ar-SA"/>
        </w:rPr>
        <w:t>本项目预算单价金额20元/人/天（其中服务费2元/人/天，午餐18元/人），包含内容：食材采购费用、劳务工资、低值易耗品采购等费用。</w:t>
      </w:r>
    </w:p>
    <w:p w14:paraId="21752C7C">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bCs w:val="0"/>
          <w:kern w:val="2"/>
          <w:sz w:val="24"/>
          <w:szCs w:val="24"/>
          <w:highlight w:val="none"/>
          <w:shd w:val="clear" w:color="auto" w:fill="auto"/>
          <w:lang w:val="en-US"/>
        </w:rPr>
      </w:pPr>
      <w:r>
        <w:rPr>
          <w:rFonts w:hint="eastAsia" w:ascii="仿宋" w:hAnsi="仿宋" w:eastAsia="仿宋" w:cs="仿宋"/>
          <w:b/>
          <w:bCs w:val="0"/>
          <w:kern w:val="2"/>
          <w:sz w:val="24"/>
          <w:szCs w:val="24"/>
          <w:highlight w:val="none"/>
          <w:shd w:val="clear" w:color="auto" w:fill="auto"/>
          <w:lang w:val="en-US" w:eastAsia="zh-CN"/>
        </w:rPr>
        <w:t>（三）</w:t>
      </w:r>
      <w:r>
        <w:rPr>
          <w:rFonts w:hint="eastAsia" w:ascii="仿宋" w:hAnsi="仿宋" w:eastAsia="仿宋" w:cs="仿宋"/>
          <w:b/>
          <w:bCs w:val="0"/>
          <w:kern w:val="2"/>
          <w:sz w:val="24"/>
          <w:szCs w:val="24"/>
          <w:highlight w:val="none"/>
          <w:shd w:val="clear" w:color="auto" w:fill="auto"/>
          <w:lang w:val="en-US"/>
        </w:rPr>
        <w:t>项目人员要求：</w:t>
      </w:r>
    </w:p>
    <w:p w14:paraId="09C518B9">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rPr>
      </w:pPr>
      <w:r>
        <w:rPr>
          <w:rFonts w:hint="eastAsia" w:ascii="仿宋" w:hAnsi="仿宋" w:eastAsia="仿宋" w:cs="仿宋"/>
          <w:b w:val="0"/>
          <w:bCs/>
          <w:kern w:val="2"/>
          <w:sz w:val="24"/>
          <w:szCs w:val="24"/>
          <w:highlight w:val="none"/>
          <w:shd w:val="clear" w:color="auto" w:fill="auto"/>
          <w:lang w:val="en-US" w:eastAsia="zh-CN"/>
        </w:rPr>
        <w:t>1、投标方中标后招用员工要按劳动部门规定签订用工合同，并为其支付相关费用。所有工作人员必须持有健康证方能上岗，厨师需持有厨师证。在工作期间一律穿工作服，戴工作帽、不吸烟，不喝酒，遵守乙方有关的规章制度。自行车、摩托车、三轮车等各种车辆按甲方指定位置和要求停放。如在工作中发生人身安全伤亡事故，均由乙方负责处理，责任自负。</w:t>
      </w:r>
    </w:p>
    <w:p w14:paraId="23E59CD8">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rPr>
      </w:pPr>
      <w:r>
        <w:rPr>
          <w:rFonts w:hint="eastAsia" w:ascii="仿宋" w:hAnsi="仿宋" w:eastAsia="仿宋" w:cs="仿宋"/>
          <w:b w:val="0"/>
          <w:bCs/>
          <w:kern w:val="2"/>
          <w:sz w:val="24"/>
          <w:szCs w:val="24"/>
          <w:highlight w:val="none"/>
          <w:shd w:val="clear" w:color="auto" w:fill="auto"/>
          <w:lang w:val="en-US" w:eastAsia="zh-CN"/>
        </w:rPr>
        <w:t>2、工作人员在院期间遵守医院各项规章制度，并服从医院管理，如有违反依章处理。</w:t>
      </w:r>
    </w:p>
    <w:p w14:paraId="637F9215">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rPr>
      </w:pPr>
      <w:r>
        <w:rPr>
          <w:rFonts w:hint="eastAsia" w:ascii="仿宋" w:hAnsi="仿宋" w:eastAsia="仿宋" w:cs="仿宋"/>
          <w:b w:val="0"/>
          <w:bCs/>
          <w:kern w:val="2"/>
          <w:sz w:val="24"/>
          <w:szCs w:val="24"/>
          <w:highlight w:val="none"/>
          <w:shd w:val="clear" w:color="auto" w:fill="auto"/>
          <w:lang w:val="en-US" w:eastAsia="zh-CN"/>
        </w:rPr>
        <w:t>3、所有岗位人员需按照新疆维吾尔自治区社保缴纳要求应缴尽缴，如因企业社保缴纳原因造成的任何行政及经济处罚等一切后果，均由中标单位自行承担全部责任。</w:t>
      </w:r>
    </w:p>
    <w:p w14:paraId="5E336736">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rPr>
      </w:pPr>
      <w:r>
        <w:rPr>
          <w:rFonts w:hint="eastAsia" w:ascii="仿宋" w:hAnsi="仿宋" w:eastAsia="仿宋" w:cs="仿宋"/>
          <w:b w:val="0"/>
          <w:bCs/>
          <w:kern w:val="2"/>
          <w:sz w:val="24"/>
          <w:szCs w:val="24"/>
          <w:highlight w:val="none"/>
          <w:shd w:val="clear" w:color="auto" w:fill="auto"/>
          <w:lang w:val="en-US" w:eastAsia="zh-CN"/>
        </w:rPr>
        <w:t>（四）投标方需对医院本院区食堂在现有基础上进行新的装修改造及设备投入，装修改造及设备投入费用由投标方承担(餐厅建筑平面图后附）。</w:t>
      </w:r>
    </w:p>
    <w:p w14:paraId="178B63D2">
      <w:pPr>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kern w:val="2"/>
          <w:sz w:val="24"/>
          <w:szCs w:val="24"/>
          <w:highlight w:val="none"/>
          <w:shd w:val="clear" w:color="auto" w:fill="auto"/>
          <w:lang w:val="en-US"/>
        </w:rPr>
      </w:pPr>
      <w:r>
        <w:rPr>
          <w:rFonts w:hint="eastAsia" w:ascii="仿宋" w:hAnsi="仿宋" w:eastAsia="仿宋" w:cs="仿宋"/>
          <w:b/>
          <w:bCs/>
          <w:kern w:val="2"/>
          <w:sz w:val="24"/>
          <w:szCs w:val="24"/>
          <w:highlight w:val="none"/>
          <w:shd w:val="clear" w:color="auto" w:fill="auto"/>
          <w:lang w:val="en-US" w:eastAsia="zh-CN"/>
        </w:rPr>
        <w:t>十一、</w:t>
      </w:r>
      <w:r>
        <w:rPr>
          <w:rFonts w:hint="eastAsia" w:ascii="仿宋" w:hAnsi="仿宋" w:eastAsia="仿宋" w:cs="仿宋"/>
          <w:b/>
          <w:bCs/>
          <w:kern w:val="2"/>
          <w:sz w:val="24"/>
          <w:szCs w:val="24"/>
          <w:highlight w:val="none"/>
          <w:shd w:val="clear" w:color="auto" w:fill="auto"/>
          <w:lang w:val="en-US"/>
        </w:rPr>
        <w:t>菜品质量管理方案</w:t>
      </w:r>
    </w:p>
    <w:p w14:paraId="19BD8C22">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rPr>
      </w:pPr>
      <w:r>
        <w:rPr>
          <w:rFonts w:hint="eastAsia" w:ascii="仿宋" w:hAnsi="仿宋" w:eastAsia="仿宋" w:cs="仿宋"/>
          <w:b w:val="0"/>
          <w:bCs/>
          <w:kern w:val="2"/>
          <w:sz w:val="24"/>
          <w:szCs w:val="24"/>
          <w:highlight w:val="none"/>
          <w:shd w:val="clear" w:color="auto" w:fill="auto"/>
          <w:lang w:val="en-US" w:eastAsia="zh-CN"/>
        </w:rPr>
        <w:t>根据本项目实际情况，结合本项目特点，提出全面、具体、详实、切实可行针对本医院餐厅的菜品质量管理方案，包括但不限于菜品质量保障措施、菜品服务提升措施 、食品安全管理、应急处置预案。</w:t>
      </w:r>
    </w:p>
    <w:p w14:paraId="231F7FE8">
      <w:pPr>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十二、餐厅档口经营方案</w:t>
      </w:r>
    </w:p>
    <w:p w14:paraId="34763C08">
      <w:pPr>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仿宋" w:hAnsi="仿宋" w:eastAsia="仿宋" w:cs="仿宋"/>
          <w:b w:val="0"/>
          <w:bCs/>
          <w:kern w:val="2"/>
          <w:sz w:val="24"/>
          <w:szCs w:val="24"/>
          <w:highlight w:val="none"/>
          <w:shd w:val="clear" w:color="auto" w:fill="auto"/>
          <w:lang w:val="en-US" w:eastAsia="zh-CN"/>
        </w:rPr>
      </w:pPr>
      <w:r>
        <w:rPr>
          <w:rFonts w:hint="eastAsia" w:ascii="仿宋" w:hAnsi="仿宋" w:eastAsia="仿宋" w:cs="仿宋"/>
          <w:b w:val="0"/>
          <w:bCs/>
          <w:kern w:val="2"/>
          <w:sz w:val="24"/>
          <w:szCs w:val="24"/>
          <w:highlight w:val="none"/>
          <w:shd w:val="clear" w:color="auto" w:fill="auto"/>
          <w:lang w:val="en-US" w:eastAsia="zh-CN"/>
        </w:rPr>
        <w:t>根据本项目实际情况，结合本项目特点，提出全面、具体、详实、切实可行针对本医院餐厅的档口经营方案，包括但不限于档口规划与定位、菜品规划、档口管理与运营、智慧食堂建设。</w:t>
      </w:r>
    </w:p>
    <w:p w14:paraId="3F97D118">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十三、送餐服务方案</w:t>
      </w:r>
    </w:p>
    <w:p w14:paraId="6FDCA3E4">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根据本项目实际情况，结合本项目特点，提出全面、具体、详实、切实可行针对本医院餐厅的送餐服务方案，包括但不限于送餐服务团队组建与管理、送餐流程规划与优化、送餐服务质量控制。</w:t>
      </w:r>
    </w:p>
    <w:p w14:paraId="6004C21B">
      <w:pPr>
        <w:pageBreakBefore w:val="0"/>
        <w:widowControl w:val="0"/>
        <w:numPr>
          <w:ilvl w:val="0"/>
          <w:numId w:val="65"/>
        </w:numP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特殊科室服务方案</w:t>
      </w:r>
    </w:p>
    <w:p w14:paraId="600360A0">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根据本项目实际情况，结合本项目特点，提出全面、具体、详实、切实可行针对本医院餐厅的送餐服务方案，包括但不限于特殊科室需求调研、针对性餐品设计、餐品制作与供应管理。</w:t>
      </w:r>
    </w:p>
    <w:p w14:paraId="18023E78">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十五、食材采购方案</w:t>
      </w:r>
    </w:p>
    <w:p w14:paraId="70CB4F52">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根据本项目实际情况，结合本项目特点，提出全面、具体、详实、切实可行针对本医院餐厅的食材采购方案，包括但不限于供应商选择与管理、食材采购流程、食品及原料的储存。</w:t>
      </w:r>
    </w:p>
    <w:p w14:paraId="317E91C2">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十六、售后服务方案</w:t>
      </w:r>
    </w:p>
    <w:p w14:paraId="41E7BB75">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根据本项目实际情况，结合本项目特点，提出全面、具体、详实、切实可行针对本医院餐厅的售后服务方案，包括但不限于服务质量监控与评估、客户反馈处理流程制定、服务质量持续改进措施、售后服务团队建设。</w:t>
      </w:r>
    </w:p>
    <w:p w14:paraId="629D3683">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十七、安全生产管理方案</w:t>
      </w:r>
    </w:p>
    <w:p w14:paraId="5635576E">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针对本项目提供安全生产管理方案，内容包括但不限于：燃气使用安全检测、食品安全快速检测、各类设施设备安全操作规程，建立针对安全生产管理专项制度，明确安全生产管理工作计划和预案。</w:t>
      </w:r>
    </w:p>
    <w:p w14:paraId="3BA59465">
      <w:pPr>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十八、制度建设方案</w:t>
      </w:r>
    </w:p>
    <w:p w14:paraId="2A211FA2">
      <w:pPr>
        <w:widowControl/>
        <w:adjustRightInd w:val="0"/>
        <w:spacing w:before="60" w:after="60" w:line="360" w:lineRule="auto"/>
        <w:ind w:firstLine="0" w:firstLineChars="0"/>
        <w:jc w:val="left"/>
        <w:textAlignment w:val="baseline"/>
        <w:outlineLvl w:val="9"/>
        <w:rPr>
          <w:rFonts w:hint="eastAsia" w:ascii="仿宋" w:hAnsi="仿宋" w:eastAsia="仿宋" w:cs="仿宋"/>
          <w:bCs/>
          <w:kern w:val="2"/>
          <w:sz w:val="24"/>
          <w:szCs w:val="24"/>
          <w:highlight w:val="none"/>
          <w:shd w:val="clear" w:color="auto" w:fill="auto"/>
          <w:lang w:val="en-US" w:eastAsia="zh-CN" w:bidi="ar-SA"/>
        </w:rPr>
      </w:pPr>
      <w:r>
        <w:rPr>
          <w:rFonts w:hint="eastAsia" w:ascii="仿宋" w:hAnsi="仿宋" w:eastAsia="仿宋" w:cs="仿宋"/>
          <w:bCs/>
          <w:kern w:val="2"/>
          <w:sz w:val="24"/>
          <w:szCs w:val="24"/>
          <w:highlight w:val="none"/>
          <w:shd w:val="clear" w:color="auto" w:fill="auto"/>
          <w:lang w:val="en-US" w:eastAsia="zh-CN" w:bidi="ar-SA"/>
        </w:rPr>
        <w:t>针对本项目提供制度建设方案，内容包括但不限于①食堂原材料管理制度②食堂仓库管理制度③食品加工管理制度④食品安全保障制度⑤食品质量管理制度⑥卫生清洁管理制度⑦消防安全管理制度⑧人员管理制度⑨财务管理制度⑩食堂采购管理制度。</w:t>
      </w:r>
    </w:p>
    <w:p w14:paraId="610487E3">
      <w:pPr>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十九、装修改造方案</w:t>
      </w:r>
    </w:p>
    <w:p w14:paraId="7B9E75A6">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val="0"/>
          <w:bCs/>
          <w:kern w:val="2"/>
          <w:sz w:val="24"/>
          <w:szCs w:val="24"/>
          <w:highlight w:val="none"/>
          <w:shd w:val="clear" w:color="auto" w:fill="auto"/>
          <w:lang w:val="en-US" w:eastAsia="zh-CN" w:bidi="ar-SA"/>
        </w:rPr>
      </w:pPr>
      <w:r>
        <w:rPr>
          <w:rFonts w:hint="eastAsia" w:ascii="仿宋" w:hAnsi="仿宋" w:eastAsia="仿宋" w:cs="仿宋"/>
          <w:b w:val="0"/>
          <w:bCs/>
          <w:kern w:val="2"/>
          <w:sz w:val="24"/>
          <w:szCs w:val="24"/>
          <w:highlight w:val="none"/>
          <w:shd w:val="clear" w:color="auto" w:fill="auto"/>
          <w:lang w:val="en-US" w:eastAsia="zh-CN" w:bidi="ar-SA"/>
        </w:rPr>
        <w:t>根据本院区餐厅布局设计平面图，并提供装修改造方案，包含但不限于以下内容：按需求分两个就餐区，包厢若干。两个就餐区域能满足就餐人员需要。两个就餐区分别有独立的出入口进出，人员不得相互交叉走动。就餐区人员能在本就餐区域出餐档口自行点餐、取餐。</w:t>
      </w:r>
    </w:p>
    <w:p w14:paraId="3988ED82">
      <w:pPr>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eastAsia" w:ascii="仿宋" w:hAnsi="仿宋" w:eastAsia="仿宋" w:cs="仿宋"/>
          <w:b/>
          <w:bCs/>
          <w:kern w:val="2"/>
          <w:sz w:val="24"/>
          <w:szCs w:val="24"/>
          <w:highlight w:val="none"/>
          <w:shd w:val="clear" w:color="auto" w:fill="auto"/>
          <w:lang w:val="en-US" w:eastAsia="zh-CN"/>
        </w:rPr>
      </w:pPr>
      <w:r>
        <w:rPr>
          <w:rFonts w:hint="eastAsia" w:ascii="仿宋" w:hAnsi="仿宋" w:eastAsia="仿宋" w:cs="仿宋"/>
          <w:b/>
          <w:bCs/>
          <w:kern w:val="2"/>
          <w:sz w:val="24"/>
          <w:szCs w:val="24"/>
          <w:highlight w:val="none"/>
          <w:shd w:val="clear" w:color="auto" w:fill="auto"/>
          <w:lang w:val="en-US" w:eastAsia="zh-CN"/>
        </w:rPr>
        <w:t>二十、设施设备投入方案</w:t>
      </w:r>
    </w:p>
    <w:p w14:paraId="276DEA7F">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eastAsia="zh-CN"/>
        </w:rPr>
      </w:pPr>
      <w:r>
        <w:rPr>
          <w:rFonts w:hint="eastAsia" w:ascii="仿宋" w:hAnsi="仿宋" w:eastAsia="仿宋" w:cs="仿宋"/>
          <w:b w:val="0"/>
          <w:bCs w:val="0"/>
          <w:color w:val="000000"/>
          <w:kern w:val="2"/>
          <w:sz w:val="24"/>
          <w:szCs w:val="24"/>
          <w:lang w:val="en-US" w:eastAsia="zh-CN"/>
        </w:rPr>
        <w:t>针对本院区餐厅功能投入餐厅设备配置方案，需投入设备包含但不限于①洗碗机2台、②蒸箱2台、③烤箱2台、④燃气炉灶4台、⑤电饼铛1台、⑥四门冰箱2台、⑦双门保鲜柜2台、⑧冷面操作柜2台、⑨消毒柜2台、⑩开水器2台、⑪餐桌椅、⑫保温餐车4台等但不限于以上设备的购置发票（购买协议）（附具体的设施设备投入清单）。</w:t>
      </w:r>
    </w:p>
    <w:p w14:paraId="16C536F4">
      <w:pPr>
        <w:widowControl/>
        <w:adjustRightInd w:val="0"/>
        <w:spacing w:before="60" w:after="60" w:line="320" w:lineRule="exact"/>
        <w:ind w:firstLine="0" w:firstLineChars="0"/>
        <w:jc w:val="both"/>
        <w:textAlignment w:val="baseline"/>
        <w:rPr>
          <w:rFonts w:hint="eastAsia" w:ascii="仿宋" w:hAnsi="仿宋" w:eastAsia="仿宋" w:cs="仿宋"/>
          <w:b/>
          <w:bCs/>
          <w:kern w:val="2"/>
          <w:sz w:val="24"/>
          <w:szCs w:val="24"/>
          <w:highlight w:val="none"/>
          <w:shd w:val="clear" w:color="auto" w:fill="auto"/>
          <w:lang w:val="en-US" w:eastAsia="zh-CN" w:bidi="ar-SA"/>
        </w:rPr>
      </w:pPr>
      <w:r>
        <w:rPr>
          <w:rFonts w:hint="eastAsia" w:ascii="仿宋" w:hAnsi="仿宋" w:eastAsia="仿宋" w:cs="仿宋"/>
          <w:b/>
          <w:bCs/>
          <w:kern w:val="2"/>
          <w:sz w:val="24"/>
          <w:szCs w:val="24"/>
          <w:highlight w:val="none"/>
          <w:shd w:val="clear" w:color="auto" w:fill="auto"/>
          <w:lang w:val="en-US" w:eastAsia="zh-CN" w:bidi="ar-SA"/>
        </w:rPr>
        <w:t>二十一、智慧点餐系统</w:t>
      </w:r>
    </w:p>
    <w:p w14:paraId="2D5C1C65">
      <w:pPr>
        <w:numPr>
          <w:ilvl w:val="0"/>
          <w:numId w:val="0"/>
        </w:numPr>
        <w:snapToGrid/>
        <w:spacing w:line="240" w:lineRule="auto"/>
        <w:ind w:left="140" w:leftChars="0" w:firstLine="0" w:firstLineChars="0"/>
        <w:rPr>
          <w:rFonts w:hint="eastAsia" w:ascii="仿宋" w:hAnsi="仿宋" w:eastAsia="仿宋" w:cs="仿宋"/>
          <w:b w:val="0"/>
          <w:bCs w:val="0"/>
          <w:color w:val="000000"/>
          <w:kern w:val="2"/>
          <w:sz w:val="24"/>
          <w:szCs w:val="24"/>
          <w:lang w:val="en-US" w:eastAsia="zh-CN"/>
        </w:rPr>
      </w:pPr>
      <w:r>
        <w:rPr>
          <w:rFonts w:hint="eastAsia" w:ascii="仿宋" w:hAnsi="仿宋" w:eastAsia="仿宋" w:cs="仿宋"/>
          <w:b w:val="0"/>
          <w:bCs w:val="0"/>
          <w:color w:val="000000"/>
          <w:kern w:val="2"/>
          <w:sz w:val="24"/>
          <w:szCs w:val="24"/>
          <w:lang w:val="en-US" w:eastAsia="zh-CN"/>
        </w:rPr>
        <w:t>根据项目需求，投标方提供符合餐厅的智慧点餐系统，系统模块包括但不限于智慧点餐、用餐点评及数据统计、外卖、线上支付、退单、库存管理等功能。（须提供系统购买或租赁协议，投标人自主研发的软件提供软件著作权证书）。</w:t>
      </w:r>
    </w:p>
    <w:p w14:paraId="26F93D5D">
      <w:pPr>
        <w:adjustRightInd w:val="0"/>
        <w:snapToGrid w:val="0"/>
        <w:spacing w:before="100" w:beforeAutospacing="1" w:after="100" w:afterAutospacing="1" w:line="240" w:lineRule="auto"/>
        <w:ind w:firstLine="0" w:firstLineChars="0"/>
        <w:jc w:val="left"/>
        <w:rPr>
          <w:rFonts w:hint="default" w:ascii="仿宋_GB2312" w:hAnsi="仿宋_GB2312" w:eastAsia="仿宋_GB2312" w:cs="仿宋_GB2312"/>
          <w:b w:val="0"/>
          <w:bCs/>
          <w:kern w:val="2"/>
          <w:sz w:val="32"/>
          <w:szCs w:val="32"/>
          <w:highlight w:val="none"/>
          <w:shd w:val="clear" w:color="auto" w:fill="auto"/>
          <w:lang w:val="en-US" w:eastAsia="zh-CN" w:bidi="ar-SA"/>
        </w:rPr>
      </w:pPr>
    </w:p>
    <w:p w14:paraId="343D8BC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59547F97">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7A6D53A9">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FCC88C5">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CCF7AC5">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43932CE3">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002E860E">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71E779B9">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0C9042D6">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55D890C4">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7E866C2C">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13806766">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13749D9">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5EF211B6">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63038D69">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3B1318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067F88F4">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t>附件一：</w:t>
      </w:r>
    </w:p>
    <w:p w14:paraId="65C82E8B">
      <w:pPr>
        <w:snapToGrid/>
        <w:spacing w:line="240" w:lineRule="auto"/>
        <w:ind w:firstLine="0" w:firstLineChars="0"/>
        <w:jc w:val="center"/>
        <w:rPr>
          <w:rFonts w:hint="eastAsia" w:ascii="Calibri" w:hAnsi="Calibri" w:eastAsia="宋体"/>
          <w:b w:val="0"/>
          <w:kern w:val="2"/>
          <w:sz w:val="32"/>
          <w:szCs w:val="32"/>
          <w:lang w:val="en-US"/>
        </w:rPr>
      </w:pPr>
      <w:r>
        <w:rPr>
          <w:rFonts w:hint="eastAsia" w:ascii="方正小标宋简体" w:hAnsi="方正小标宋简体" w:eastAsia="方正小标宋简体" w:cs="方正小标宋简体"/>
          <w:b w:val="0"/>
          <w:kern w:val="2"/>
          <w:sz w:val="44"/>
          <w:szCs w:val="44"/>
          <w:lang w:val="en-US" w:eastAsia="zh-CN"/>
        </w:rPr>
        <w:t>昌吉回族自治州人民医院</w:t>
      </w:r>
      <w:r>
        <w:rPr>
          <w:rFonts w:hint="eastAsia" w:ascii="方正小标宋简体" w:hAnsi="方正小标宋简体" w:eastAsia="方正小标宋简体" w:cs="方正小标宋简体"/>
          <w:b w:val="0"/>
          <w:kern w:val="2"/>
          <w:sz w:val="44"/>
          <w:szCs w:val="44"/>
          <w:lang w:val="en-US"/>
        </w:rPr>
        <w:t>食堂承包管理方案</w:t>
      </w:r>
    </w:p>
    <w:p w14:paraId="4E73B734">
      <w:pPr>
        <w:snapToGrid/>
        <w:spacing w:line="240" w:lineRule="auto"/>
        <w:ind w:firstLine="0" w:firstLineChars="0"/>
        <w:rPr>
          <w:rFonts w:hint="eastAsia" w:ascii="仿宋_GB2312" w:hAnsi="仿宋_GB2312" w:eastAsia="仿宋_GB2312" w:cs="仿宋_GB2312"/>
          <w:b w:val="0"/>
          <w:kern w:val="2"/>
          <w:sz w:val="32"/>
          <w:szCs w:val="32"/>
          <w:lang w:val="en-US"/>
        </w:rPr>
      </w:pPr>
    </w:p>
    <w:p w14:paraId="0A0C58A9">
      <w:pPr>
        <w:snapToGrid/>
        <w:spacing w:line="240" w:lineRule="auto"/>
        <w:ind w:firstLine="482" w:firstLineChars="200"/>
        <w:rPr>
          <w:rFonts w:hint="eastAsia" w:ascii="仿宋" w:hAnsi="仿宋" w:eastAsia="仿宋" w:cs="仿宋"/>
          <w:b/>
          <w:bCs/>
          <w:kern w:val="2"/>
          <w:sz w:val="24"/>
          <w:szCs w:val="24"/>
          <w:lang w:val="en-US"/>
        </w:rPr>
      </w:pPr>
      <w:r>
        <w:rPr>
          <w:rFonts w:hint="eastAsia" w:ascii="仿宋" w:hAnsi="仿宋" w:eastAsia="仿宋" w:cs="仿宋"/>
          <w:b/>
          <w:bCs/>
          <w:kern w:val="2"/>
          <w:sz w:val="24"/>
          <w:szCs w:val="24"/>
          <w:lang w:val="en-US"/>
        </w:rPr>
        <w:t>一、管理目标与原则</w:t>
      </w:r>
    </w:p>
    <w:p w14:paraId="6CB10006">
      <w:pPr>
        <w:snapToGrid/>
        <w:spacing w:line="240" w:lineRule="auto"/>
        <w:ind w:firstLine="482" w:firstLineChars="200"/>
        <w:rPr>
          <w:rFonts w:hint="eastAsia" w:ascii="仿宋" w:hAnsi="仿宋" w:eastAsia="仿宋" w:cs="仿宋"/>
          <w:b/>
          <w:bCs/>
          <w:kern w:val="2"/>
          <w:sz w:val="24"/>
          <w:szCs w:val="24"/>
          <w:lang w:val="en-US"/>
        </w:rPr>
      </w:pPr>
      <w:r>
        <w:rPr>
          <w:rFonts w:hint="eastAsia" w:ascii="仿宋" w:hAnsi="仿宋" w:eastAsia="仿宋" w:cs="仿宋"/>
          <w:b/>
          <w:bCs/>
          <w:kern w:val="2"/>
          <w:sz w:val="24"/>
          <w:szCs w:val="24"/>
          <w:lang w:val="en-US"/>
        </w:rPr>
        <w:t xml:space="preserve">目标： </w:t>
      </w:r>
    </w:p>
    <w:p w14:paraId="275BC470">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（一）</w:t>
      </w:r>
      <w:r>
        <w:rPr>
          <w:rFonts w:hint="eastAsia" w:ascii="仿宋" w:hAnsi="仿宋" w:eastAsia="仿宋" w:cs="仿宋"/>
          <w:b w:val="0"/>
          <w:kern w:val="2"/>
          <w:sz w:val="24"/>
          <w:szCs w:val="24"/>
          <w:lang w:val="en-US"/>
        </w:rPr>
        <w:t xml:space="preserve">食品安全零事故，全年无重大食品安全投诉或事件。  </w:t>
      </w:r>
    </w:p>
    <w:p w14:paraId="33674E3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（二）</w:t>
      </w:r>
      <w:r>
        <w:rPr>
          <w:rFonts w:hint="eastAsia" w:ascii="仿宋" w:hAnsi="仿宋" w:eastAsia="仿宋" w:cs="仿宋"/>
          <w:b w:val="0"/>
          <w:kern w:val="2"/>
          <w:sz w:val="24"/>
          <w:szCs w:val="24"/>
          <w:lang w:val="en-US"/>
        </w:rPr>
        <w:t xml:space="preserve">职工与患者就餐综合满意度≥85%，其中患者满意度单独统计。  </w:t>
      </w:r>
    </w:p>
    <w:p w14:paraId="1117D726">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（三）</w:t>
      </w:r>
      <w:r>
        <w:rPr>
          <w:rFonts w:hint="eastAsia" w:ascii="仿宋" w:hAnsi="仿宋" w:eastAsia="仿宋" w:cs="仿宋"/>
          <w:b w:val="0"/>
          <w:kern w:val="2"/>
          <w:sz w:val="24"/>
          <w:szCs w:val="24"/>
          <w:lang w:val="en-US"/>
        </w:rPr>
        <w:t xml:space="preserve">菜品价格低于周边市场同类餐饮价格10%-15%，且明码标价、动态公示。  </w:t>
      </w:r>
    </w:p>
    <w:p w14:paraId="2FD0F43D">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（四）</w:t>
      </w:r>
      <w:r>
        <w:rPr>
          <w:rFonts w:hint="eastAsia" w:ascii="仿宋" w:hAnsi="仿宋" w:eastAsia="仿宋" w:cs="仿宋"/>
          <w:b w:val="0"/>
          <w:kern w:val="2"/>
          <w:sz w:val="24"/>
          <w:szCs w:val="24"/>
          <w:lang w:val="en-US"/>
        </w:rPr>
        <w:t>实现“公益性、专业性、可持续性”的餐饮服务体系。</w:t>
      </w:r>
    </w:p>
    <w:p w14:paraId="3C212979">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原则：</w:t>
      </w:r>
      <w:r>
        <w:rPr>
          <w:rFonts w:hint="eastAsia" w:ascii="仿宋" w:hAnsi="仿宋" w:eastAsia="仿宋" w:cs="仿宋"/>
          <w:b w:val="0"/>
          <w:kern w:val="2"/>
          <w:sz w:val="24"/>
          <w:szCs w:val="24"/>
          <w:lang w:val="en-US"/>
        </w:rPr>
        <w:t xml:space="preserve">  </w:t>
      </w:r>
    </w:p>
    <w:p w14:paraId="35F03017">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坚持“监管与服务并重、考核与激励结合、公益与效益平衡”，以医院需求为导向，以承包方为主体，以制度为保障，构建“医院监管、承包方主责、全员参与”的管理格局。</w:t>
      </w:r>
    </w:p>
    <w:p w14:paraId="3B7C447B">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二、组织架构与职责分工</w:t>
      </w:r>
    </w:p>
    <w:p w14:paraId="5B1E265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（一）医院膳食管理委员会</w:t>
      </w:r>
    </w:p>
    <w:p w14:paraId="25377850">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组成：</w:t>
      </w:r>
      <w:r>
        <w:rPr>
          <w:rFonts w:hint="eastAsia" w:ascii="仿宋" w:hAnsi="仿宋" w:eastAsia="仿宋" w:cs="仿宋"/>
          <w:b w:val="0"/>
          <w:kern w:val="2"/>
          <w:sz w:val="24"/>
          <w:szCs w:val="24"/>
          <w:lang w:val="en-US"/>
        </w:rPr>
        <w:t>由分管副院长任主任，总务科、护理部、工会、营养科、</w:t>
      </w:r>
      <w:r>
        <w:rPr>
          <w:rFonts w:hint="eastAsia" w:ascii="仿宋" w:hAnsi="仿宋" w:eastAsia="仿宋" w:cs="仿宋"/>
          <w:b w:val="0"/>
          <w:kern w:val="2"/>
          <w:sz w:val="24"/>
          <w:szCs w:val="24"/>
          <w:lang w:val="en-US" w:eastAsia="zh-CN"/>
        </w:rPr>
        <w:t>院感办、</w:t>
      </w:r>
      <w:r>
        <w:rPr>
          <w:rFonts w:hint="eastAsia" w:ascii="仿宋" w:hAnsi="仿宋" w:eastAsia="仿宋" w:cs="仿宋"/>
          <w:b w:val="0"/>
          <w:kern w:val="2"/>
          <w:sz w:val="24"/>
          <w:szCs w:val="24"/>
          <w:lang w:val="en-US"/>
        </w:rPr>
        <w:t xml:space="preserve">审计科负责人及职工代表、患者代表（定期轮换）组成。  </w:t>
      </w:r>
    </w:p>
    <w:p w14:paraId="2DFAACD8">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职责：</w:t>
      </w:r>
    </w:p>
    <w:p w14:paraId="5B7A560D">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审核承包方年度运营计划与预算。  </w:t>
      </w:r>
    </w:p>
    <w:p w14:paraId="626EE3B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审定月度考核结果及奖惩措施。  </w:t>
      </w:r>
    </w:p>
    <w:p w14:paraId="651F312F">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协调重大投诉、价格调整、合同变更等事项。  </w:t>
      </w:r>
    </w:p>
    <w:p w14:paraId="12240FD4">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每季度召开1次全体会议，听取专题汇报。</w:t>
      </w:r>
    </w:p>
    <w:p w14:paraId="31927E62">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（二）总务科日常监管组</w:t>
      </w:r>
    </w:p>
    <w:p w14:paraId="7F23F268">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设专职监管员1-2名，负责：  </w:t>
      </w:r>
    </w:p>
    <w:p w14:paraId="6A34EDBE">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巡查食材验收、加工、留样、消毒等环节。  </w:t>
      </w:r>
    </w:p>
    <w:p w14:paraId="5A07988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抽查台账、索证索票、从业人员健康证。  </w:t>
      </w:r>
    </w:p>
    <w:p w14:paraId="7F1C35A1">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受理并闭环处理职工与患者投诉（24小时内反馈）。  </w:t>
      </w:r>
    </w:p>
    <w:p w14:paraId="4DFF322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（三）承包方责任体系</w:t>
      </w:r>
    </w:p>
    <w:p w14:paraId="050F5096">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设立“医院食堂专项管理团队”，包括：  </w:t>
      </w:r>
    </w:p>
    <w:p w14:paraId="7A31CF6E">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项目经理（驻场，</w:t>
      </w:r>
      <w:r>
        <w:rPr>
          <w:rFonts w:hint="eastAsia" w:ascii="仿宋" w:hAnsi="仿宋" w:eastAsia="仿宋" w:cs="仿宋"/>
          <w:b w:val="0"/>
          <w:kern w:val="2"/>
          <w:sz w:val="24"/>
          <w:szCs w:val="24"/>
          <w:lang w:val="en-US" w:eastAsia="zh-CN"/>
        </w:rPr>
        <w:t>具备</w:t>
      </w:r>
      <w:r>
        <w:rPr>
          <w:rFonts w:hint="eastAsia" w:ascii="仿宋" w:hAnsi="仿宋" w:eastAsia="仿宋" w:cs="仿宋"/>
          <w:b w:val="0"/>
          <w:kern w:val="2"/>
          <w:sz w:val="24"/>
          <w:szCs w:val="24"/>
          <w:lang w:val="en-US"/>
        </w:rPr>
        <w:t xml:space="preserve">团餐管理经验）  </w:t>
      </w:r>
    </w:p>
    <w:p w14:paraId="6DAB493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食品安全员（每日开展晨检及过程检查）  </w:t>
      </w:r>
    </w:p>
    <w:p w14:paraId="11BAAFC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营养师（协助制定患者餐、职工餐营养结构）  </w:t>
      </w:r>
    </w:p>
    <w:p w14:paraId="5A814DC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 xml:space="preserve">厨师长（负责菜品研发与质量）  </w:t>
      </w:r>
    </w:p>
    <w:p w14:paraId="2BAE926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（5）</w:t>
      </w:r>
      <w:r>
        <w:rPr>
          <w:rFonts w:hint="eastAsia" w:ascii="仿宋" w:hAnsi="仿宋" w:eastAsia="仿宋" w:cs="仿宋"/>
          <w:b w:val="0"/>
          <w:kern w:val="2"/>
          <w:sz w:val="24"/>
          <w:szCs w:val="24"/>
          <w:lang w:val="en-US"/>
        </w:rPr>
        <w:t xml:space="preserve">前厅主管（负责窗口服务、意见收集）  </w:t>
      </w:r>
    </w:p>
    <w:p w14:paraId="23577DBF">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（6）</w:t>
      </w:r>
      <w:r>
        <w:rPr>
          <w:rFonts w:hint="eastAsia" w:ascii="仿宋" w:hAnsi="仿宋" w:eastAsia="仿宋" w:cs="仿宋"/>
          <w:b w:val="0"/>
          <w:kern w:val="2"/>
          <w:sz w:val="24"/>
          <w:szCs w:val="24"/>
          <w:lang w:val="en-US"/>
        </w:rPr>
        <w:t>签订《食品安全责任书》《安全生产责任书》《服务承诺书》，责任到人。</w:t>
      </w:r>
    </w:p>
    <w:p w14:paraId="6E735C3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三、全流程监管机制</w:t>
      </w:r>
    </w:p>
    <w:p w14:paraId="6EA37F07">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（一）准入与退出机制</w:t>
      </w:r>
    </w:p>
    <w:p w14:paraId="4863A9FC">
      <w:pPr>
        <w:snapToGrid/>
        <w:spacing w:line="240" w:lineRule="auto"/>
        <w:ind w:firstLine="480" w:firstLineChars="20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准入标准</w:t>
      </w:r>
      <w:r>
        <w:rPr>
          <w:rFonts w:hint="eastAsia" w:ascii="仿宋" w:hAnsi="仿宋" w:eastAsia="仿宋" w:cs="仿宋"/>
          <w:b w:val="0"/>
          <w:kern w:val="2"/>
          <w:sz w:val="24"/>
          <w:szCs w:val="24"/>
          <w:lang w:val="en-US" w:eastAsia="zh-CN"/>
        </w:rPr>
        <w:t>符合本项目需求。</w:t>
      </w:r>
    </w:p>
    <w:p w14:paraId="61240542">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退出情形：  </w:t>
      </w:r>
    </w:p>
    <w:p w14:paraId="350F68D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发生食品安全事故（含食物中毒、致病微生物污染等）。  </w:t>
      </w:r>
    </w:p>
    <w:p w14:paraId="3D1ECFCD">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连续2次月度满意度＜70%，或年度累计3次＜75%。  </w:t>
      </w:r>
    </w:p>
    <w:p w14:paraId="31E50DD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擅自涨价超过约定幅度或未公示价格。  </w:t>
      </w:r>
    </w:p>
    <w:p w14:paraId="1BD8D71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 xml:space="preserve">发现转包、分包或使用非备案团队。  </w:t>
      </w:r>
    </w:p>
    <w:p w14:paraId="70B69DED">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（5）</w:t>
      </w:r>
      <w:r>
        <w:rPr>
          <w:rFonts w:hint="eastAsia" w:ascii="仿宋" w:hAnsi="仿宋" w:eastAsia="仿宋" w:cs="仿宋"/>
          <w:b w:val="0"/>
          <w:kern w:val="2"/>
          <w:sz w:val="24"/>
          <w:szCs w:val="24"/>
          <w:lang w:val="en-US"/>
        </w:rPr>
        <w:t>伪造台账、采购资质、检测报告等弄虚作假行为。</w:t>
      </w:r>
    </w:p>
    <w:p w14:paraId="1C2A4C61">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（二）日常监管</w:t>
      </w:r>
    </w:p>
    <w:tbl>
      <w:tblPr>
        <w:tblStyle w:val="8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4391"/>
        <w:gridCol w:w="1136"/>
        <w:gridCol w:w="1618"/>
      </w:tblGrid>
      <w:tr w14:paraId="6997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77" w:type="dxa"/>
            <w:vAlign w:val="center"/>
          </w:tcPr>
          <w:p w14:paraId="0B9D918B">
            <w:pPr>
              <w:snapToGrid w:val="0"/>
              <w:spacing w:line="240" w:lineRule="auto"/>
              <w:ind w:left="0" w:leftChars="0" w:right="0" w:rightChars="0" w:firstLine="0" w:firstLineChars="0"/>
              <w:jc w:val="center"/>
              <w:rPr>
                <w:rFonts w:hint="eastAsia" w:ascii="仿宋" w:hAnsi="仿宋" w:eastAsia="仿宋" w:cs="仿宋"/>
                <w:b/>
                <w:kern w:val="2"/>
                <w:sz w:val="24"/>
                <w:szCs w:val="24"/>
                <w:vertAlign w:val="baseline"/>
                <w:lang w:val="en-US"/>
              </w:rPr>
            </w:pPr>
            <w:r>
              <w:rPr>
                <w:rFonts w:hint="eastAsia" w:ascii="仿宋" w:hAnsi="仿宋" w:eastAsia="仿宋" w:cs="仿宋"/>
                <w:b/>
                <w:kern w:val="2"/>
                <w:sz w:val="24"/>
                <w:szCs w:val="24"/>
                <w:lang w:val="en-US"/>
              </w:rPr>
              <w:t>监管维度</w:t>
            </w:r>
          </w:p>
        </w:tc>
        <w:tc>
          <w:tcPr>
            <w:tcW w:w="4391" w:type="dxa"/>
            <w:vAlign w:val="center"/>
          </w:tcPr>
          <w:p w14:paraId="68B85049">
            <w:pPr>
              <w:snapToGrid w:val="0"/>
              <w:spacing w:line="240" w:lineRule="auto"/>
              <w:ind w:left="0" w:leftChars="0" w:right="0" w:rightChars="0" w:firstLine="0" w:firstLineChars="0"/>
              <w:jc w:val="center"/>
              <w:rPr>
                <w:rFonts w:hint="eastAsia" w:ascii="仿宋" w:hAnsi="仿宋" w:eastAsia="仿宋" w:cs="仿宋"/>
                <w:b/>
                <w:kern w:val="2"/>
                <w:sz w:val="24"/>
                <w:szCs w:val="24"/>
                <w:vertAlign w:val="baseline"/>
                <w:lang w:val="en-US"/>
              </w:rPr>
            </w:pPr>
            <w:r>
              <w:rPr>
                <w:rFonts w:hint="eastAsia" w:ascii="仿宋" w:hAnsi="仿宋" w:eastAsia="仿宋" w:cs="仿宋"/>
                <w:b/>
                <w:kern w:val="2"/>
                <w:sz w:val="24"/>
                <w:szCs w:val="24"/>
                <w:lang w:val="en-US"/>
              </w:rPr>
              <w:t>具体内容</w:t>
            </w:r>
          </w:p>
        </w:tc>
        <w:tc>
          <w:tcPr>
            <w:tcW w:w="1136" w:type="dxa"/>
            <w:vAlign w:val="center"/>
          </w:tcPr>
          <w:p w14:paraId="0B6DFBC6">
            <w:pPr>
              <w:snapToGrid w:val="0"/>
              <w:spacing w:line="240" w:lineRule="auto"/>
              <w:ind w:left="0" w:leftChars="0" w:right="0" w:rightChars="0" w:firstLine="0" w:firstLineChars="0"/>
              <w:jc w:val="center"/>
              <w:rPr>
                <w:rFonts w:hint="eastAsia" w:ascii="仿宋" w:hAnsi="仿宋" w:eastAsia="仿宋" w:cs="仿宋"/>
                <w:b/>
                <w:kern w:val="2"/>
                <w:sz w:val="24"/>
                <w:szCs w:val="24"/>
                <w:vertAlign w:val="baseline"/>
                <w:lang w:val="en-US"/>
              </w:rPr>
            </w:pPr>
            <w:r>
              <w:rPr>
                <w:rFonts w:hint="eastAsia" w:ascii="仿宋" w:hAnsi="仿宋" w:eastAsia="仿宋" w:cs="仿宋"/>
                <w:b/>
                <w:kern w:val="2"/>
                <w:sz w:val="24"/>
                <w:szCs w:val="24"/>
                <w:lang w:val="en-US"/>
              </w:rPr>
              <w:t>频次</w:t>
            </w:r>
          </w:p>
        </w:tc>
        <w:tc>
          <w:tcPr>
            <w:tcW w:w="1618" w:type="dxa"/>
            <w:vAlign w:val="center"/>
          </w:tcPr>
          <w:p w14:paraId="33AE9AE3">
            <w:pPr>
              <w:snapToGrid w:val="0"/>
              <w:spacing w:line="240" w:lineRule="auto"/>
              <w:ind w:left="0" w:leftChars="0" w:right="0" w:rightChars="0" w:firstLine="0" w:firstLineChars="0"/>
              <w:jc w:val="center"/>
              <w:rPr>
                <w:rFonts w:hint="eastAsia" w:ascii="仿宋" w:hAnsi="仿宋" w:eastAsia="仿宋" w:cs="仿宋"/>
                <w:b/>
                <w:kern w:val="2"/>
                <w:sz w:val="24"/>
                <w:szCs w:val="24"/>
                <w:vertAlign w:val="baseline"/>
                <w:lang w:val="en-US"/>
              </w:rPr>
            </w:pPr>
            <w:r>
              <w:rPr>
                <w:rFonts w:hint="eastAsia" w:ascii="仿宋" w:hAnsi="仿宋" w:eastAsia="仿宋" w:cs="仿宋"/>
                <w:b/>
                <w:kern w:val="2"/>
                <w:sz w:val="24"/>
                <w:szCs w:val="24"/>
                <w:lang w:val="en-US"/>
              </w:rPr>
              <w:t>责任方</w:t>
            </w:r>
          </w:p>
        </w:tc>
      </w:tr>
      <w:tr w14:paraId="1BCC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7441EC52">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食品安全</w:t>
            </w:r>
          </w:p>
        </w:tc>
        <w:tc>
          <w:tcPr>
            <w:tcW w:w="4391" w:type="dxa"/>
            <w:vAlign w:val="center"/>
          </w:tcPr>
          <w:p w14:paraId="448D07CD">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食材索证索票率100%，建立电子台账</w:t>
            </w:r>
          </w:p>
        </w:tc>
        <w:tc>
          <w:tcPr>
            <w:tcW w:w="1136" w:type="dxa"/>
            <w:vAlign w:val="center"/>
          </w:tcPr>
          <w:p w14:paraId="30249765">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每日</w:t>
            </w:r>
          </w:p>
        </w:tc>
        <w:tc>
          <w:tcPr>
            <w:tcW w:w="1618" w:type="dxa"/>
            <w:vAlign w:val="center"/>
          </w:tcPr>
          <w:p w14:paraId="52390FF7">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承包方/监管组</w:t>
            </w:r>
          </w:p>
        </w:tc>
      </w:tr>
      <w:tr w14:paraId="0E24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221638BB">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食品留样</w:t>
            </w:r>
          </w:p>
        </w:tc>
        <w:tc>
          <w:tcPr>
            <w:tcW w:w="4391" w:type="dxa"/>
            <w:vAlign w:val="center"/>
          </w:tcPr>
          <w:p w14:paraId="6A67CCD7">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 xml:space="preserve">每餐每品种≥125g，标注时间、品名，保存48小时 </w:t>
            </w:r>
          </w:p>
        </w:tc>
        <w:tc>
          <w:tcPr>
            <w:tcW w:w="1136" w:type="dxa"/>
            <w:vAlign w:val="center"/>
          </w:tcPr>
          <w:p w14:paraId="3F087F88">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 xml:space="preserve">每餐 </w:t>
            </w:r>
          </w:p>
        </w:tc>
        <w:tc>
          <w:tcPr>
            <w:tcW w:w="1618" w:type="dxa"/>
            <w:vAlign w:val="center"/>
          </w:tcPr>
          <w:p w14:paraId="59A24C76">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承包方</w:t>
            </w:r>
          </w:p>
        </w:tc>
      </w:tr>
      <w:tr w14:paraId="106B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2BCE5607">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餐具消毒</w:t>
            </w:r>
          </w:p>
        </w:tc>
        <w:tc>
          <w:tcPr>
            <w:tcW w:w="4391" w:type="dxa"/>
            <w:vAlign w:val="center"/>
          </w:tcPr>
          <w:p w14:paraId="585148A3">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 xml:space="preserve">热力消毒（温度、时间记录）或化学消毒（浓度检测） </w:t>
            </w:r>
          </w:p>
        </w:tc>
        <w:tc>
          <w:tcPr>
            <w:tcW w:w="1136" w:type="dxa"/>
            <w:vAlign w:val="center"/>
          </w:tcPr>
          <w:p w14:paraId="0CB1B0B0">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每批次</w:t>
            </w:r>
          </w:p>
        </w:tc>
        <w:tc>
          <w:tcPr>
            <w:tcW w:w="1618" w:type="dxa"/>
            <w:vAlign w:val="center"/>
          </w:tcPr>
          <w:p w14:paraId="0736E440">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承包方</w:t>
            </w:r>
          </w:p>
        </w:tc>
      </w:tr>
      <w:tr w14:paraId="1BFC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4799E4B5">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库存检查</w:t>
            </w:r>
          </w:p>
        </w:tc>
        <w:tc>
          <w:tcPr>
            <w:tcW w:w="4391" w:type="dxa"/>
            <w:vAlign w:val="center"/>
          </w:tcPr>
          <w:p w14:paraId="0D6A9B91">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检查过期、变质、标识不清食材</w:t>
            </w:r>
          </w:p>
        </w:tc>
        <w:tc>
          <w:tcPr>
            <w:tcW w:w="1136" w:type="dxa"/>
            <w:vAlign w:val="center"/>
          </w:tcPr>
          <w:p w14:paraId="42725BA4">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每周</w:t>
            </w:r>
          </w:p>
        </w:tc>
        <w:tc>
          <w:tcPr>
            <w:tcW w:w="1618" w:type="dxa"/>
            <w:vAlign w:val="center"/>
          </w:tcPr>
          <w:p w14:paraId="67C7C86F">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监管组</w:t>
            </w:r>
          </w:p>
        </w:tc>
      </w:tr>
      <w:tr w14:paraId="271F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4747D0B0">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专项检查</w:t>
            </w:r>
          </w:p>
        </w:tc>
        <w:tc>
          <w:tcPr>
            <w:tcW w:w="4391" w:type="dxa"/>
            <w:vAlign w:val="center"/>
          </w:tcPr>
          <w:p w14:paraId="24DD783E">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覆盖添加剂、交叉污染、病媒生物等</w:t>
            </w:r>
          </w:p>
        </w:tc>
        <w:tc>
          <w:tcPr>
            <w:tcW w:w="1136" w:type="dxa"/>
            <w:vAlign w:val="center"/>
          </w:tcPr>
          <w:p w14:paraId="0B2D6EE6">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每月</w:t>
            </w:r>
          </w:p>
        </w:tc>
        <w:tc>
          <w:tcPr>
            <w:tcW w:w="1618" w:type="dxa"/>
            <w:vAlign w:val="center"/>
          </w:tcPr>
          <w:p w14:paraId="4372972B">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eastAsia="zh-CN"/>
              </w:rPr>
            </w:pPr>
            <w:r>
              <w:rPr>
                <w:rFonts w:hint="eastAsia" w:ascii="仿宋" w:hAnsi="仿宋" w:eastAsia="仿宋" w:cs="仿宋"/>
                <w:b w:val="0"/>
                <w:kern w:val="2"/>
                <w:sz w:val="24"/>
                <w:szCs w:val="24"/>
                <w:lang w:val="en-US"/>
              </w:rPr>
              <w:t>监管组</w:t>
            </w:r>
            <w:r>
              <w:rPr>
                <w:rFonts w:hint="eastAsia" w:ascii="仿宋" w:hAnsi="仿宋" w:eastAsia="仿宋" w:cs="仿宋"/>
                <w:b w:val="0"/>
                <w:kern w:val="2"/>
                <w:sz w:val="24"/>
                <w:szCs w:val="24"/>
                <w:lang w:val="en-US" w:eastAsia="zh-CN"/>
              </w:rPr>
              <w:t>、院感办</w:t>
            </w:r>
          </w:p>
        </w:tc>
      </w:tr>
      <w:tr w14:paraId="6ABF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396DE165">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服务质量</w:t>
            </w:r>
          </w:p>
        </w:tc>
        <w:tc>
          <w:tcPr>
            <w:tcW w:w="4391" w:type="dxa"/>
            <w:vAlign w:val="center"/>
          </w:tcPr>
          <w:p w14:paraId="08821591">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线上问卷+线下意见箱+窗口实时评价</w:t>
            </w:r>
          </w:p>
        </w:tc>
        <w:tc>
          <w:tcPr>
            <w:tcW w:w="1136" w:type="dxa"/>
            <w:vAlign w:val="center"/>
          </w:tcPr>
          <w:p w14:paraId="0C5554BC">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每月</w:t>
            </w:r>
          </w:p>
        </w:tc>
        <w:tc>
          <w:tcPr>
            <w:tcW w:w="1618" w:type="dxa"/>
            <w:vAlign w:val="center"/>
          </w:tcPr>
          <w:p w14:paraId="5CC25A77">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监管组统计</w:t>
            </w:r>
          </w:p>
        </w:tc>
      </w:tr>
      <w:tr w14:paraId="660F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vAlign w:val="center"/>
          </w:tcPr>
          <w:p w14:paraId="6C01890C">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价格监控</w:t>
            </w:r>
          </w:p>
        </w:tc>
        <w:tc>
          <w:tcPr>
            <w:tcW w:w="4391" w:type="dxa"/>
            <w:vAlign w:val="center"/>
          </w:tcPr>
          <w:p w14:paraId="2AD3AC3A">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对比周边市场价，公示成本构成</w:t>
            </w:r>
          </w:p>
        </w:tc>
        <w:tc>
          <w:tcPr>
            <w:tcW w:w="1136" w:type="dxa"/>
            <w:vAlign w:val="center"/>
          </w:tcPr>
          <w:p w14:paraId="152DA91D">
            <w:pPr>
              <w:snapToGrid w:val="0"/>
              <w:spacing w:line="240" w:lineRule="auto"/>
              <w:ind w:left="0" w:leftChars="0" w:right="0" w:rightChars="0" w:firstLine="0" w:firstLineChars="0"/>
              <w:jc w:val="left"/>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每月</w:t>
            </w:r>
          </w:p>
        </w:tc>
        <w:tc>
          <w:tcPr>
            <w:tcW w:w="1618" w:type="dxa"/>
            <w:vAlign w:val="center"/>
          </w:tcPr>
          <w:p w14:paraId="7468610A">
            <w:pPr>
              <w:snapToGrid w:val="0"/>
              <w:spacing w:line="240" w:lineRule="auto"/>
              <w:ind w:left="0" w:leftChars="0" w:right="0" w:rightChars="0" w:firstLine="0" w:firstLineChars="0"/>
              <w:jc w:val="center"/>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承包方/审计科</w:t>
            </w:r>
          </w:p>
        </w:tc>
      </w:tr>
    </w:tbl>
    <w:p w14:paraId="3576BB11">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（三）应急管理</w:t>
      </w:r>
    </w:p>
    <w:p w14:paraId="74FD7792">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一般事件（停水、停电＜4小时）：启动备用设备或简餐方案。  </w:t>
      </w:r>
    </w:p>
    <w:p w14:paraId="7D57C5D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重大事件（停气、设备故障）：协调院内其他食堂或外部供餐单位。  </w:t>
      </w:r>
    </w:p>
    <w:p w14:paraId="0A5E164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公共卫生事件（如疫情、传染病高发期）：  </w:t>
      </w:r>
    </w:p>
    <w:p w14:paraId="5B068C7F">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（1）</w:t>
      </w:r>
      <w:r>
        <w:rPr>
          <w:rFonts w:hint="eastAsia" w:ascii="仿宋" w:hAnsi="仿宋" w:eastAsia="仿宋" w:cs="仿宋"/>
          <w:b w:val="0"/>
          <w:kern w:val="2"/>
          <w:sz w:val="24"/>
          <w:szCs w:val="24"/>
          <w:lang w:val="en-US"/>
        </w:rPr>
        <w:t xml:space="preserve">24小时内启动“分餐配送”服务，取消堂食。  </w:t>
      </w:r>
    </w:p>
    <w:p w14:paraId="4DADE57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 xml:space="preserve">保障临床一线、隔离病区、发热门诊送餐。  </w:t>
      </w:r>
    </w:p>
    <w:p w14:paraId="0870D02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（3）</w:t>
      </w:r>
      <w:r>
        <w:rPr>
          <w:rFonts w:hint="eastAsia" w:ascii="仿宋" w:hAnsi="仿宋" w:eastAsia="仿宋" w:cs="仿宋"/>
          <w:b w:val="0"/>
          <w:kern w:val="2"/>
          <w:sz w:val="24"/>
          <w:szCs w:val="24"/>
          <w:lang w:val="en-US"/>
        </w:rPr>
        <w:t>配送人员实行闭环管理，餐盒专用消毒。</w:t>
      </w:r>
    </w:p>
    <w:p w14:paraId="6F9A221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演练要求：每半年组织1次综合应急演练，覆盖食品安全、消防、供餐中断，演练记录报总务科备案。</w:t>
      </w:r>
    </w:p>
    <w:p w14:paraId="091EFBB6">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四、监督与考核</w:t>
      </w:r>
    </w:p>
    <w:p w14:paraId="3DB77A10">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（一）考核方式</w:t>
      </w:r>
    </w:p>
    <w:p w14:paraId="0D3D01E0">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月度考核：由监管组根据《</w:t>
      </w:r>
      <w:r>
        <w:rPr>
          <w:rFonts w:hint="eastAsia" w:ascii="仿宋" w:hAnsi="仿宋" w:eastAsia="仿宋" w:cs="仿宋"/>
          <w:b w:val="0"/>
          <w:kern w:val="2"/>
          <w:sz w:val="24"/>
          <w:szCs w:val="24"/>
          <w:lang w:val="en-US" w:eastAsia="zh-CN"/>
        </w:rPr>
        <w:t>昌吉回族自治州人民医院食堂餐饮服务单位绩效考核标准</w:t>
      </w:r>
      <w:r>
        <w:rPr>
          <w:rFonts w:hint="eastAsia" w:ascii="仿宋" w:hAnsi="仿宋" w:eastAsia="仿宋" w:cs="仿宋"/>
          <w:b w:val="0"/>
          <w:kern w:val="2"/>
          <w:sz w:val="24"/>
          <w:szCs w:val="24"/>
          <w:lang w:val="en-US"/>
        </w:rPr>
        <w:t xml:space="preserve">》打分。  </w:t>
      </w:r>
    </w:p>
    <w:p w14:paraId="1BA56EE2">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满意度调查： </w:t>
      </w:r>
    </w:p>
    <w:p w14:paraId="0B50F98E">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职工：线上问卷，每月1次，样本量≥30%。  </w:t>
      </w:r>
    </w:p>
    <w:p w14:paraId="5990012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患者及家属：线</w:t>
      </w:r>
      <w:r>
        <w:rPr>
          <w:rFonts w:hint="eastAsia" w:ascii="仿宋" w:hAnsi="仿宋" w:eastAsia="仿宋" w:cs="仿宋"/>
          <w:b w:val="0"/>
          <w:kern w:val="2"/>
          <w:sz w:val="24"/>
          <w:szCs w:val="24"/>
          <w:lang w:val="en-US" w:eastAsia="zh-CN"/>
        </w:rPr>
        <w:t>下</w:t>
      </w:r>
      <w:r>
        <w:rPr>
          <w:rFonts w:hint="eastAsia" w:ascii="仿宋" w:hAnsi="仿宋" w:eastAsia="仿宋" w:cs="仿宋"/>
          <w:b w:val="0"/>
          <w:kern w:val="2"/>
          <w:sz w:val="24"/>
          <w:szCs w:val="24"/>
          <w:lang w:val="en-US"/>
        </w:rPr>
        <w:t xml:space="preserve">问卷，每月≥200份。  </w:t>
      </w:r>
    </w:p>
    <w:p w14:paraId="7EC86646">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现场检查：明查+暗访（每月至少2次暗访）。  </w:t>
      </w:r>
    </w:p>
    <w:p w14:paraId="1D397DDD">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（二）考核结果运用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46D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593F6FD">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月度得分</w:t>
            </w:r>
          </w:p>
        </w:tc>
        <w:tc>
          <w:tcPr>
            <w:tcW w:w="4261" w:type="dxa"/>
          </w:tcPr>
          <w:p w14:paraId="688C2F48">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月度得分</w:t>
            </w:r>
          </w:p>
        </w:tc>
      </w:tr>
      <w:tr w14:paraId="5777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F4CE079">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≥90分</w:t>
            </w:r>
          </w:p>
        </w:tc>
        <w:tc>
          <w:tcPr>
            <w:tcW w:w="4261" w:type="dxa"/>
          </w:tcPr>
          <w:p w14:paraId="739D4AB0">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通报表扬，优先续约</w:t>
            </w:r>
          </w:p>
        </w:tc>
      </w:tr>
      <w:tr w14:paraId="3907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A2D9505">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80-89分</w:t>
            </w:r>
          </w:p>
        </w:tc>
        <w:tc>
          <w:tcPr>
            <w:tcW w:w="4261" w:type="dxa"/>
          </w:tcPr>
          <w:p w14:paraId="4D4F89E3">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正常运营，限期整改一般问题</w:t>
            </w:r>
          </w:p>
        </w:tc>
      </w:tr>
      <w:tr w14:paraId="2ED0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41AABE0">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 xml:space="preserve">70-79分 </w:t>
            </w:r>
          </w:p>
        </w:tc>
        <w:tc>
          <w:tcPr>
            <w:tcW w:w="4261" w:type="dxa"/>
          </w:tcPr>
          <w:p w14:paraId="4E12B7B9">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约谈项目经理，提交书面整改报告</w:t>
            </w:r>
          </w:p>
        </w:tc>
      </w:tr>
      <w:tr w14:paraId="74A4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5E413AF">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60-69分</w:t>
            </w:r>
          </w:p>
        </w:tc>
        <w:tc>
          <w:tcPr>
            <w:tcW w:w="4261" w:type="dxa"/>
          </w:tcPr>
          <w:p w14:paraId="10A0ADC1">
            <w:pPr>
              <w:snapToGrid/>
              <w:spacing w:line="240" w:lineRule="auto"/>
              <w:ind w:firstLine="0" w:firstLineChars="0"/>
              <w:rPr>
                <w:rFonts w:hint="eastAsia" w:ascii="仿宋" w:hAnsi="仿宋" w:eastAsia="仿宋" w:cs="仿宋"/>
                <w:b w:val="0"/>
                <w:kern w:val="2"/>
                <w:sz w:val="24"/>
                <w:szCs w:val="24"/>
                <w:vertAlign w:val="baseline"/>
                <w:lang w:val="en-US"/>
              </w:rPr>
            </w:pPr>
            <w:r>
              <w:rPr>
                <w:rFonts w:hint="eastAsia" w:ascii="仿宋" w:hAnsi="仿宋" w:eastAsia="仿宋" w:cs="仿宋"/>
                <w:b w:val="0"/>
                <w:kern w:val="2"/>
                <w:sz w:val="24"/>
                <w:szCs w:val="24"/>
                <w:lang w:val="en-US"/>
              </w:rPr>
              <w:t>扣减当月服务费5%-10%，全院通报</w:t>
            </w:r>
          </w:p>
        </w:tc>
      </w:tr>
      <w:tr w14:paraId="5161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EEE6A6D">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＜60分</w:t>
            </w:r>
          </w:p>
        </w:tc>
        <w:tc>
          <w:tcPr>
            <w:tcW w:w="4261" w:type="dxa"/>
          </w:tcPr>
          <w:p w14:paraId="5345CF0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暂停新业务，医院有权启动退出程序</w:t>
            </w:r>
          </w:p>
        </w:tc>
      </w:tr>
    </w:tbl>
    <w:p w14:paraId="63120A0B">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满意度要求：</w:t>
      </w:r>
      <w:r>
        <w:rPr>
          <w:rFonts w:hint="eastAsia" w:ascii="仿宋" w:hAnsi="仿宋" w:eastAsia="仿宋" w:cs="仿宋"/>
          <w:b w:val="0"/>
          <w:kern w:val="2"/>
          <w:sz w:val="24"/>
          <w:szCs w:val="24"/>
          <w:lang w:val="en-US"/>
        </w:rPr>
        <w:t xml:space="preserve">职工与患者分别统计，任一群体连续2月＜70%，视为考核不达标。  </w:t>
      </w:r>
    </w:p>
    <w:p w14:paraId="07320024">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合同续签条件：</w:t>
      </w:r>
      <w:r>
        <w:rPr>
          <w:rFonts w:hint="eastAsia" w:ascii="仿宋" w:hAnsi="仿宋" w:eastAsia="仿宋" w:cs="仿宋"/>
          <w:b w:val="0"/>
          <w:kern w:val="2"/>
          <w:sz w:val="24"/>
          <w:szCs w:val="24"/>
          <w:lang w:val="en-US"/>
        </w:rPr>
        <w:t>全年月度考核平均分≥85分，且满意度≥85%，方可续签下一年合同。否则医院有权重新招标或终止合同。</w:t>
      </w:r>
    </w:p>
    <w:p w14:paraId="0102D06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五、服务延续性保障措施</w:t>
      </w:r>
    </w:p>
    <w:p w14:paraId="42FA0F0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（一）核心团队稳定性</w:t>
      </w:r>
    </w:p>
    <w:p w14:paraId="646D5EA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 xml:space="preserve">    1.</w:t>
      </w:r>
      <w:r>
        <w:rPr>
          <w:rFonts w:hint="eastAsia" w:ascii="仿宋" w:hAnsi="仿宋" w:eastAsia="仿宋" w:cs="仿宋"/>
          <w:b w:val="0"/>
          <w:kern w:val="2"/>
          <w:sz w:val="24"/>
          <w:szCs w:val="24"/>
          <w:lang w:val="en-US"/>
        </w:rPr>
        <w:t xml:space="preserve">项目经理、厨师长、食品安全员需经医院面试认可。  </w:t>
      </w:r>
    </w:p>
    <w:p w14:paraId="7DFF598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 xml:space="preserve">更换上述岗位须提前15日报批，新人员需跟岗培训3天，考核合格后上岗。  </w:t>
      </w:r>
    </w:p>
    <w:p w14:paraId="4F2E06C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未经批准擅自更换，每次扣减月度考核5分。</w:t>
      </w:r>
    </w:p>
    <w:p w14:paraId="4309654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（二）交接过渡机制</w:t>
      </w:r>
    </w:p>
    <w:p w14:paraId="6A4E94D3">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合同到期前3个月，承包方提交《服务交接方案》，包括设备、库存、人员、数据移交清单。  </w:t>
      </w:r>
    </w:p>
    <w:p w14:paraId="4F5F468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医院组织模拟交接演练。  </w:t>
      </w:r>
    </w:p>
    <w:p w14:paraId="47AB8653">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若因交接不当导致服务中断，承包方承担</w:t>
      </w:r>
      <w:r>
        <w:rPr>
          <w:rFonts w:hint="eastAsia" w:ascii="仿宋" w:hAnsi="仿宋" w:eastAsia="仿宋" w:cs="仿宋"/>
          <w:b w:val="0"/>
          <w:kern w:val="2"/>
          <w:sz w:val="24"/>
          <w:szCs w:val="24"/>
          <w:lang w:val="en-US" w:eastAsia="zh-CN"/>
        </w:rPr>
        <w:t>全部</w:t>
      </w:r>
      <w:r>
        <w:rPr>
          <w:rFonts w:hint="eastAsia" w:ascii="仿宋" w:hAnsi="仿宋" w:eastAsia="仿宋" w:cs="仿宋"/>
          <w:b w:val="0"/>
          <w:kern w:val="2"/>
          <w:sz w:val="24"/>
          <w:szCs w:val="24"/>
          <w:lang w:val="en-US"/>
        </w:rPr>
        <w:t>责任</w:t>
      </w:r>
      <w:r>
        <w:rPr>
          <w:rFonts w:hint="eastAsia" w:ascii="仿宋" w:hAnsi="仿宋" w:eastAsia="仿宋" w:cs="仿宋"/>
          <w:b w:val="0"/>
          <w:kern w:val="2"/>
          <w:sz w:val="24"/>
          <w:szCs w:val="24"/>
          <w:lang w:val="en-US" w:eastAsia="zh-CN"/>
        </w:rPr>
        <w:t>并赔偿医院相关损失</w:t>
      </w:r>
      <w:r>
        <w:rPr>
          <w:rFonts w:hint="eastAsia" w:ascii="仿宋" w:hAnsi="仿宋" w:eastAsia="仿宋" w:cs="仿宋"/>
          <w:b w:val="0"/>
          <w:kern w:val="2"/>
          <w:sz w:val="24"/>
          <w:szCs w:val="24"/>
          <w:lang w:val="en-US"/>
        </w:rPr>
        <w:t>。</w:t>
      </w:r>
    </w:p>
    <w:p w14:paraId="40C91352">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（三）菜品持续更新与营养管理</w:t>
      </w:r>
    </w:p>
    <w:p w14:paraId="66AAD96B">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菜品更新：  </w:t>
      </w:r>
    </w:p>
    <w:p w14:paraId="589D5620">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（1）</w:t>
      </w:r>
      <w:r>
        <w:rPr>
          <w:rFonts w:hint="eastAsia" w:ascii="仿宋" w:hAnsi="仿宋" w:eastAsia="仿宋" w:cs="仿宋"/>
          <w:b w:val="0"/>
          <w:kern w:val="2"/>
          <w:sz w:val="24"/>
          <w:szCs w:val="24"/>
          <w:lang w:val="en-US"/>
        </w:rPr>
        <w:t xml:space="preserve">职工餐：每月更新不少于6道菜品，每季度研发1个主题餐（如低脂季、本地特色季）。  </w:t>
      </w:r>
    </w:p>
    <w:p w14:paraId="33775AA0">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 xml:space="preserve">患者餐：由营养科审核，每季度更新1-2套治疗膳食谱。  </w:t>
      </w:r>
    </w:p>
    <w:p w14:paraId="587F7D9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特殊患者用餐：**  </w:t>
      </w:r>
    </w:p>
    <w:p w14:paraId="513A1D4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糖尿病餐、低盐低脂餐、流质/半流质、肾病餐等，由营养科开具指导单，承包方专人制作、专窗或配送。  </w:t>
      </w:r>
    </w:p>
    <w:p w14:paraId="0D41D691">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每半年开展1次患者膳食满意度专项调查。</w:t>
      </w:r>
    </w:p>
    <w:p w14:paraId="35198EC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六、沟通与反馈机制</w:t>
      </w:r>
    </w:p>
    <w:p w14:paraId="26F8EF1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（一）定期会议</w:t>
      </w:r>
    </w:p>
    <w:p w14:paraId="6C67B223">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膳食管理例会：每季度1次，由医院主持，承包方汇报运营数据、投诉处理、整改情况。  </w:t>
      </w:r>
    </w:p>
    <w:p w14:paraId="0118E35B">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月度沟通会：监管组与承包方项目经理、厨师长碰头，协调日常问题。</w:t>
      </w:r>
    </w:p>
    <w:p w14:paraId="45E7265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（二）双向反馈流程</w:t>
      </w:r>
    </w:p>
    <w:p w14:paraId="3E2BE9F7">
      <w:pPr>
        <w:snapToGrid/>
        <w:spacing w:line="240" w:lineRule="auto"/>
        <w:ind w:firstLine="0" w:firstLineChars="0"/>
        <w:rPr>
          <w:rFonts w:hint="eastAsia" w:ascii="仿宋" w:hAnsi="仿宋" w:eastAsia="仿宋" w:cs="仿宋"/>
          <w:b w:val="0"/>
          <w:kern w:val="2"/>
          <w:sz w:val="24"/>
          <w:szCs w:val="24"/>
          <w:lang w:val="en-US" w:eastAsia="zh-CN"/>
        </w:rPr>
      </w:pPr>
    </w:p>
    <w:p w14:paraId="6DEFA157">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drawing>
          <wp:inline distT="0" distB="0" distL="114300" distR="114300">
            <wp:extent cx="5408295" cy="1435735"/>
            <wp:effectExtent l="0" t="0" r="1905" b="12065"/>
            <wp:docPr id="2" name="图片 2" descr="d987e229654d9a40575021a6db7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87e229654d9a40575021a6db70560"/>
                    <pic:cNvPicPr>
                      <a:picLocks noChangeAspect="1"/>
                    </pic:cNvPicPr>
                  </pic:nvPicPr>
                  <pic:blipFill>
                    <a:blip r:embed="rId20"/>
                    <a:stretch>
                      <a:fillRect/>
                    </a:stretch>
                  </pic:blipFill>
                  <pic:spPr>
                    <a:xfrm>
                      <a:off x="0" y="0"/>
                      <a:ext cx="5408295" cy="1435735"/>
                    </a:xfrm>
                    <a:prstGeom prst="rect">
                      <a:avLst/>
                    </a:prstGeom>
                  </pic:spPr>
                </pic:pic>
              </a:graphicData>
            </a:graphic>
          </wp:inline>
        </w:drawing>
      </w:r>
    </w:p>
    <w:p w14:paraId="4A4E751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信息公开：每季度在食堂公告栏、医院内网公布：  </w:t>
      </w:r>
    </w:p>
    <w:p w14:paraId="387B704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成本分析（食材、人工、水电等占比）</w:t>
      </w:r>
      <w:r>
        <w:rPr>
          <w:rFonts w:hint="eastAsia" w:ascii="仿宋" w:hAnsi="仿宋" w:eastAsia="仿宋" w:cs="仿宋"/>
          <w:b w:val="0"/>
          <w:kern w:val="2"/>
          <w:sz w:val="24"/>
          <w:szCs w:val="24"/>
          <w:lang w:val="en-US" w:eastAsia="zh-CN"/>
        </w:rPr>
        <w:t>；</w:t>
      </w:r>
      <w:r>
        <w:rPr>
          <w:rFonts w:hint="eastAsia" w:ascii="仿宋" w:hAnsi="仿宋" w:eastAsia="仿宋" w:cs="仿宋"/>
          <w:b w:val="0"/>
          <w:kern w:val="2"/>
          <w:sz w:val="24"/>
          <w:szCs w:val="24"/>
          <w:lang w:val="en-US"/>
        </w:rPr>
        <w:t xml:space="preserve">  </w:t>
      </w:r>
    </w:p>
    <w:p w14:paraId="5C546410">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满意度得分</w:t>
      </w:r>
      <w:r>
        <w:rPr>
          <w:rFonts w:hint="eastAsia" w:ascii="仿宋" w:hAnsi="仿宋" w:eastAsia="仿宋" w:cs="仿宋"/>
          <w:b w:val="0"/>
          <w:kern w:val="2"/>
          <w:sz w:val="24"/>
          <w:szCs w:val="24"/>
          <w:lang w:val="en-US" w:eastAsia="zh-CN"/>
        </w:rPr>
        <w:t>；</w:t>
      </w:r>
    </w:p>
    <w:p w14:paraId="5AB35D12">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典型投诉及整改措施</w:t>
      </w:r>
      <w:r>
        <w:rPr>
          <w:rFonts w:hint="eastAsia" w:ascii="仿宋" w:hAnsi="仿宋" w:eastAsia="仿宋" w:cs="仿宋"/>
          <w:b w:val="0"/>
          <w:kern w:val="2"/>
          <w:sz w:val="24"/>
          <w:szCs w:val="24"/>
          <w:lang w:val="en-US" w:eastAsia="zh-CN"/>
        </w:rPr>
        <w:t>；</w:t>
      </w:r>
    </w:p>
    <w:p w14:paraId="15A943DF">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月度考核得分</w:t>
      </w:r>
      <w:r>
        <w:rPr>
          <w:rFonts w:hint="eastAsia" w:ascii="仿宋" w:hAnsi="仿宋" w:eastAsia="仿宋" w:cs="仿宋"/>
          <w:b w:val="0"/>
          <w:kern w:val="2"/>
          <w:sz w:val="24"/>
          <w:szCs w:val="24"/>
          <w:lang w:val="en-US" w:eastAsia="zh-CN"/>
        </w:rPr>
        <w:t>。</w:t>
      </w:r>
    </w:p>
    <w:p w14:paraId="6CBCAD4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七、经济与合同管理</w:t>
      </w:r>
    </w:p>
    <w:p w14:paraId="3A9AAC1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w:t>
      </w:r>
      <w:r>
        <w:rPr>
          <w:rFonts w:hint="eastAsia" w:ascii="仿宋" w:hAnsi="仿宋" w:eastAsia="仿宋" w:cs="仿宋"/>
          <w:b w:val="0"/>
          <w:kern w:val="2"/>
          <w:sz w:val="24"/>
          <w:szCs w:val="24"/>
          <w:lang w:val="en-US" w:eastAsia="zh-CN"/>
        </w:rPr>
        <w:t>一</w:t>
      </w:r>
      <w:r>
        <w:rPr>
          <w:rFonts w:hint="eastAsia" w:ascii="仿宋" w:hAnsi="仿宋" w:eastAsia="仿宋" w:cs="仿宋"/>
          <w:b w:val="0"/>
          <w:kern w:val="2"/>
          <w:sz w:val="24"/>
          <w:szCs w:val="24"/>
          <w:lang w:val="en-US"/>
        </w:rPr>
        <w:t>）价格管控机制</w:t>
      </w:r>
    </w:p>
    <w:p w14:paraId="2C4DD31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菜品调价需提前30天书面申请，附成本变动依据（如食材涨幅超过20%）。  </w:t>
      </w:r>
    </w:p>
    <w:p w14:paraId="2D6B7101">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医院审计科或第三方成本审核后，双方协商调整幅度。  </w:t>
      </w:r>
    </w:p>
    <w:p w14:paraId="5267553C">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未经批准擅自涨价，每次扣减考核得分10分，并退还多收费用。</w:t>
      </w:r>
    </w:p>
    <w:p w14:paraId="566FC11C">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w:t>
      </w:r>
      <w:r>
        <w:rPr>
          <w:rFonts w:hint="eastAsia" w:ascii="仿宋" w:hAnsi="仿宋" w:eastAsia="仿宋" w:cs="仿宋"/>
          <w:b w:val="0"/>
          <w:kern w:val="2"/>
          <w:sz w:val="24"/>
          <w:szCs w:val="24"/>
          <w:lang w:val="en-US" w:eastAsia="zh-CN"/>
        </w:rPr>
        <w:t>二</w:t>
      </w:r>
      <w:r>
        <w:rPr>
          <w:rFonts w:hint="eastAsia" w:ascii="仿宋" w:hAnsi="仿宋" w:eastAsia="仿宋" w:cs="仿宋"/>
          <w:b w:val="0"/>
          <w:kern w:val="2"/>
          <w:sz w:val="24"/>
          <w:szCs w:val="24"/>
          <w:lang w:val="en-US"/>
        </w:rPr>
        <w:t>）合同期限</w:t>
      </w:r>
    </w:p>
    <w:p w14:paraId="6E25A58E">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首次合同签订1年，续签不超过3年。  </w:t>
      </w:r>
    </w:p>
    <w:p w14:paraId="2BD791AD">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合同明确双方权利义务、退出条款、争议解决方式（优先协商，协商不成由医院所在地法院管辖）。</w:t>
      </w:r>
    </w:p>
    <w:p w14:paraId="6A9856B2">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八、附则</w:t>
      </w:r>
    </w:p>
    <w:p w14:paraId="53DECEC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（一）</w:t>
      </w:r>
      <w:r>
        <w:rPr>
          <w:rFonts w:hint="eastAsia" w:ascii="仿宋" w:hAnsi="仿宋" w:eastAsia="仿宋" w:cs="仿宋"/>
          <w:b w:val="0"/>
          <w:kern w:val="2"/>
          <w:sz w:val="24"/>
          <w:szCs w:val="24"/>
          <w:lang w:val="en-US"/>
        </w:rPr>
        <w:t xml:space="preserve">本方案自合同签订之日起生效，医院可根据实际运营情况修订，修订前提前30日书面通知承包方。  </w:t>
      </w:r>
    </w:p>
    <w:p w14:paraId="2590911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（二）</w:t>
      </w:r>
      <w:r>
        <w:rPr>
          <w:rFonts w:hint="eastAsia" w:ascii="仿宋" w:hAnsi="仿宋" w:eastAsia="仿宋" w:cs="仿宋"/>
          <w:b w:val="0"/>
          <w:kern w:val="2"/>
          <w:sz w:val="24"/>
          <w:szCs w:val="24"/>
          <w:lang w:val="en-US"/>
        </w:rPr>
        <w:t xml:space="preserve"> 方案解释权归</w:t>
      </w:r>
      <w:r>
        <w:rPr>
          <w:rFonts w:hint="eastAsia" w:ascii="仿宋" w:hAnsi="仿宋" w:eastAsia="仿宋" w:cs="仿宋"/>
          <w:b w:val="0"/>
          <w:kern w:val="2"/>
          <w:sz w:val="24"/>
          <w:szCs w:val="24"/>
          <w:lang w:val="en-US" w:eastAsia="zh-CN"/>
        </w:rPr>
        <w:t>昌吉回族自治州人民医院</w:t>
      </w:r>
      <w:r>
        <w:rPr>
          <w:rFonts w:hint="eastAsia" w:ascii="仿宋" w:hAnsi="仿宋" w:eastAsia="仿宋" w:cs="仿宋"/>
          <w:b w:val="0"/>
          <w:kern w:val="2"/>
          <w:sz w:val="24"/>
          <w:szCs w:val="24"/>
          <w:lang w:val="en-US"/>
        </w:rPr>
        <w:t>所有。</w:t>
      </w:r>
    </w:p>
    <w:p w14:paraId="220CA95B">
      <w:pPr>
        <w:snapToGrid/>
        <w:spacing w:line="240" w:lineRule="auto"/>
        <w:ind w:firstLine="0" w:firstLineChars="0"/>
        <w:rPr>
          <w:rFonts w:hint="eastAsia" w:ascii="仿宋" w:hAnsi="仿宋" w:eastAsia="仿宋" w:cs="仿宋"/>
          <w:b w:val="0"/>
          <w:kern w:val="2"/>
          <w:sz w:val="24"/>
          <w:szCs w:val="24"/>
          <w:lang w:val="en-US"/>
        </w:rPr>
      </w:pPr>
    </w:p>
    <w:p w14:paraId="13D639ED">
      <w:pPr>
        <w:snapToGrid/>
        <w:spacing w:line="240" w:lineRule="auto"/>
        <w:ind w:firstLine="0" w:firstLineChars="0"/>
        <w:rPr>
          <w:rFonts w:hint="eastAsia" w:ascii="仿宋" w:hAnsi="仿宋" w:eastAsia="仿宋" w:cs="仿宋"/>
          <w:b w:val="0"/>
          <w:kern w:val="2"/>
          <w:sz w:val="24"/>
          <w:szCs w:val="24"/>
          <w:lang w:val="en-US"/>
        </w:rPr>
      </w:pPr>
    </w:p>
    <w:p w14:paraId="1B3224E8">
      <w:pPr>
        <w:snapToGrid/>
        <w:spacing w:line="240" w:lineRule="auto"/>
        <w:ind w:firstLine="0" w:firstLineChars="0"/>
        <w:rPr>
          <w:rFonts w:hint="eastAsia" w:ascii="仿宋" w:hAnsi="仿宋" w:eastAsia="仿宋" w:cs="仿宋"/>
          <w:b w:val="0"/>
          <w:kern w:val="2"/>
          <w:sz w:val="24"/>
          <w:szCs w:val="24"/>
          <w:lang w:val="en-US"/>
        </w:rPr>
      </w:pPr>
    </w:p>
    <w:p w14:paraId="472E997E">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附件：</w:t>
      </w:r>
    </w:p>
    <w:p w14:paraId="6058CFF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1. </w:t>
      </w:r>
      <w:r>
        <w:rPr>
          <w:rFonts w:hint="eastAsia" w:ascii="仿宋" w:hAnsi="仿宋" w:eastAsia="仿宋" w:cs="仿宋"/>
          <w:b w:val="0"/>
          <w:kern w:val="2"/>
          <w:sz w:val="24"/>
          <w:szCs w:val="24"/>
          <w:lang w:val="en-US" w:eastAsia="zh-CN"/>
        </w:rPr>
        <w:t>昌吉回族自治州人民医院</w:t>
      </w:r>
      <w:r>
        <w:rPr>
          <w:rFonts w:hint="eastAsia" w:ascii="仿宋" w:hAnsi="仿宋" w:eastAsia="仿宋" w:cs="仿宋"/>
          <w:b w:val="0"/>
          <w:kern w:val="2"/>
          <w:sz w:val="24"/>
          <w:szCs w:val="24"/>
          <w:lang w:val="en-US"/>
        </w:rPr>
        <w:t xml:space="preserve">食堂餐饮服务单位绩效考核标准（附详细评分表）  </w:t>
      </w:r>
    </w:p>
    <w:p w14:paraId="1ECC399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2. 食堂日常检查表（日查/周查/月查）  </w:t>
      </w:r>
    </w:p>
    <w:p w14:paraId="5D8B3E18">
      <w:pPr>
        <w:snapToGrid/>
        <w:spacing w:line="240" w:lineRule="auto"/>
        <w:ind w:firstLine="0" w:firstLineChars="0"/>
        <w:rPr>
          <w:rFonts w:hint="eastAsia" w:ascii="仿宋" w:hAnsi="仿宋" w:eastAsia="仿宋" w:cs="仿宋"/>
          <w:b w:val="0"/>
          <w:kern w:val="2"/>
          <w:sz w:val="24"/>
          <w:szCs w:val="24"/>
          <w:lang w:val="en-US"/>
        </w:rPr>
      </w:pPr>
    </w:p>
    <w:p w14:paraId="6B683E5D">
      <w:pPr>
        <w:adjustRightInd w:val="0"/>
        <w:snapToGrid w:val="0"/>
        <w:spacing w:before="100" w:beforeAutospacing="1" w:after="100" w:afterAutospacing="1" w:line="240" w:lineRule="auto"/>
        <w:ind w:firstLine="0" w:firstLineChars="0"/>
        <w:jc w:val="left"/>
        <w:rPr>
          <w:rFonts w:hint="eastAsia" w:ascii="仿宋" w:hAnsi="仿宋" w:eastAsia="仿宋" w:cs="仿宋"/>
          <w:b w:val="0"/>
          <w:bCs/>
          <w:kern w:val="2"/>
          <w:sz w:val="24"/>
          <w:szCs w:val="24"/>
          <w:highlight w:val="none"/>
          <w:shd w:val="clear" w:color="auto" w:fill="auto"/>
          <w:lang w:val="en-US" w:eastAsia="zh-CN" w:bidi="ar-SA"/>
        </w:rPr>
      </w:pPr>
    </w:p>
    <w:p w14:paraId="01A3430B">
      <w:pPr>
        <w:adjustRightInd w:val="0"/>
        <w:snapToGrid w:val="0"/>
        <w:spacing w:before="100" w:beforeAutospacing="1" w:after="100" w:afterAutospacing="1" w:line="240" w:lineRule="auto"/>
        <w:ind w:firstLine="0" w:firstLineChars="0"/>
        <w:jc w:val="left"/>
        <w:rPr>
          <w:rFonts w:hint="eastAsia" w:ascii="仿宋" w:hAnsi="仿宋" w:eastAsia="仿宋" w:cs="仿宋"/>
          <w:b w:val="0"/>
          <w:bCs/>
          <w:kern w:val="2"/>
          <w:sz w:val="24"/>
          <w:szCs w:val="24"/>
          <w:highlight w:val="none"/>
          <w:shd w:val="clear" w:color="auto" w:fill="auto"/>
          <w:lang w:val="en-US" w:eastAsia="zh-CN" w:bidi="ar-SA"/>
        </w:rPr>
      </w:pPr>
    </w:p>
    <w:p w14:paraId="77441D60">
      <w:pPr>
        <w:adjustRightInd w:val="0"/>
        <w:snapToGrid w:val="0"/>
        <w:spacing w:before="100" w:beforeAutospacing="1" w:after="100" w:afterAutospacing="1" w:line="240" w:lineRule="auto"/>
        <w:ind w:firstLine="0" w:firstLineChars="0"/>
        <w:jc w:val="left"/>
        <w:rPr>
          <w:rFonts w:hint="eastAsia" w:ascii="仿宋" w:hAnsi="仿宋" w:eastAsia="仿宋" w:cs="仿宋"/>
          <w:b w:val="0"/>
          <w:bCs/>
          <w:kern w:val="2"/>
          <w:sz w:val="24"/>
          <w:szCs w:val="24"/>
          <w:highlight w:val="none"/>
          <w:shd w:val="clear" w:color="auto" w:fill="auto"/>
          <w:lang w:val="en-US" w:eastAsia="zh-CN" w:bidi="ar-SA"/>
        </w:rPr>
      </w:pPr>
    </w:p>
    <w:p w14:paraId="004963AB">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4AA77736">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1D97839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4FFE3734">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09D4619B">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5497919D">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1BAB7AC7">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3B44E2FA">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D20979D">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0ADC8010">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45C2E6AA">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t>附件1：</w:t>
      </w:r>
    </w:p>
    <w:tbl>
      <w:tblPr>
        <w:tblStyle w:val="8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0"/>
        <w:gridCol w:w="5444"/>
        <w:gridCol w:w="1267"/>
        <w:gridCol w:w="942"/>
        <w:gridCol w:w="1044"/>
      </w:tblGrid>
      <w:tr w14:paraId="7AE11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000" w:type="pct"/>
            <w:gridSpan w:val="5"/>
            <w:tcBorders>
              <w:top w:val="nil"/>
              <w:left w:val="nil"/>
              <w:bottom w:val="nil"/>
              <w:right w:val="nil"/>
            </w:tcBorders>
            <w:shd w:val="clear" w:color="auto" w:fill="auto"/>
            <w:noWrap/>
            <w:vAlign w:val="center"/>
          </w:tcPr>
          <w:p w14:paraId="4B81B829">
            <w:pPr>
              <w:keepNext w:val="0"/>
              <w:keepLines w:val="0"/>
              <w:widowControl/>
              <w:suppressLineNumbers w:val="0"/>
              <w:snapToGrid/>
              <w:spacing w:line="240" w:lineRule="auto"/>
              <w:ind w:firstLine="0" w:firstLineChars="0"/>
              <w:jc w:val="center"/>
              <w:textAlignment w:val="center"/>
              <w:rPr>
                <w:rFonts w:ascii="微软雅黑" w:hAnsi="微软雅黑" w:eastAsia="微软雅黑" w:cs="微软雅黑"/>
                <w:b/>
                <w:bCs/>
                <w:i w:val="0"/>
                <w:iCs w:val="0"/>
                <w:color w:val="000000"/>
                <w:kern w:val="2"/>
                <w:sz w:val="36"/>
                <w:szCs w:val="36"/>
                <w:u w:val="none"/>
                <w:lang w:val="en-US"/>
              </w:rPr>
            </w:pPr>
            <w:r>
              <w:rPr>
                <w:rFonts w:hint="eastAsia" w:ascii="微软雅黑" w:hAnsi="微软雅黑" w:eastAsia="微软雅黑" w:cs="微软雅黑"/>
                <w:b/>
                <w:bCs/>
                <w:i w:val="0"/>
                <w:iCs w:val="0"/>
                <w:color w:val="000000"/>
                <w:kern w:val="0"/>
                <w:sz w:val="36"/>
                <w:szCs w:val="36"/>
                <w:u w:val="none"/>
                <w:lang w:val="en-US" w:eastAsia="zh-CN" w:bidi="ar"/>
              </w:rPr>
              <w:t>昌吉回族自治州人民医院食堂餐饮服务单位绩效考核标准</w:t>
            </w:r>
          </w:p>
        </w:tc>
      </w:tr>
      <w:tr w14:paraId="2B822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3DA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8"/>
                <w:szCs w:val="28"/>
                <w:u w:val="none"/>
                <w:lang w:val="en-US"/>
              </w:rPr>
            </w:pPr>
            <w:r>
              <w:rPr>
                <w:rFonts w:hint="eastAsia" w:ascii="微软雅黑" w:hAnsi="微软雅黑" w:eastAsia="微软雅黑" w:cs="微软雅黑"/>
                <w:b/>
                <w:bCs/>
                <w:i w:val="0"/>
                <w:iCs w:val="0"/>
                <w:color w:val="000000"/>
                <w:kern w:val="0"/>
                <w:sz w:val="28"/>
                <w:szCs w:val="28"/>
                <w:u w:val="none"/>
                <w:lang w:val="en-US" w:eastAsia="zh-CN" w:bidi="ar"/>
              </w:rPr>
              <w:t>食堂月度绩效考核表</w:t>
            </w:r>
          </w:p>
        </w:tc>
      </w:tr>
      <w:tr w14:paraId="0375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BE5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考核单位:</w:t>
            </w:r>
          </w:p>
        </w:tc>
        <w:tc>
          <w:tcPr>
            <w:tcW w:w="175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574B">
            <w:pPr>
              <w:keepNext w:val="0"/>
              <w:keepLines w:val="0"/>
              <w:widowControl/>
              <w:suppressLineNumbers w:val="0"/>
              <w:snapToGrid/>
              <w:spacing w:line="240" w:lineRule="auto"/>
              <w:ind w:firstLine="0" w:firstLineChars="0"/>
              <w:jc w:val="both"/>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考核时间:</w:t>
            </w:r>
          </w:p>
        </w:tc>
      </w:tr>
      <w:tr w14:paraId="45D28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516F">
            <w:pPr>
              <w:snapToGrid/>
              <w:spacing w:line="240" w:lineRule="auto"/>
              <w:ind w:firstLine="0" w:firstLineChars="0"/>
              <w:jc w:val="center"/>
              <w:rPr>
                <w:rFonts w:hint="eastAsia" w:ascii="微软雅黑" w:hAnsi="微软雅黑" w:eastAsia="微软雅黑" w:cs="微软雅黑"/>
                <w:b/>
                <w:bCs/>
                <w:i w:val="0"/>
                <w:iCs w:val="0"/>
                <w:color w:val="000000"/>
                <w:kern w:val="2"/>
                <w:sz w:val="24"/>
                <w:szCs w:val="24"/>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EE01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标准内容</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BE6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规定分</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值</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46B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扣分</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细则</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3CE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累计</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扣分值</w:t>
            </w:r>
          </w:p>
        </w:tc>
      </w:tr>
      <w:tr w14:paraId="7DCB5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BF4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一</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1811">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严格执行食堂卫生管理制度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288E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6AAF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49B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9BDF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A663">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21D8">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必须做到“制度”上墙，对有关内容做到人人应知应会，并且逐条落实，杜绝发生食物中毒。</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DE4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898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A9C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D4D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0A9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二</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F666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严格执行食堂安全管理制度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915C">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1695D">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4FF7A">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0178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B35B">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FF4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1、操作间配足规定数量的灭火器。工作人员会正确使用灭火器材。</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C45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E8B2">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FEB9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7ACE3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882F">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FA17C">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2、电器设备接地良好，有漏电保护，线路无老化、裸露。</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50C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1F81">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14C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B01E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811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8AA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3、正确使用电器设备，按标准的操作规程进行操作。</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5825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C4A1">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17B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C196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2B7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三</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9090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全部从业人员必须持健康证上岗</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7B2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6</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7A7A">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A8C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FE1C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DE48">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AD4A">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1、全体从业人员必须持有当年卫生监督机构签发的健康证。</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891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75FA">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910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49C7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1175">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0A5F">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2、有危害食品卫生疾病的人员不能上岗。</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6E9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5E8A">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8568">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24E0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F14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四</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25C1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原料和成品实行“留样”和“四不”制度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5D1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14</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48C4A">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A762">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5F89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8B7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756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1、不购买腐烂变质的原料和超过保质期的成品。</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8DA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7E8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9AE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423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775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9FC8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2、不存放腐烂变质的原料和超过保质期的成品。</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3145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3272">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A2B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47A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CFAC">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56D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3、不使用腐烂变质的原料和超过保质期的成品。</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A24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D31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AD12">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380F3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B72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358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4、不供应剩饭、剩菜及其他变质的食品。</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69E1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4287">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C006">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E05A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1DD3">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D564D">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5、成品要严格遵守留样制度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A231">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3FF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D33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71E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A75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五</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97A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食品存放实行“三隔离”制度(包括区域、容器、用具、冷藏设备)</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10A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500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03A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374C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FA73">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E42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1、生食、熟食必须隔离，分开存放。</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1F4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AEC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20B3">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43E3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6342">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4DE0F">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2、成品，半成品必须隔离(毛料与净料隔离)防止交叉污染。</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A37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C26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2AE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1F0F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E394">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509DD">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3、食物与杂物、洗涤用品隔离。</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C88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9D2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150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A451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525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六</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1D06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餐具、用具管理实行“四过关”制度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3D6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9AA6">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A17D">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7926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D4F9">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A90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1、设专人负责清洗消毒，保证餐具、用具洁净，无残留物；</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B431">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1508">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31F6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1FF1A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2874">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BAA4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2、有消毒设施和消毒材料;</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9F2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EAC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41F5">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363C2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14D5A">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39B92">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3、有原始消毒记录;</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EA8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6B205">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6BF87">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1B39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D5EF">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3FF6">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4、餐具消毒后必须放入全封闭餐具柜;防止二次污染。长时间未使用的餐具在使用前要重新消毒。</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812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B3A3">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8545">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14243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166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七</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2ADC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环境卫生管理制度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4C5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15</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2BD4">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3400">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E274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D3F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2940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1、卫生区划分必须责任明确;</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57E7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6FC3">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AF6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4B66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72E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C4B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2、餐厅内空气清新，无刺激性异味;</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C5F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7D8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20B2">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253F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995A">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2A73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3、门窗无灰尘，无油渍，桌椅摆放整齐美观;</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781C">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8506">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D90B">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2A31A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4DE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1453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4、桌面台面无灰尘、碎菜、废料、油渍、汤汁等杂物;</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49F3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31B2">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209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783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CC42">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B7AE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5、食品加工机械内外保持清洁，无残留物，无异味;</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D5C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388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3A48">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347ED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029C">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B38FC">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6、地面无积水、碎菜、油污，地沟无异味;</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C73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BEA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16C08">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61842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0AC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B9686">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7、仓库或储物架物品摆放整齐，地面保持清洁;</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878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05FF">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C563">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426AB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D65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3D55E">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8、仓库及操作间有灭鼠、灭蝇、灭蟑螂措施。</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5B03C">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4481">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5A4C">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66D5C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1F9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八</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708D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个人卫生实行“四勤”制度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27F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6</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D8CA">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72E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20778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3F30">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7E4E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1、工作时必须衣帽整齐，进出操作间必须更换工作服;</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C201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4781">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2DD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36DFC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021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08A77">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2、冷菜切配必须戴口罩，工作服、工作帽必须清洁、无异味:</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2DA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269C">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2B38">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7A1E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4DE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29FCA">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3、头发必须盘入工作帽内，手和指甲必须干净，工作时不许戴戒指、手镯、手表，更不许涂指甲油，男士不许留胡须</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FCE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4C6A">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6D5C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A7E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03D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九</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3EB1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饭菜质量与品种</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FB2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20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7F6C">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B0B35">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778AA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938B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F96BF">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菜品色泽新鲜、清亮着色合适，视觉感官舒适;2、味道鲜美，调味恰到好处，能体现菜品特色;3、菜品营养搭配合理，富含多种营养元素，能满足人体需求;4、食材新鲜，无变质、无异味，符合卫生标准;5、每餐菜品种类丰富，有多种荤素搭配，能满足不同人群的口味需求;</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7B0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C168">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0276">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4A34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129F">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F3258">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2、每餐提供四荤两素一汤菜品，其中一个大荤菜，能满足不同职工的口味需求;2、提供2种主食选择;3、严格执行每周食谱制度;4、定期推出新菜品，能给就餐者带来新鲜感:</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ED0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CC0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4761">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2ED83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23E1">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十</w:t>
            </w: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517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卫生教育制度</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709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152C">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A9B0">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BD98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E9508">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9B5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从业人员必须掌握饮食卫生知识，有关的考试考核必须合格</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2EF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0BC9">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219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4653A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C3AD">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考核人员签字：</w:t>
            </w:r>
          </w:p>
        </w:tc>
        <w:tc>
          <w:tcPr>
            <w:tcW w:w="175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3306">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合计得分：</w:t>
            </w:r>
          </w:p>
        </w:tc>
      </w:tr>
      <w:tr w14:paraId="36056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4AC0">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被考核单位人员签字：</w:t>
            </w:r>
          </w:p>
        </w:tc>
      </w:tr>
    </w:tbl>
    <w:p w14:paraId="161D842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考核等级：</w:t>
      </w:r>
    </w:p>
    <w:p w14:paraId="7847C2C0">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 90分以上：优秀</w:t>
      </w:r>
    </w:p>
    <w:p w14:paraId="39D6F6F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 80-89分：良好</w:t>
      </w:r>
    </w:p>
    <w:p w14:paraId="542A4A28">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 70-79分：合格</w:t>
      </w:r>
    </w:p>
    <w:p w14:paraId="1634FAF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 70分以下：不合格</w:t>
      </w:r>
    </w:p>
    <w:p w14:paraId="02AA9BE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3878AB82">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7299606E">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0948AA1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32BEEA1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1B7791F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3F091D8C">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41E50403">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5E7775BD">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13DCAD26">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p>
    <w:p w14:paraId="76CD95A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8"/>
          <w:szCs w:val="28"/>
          <w:u w:val="none"/>
          <w:lang w:val="en-US" w:eastAsia="zh-CN" w:bidi="ar"/>
        </w:rPr>
      </w:pPr>
      <w:r>
        <w:rPr>
          <w:rFonts w:hint="eastAsia" w:ascii="微软雅黑" w:hAnsi="微软雅黑" w:eastAsia="微软雅黑" w:cs="微软雅黑"/>
          <w:b w:val="0"/>
          <w:i w:val="0"/>
          <w:iCs w:val="0"/>
          <w:color w:val="000000"/>
          <w:kern w:val="0"/>
          <w:sz w:val="28"/>
          <w:szCs w:val="28"/>
          <w:u w:val="none"/>
          <w:lang w:val="en-US" w:eastAsia="zh-CN" w:bidi="ar"/>
        </w:rPr>
        <w:t>附件2：</w:t>
      </w:r>
    </w:p>
    <w:p w14:paraId="1926BC85">
      <w:pPr>
        <w:keepNext w:val="0"/>
        <w:keepLines w:val="0"/>
        <w:widowControl/>
        <w:suppressLineNumbers w:val="0"/>
        <w:snapToGrid/>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食堂日常检查表</w:t>
      </w:r>
    </w:p>
    <w:p w14:paraId="5C50DFD6">
      <w:pPr>
        <w:keepNext w:val="0"/>
        <w:keepLines w:val="0"/>
        <w:widowControl/>
        <w:suppressLineNumbers w:val="0"/>
        <w:snapToGrid/>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2.1 每日巡查记录表</w:t>
      </w:r>
    </w:p>
    <w:tbl>
      <w:tblPr>
        <w:tblStyle w:val="8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4475"/>
        <w:gridCol w:w="1433"/>
        <w:gridCol w:w="783"/>
      </w:tblGrid>
      <w:tr w14:paraId="096B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831" w:type="dxa"/>
            <w:vAlign w:val="center"/>
          </w:tcPr>
          <w:p w14:paraId="76694D72">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检查项目</w:t>
            </w:r>
          </w:p>
        </w:tc>
        <w:tc>
          <w:tcPr>
            <w:tcW w:w="4474" w:type="dxa"/>
            <w:vAlign w:val="center"/>
          </w:tcPr>
          <w:p w14:paraId="138F171D">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检查内容</w:t>
            </w:r>
          </w:p>
        </w:tc>
        <w:tc>
          <w:tcPr>
            <w:tcW w:w="1433" w:type="dxa"/>
            <w:vAlign w:val="center"/>
          </w:tcPr>
          <w:p w14:paraId="71BDD12F">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是否符合</w:t>
            </w:r>
          </w:p>
        </w:tc>
        <w:tc>
          <w:tcPr>
            <w:tcW w:w="783" w:type="dxa"/>
            <w:vAlign w:val="center"/>
          </w:tcPr>
          <w:p w14:paraId="62B43731">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备注</w:t>
            </w:r>
          </w:p>
        </w:tc>
      </w:tr>
      <w:tr w14:paraId="4D2B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302E7539">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人员卫生 </w:t>
            </w:r>
          </w:p>
        </w:tc>
        <w:tc>
          <w:tcPr>
            <w:tcW w:w="4474" w:type="dxa"/>
            <w:vAlign w:val="center"/>
          </w:tcPr>
          <w:p w14:paraId="2AF07834">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晨检记录、口罩帽子佩戴、健康证</w:t>
            </w:r>
          </w:p>
        </w:tc>
        <w:tc>
          <w:tcPr>
            <w:tcW w:w="1433" w:type="dxa"/>
            <w:vAlign w:val="center"/>
          </w:tcPr>
          <w:p w14:paraId="5101C93F">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□是 □否 </w:t>
            </w:r>
          </w:p>
        </w:tc>
        <w:tc>
          <w:tcPr>
            <w:tcW w:w="783" w:type="dxa"/>
            <w:vAlign w:val="center"/>
          </w:tcPr>
          <w:p w14:paraId="1C8EC90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0B5A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332154BD">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食材验收 </w:t>
            </w:r>
          </w:p>
        </w:tc>
        <w:tc>
          <w:tcPr>
            <w:tcW w:w="4474" w:type="dxa"/>
            <w:vAlign w:val="center"/>
          </w:tcPr>
          <w:p w14:paraId="3A06C26E">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索证索票、感官检验、冷藏/冷冻温度 </w:t>
            </w:r>
          </w:p>
        </w:tc>
        <w:tc>
          <w:tcPr>
            <w:tcW w:w="1433" w:type="dxa"/>
            <w:vAlign w:val="center"/>
          </w:tcPr>
          <w:p w14:paraId="02484970">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□是 □否</w:t>
            </w:r>
          </w:p>
        </w:tc>
        <w:tc>
          <w:tcPr>
            <w:tcW w:w="783" w:type="dxa"/>
            <w:vAlign w:val="center"/>
          </w:tcPr>
          <w:p w14:paraId="2DBE4F9F">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57C9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1E6B1E50">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加工过程</w:t>
            </w:r>
          </w:p>
        </w:tc>
        <w:tc>
          <w:tcPr>
            <w:tcW w:w="4474" w:type="dxa"/>
            <w:vAlign w:val="center"/>
          </w:tcPr>
          <w:p w14:paraId="4221F01C">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生熟分开、添加剂使用记录</w:t>
            </w:r>
          </w:p>
        </w:tc>
        <w:tc>
          <w:tcPr>
            <w:tcW w:w="1433" w:type="dxa"/>
            <w:vAlign w:val="center"/>
          </w:tcPr>
          <w:p w14:paraId="29F7BB9E">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□是 □否</w:t>
            </w:r>
          </w:p>
        </w:tc>
        <w:tc>
          <w:tcPr>
            <w:tcW w:w="783" w:type="dxa"/>
            <w:vAlign w:val="center"/>
          </w:tcPr>
          <w:p w14:paraId="08E34065">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1A86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2D1C2DE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食品留样</w:t>
            </w:r>
          </w:p>
        </w:tc>
        <w:tc>
          <w:tcPr>
            <w:tcW w:w="4474" w:type="dxa"/>
            <w:vAlign w:val="center"/>
          </w:tcPr>
          <w:p w14:paraId="396893D7">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125g/48小时，标签完整 </w:t>
            </w:r>
          </w:p>
        </w:tc>
        <w:tc>
          <w:tcPr>
            <w:tcW w:w="1433" w:type="dxa"/>
            <w:vAlign w:val="center"/>
          </w:tcPr>
          <w:p w14:paraId="5E901838">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□是 □否 </w:t>
            </w:r>
          </w:p>
        </w:tc>
        <w:tc>
          <w:tcPr>
            <w:tcW w:w="783" w:type="dxa"/>
            <w:vAlign w:val="center"/>
          </w:tcPr>
          <w:p w14:paraId="4632D79C">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021A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4707ED4F">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餐具消毒 </w:t>
            </w:r>
          </w:p>
        </w:tc>
        <w:tc>
          <w:tcPr>
            <w:tcW w:w="4474" w:type="dxa"/>
            <w:vAlign w:val="center"/>
          </w:tcPr>
          <w:p w14:paraId="6A3C6E4E">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消毒记录、保洁柜密封 </w:t>
            </w:r>
          </w:p>
        </w:tc>
        <w:tc>
          <w:tcPr>
            <w:tcW w:w="1433" w:type="dxa"/>
            <w:vAlign w:val="center"/>
          </w:tcPr>
          <w:p w14:paraId="2CC92375">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□是 □否</w:t>
            </w:r>
          </w:p>
        </w:tc>
        <w:tc>
          <w:tcPr>
            <w:tcW w:w="783" w:type="dxa"/>
            <w:vAlign w:val="center"/>
          </w:tcPr>
          <w:p w14:paraId="192CDFC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5CA3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5E0AB34D">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就餐区</w:t>
            </w:r>
          </w:p>
        </w:tc>
        <w:tc>
          <w:tcPr>
            <w:tcW w:w="4474" w:type="dxa"/>
            <w:vAlign w:val="center"/>
          </w:tcPr>
          <w:p w14:paraId="0C69A84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地面、桌椅、餐台清洁</w:t>
            </w:r>
          </w:p>
        </w:tc>
        <w:tc>
          <w:tcPr>
            <w:tcW w:w="1433" w:type="dxa"/>
            <w:vAlign w:val="center"/>
          </w:tcPr>
          <w:p w14:paraId="3DA68C5E">
            <w:pPr>
              <w:keepNext w:val="0"/>
              <w:keepLines w:val="0"/>
              <w:widowControl/>
              <w:suppressLineNumbers w:val="0"/>
              <w:tabs>
                <w:tab w:val="center" w:pos="987"/>
              </w:tabs>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w:t>
            </w:r>
            <w:r>
              <w:rPr>
                <w:rFonts w:hint="default" w:ascii="微软雅黑" w:hAnsi="微软雅黑" w:eastAsia="微软雅黑" w:cs="微软雅黑"/>
                <w:b w:val="0"/>
                <w:i w:val="0"/>
                <w:iCs w:val="0"/>
                <w:color w:val="000000"/>
                <w:kern w:val="0"/>
                <w:sz w:val="22"/>
                <w:szCs w:val="22"/>
                <w:u w:val="none"/>
                <w:lang w:val="en-US" w:eastAsia="zh-CN" w:bidi="ar"/>
              </w:rPr>
              <w:t>是 □否</w:t>
            </w:r>
            <w:r>
              <w:rPr>
                <w:rFonts w:hint="eastAsia" w:ascii="微软雅黑" w:hAnsi="微软雅黑" w:eastAsia="微软雅黑" w:cs="微软雅黑"/>
                <w:b w:val="0"/>
                <w:i w:val="0"/>
                <w:iCs w:val="0"/>
                <w:color w:val="000000"/>
                <w:kern w:val="0"/>
                <w:sz w:val="22"/>
                <w:szCs w:val="22"/>
                <w:u w:val="none"/>
                <w:lang w:val="en-US" w:eastAsia="zh-CN" w:bidi="ar"/>
              </w:rPr>
              <w:tab/>
            </w:r>
          </w:p>
        </w:tc>
        <w:tc>
          <w:tcPr>
            <w:tcW w:w="783" w:type="dxa"/>
            <w:vAlign w:val="center"/>
          </w:tcPr>
          <w:p w14:paraId="4D6F9CE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14F1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39AF8D7F">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价格公示 </w:t>
            </w:r>
          </w:p>
        </w:tc>
        <w:tc>
          <w:tcPr>
            <w:tcW w:w="4474" w:type="dxa"/>
            <w:vAlign w:val="center"/>
          </w:tcPr>
          <w:p w14:paraId="32E299DA">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菜单与价格一致、更新及时 </w:t>
            </w:r>
          </w:p>
        </w:tc>
        <w:tc>
          <w:tcPr>
            <w:tcW w:w="1433" w:type="dxa"/>
            <w:vAlign w:val="center"/>
          </w:tcPr>
          <w:p w14:paraId="5108BA1C">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□是 □否</w:t>
            </w:r>
          </w:p>
        </w:tc>
        <w:tc>
          <w:tcPr>
            <w:tcW w:w="783" w:type="dxa"/>
            <w:vAlign w:val="center"/>
          </w:tcPr>
          <w:p w14:paraId="7460E301">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1E80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vAlign w:val="center"/>
          </w:tcPr>
          <w:p w14:paraId="0413A779">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检查人签字： </w:t>
            </w:r>
          </w:p>
          <w:p w14:paraId="245F0B26">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p>
          <w:p w14:paraId="368EA0BF">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p>
        </w:tc>
        <w:tc>
          <w:tcPr>
            <w:tcW w:w="4474" w:type="dxa"/>
            <w:vAlign w:val="center"/>
          </w:tcPr>
          <w:p w14:paraId="04024CB0">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承包方签字： </w:t>
            </w:r>
          </w:p>
        </w:tc>
        <w:tc>
          <w:tcPr>
            <w:tcW w:w="1433" w:type="dxa"/>
            <w:vAlign w:val="center"/>
          </w:tcPr>
          <w:p w14:paraId="4DB3D9C4">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日期：</w:t>
            </w:r>
          </w:p>
        </w:tc>
        <w:tc>
          <w:tcPr>
            <w:tcW w:w="783" w:type="dxa"/>
            <w:vAlign w:val="center"/>
          </w:tcPr>
          <w:p w14:paraId="256FFC57">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bl>
    <w:p w14:paraId="2FDEB9D3">
      <w:pPr>
        <w:keepNext w:val="0"/>
        <w:keepLines w:val="0"/>
        <w:widowControl/>
        <w:suppressLineNumbers w:val="0"/>
        <w:snapToGrid/>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 2.2 每周专项检查表</w:t>
      </w:r>
    </w:p>
    <w:tbl>
      <w:tblPr>
        <w:tblStyle w:val="8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3119"/>
        <w:gridCol w:w="2522"/>
        <w:gridCol w:w="1200"/>
      </w:tblGrid>
      <w:tr w14:paraId="4FAC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vAlign w:val="center"/>
          </w:tcPr>
          <w:p w14:paraId="3D1642A9">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检查项目</w:t>
            </w:r>
          </w:p>
        </w:tc>
        <w:tc>
          <w:tcPr>
            <w:tcW w:w="3119" w:type="dxa"/>
            <w:vAlign w:val="center"/>
          </w:tcPr>
          <w:p w14:paraId="655C6B1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具体内容</w:t>
            </w:r>
          </w:p>
        </w:tc>
        <w:tc>
          <w:tcPr>
            <w:tcW w:w="2522" w:type="dxa"/>
            <w:vAlign w:val="center"/>
          </w:tcPr>
          <w:p w14:paraId="06B39578">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结果（合格/不合格）</w:t>
            </w:r>
          </w:p>
        </w:tc>
        <w:tc>
          <w:tcPr>
            <w:tcW w:w="1200" w:type="dxa"/>
            <w:vAlign w:val="center"/>
          </w:tcPr>
          <w:p w14:paraId="2640577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整改情况</w:t>
            </w:r>
          </w:p>
        </w:tc>
      </w:tr>
      <w:tr w14:paraId="6D73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C69EA5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库存食材</w:t>
            </w:r>
          </w:p>
        </w:tc>
        <w:tc>
          <w:tcPr>
            <w:tcW w:w="3119" w:type="dxa"/>
            <w:vAlign w:val="center"/>
          </w:tcPr>
          <w:p w14:paraId="6BD7C4EA">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保质期、储存条件、标识</w:t>
            </w:r>
          </w:p>
        </w:tc>
        <w:tc>
          <w:tcPr>
            <w:tcW w:w="2522" w:type="dxa"/>
            <w:vAlign w:val="center"/>
          </w:tcPr>
          <w:p w14:paraId="336AF1CC">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200" w:type="dxa"/>
            <w:vAlign w:val="center"/>
          </w:tcPr>
          <w:p w14:paraId="30604648">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76C8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8FC6FA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冰箱/冷库 </w:t>
            </w:r>
          </w:p>
        </w:tc>
        <w:tc>
          <w:tcPr>
            <w:tcW w:w="3119" w:type="dxa"/>
            <w:vAlign w:val="center"/>
          </w:tcPr>
          <w:p w14:paraId="469C8F22">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温度记录、食材分类存放 </w:t>
            </w:r>
          </w:p>
        </w:tc>
        <w:tc>
          <w:tcPr>
            <w:tcW w:w="2522" w:type="dxa"/>
            <w:vAlign w:val="center"/>
          </w:tcPr>
          <w:p w14:paraId="5EC0D2DD">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200" w:type="dxa"/>
            <w:vAlign w:val="center"/>
          </w:tcPr>
          <w:p w14:paraId="3EC93E00">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73C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B53B61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病媒生物</w:t>
            </w:r>
          </w:p>
        </w:tc>
        <w:tc>
          <w:tcPr>
            <w:tcW w:w="3119" w:type="dxa"/>
            <w:vAlign w:val="center"/>
          </w:tcPr>
          <w:p w14:paraId="64C0BB67">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灭蝇灯、挡鼠板、蟑螂胶饵</w:t>
            </w:r>
          </w:p>
        </w:tc>
        <w:tc>
          <w:tcPr>
            <w:tcW w:w="2522" w:type="dxa"/>
            <w:vAlign w:val="center"/>
          </w:tcPr>
          <w:p w14:paraId="0F4977E8">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200" w:type="dxa"/>
            <w:vAlign w:val="center"/>
          </w:tcPr>
          <w:p w14:paraId="43D720E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2A8B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1A62D79">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设备设施 </w:t>
            </w:r>
          </w:p>
        </w:tc>
        <w:tc>
          <w:tcPr>
            <w:tcW w:w="3119" w:type="dxa"/>
            <w:vAlign w:val="center"/>
          </w:tcPr>
          <w:p w14:paraId="7DE3F18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灶具、排烟、冷藏设备运行</w:t>
            </w:r>
          </w:p>
        </w:tc>
        <w:tc>
          <w:tcPr>
            <w:tcW w:w="2522" w:type="dxa"/>
            <w:vAlign w:val="center"/>
          </w:tcPr>
          <w:p w14:paraId="0F9C78CE">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200" w:type="dxa"/>
            <w:vAlign w:val="center"/>
          </w:tcPr>
          <w:p w14:paraId="132B25BF">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659C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1" w:type="dxa"/>
            <w:vAlign w:val="center"/>
          </w:tcPr>
          <w:p w14:paraId="0C5B09EA">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检查人签字： </w:t>
            </w:r>
          </w:p>
          <w:p w14:paraId="4529C3FF">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p>
        </w:tc>
        <w:tc>
          <w:tcPr>
            <w:tcW w:w="3119" w:type="dxa"/>
            <w:vAlign w:val="center"/>
          </w:tcPr>
          <w:p w14:paraId="3364FB37">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bCs/>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承包方签字： </w:t>
            </w:r>
          </w:p>
        </w:tc>
        <w:tc>
          <w:tcPr>
            <w:tcW w:w="2522" w:type="dxa"/>
            <w:vAlign w:val="center"/>
          </w:tcPr>
          <w:p w14:paraId="0C6026CD">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日期： </w:t>
            </w:r>
          </w:p>
        </w:tc>
        <w:tc>
          <w:tcPr>
            <w:tcW w:w="1200" w:type="dxa"/>
            <w:vAlign w:val="center"/>
          </w:tcPr>
          <w:p w14:paraId="1352112D">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bl>
    <w:p w14:paraId="74725BE8">
      <w:pPr>
        <w:keepNext w:val="0"/>
        <w:keepLines w:val="0"/>
        <w:widowControl/>
        <w:suppressLineNumbers w:val="0"/>
        <w:snapToGrid/>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2.3 每月专项检查表</w:t>
      </w:r>
    </w:p>
    <w:tbl>
      <w:tblPr>
        <w:tblStyle w:val="81"/>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128"/>
        <w:gridCol w:w="1096"/>
        <w:gridCol w:w="1372"/>
      </w:tblGrid>
      <w:tr w14:paraId="471F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vAlign w:val="center"/>
          </w:tcPr>
          <w:p w14:paraId="3407E47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检查项目</w:t>
            </w:r>
          </w:p>
        </w:tc>
        <w:tc>
          <w:tcPr>
            <w:tcW w:w="0" w:type="auto"/>
            <w:vAlign w:val="center"/>
          </w:tcPr>
          <w:p w14:paraId="2F722C93">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检查内容</w:t>
            </w:r>
          </w:p>
        </w:tc>
        <w:tc>
          <w:tcPr>
            <w:tcW w:w="0" w:type="auto"/>
            <w:vAlign w:val="center"/>
          </w:tcPr>
          <w:p w14:paraId="14CEA63A">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结论</w:t>
            </w:r>
          </w:p>
        </w:tc>
        <w:tc>
          <w:tcPr>
            <w:tcW w:w="1372" w:type="dxa"/>
            <w:vAlign w:val="center"/>
          </w:tcPr>
          <w:p w14:paraId="719ADD1E">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i w:val="0"/>
                <w:iCs w:val="0"/>
                <w:color w:val="000000"/>
                <w:kern w:val="0"/>
                <w:sz w:val="22"/>
                <w:szCs w:val="22"/>
                <w:u w:val="none"/>
                <w:vertAlign w:val="baseline"/>
                <w:lang w:val="en-US" w:eastAsia="zh-CN" w:bidi="ar"/>
              </w:rPr>
            </w:pPr>
            <w:r>
              <w:rPr>
                <w:rFonts w:hint="default" w:ascii="微软雅黑" w:hAnsi="微软雅黑" w:eastAsia="微软雅黑" w:cs="微软雅黑"/>
                <w:b/>
                <w:i w:val="0"/>
                <w:iCs w:val="0"/>
                <w:color w:val="000000"/>
                <w:kern w:val="0"/>
                <w:sz w:val="22"/>
                <w:szCs w:val="22"/>
                <w:u w:val="none"/>
                <w:lang w:val="en-US" w:eastAsia="zh-CN" w:bidi="ar"/>
              </w:rPr>
              <w:t>整改时限</w:t>
            </w:r>
          </w:p>
        </w:tc>
      </w:tr>
      <w:tr w14:paraId="37B0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7965ADD">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食品添加剂 </w:t>
            </w:r>
          </w:p>
        </w:tc>
        <w:tc>
          <w:tcPr>
            <w:tcW w:w="0" w:type="auto"/>
            <w:vAlign w:val="center"/>
          </w:tcPr>
          <w:p w14:paraId="32F3275C">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专柜存放、专人管理、使用台账</w:t>
            </w:r>
          </w:p>
        </w:tc>
        <w:tc>
          <w:tcPr>
            <w:tcW w:w="0" w:type="auto"/>
            <w:vAlign w:val="center"/>
          </w:tcPr>
          <w:p w14:paraId="6B96BCAF">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372" w:type="dxa"/>
            <w:vAlign w:val="center"/>
          </w:tcPr>
          <w:p w14:paraId="576D5283">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344E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DC1D667">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从业人员培训 </w:t>
            </w:r>
          </w:p>
        </w:tc>
        <w:tc>
          <w:tcPr>
            <w:tcW w:w="0" w:type="auto"/>
            <w:vAlign w:val="center"/>
          </w:tcPr>
          <w:p w14:paraId="4B62F5D8">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培训记录、考核成绩</w:t>
            </w:r>
          </w:p>
        </w:tc>
        <w:tc>
          <w:tcPr>
            <w:tcW w:w="0" w:type="auto"/>
            <w:vAlign w:val="center"/>
          </w:tcPr>
          <w:p w14:paraId="163BDBAD">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372" w:type="dxa"/>
            <w:vAlign w:val="center"/>
          </w:tcPr>
          <w:p w14:paraId="7BB76475">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2DF4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21A938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应急预案演练</w:t>
            </w:r>
          </w:p>
        </w:tc>
        <w:tc>
          <w:tcPr>
            <w:tcW w:w="0" w:type="auto"/>
            <w:vAlign w:val="center"/>
          </w:tcPr>
          <w:p w14:paraId="6CE310DE">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演练记录、总结报告</w:t>
            </w:r>
          </w:p>
        </w:tc>
        <w:tc>
          <w:tcPr>
            <w:tcW w:w="0" w:type="auto"/>
            <w:vAlign w:val="center"/>
          </w:tcPr>
          <w:p w14:paraId="52001B8E">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372" w:type="dxa"/>
            <w:vAlign w:val="center"/>
          </w:tcPr>
          <w:p w14:paraId="0257F96B">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3617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492E81A">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第三方检测 </w:t>
            </w:r>
          </w:p>
        </w:tc>
        <w:tc>
          <w:tcPr>
            <w:tcW w:w="0" w:type="auto"/>
            <w:vAlign w:val="center"/>
          </w:tcPr>
          <w:p w14:paraId="6E830F93">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餐具、水质、食材抽检报告</w:t>
            </w:r>
          </w:p>
        </w:tc>
        <w:tc>
          <w:tcPr>
            <w:tcW w:w="0" w:type="auto"/>
            <w:vAlign w:val="center"/>
          </w:tcPr>
          <w:p w14:paraId="581A94B8">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c>
          <w:tcPr>
            <w:tcW w:w="1372" w:type="dxa"/>
            <w:vAlign w:val="center"/>
          </w:tcPr>
          <w:p w14:paraId="167FF276">
            <w:pPr>
              <w:keepNext w:val="0"/>
              <w:keepLines w:val="0"/>
              <w:widowControl/>
              <w:suppressLineNumbers w:val="0"/>
              <w:snapToGrid w:val="0"/>
              <w:spacing w:line="240" w:lineRule="auto"/>
              <w:ind w:left="0" w:leftChars="0" w:right="0" w:rightChars="0" w:firstLine="0" w:firstLineChars="0"/>
              <w:jc w:val="center"/>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r w14:paraId="2E79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3" w:type="dxa"/>
            <w:vAlign w:val="center"/>
          </w:tcPr>
          <w:p w14:paraId="263CE426">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检查人签字：</w:t>
            </w:r>
          </w:p>
          <w:p w14:paraId="001EB172">
            <w:pPr>
              <w:keepNext w:val="0"/>
              <w:keepLines w:val="0"/>
              <w:widowControl/>
              <w:suppressLineNumbers w:val="0"/>
              <w:snapToGrid w:val="0"/>
              <w:spacing w:line="240" w:lineRule="auto"/>
              <w:ind w:firstLine="0" w:firstLineChars="0"/>
              <w:jc w:val="left"/>
              <w:textAlignment w:val="center"/>
              <w:rPr>
                <w:rFonts w:hint="default" w:ascii="微软雅黑" w:hAnsi="微软雅黑" w:eastAsia="微软雅黑" w:cs="微软雅黑"/>
                <w:b w:val="0"/>
                <w:i w:val="0"/>
                <w:iCs w:val="0"/>
                <w:color w:val="000000"/>
                <w:kern w:val="0"/>
                <w:sz w:val="22"/>
                <w:szCs w:val="22"/>
                <w:u w:val="no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 </w:t>
            </w:r>
          </w:p>
        </w:tc>
        <w:tc>
          <w:tcPr>
            <w:tcW w:w="4128" w:type="dxa"/>
            <w:vAlign w:val="center"/>
          </w:tcPr>
          <w:p w14:paraId="777D1474">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承包方签字： </w:t>
            </w:r>
          </w:p>
        </w:tc>
        <w:tc>
          <w:tcPr>
            <w:tcW w:w="1096" w:type="dxa"/>
            <w:vAlign w:val="center"/>
          </w:tcPr>
          <w:p w14:paraId="17176A6B">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r>
              <w:rPr>
                <w:rFonts w:hint="default" w:ascii="微软雅黑" w:hAnsi="微软雅黑" w:eastAsia="微软雅黑" w:cs="微软雅黑"/>
                <w:b w:val="0"/>
                <w:i w:val="0"/>
                <w:iCs w:val="0"/>
                <w:color w:val="000000"/>
                <w:kern w:val="0"/>
                <w:sz w:val="22"/>
                <w:szCs w:val="22"/>
                <w:u w:val="none"/>
                <w:lang w:val="en-US" w:eastAsia="zh-CN" w:bidi="ar"/>
              </w:rPr>
              <w:t xml:space="preserve">日期： </w:t>
            </w:r>
          </w:p>
        </w:tc>
        <w:tc>
          <w:tcPr>
            <w:tcW w:w="1372" w:type="dxa"/>
            <w:vAlign w:val="center"/>
          </w:tcPr>
          <w:p w14:paraId="0C81EBFF">
            <w:pPr>
              <w:keepNext w:val="0"/>
              <w:keepLines w:val="0"/>
              <w:widowControl/>
              <w:suppressLineNumbers w:val="0"/>
              <w:snapToGrid w:val="0"/>
              <w:spacing w:line="240" w:lineRule="auto"/>
              <w:ind w:left="0" w:leftChars="0" w:right="0" w:rightChars="0" w:firstLine="0" w:firstLineChars="0"/>
              <w:jc w:val="left"/>
              <w:textAlignment w:val="center"/>
              <w:rPr>
                <w:rFonts w:hint="default" w:ascii="微软雅黑" w:hAnsi="微软雅黑" w:eastAsia="微软雅黑" w:cs="微软雅黑"/>
                <w:b w:val="0"/>
                <w:i w:val="0"/>
                <w:iCs w:val="0"/>
                <w:color w:val="000000"/>
                <w:kern w:val="0"/>
                <w:sz w:val="22"/>
                <w:szCs w:val="22"/>
                <w:u w:val="none"/>
                <w:vertAlign w:val="baseline"/>
                <w:lang w:val="en-US" w:eastAsia="zh-CN" w:bidi="ar"/>
              </w:rPr>
            </w:pPr>
          </w:p>
        </w:tc>
      </w:tr>
    </w:tbl>
    <w:p w14:paraId="2990146E">
      <w:pPr>
        <w:adjustRightInd w:val="0"/>
        <w:snapToGrid w:val="0"/>
        <w:spacing w:before="100" w:beforeAutospacing="1" w:after="100" w:afterAutospacing="1" w:line="240" w:lineRule="auto"/>
        <w:ind w:firstLine="0" w:firstLineChars="0"/>
        <w:jc w:val="both"/>
        <w:rPr>
          <w:rFonts w:hint="eastAsia" w:ascii="仿宋_GB2312" w:hAnsi="仿宋_GB2312" w:eastAsia="仿宋_GB2312" w:cs="仿宋_GB2312"/>
          <w:b w:val="0"/>
          <w:kern w:val="0"/>
          <w:sz w:val="28"/>
          <w:szCs w:val="28"/>
          <w:highlight w:val="none"/>
          <w:shd w:val="clear" w:color="auto" w:fill="auto"/>
          <w:lang w:val="en-US" w:eastAsia="zh-CN"/>
        </w:rPr>
      </w:pPr>
    </w:p>
    <w:p w14:paraId="321A2F24">
      <w:pPr>
        <w:adjustRightInd w:val="0"/>
        <w:snapToGrid w:val="0"/>
        <w:spacing w:before="100" w:beforeAutospacing="1" w:after="100" w:afterAutospacing="1" w:line="240" w:lineRule="auto"/>
        <w:ind w:firstLine="0" w:firstLineChars="0"/>
        <w:jc w:val="both"/>
        <w:rPr>
          <w:rFonts w:hint="eastAsia" w:ascii="仿宋_GB2312" w:hAnsi="仿宋_GB2312" w:eastAsia="仿宋_GB2312" w:cs="仿宋_GB2312"/>
          <w:b w:val="0"/>
          <w:kern w:val="0"/>
          <w:sz w:val="28"/>
          <w:szCs w:val="28"/>
          <w:highlight w:val="none"/>
          <w:shd w:val="clear" w:color="auto" w:fill="auto"/>
          <w:lang w:val="en-US" w:eastAsia="zh-CN"/>
        </w:rPr>
      </w:pPr>
    </w:p>
    <w:p w14:paraId="0561C514">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t>附件二：</w:t>
      </w:r>
    </w:p>
    <w:p w14:paraId="78298DA5">
      <w:pPr>
        <w:adjustRightInd w:val="0"/>
        <w:snapToGrid w:val="0"/>
        <w:spacing w:before="100" w:beforeAutospacing="1" w:after="100" w:afterAutospacing="1" w:line="240" w:lineRule="auto"/>
        <w:ind w:firstLine="0" w:firstLineChars="0"/>
        <w:jc w:val="center"/>
        <w:rPr>
          <w:rFonts w:hint="default"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t>餐厅平面图</w:t>
      </w:r>
    </w:p>
    <w:p w14:paraId="535E78E3">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drawing>
          <wp:inline distT="0" distB="0" distL="114300" distR="114300">
            <wp:extent cx="5269865" cy="6783070"/>
            <wp:effectExtent l="0" t="0" r="3175" b="13970"/>
            <wp:docPr id="7" name="图片 7" descr="1b7944172058fa83b4141f0dc0ef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7944172058fa83b4141f0dc0efd89"/>
                    <pic:cNvPicPr>
                      <a:picLocks noChangeAspect="1"/>
                    </pic:cNvPicPr>
                  </pic:nvPicPr>
                  <pic:blipFill>
                    <a:blip r:embed="rId21"/>
                    <a:stretch>
                      <a:fillRect/>
                    </a:stretch>
                  </pic:blipFill>
                  <pic:spPr>
                    <a:xfrm>
                      <a:off x="0" y="0"/>
                      <a:ext cx="5269865" cy="6783070"/>
                    </a:xfrm>
                    <a:prstGeom prst="rect">
                      <a:avLst/>
                    </a:prstGeom>
                    <a:noFill/>
                    <a:ln>
                      <a:noFill/>
                    </a:ln>
                  </pic:spPr>
                </pic:pic>
              </a:graphicData>
            </a:graphic>
          </wp:inline>
        </w:drawing>
      </w:r>
    </w:p>
    <w:p w14:paraId="19677B32">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6B2D7E18">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53E3F20">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6AE58FF6">
      <w:pPr>
        <w:rPr>
          <w:rFonts w:hint="eastAsia"/>
          <w:lang w:val="en-US" w:eastAsia="zh-CN"/>
        </w:rPr>
      </w:pPr>
    </w:p>
    <w:p w14:paraId="5EF73951">
      <w:pPr>
        <w:pageBreakBefore w:val="0"/>
        <w:widowControl w:val="0"/>
        <w:numPr>
          <w:ilvl w:val="0"/>
          <w:numId w:val="51"/>
        </w:numPr>
        <w:kinsoku/>
        <w:wordWrap/>
        <w:overflowPunct/>
        <w:topLinePunct w:val="0"/>
        <w:autoSpaceDE/>
        <w:autoSpaceDN/>
        <w:bidi w:val="0"/>
        <w:spacing w:beforeAutospacing="0" w:afterAutospacing="0" w:line="400" w:lineRule="exact"/>
        <w:ind w:left="0" w:leftChars="0" w:right="0" w:firstLine="723" w:firstLineChars="200"/>
        <w:jc w:val="center"/>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 xml:space="preserve"> 服务要求</w:t>
      </w:r>
    </w:p>
    <w:p w14:paraId="30046E7B">
      <w:pPr>
        <w:pageBreakBefore w:val="0"/>
        <w:widowControl w:val="0"/>
        <w:numPr>
          <w:ilvl w:val="0"/>
          <w:numId w:val="0"/>
        </w:numPr>
        <w:tabs>
          <w:tab w:val="left" w:pos="0"/>
        </w:tabs>
        <w:kinsoku/>
        <w:wordWrap/>
        <w:overflowPunct/>
        <w:topLinePunct w:val="0"/>
        <w:autoSpaceDE/>
        <w:autoSpaceDN/>
        <w:bidi w:val="0"/>
        <w:spacing w:beforeAutospacing="0" w:afterAutospacing="0" w:line="400" w:lineRule="exact"/>
        <w:ind w:leftChars="200" w:right="0" w:rightChars="0"/>
        <w:jc w:val="both"/>
        <w:textAlignment w:val="auto"/>
        <w:rPr>
          <w:rFonts w:hint="eastAsia" w:ascii="仿宋" w:hAnsi="仿宋" w:eastAsia="仿宋" w:cs="仿宋"/>
          <w:b/>
          <w:bCs/>
          <w:color w:val="auto"/>
          <w:sz w:val="36"/>
          <w:szCs w:val="36"/>
          <w:highlight w:val="none"/>
          <w:lang w:val="en-US" w:eastAsia="zh-CN"/>
        </w:rPr>
      </w:pPr>
    </w:p>
    <w:p w14:paraId="1C36CFC1">
      <w:pPr>
        <w:keepNext w:val="0"/>
        <w:keepLines w:val="0"/>
        <w:widowControl/>
        <w:numPr>
          <w:ilvl w:val="0"/>
          <w:numId w:val="0"/>
        </w:numPr>
        <w:suppressLineNumbers w:val="0"/>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 w:val="0"/>
          <w:color w:val="auto"/>
          <w:kern w:val="0"/>
          <w:sz w:val="24"/>
          <w:szCs w:val="24"/>
          <w:highlight w:val="none"/>
          <w:lang w:val="en-US" w:eastAsia="zh-CN" w:bidi="ar"/>
        </w:rPr>
        <w:t>1.投标报价应是完成采购内容所需服务的全部费用，包括但不限于服务的报价及所发生的：包括采购代理服务费、本项目所有服务价格、劳务、食宿、设备、交通、保险、售后服务、利润、相关税费及市场价格风险在内等完成本项目所需的全部费用。采购人将不再支付任何费用。</w:t>
      </w:r>
    </w:p>
    <w:p w14:paraId="0F6A1B1A">
      <w:pPr>
        <w:keepNext w:val="0"/>
        <w:keepLines w:val="0"/>
        <w:widowControl/>
        <w:numPr>
          <w:ilvl w:val="0"/>
          <w:numId w:val="0"/>
        </w:numPr>
        <w:suppressLineNumbers w:val="0"/>
        <w:ind w:firstLine="480" w:firstLineChars="200"/>
        <w:jc w:val="left"/>
        <w:rPr>
          <w:rFonts w:hint="eastAsia" w:ascii="仿宋" w:hAnsi="仿宋" w:eastAsia="仿宋" w:cs="仿宋"/>
          <w:b w:val="0"/>
          <w:color w:val="auto"/>
          <w:kern w:val="0"/>
          <w:sz w:val="24"/>
          <w:szCs w:val="24"/>
          <w:highlight w:val="none"/>
          <w:lang w:val="en-US" w:eastAsia="zh-CN" w:bidi="ar"/>
        </w:rPr>
      </w:pPr>
      <w:r>
        <w:rPr>
          <w:rFonts w:hint="eastAsia" w:ascii="仿宋" w:hAnsi="仿宋" w:eastAsia="仿宋" w:cs="仿宋"/>
          <w:b w:val="0"/>
          <w:color w:val="auto"/>
          <w:kern w:val="0"/>
          <w:sz w:val="24"/>
          <w:szCs w:val="24"/>
          <w:highlight w:val="none"/>
          <w:lang w:val="en-US" w:eastAsia="zh-CN" w:bidi="ar"/>
        </w:rPr>
        <w:t xml:space="preserve">2.供应商所提供的服务质量须达到采购人的要求，在保证服务期限和服务质量的前提下为采购人提供服务，服务中的一切风险（包括人员安全事故责任、与第三方的劳务纠纷、项目实施过程中的劳务纠纷及人员伤害等）均由供应商一方承担责任。 </w:t>
      </w:r>
    </w:p>
    <w:p w14:paraId="5C6C6262">
      <w:pPr>
        <w:keepNext w:val="0"/>
        <w:keepLines w:val="0"/>
        <w:widowControl/>
        <w:suppressLineNumbers w:val="0"/>
        <w:jc w:val="left"/>
        <w:rPr>
          <w:rFonts w:hint="eastAsia" w:ascii="仿宋" w:hAnsi="仿宋" w:eastAsia="仿宋" w:cs="仿宋"/>
          <w:color w:val="auto"/>
          <w:sz w:val="24"/>
          <w:szCs w:val="24"/>
          <w:highlight w:val="none"/>
        </w:rPr>
      </w:pPr>
      <w:r>
        <w:rPr>
          <w:rFonts w:hint="eastAsia" w:ascii="仿宋" w:hAnsi="仿宋" w:eastAsia="仿宋" w:cs="仿宋"/>
          <w:b w:val="0"/>
          <w:color w:val="auto"/>
          <w:kern w:val="0"/>
          <w:sz w:val="24"/>
          <w:szCs w:val="24"/>
          <w:highlight w:val="none"/>
          <w:lang w:val="en-US" w:eastAsia="zh-CN" w:bidi="ar"/>
        </w:rPr>
        <w:t xml:space="preserve">3.本项目采购代理服务费由成交供应商支付，具体支付金额及支付方式详见采购文件相关内容要求。  </w:t>
      </w:r>
    </w:p>
    <w:p w14:paraId="3412B126">
      <w:pPr>
        <w:keepNext w:val="0"/>
        <w:keepLines w:val="0"/>
        <w:pageBreakBefore w:val="0"/>
        <w:widowControl/>
        <w:suppressLineNumbers w:val="0"/>
        <w:kinsoku/>
        <w:wordWrap/>
        <w:overflowPunct/>
        <w:topLinePunct w:val="0"/>
        <w:autoSpaceDE/>
        <w:autoSpaceDN/>
        <w:bidi w:val="0"/>
        <w:spacing w:line="400" w:lineRule="exact"/>
        <w:ind w:leftChars="0"/>
        <w:jc w:val="left"/>
        <w:textAlignment w:val="auto"/>
        <w:rPr>
          <w:rFonts w:hint="eastAsia" w:ascii="仿宋" w:hAnsi="仿宋" w:eastAsia="仿宋" w:cs="仿宋"/>
          <w:b w:val="0"/>
          <w:color w:val="auto"/>
          <w:kern w:val="0"/>
          <w:sz w:val="24"/>
          <w:szCs w:val="24"/>
          <w:highlight w:val="none"/>
          <w:lang w:val="en-US" w:eastAsia="zh-CN" w:bidi="ar-SA"/>
        </w:rPr>
      </w:pPr>
      <w:r>
        <w:rPr>
          <w:rFonts w:hint="eastAsia" w:ascii="仿宋" w:hAnsi="仿宋" w:eastAsia="仿宋" w:cs="仿宋"/>
          <w:b w:val="0"/>
          <w:color w:val="auto"/>
          <w:kern w:val="0"/>
          <w:sz w:val="24"/>
          <w:szCs w:val="24"/>
          <w:highlight w:val="none"/>
          <w:lang w:val="en-US" w:eastAsia="zh-CN" w:bidi="ar-SA"/>
        </w:rPr>
        <w:t xml:space="preserve"> </w:t>
      </w:r>
    </w:p>
    <w:p w14:paraId="0C9B19B9">
      <w:pPr>
        <w:pageBreakBefore w:val="0"/>
        <w:kinsoku/>
        <w:wordWrap/>
        <w:overflowPunct/>
        <w:topLinePunct w:val="0"/>
        <w:autoSpaceDE/>
        <w:autoSpaceDN/>
        <w:bidi w:val="0"/>
        <w:spacing w:line="400" w:lineRule="exact"/>
        <w:ind w:leftChars="0"/>
        <w:textAlignment w:val="auto"/>
        <w:rPr>
          <w:rFonts w:hint="eastAsia" w:ascii="仿宋" w:hAnsi="仿宋" w:eastAsia="仿宋" w:cs="仿宋"/>
          <w:b/>
          <w:bCs/>
          <w:color w:val="000000"/>
          <w:kern w:val="0"/>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000000"/>
          <w:kern w:val="0"/>
          <w:sz w:val="24"/>
          <w:szCs w:val="24"/>
          <w:highlight w:val="none"/>
          <w:lang w:val="en-US" w:eastAsia="zh-CN" w:bidi="ar-SA"/>
        </w:rPr>
        <w:t>本项目★条款均为实质性要求，不允许负偏离，若未按要求提供</w:t>
      </w:r>
      <w:r>
        <w:rPr>
          <w:rFonts w:hint="eastAsia" w:ascii="仿宋" w:hAnsi="仿宋" w:eastAsia="仿宋" w:cs="仿宋"/>
          <w:b/>
          <w:bCs/>
          <w:sz w:val="24"/>
          <w:szCs w:val="24"/>
        </w:rPr>
        <w:t>相应证明材料或承诺函</w:t>
      </w:r>
      <w:r>
        <w:rPr>
          <w:rFonts w:hint="eastAsia" w:ascii="仿宋" w:hAnsi="仿宋" w:eastAsia="仿宋" w:cs="仿宋"/>
          <w:b/>
          <w:bCs/>
          <w:color w:val="000000"/>
          <w:kern w:val="0"/>
          <w:sz w:val="24"/>
          <w:szCs w:val="24"/>
          <w:highlight w:val="none"/>
          <w:lang w:val="en-US" w:eastAsia="zh-CN" w:bidi="ar-SA"/>
        </w:rPr>
        <w:t>，投标文件作无效投标处理。</w:t>
      </w:r>
    </w:p>
    <w:p w14:paraId="2FF53264">
      <w:pPr>
        <w:pStyle w:val="24"/>
        <w:rPr>
          <w:rFonts w:hint="eastAsia" w:ascii="仿宋" w:hAnsi="仿宋" w:eastAsia="仿宋" w:cs="仿宋"/>
          <w:b/>
          <w:bCs/>
          <w:color w:val="000000"/>
          <w:kern w:val="0"/>
          <w:sz w:val="24"/>
          <w:szCs w:val="24"/>
          <w:highlight w:val="none"/>
          <w:lang w:val="en-US" w:eastAsia="zh-CN" w:bidi="ar-SA"/>
        </w:rPr>
      </w:pPr>
    </w:p>
    <w:p w14:paraId="5E40CFF7">
      <w:pPr>
        <w:rPr>
          <w:rFonts w:hint="eastAsia"/>
        </w:rPr>
      </w:pPr>
    </w:p>
    <w:p w14:paraId="490D1EF9">
      <w:pPr>
        <w:pStyle w:val="24"/>
        <w:rPr>
          <w:rFonts w:hint="eastAsia"/>
        </w:rPr>
      </w:pPr>
    </w:p>
    <w:p w14:paraId="45B2FEA0">
      <w:pPr>
        <w:rPr>
          <w:rFonts w:hint="eastAsia"/>
        </w:rPr>
      </w:pPr>
    </w:p>
    <w:p w14:paraId="5BDB3F40">
      <w:pPr>
        <w:pStyle w:val="24"/>
        <w:rPr>
          <w:rFonts w:hint="eastAsia"/>
        </w:rPr>
      </w:pPr>
    </w:p>
    <w:p w14:paraId="0DE34674">
      <w:pPr>
        <w:rPr>
          <w:rFonts w:hint="eastAsia"/>
        </w:rPr>
      </w:pPr>
    </w:p>
    <w:p w14:paraId="5ECEB855">
      <w:pPr>
        <w:rPr>
          <w:rFonts w:hint="eastAsia"/>
        </w:rPr>
      </w:pPr>
    </w:p>
    <w:p w14:paraId="413A787A">
      <w:pPr>
        <w:rPr>
          <w:rFonts w:hint="eastAsia"/>
        </w:rPr>
      </w:pPr>
    </w:p>
    <w:p w14:paraId="145E8F32">
      <w:pPr>
        <w:rPr>
          <w:rFonts w:hint="eastAsia"/>
        </w:rPr>
      </w:pPr>
    </w:p>
    <w:p w14:paraId="3B2BEEBA">
      <w:pPr>
        <w:pStyle w:val="24"/>
        <w:rPr>
          <w:rFonts w:hint="eastAsia"/>
        </w:rPr>
      </w:pPr>
    </w:p>
    <w:p w14:paraId="27BE01E4">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highlight w:val="none"/>
        </w:rPr>
      </w:pPr>
      <w:bookmarkStart w:id="292" w:name="_Toc36134574"/>
      <w:bookmarkStart w:id="293" w:name="_Toc36215964"/>
      <w:bookmarkStart w:id="294" w:name="_Toc40704288"/>
      <w:bookmarkStart w:id="295" w:name="_Toc22178"/>
      <w:r>
        <w:rPr>
          <w:rFonts w:hint="eastAsia" w:ascii="仿宋" w:eastAsia="仿宋"/>
          <w:b/>
          <w:color w:val="auto"/>
          <w:highlight w:val="none"/>
          <w:lang w:val="en-US" w:eastAsia="zh-CN"/>
        </w:rPr>
        <w:t xml:space="preserve"> </w:t>
      </w:r>
      <w:r>
        <w:rPr>
          <w:rFonts w:ascii="仿宋" w:eastAsia="仿宋"/>
          <w:b/>
          <w:color w:val="auto"/>
          <w:highlight w:val="none"/>
        </w:rPr>
        <w:t>评标办法</w:t>
      </w:r>
      <w:bookmarkEnd w:id="292"/>
      <w:bookmarkEnd w:id="293"/>
      <w:bookmarkEnd w:id="294"/>
      <w:bookmarkEnd w:id="295"/>
      <w:r>
        <w:rPr>
          <w:rFonts w:hint="eastAsia" w:ascii="仿宋" w:eastAsia="仿宋"/>
          <w:b/>
          <w:color w:val="auto"/>
          <w:highlight w:val="none"/>
          <w:lang w:val="en-US" w:eastAsia="zh-CN"/>
        </w:rPr>
        <w:t xml:space="preserve"> </w:t>
      </w:r>
    </w:p>
    <w:p w14:paraId="1FBCDFD9">
      <w:pPr>
        <w:keepNext/>
        <w:keepLines w:val="0"/>
        <w:pageBreakBefore w:val="0"/>
        <w:widowControl w:val="0"/>
        <w:numPr>
          <w:ilvl w:val="1"/>
          <w:numId w:val="22"/>
        </w:numPr>
        <w:tabs>
          <w:tab w:val="left" w:pos="360"/>
        </w:tabs>
        <w:kinsoku/>
        <w:wordWrap/>
        <w:overflowPunct/>
        <w:topLinePunct w:val="0"/>
        <w:autoSpaceDE/>
        <w:autoSpaceDN/>
        <w:bidi w:val="0"/>
        <w:adjustRightInd/>
        <w:snapToGrid w:val="0"/>
        <w:spacing w:beforeAutospacing="0" w:afterAutospacing="0" w:line="460" w:lineRule="exact"/>
        <w:ind w:left="850" w:right="0" w:hanging="567" w:firstLineChars="0"/>
        <w:jc w:val="left"/>
        <w:textAlignment w:val="auto"/>
        <w:outlineLvl w:val="1"/>
        <w:rPr>
          <w:rFonts w:ascii="仿宋" w:eastAsia="仿宋"/>
          <w:bCs/>
          <w:color w:val="auto"/>
          <w:kern w:val="2"/>
          <w:sz w:val="24"/>
          <w:szCs w:val="24"/>
          <w:highlight w:val="none"/>
          <w:lang w:val="en-US"/>
        </w:rPr>
      </w:pPr>
      <w:bookmarkStart w:id="296" w:name="_Toc8183"/>
      <w:r>
        <w:rPr>
          <w:rFonts w:ascii="仿宋" w:eastAsia="仿宋"/>
          <w:bCs/>
          <w:color w:val="auto"/>
          <w:kern w:val="2"/>
          <w:sz w:val="24"/>
          <w:szCs w:val="24"/>
          <w:highlight w:val="none"/>
          <w:lang w:val="en-US"/>
        </w:rPr>
        <w:t>总则</w:t>
      </w:r>
      <w:bookmarkEnd w:id="296"/>
    </w:p>
    <w:p w14:paraId="5E8E2303">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根据《中华人民共和国政府采购法》、《中华人民共和国政府采购法实施条例》、《政府采购货物和服务招标投标管理办法》（财政部令第87号）等法律规章，结合采购项目特点制定本评标办法。</w:t>
      </w:r>
    </w:p>
    <w:p w14:paraId="183B77A5">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采购人或者采购代理机构负责组织评标工作，并履行下列职责：</w:t>
      </w:r>
    </w:p>
    <w:p w14:paraId="6A1FB56B">
      <w:pPr>
        <w:keepLines w:val="0"/>
        <w:pageBreakBefore w:val="0"/>
        <w:widowControl w:val="0"/>
        <w:numPr>
          <w:ilvl w:val="0"/>
          <w:numId w:val="66"/>
        </w:numPr>
        <w:tabs>
          <w:tab w:val="left" w:pos="567"/>
        </w:tabs>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核对评审专家身份和采购人代表授权函，对评审专家在政府采购活动中的职责履行情况予以记录，并及时将有关违法违规行为向财政部门报告；</w:t>
      </w:r>
    </w:p>
    <w:p w14:paraId="0AC607CC">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宣布评标纪律；</w:t>
      </w:r>
    </w:p>
    <w:p w14:paraId="110F9C94">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公布投标人名单，告知评审专家应当回避的情形；</w:t>
      </w:r>
    </w:p>
    <w:p w14:paraId="6397C19C">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组织评标委员会推选评标组长，采购人代表不得担任组长；</w:t>
      </w:r>
    </w:p>
    <w:p w14:paraId="2C9BEFEB">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在评标期间采取必要的通讯管理措施，保证评标活动不受外界干扰；</w:t>
      </w:r>
    </w:p>
    <w:p w14:paraId="53AA2E73">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根据评标委员会的要求介绍政府采购相关政策法规、招标文件；</w:t>
      </w:r>
    </w:p>
    <w:p w14:paraId="52A13A5E">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维护评标秩序，监督评标委员会依照招标文件规定的评标程序、方法和标准进行独立评审，及时制止和纠正采购人代表、评审专家的倾向性言论或者违法违规行为；</w:t>
      </w:r>
    </w:p>
    <w:p w14:paraId="090512EE">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核对评标结果，有</w:t>
      </w:r>
      <w:r>
        <w:rPr>
          <w:rFonts w:ascii="仿宋" w:eastAsia="仿宋"/>
          <w:b w:val="0"/>
          <w:bCs/>
          <w:color w:val="auto"/>
          <w:sz w:val="24"/>
          <w:szCs w:val="24"/>
          <w:highlight w:val="none"/>
        </w:rPr>
        <w:t>中华人民共和国财政部令第87号--政府采购货物和服务招标投标管理办法</w:t>
      </w:r>
      <w:r>
        <w:rPr>
          <w:rFonts w:ascii="仿宋" w:eastAsia="仿宋"/>
          <w:b w:val="0"/>
          <w:color w:val="auto"/>
          <w:sz w:val="24"/>
          <w:szCs w:val="24"/>
          <w:highlight w:val="none"/>
        </w:rPr>
        <w:t>第六十四条规定情形的，要求评标委员会复核或者书面说明理由，评标委员会拒绝的，应予记录并向本级财政部门报告；</w:t>
      </w:r>
    </w:p>
    <w:p w14:paraId="48A24D02">
      <w:pPr>
        <w:keepLines w:val="0"/>
        <w:pageBreakBefore w:val="0"/>
        <w:widowControl w:val="0"/>
        <w:numPr>
          <w:ilvl w:val="0"/>
          <w:numId w:val="66"/>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评审工作完成后，按照规定向评审专家支付劳务报酬和异地评审差旅费，不得向评审专家以外的其他人员支付评审劳务报酬；</w:t>
      </w:r>
    </w:p>
    <w:p w14:paraId="7B54A9CD">
      <w:pPr>
        <w:keepLines w:val="0"/>
        <w:pageBreakBefore w:val="0"/>
        <w:widowControl w:val="0"/>
        <w:numPr>
          <w:ilvl w:val="0"/>
          <w:numId w:val="66"/>
        </w:numPr>
        <w:tabs>
          <w:tab w:val="left" w:pos="851"/>
        </w:tabs>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处理与评标有关的其他事项。</w:t>
      </w:r>
    </w:p>
    <w:p w14:paraId="736B2536">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采购人可以在评标前说明项目背景和采购需求，说明内容不得含有歧视性、倾向性意见，不得超出招标文件所述范围。说明应当提交书面材料，并随招标文件一并存档。</w:t>
      </w:r>
    </w:p>
    <w:p w14:paraId="1456D2E7">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评标工作由采购代理机构负责组织，具体评标事务由依法组建的评标委员会负责。评标委员会由采购人代表和有关技术、经济等方面的专家组成。</w:t>
      </w:r>
    </w:p>
    <w:p w14:paraId="3B693A34">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评标工作应遵循公平、公正、科学及择优的原则，并以相同的评标程序和标准对待所有的投标人。</w:t>
      </w:r>
    </w:p>
    <w:p w14:paraId="65CD7225">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评标委员会负责具体评标事务，并独立履行下列职责：</w:t>
      </w:r>
    </w:p>
    <w:p w14:paraId="2DDC540C">
      <w:pPr>
        <w:keepLines w:val="0"/>
        <w:pageBreakBefore w:val="0"/>
        <w:widowControl w:val="0"/>
        <w:numPr>
          <w:ilvl w:val="0"/>
          <w:numId w:val="67"/>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审查、评价投标文件是否符合招标文件的商务、技术等实质性要求；</w:t>
      </w:r>
    </w:p>
    <w:p w14:paraId="551F032C">
      <w:pPr>
        <w:keepLines w:val="0"/>
        <w:pageBreakBefore w:val="0"/>
        <w:widowControl w:val="0"/>
        <w:numPr>
          <w:ilvl w:val="0"/>
          <w:numId w:val="67"/>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要求投标人对投标文件有关事项作出澄清或者说明；</w:t>
      </w:r>
    </w:p>
    <w:p w14:paraId="307A6C83">
      <w:pPr>
        <w:keepLines w:val="0"/>
        <w:pageBreakBefore w:val="0"/>
        <w:widowControl w:val="0"/>
        <w:numPr>
          <w:ilvl w:val="0"/>
          <w:numId w:val="67"/>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对投标文件进行比较和评价；</w:t>
      </w:r>
    </w:p>
    <w:p w14:paraId="3DF70D1D">
      <w:pPr>
        <w:keepLines w:val="0"/>
        <w:pageBreakBefore w:val="0"/>
        <w:widowControl w:val="0"/>
        <w:numPr>
          <w:ilvl w:val="0"/>
          <w:numId w:val="67"/>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确定中标候选人名单，以及根据采购人委托（若有）直接确定中标人；</w:t>
      </w:r>
    </w:p>
    <w:p w14:paraId="144D3277">
      <w:pPr>
        <w:keepLines w:val="0"/>
        <w:pageBreakBefore w:val="0"/>
        <w:widowControl w:val="0"/>
        <w:numPr>
          <w:ilvl w:val="0"/>
          <w:numId w:val="67"/>
        </w:numPr>
        <w:kinsoku/>
        <w:wordWrap/>
        <w:overflowPunct/>
        <w:topLinePunct w:val="0"/>
        <w:autoSpaceDE/>
        <w:autoSpaceDN/>
        <w:bidi w:val="0"/>
        <w:adjustRightInd/>
        <w:snapToGrid w:val="0"/>
        <w:spacing w:beforeAutospacing="0" w:afterAutospacing="0" w:line="460" w:lineRule="exact"/>
        <w:ind w:left="0" w:right="0" w:firstLine="480" w:firstLineChars="200"/>
        <w:textAlignment w:val="auto"/>
        <w:rPr>
          <w:rFonts w:ascii="仿宋" w:eastAsia="仿宋"/>
          <w:b w:val="0"/>
          <w:color w:val="auto"/>
          <w:sz w:val="24"/>
          <w:szCs w:val="24"/>
          <w:highlight w:val="none"/>
        </w:rPr>
      </w:pPr>
      <w:r>
        <w:rPr>
          <w:rFonts w:ascii="仿宋" w:eastAsia="仿宋"/>
          <w:b w:val="0"/>
          <w:color w:val="auto"/>
          <w:sz w:val="24"/>
          <w:szCs w:val="24"/>
          <w:highlight w:val="none"/>
        </w:rPr>
        <w:t>向采购人、采购代理机构或者有关部门报告评标中发现的违法行为。</w:t>
      </w:r>
    </w:p>
    <w:p w14:paraId="636721A4">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评标过程独立、保密。投标人非法干预评标过程的行为将导致其投标文件作为无效处理。</w:t>
      </w:r>
    </w:p>
    <w:p w14:paraId="41CABAEE">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评标委员会评价投标文件的响应性，对于投标人而言，除评标委员会要求其澄清、说明或者更正而提供的资料外，仅依据投标文件本身的内容，而不寻求外部的证据。</w:t>
      </w:r>
    </w:p>
    <w:p w14:paraId="696E4D74">
      <w:pPr>
        <w:keepNext/>
        <w:keepLines w:val="0"/>
        <w:pageBreakBefore w:val="0"/>
        <w:widowControl w:val="0"/>
        <w:numPr>
          <w:ilvl w:val="1"/>
          <w:numId w:val="22"/>
        </w:numPr>
        <w:tabs>
          <w:tab w:val="left" w:pos="360"/>
        </w:tabs>
        <w:kinsoku/>
        <w:wordWrap/>
        <w:overflowPunct/>
        <w:topLinePunct w:val="0"/>
        <w:autoSpaceDE/>
        <w:autoSpaceDN/>
        <w:bidi w:val="0"/>
        <w:adjustRightInd/>
        <w:snapToGrid w:val="0"/>
        <w:spacing w:beforeAutospacing="0" w:afterAutospacing="0" w:line="460" w:lineRule="exact"/>
        <w:ind w:left="850" w:right="0" w:hanging="567" w:firstLineChars="0"/>
        <w:jc w:val="left"/>
        <w:textAlignment w:val="auto"/>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297" w:name="_Toc9195"/>
      <w:r>
        <w:rPr>
          <w:rFonts w:ascii="仿宋" w:eastAsia="仿宋"/>
          <w:bCs/>
          <w:color w:val="auto"/>
          <w:kern w:val="2"/>
          <w:sz w:val="24"/>
          <w:szCs w:val="24"/>
          <w:highlight w:val="none"/>
          <w:lang w:val="en-US"/>
        </w:rPr>
        <w:t>评标方法</w:t>
      </w:r>
      <w:bookmarkEnd w:id="297"/>
    </w:p>
    <w:p w14:paraId="08BDB88D">
      <w:pPr>
        <w:keepLines w:val="0"/>
        <w:pageBreakBefore w:val="0"/>
        <w:widowControl w:val="0"/>
        <w:kinsoku/>
        <w:wordWrap/>
        <w:overflowPunct/>
        <w:topLinePunct w:val="0"/>
        <w:autoSpaceDE/>
        <w:autoSpaceDN/>
        <w:bidi w:val="0"/>
        <w:adjustRightInd/>
        <w:snapToGrid w:val="0"/>
        <w:spacing w:beforeAutospacing="0" w:afterAutospacing="0" w:line="460" w:lineRule="exact"/>
        <w:ind w:left="0" w:right="0"/>
        <w:textAlignment w:val="auto"/>
        <w:rPr>
          <w:rFonts w:ascii="仿宋" w:eastAsia="仿宋"/>
          <w:b w:val="0"/>
          <w:color w:val="auto"/>
          <w:sz w:val="24"/>
          <w:szCs w:val="24"/>
          <w:highlight w:val="none"/>
        </w:rPr>
      </w:pPr>
      <w:r>
        <w:rPr>
          <w:rFonts w:ascii="仿宋" w:eastAsia="仿宋"/>
          <w:b w:val="0"/>
          <w:color w:val="auto"/>
          <w:sz w:val="24"/>
          <w:szCs w:val="24"/>
          <w:highlight w:val="none"/>
        </w:rPr>
        <w:t>本项目评标方法为：综合评分法。</w:t>
      </w:r>
    </w:p>
    <w:p w14:paraId="0A8E402C">
      <w:pPr>
        <w:keepNext/>
        <w:keepLines w:val="0"/>
        <w:pageBreakBefore w:val="0"/>
        <w:widowControl w:val="0"/>
        <w:numPr>
          <w:ilvl w:val="1"/>
          <w:numId w:val="22"/>
        </w:numPr>
        <w:tabs>
          <w:tab w:val="left" w:pos="360"/>
        </w:tabs>
        <w:kinsoku/>
        <w:wordWrap/>
        <w:overflowPunct/>
        <w:topLinePunct w:val="0"/>
        <w:autoSpaceDE/>
        <w:autoSpaceDN/>
        <w:bidi w:val="0"/>
        <w:adjustRightInd/>
        <w:snapToGrid w:val="0"/>
        <w:spacing w:beforeAutospacing="0" w:afterAutospacing="0" w:line="460" w:lineRule="exact"/>
        <w:ind w:left="850" w:right="0" w:hanging="567" w:firstLineChars="0"/>
        <w:jc w:val="left"/>
        <w:textAlignment w:val="auto"/>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298" w:name="_Toc8422"/>
      <w:r>
        <w:rPr>
          <w:rFonts w:ascii="仿宋" w:eastAsia="仿宋"/>
          <w:bCs/>
          <w:color w:val="auto"/>
          <w:kern w:val="2"/>
          <w:sz w:val="24"/>
          <w:szCs w:val="24"/>
          <w:highlight w:val="none"/>
          <w:lang w:val="en-US"/>
        </w:rPr>
        <w:t>评标程序</w:t>
      </w:r>
      <w:bookmarkEnd w:id="298"/>
    </w:p>
    <w:p w14:paraId="77C1B15A">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60" w:lineRule="exact"/>
        <w:ind w:left="850" w:right="0" w:hanging="567" w:firstLineChars="0"/>
        <w:jc w:val="left"/>
        <w:textAlignment w:val="auto"/>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采购人或者采购代理机构依法对投标人递交的资格</w:t>
      </w:r>
      <w:r>
        <w:rPr>
          <w:rFonts w:hint="eastAsia" w:ascii="仿宋" w:eastAsia="仿宋"/>
          <w:bCs/>
          <w:color w:val="auto"/>
          <w:kern w:val="2"/>
          <w:sz w:val="24"/>
          <w:szCs w:val="24"/>
          <w:highlight w:val="none"/>
          <w:lang w:val="en-US" w:eastAsia="zh-CN"/>
        </w:rPr>
        <w:t>证明</w:t>
      </w:r>
      <w:r>
        <w:rPr>
          <w:rFonts w:ascii="仿宋" w:eastAsia="仿宋"/>
          <w:bCs/>
          <w:color w:val="auto"/>
          <w:kern w:val="2"/>
          <w:sz w:val="24"/>
          <w:szCs w:val="24"/>
          <w:highlight w:val="none"/>
          <w:lang w:val="en-US"/>
        </w:rPr>
        <w:t>文件按第</w:t>
      </w:r>
      <w:r>
        <w:rPr>
          <w:rFonts w:hint="eastAsia" w:ascii="仿宋" w:eastAsia="仿宋"/>
          <w:bCs/>
          <w:color w:val="auto"/>
          <w:kern w:val="2"/>
          <w:sz w:val="24"/>
          <w:szCs w:val="24"/>
          <w:highlight w:val="none"/>
          <w:lang w:val="en-US" w:eastAsia="zh-CN"/>
        </w:rPr>
        <w:t>3</w:t>
      </w:r>
      <w:r>
        <w:rPr>
          <w:rFonts w:ascii="仿宋" w:eastAsia="仿宋"/>
          <w:bCs/>
          <w:color w:val="auto"/>
          <w:kern w:val="2"/>
          <w:sz w:val="24"/>
          <w:szCs w:val="24"/>
          <w:highlight w:val="none"/>
          <w:lang w:val="en-US"/>
        </w:rPr>
        <w:t>章要求进行资格审查</w:t>
      </w:r>
      <w:r>
        <w:rPr>
          <w:rFonts w:hint="eastAsia" w:ascii="仿宋" w:eastAsia="仿宋"/>
          <w:bCs/>
          <w:color w:val="auto"/>
          <w:kern w:val="2"/>
          <w:sz w:val="24"/>
          <w:szCs w:val="24"/>
          <w:highlight w:val="none"/>
          <w:lang w:val="en-US" w:eastAsia="zh-CN"/>
        </w:rPr>
        <w:t xml:space="preserve">    </w:t>
      </w:r>
    </w:p>
    <w:p w14:paraId="7871EAFE">
      <w:pPr>
        <w:keepLines w:val="0"/>
        <w:pageBreakBefore w:val="0"/>
        <w:widowControl w:val="0"/>
        <w:numPr>
          <w:ilvl w:val="3"/>
          <w:numId w:val="22"/>
        </w:numPr>
        <w:tabs>
          <w:tab w:val="left" w:pos="360"/>
        </w:tabs>
        <w:kinsoku/>
        <w:wordWrap/>
        <w:overflowPunct/>
        <w:topLinePunct w:val="0"/>
        <w:autoSpaceDE/>
        <w:autoSpaceDN/>
        <w:bidi w:val="0"/>
        <w:adjustRightInd/>
        <w:snapToGrid/>
        <w:spacing w:beforeAutospacing="0" w:afterAutospacing="0" w:line="460" w:lineRule="exact"/>
        <w:ind w:left="0" w:right="0" w:firstLine="283" w:firstLineChars="0"/>
        <w:jc w:val="left"/>
        <w:textAlignment w:val="auto"/>
        <w:outlineLvl w:val="3"/>
        <w:rPr>
          <w:rFonts w:ascii="仿宋" w:eastAsia="仿宋"/>
          <w:bCs/>
          <w:color w:val="auto"/>
          <w:kern w:val="2"/>
          <w:sz w:val="24"/>
          <w:szCs w:val="24"/>
          <w:highlight w:val="none"/>
          <w:lang w:val="en-US"/>
        </w:rPr>
      </w:pPr>
      <w:r>
        <w:rPr>
          <w:rFonts w:hint="eastAsia" w:ascii="仿宋" w:eastAsia="仿宋"/>
          <w:bCs/>
          <w:color w:val="auto"/>
          <w:kern w:val="2"/>
          <w:sz w:val="24"/>
          <w:szCs w:val="24"/>
          <w:highlight w:val="none"/>
          <w:lang w:val="en-US" w:eastAsia="zh-CN"/>
        </w:rPr>
        <w:t xml:space="preserve"> 资格审查表</w:t>
      </w:r>
      <w:r>
        <w:rPr>
          <w:rFonts w:ascii="仿宋" w:eastAsia="仿宋"/>
          <w:bCs/>
          <w:color w:val="auto"/>
          <w:kern w:val="2"/>
          <w:sz w:val="24"/>
          <w:szCs w:val="24"/>
          <w:highlight w:val="none"/>
          <w:lang w:val="en-US"/>
        </w:rPr>
        <w:t>（仅限资格</w:t>
      </w:r>
      <w:r>
        <w:rPr>
          <w:rFonts w:hint="eastAsia" w:ascii="仿宋" w:eastAsia="仿宋"/>
          <w:bCs/>
          <w:color w:val="auto"/>
          <w:kern w:val="2"/>
          <w:sz w:val="24"/>
          <w:szCs w:val="24"/>
          <w:highlight w:val="none"/>
          <w:lang w:val="en-US" w:eastAsia="zh-CN"/>
        </w:rPr>
        <w:t>证明</w:t>
      </w:r>
      <w:r>
        <w:rPr>
          <w:rFonts w:ascii="仿宋" w:eastAsia="仿宋"/>
          <w:bCs/>
          <w:color w:val="auto"/>
          <w:kern w:val="2"/>
          <w:sz w:val="24"/>
          <w:szCs w:val="24"/>
          <w:highlight w:val="none"/>
          <w:lang w:val="en-US"/>
        </w:rPr>
        <w:t>文件）</w:t>
      </w:r>
      <w:r>
        <w:rPr>
          <w:rFonts w:hint="eastAsia" w:ascii="仿宋" w:eastAsia="仿宋"/>
          <w:bCs/>
          <w:color w:val="auto"/>
          <w:kern w:val="2"/>
          <w:sz w:val="24"/>
          <w:szCs w:val="24"/>
          <w:highlight w:val="none"/>
          <w:lang w:val="en-US" w:eastAsia="zh-CN"/>
        </w:rPr>
        <w:t xml:space="preserve">     </w:t>
      </w:r>
    </w:p>
    <w:tbl>
      <w:tblPr>
        <w:tblStyle w:val="80"/>
        <w:tblW w:w="97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97"/>
        <w:gridCol w:w="5531"/>
        <w:gridCol w:w="1411"/>
      </w:tblGrid>
      <w:tr w14:paraId="437BB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648C1239">
            <w:pPr>
              <w:snapToGrid/>
              <w:spacing w:line="240" w:lineRule="auto"/>
              <w:ind w:firstLine="0" w:firstLineChars="0"/>
              <w:jc w:val="center"/>
              <w:rPr>
                <w:rFonts w:ascii="仿宋" w:eastAsia="仿宋"/>
                <w:color w:val="auto"/>
                <w:sz w:val="24"/>
                <w:szCs w:val="24"/>
              </w:rPr>
            </w:pPr>
            <w:r>
              <w:rPr>
                <w:rFonts w:ascii="仿宋" w:eastAsia="仿宋"/>
                <w:color w:val="auto"/>
                <w:sz w:val="24"/>
                <w:szCs w:val="24"/>
              </w:rPr>
              <w:t>评审因素</w:t>
            </w:r>
          </w:p>
        </w:tc>
        <w:tc>
          <w:tcPr>
            <w:tcW w:w="5531" w:type="dxa"/>
            <w:tcBorders>
              <w:tl2br w:val="nil"/>
              <w:tr2bl w:val="nil"/>
            </w:tcBorders>
            <w:vAlign w:val="center"/>
          </w:tcPr>
          <w:p w14:paraId="097B548E">
            <w:pPr>
              <w:snapToGrid/>
              <w:spacing w:line="240" w:lineRule="auto"/>
              <w:ind w:firstLine="0" w:firstLineChars="0"/>
              <w:jc w:val="center"/>
              <w:rPr>
                <w:rFonts w:ascii="仿宋" w:eastAsia="仿宋"/>
                <w:color w:val="auto"/>
                <w:sz w:val="24"/>
                <w:szCs w:val="24"/>
                <w:highlight w:val="none"/>
                <w:lang w:val="en-US" w:eastAsia="zh-CN"/>
              </w:rPr>
            </w:pPr>
            <w:r>
              <w:rPr>
                <w:rFonts w:hint="eastAsia" w:ascii="仿宋" w:eastAsia="仿宋"/>
                <w:color w:val="auto"/>
                <w:sz w:val="24"/>
                <w:szCs w:val="24"/>
                <w:highlight w:val="none"/>
                <w:lang w:val="en-US" w:eastAsia="zh-CN"/>
              </w:rPr>
              <w:t>评审标准</w:t>
            </w:r>
          </w:p>
        </w:tc>
        <w:tc>
          <w:tcPr>
            <w:tcW w:w="1411" w:type="dxa"/>
            <w:tcBorders>
              <w:tl2br w:val="nil"/>
              <w:tr2bl w:val="nil"/>
            </w:tcBorders>
            <w:vAlign w:val="center"/>
          </w:tcPr>
          <w:p w14:paraId="28167E09">
            <w:pPr>
              <w:snapToGrid/>
              <w:spacing w:line="240" w:lineRule="auto"/>
              <w:ind w:firstLine="0" w:firstLineChars="0"/>
              <w:jc w:val="both"/>
              <w:rPr>
                <w:rFonts w:hint="eastAsia" w:ascii="仿宋" w:eastAsia="仿宋"/>
                <w:color w:val="auto"/>
                <w:sz w:val="24"/>
                <w:szCs w:val="24"/>
                <w:lang w:val="en-US" w:eastAsia="zh-CN"/>
              </w:rPr>
            </w:pPr>
            <w:r>
              <w:rPr>
                <w:rFonts w:hint="eastAsia" w:ascii="仿宋" w:eastAsia="仿宋"/>
                <w:color w:val="auto"/>
                <w:sz w:val="24"/>
                <w:szCs w:val="24"/>
                <w:lang w:val="en-US" w:eastAsia="zh-CN"/>
              </w:rPr>
              <w:t>评审意见/</w:t>
            </w:r>
          </w:p>
          <w:p w14:paraId="7F2001CA">
            <w:pPr>
              <w:snapToGrid/>
              <w:spacing w:line="240" w:lineRule="auto"/>
              <w:ind w:firstLine="0" w:firstLineChars="0"/>
              <w:jc w:val="both"/>
              <w:rPr>
                <w:rFonts w:ascii="仿宋" w:eastAsia="仿宋"/>
                <w:color w:val="auto"/>
                <w:sz w:val="24"/>
                <w:szCs w:val="24"/>
                <w:lang w:val="en-US" w:eastAsia="zh-CN"/>
              </w:rPr>
            </w:pPr>
            <w:r>
              <w:rPr>
                <w:rFonts w:hint="eastAsia" w:ascii="仿宋" w:eastAsia="仿宋"/>
                <w:color w:val="auto"/>
                <w:sz w:val="24"/>
                <w:szCs w:val="24"/>
                <w:lang w:val="en-US" w:eastAsia="zh-CN"/>
              </w:rPr>
              <w:t>是否合格</w:t>
            </w:r>
          </w:p>
        </w:tc>
      </w:tr>
      <w:tr w14:paraId="63559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1E2303C0">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highlight w:val="none"/>
              </w:rPr>
              <w:t>具有独立承担民事责任能力的证明材料复印件</w:t>
            </w:r>
          </w:p>
        </w:tc>
        <w:tc>
          <w:tcPr>
            <w:tcW w:w="5531" w:type="dxa"/>
            <w:tcBorders>
              <w:tl2br w:val="nil"/>
              <w:tr2bl w:val="nil"/>
            </w:tcBorders>
            <w:vAlign w:val="center"/>
          </w:tcPr>
          <w:p w14:paraId="5494B8DA">
            <w:pPr>
              <w:spacing w:line="240" w:lineRule="auto"/>
              <w:ind w:firstLine="0" w:firstLineChars="0"/>
              <w:jc w:val="left"/>
              <w:rPr>
                <w:rFonts w:ascii="仿宋" w:eastAsia="仿宋"/>
                <w:b w:val="0"/>
                <w:color w:val="auto"/>
                <w:sz w:val="24"/>
                <w:szCs w:val="24"/>
                <w:highlight w:val="none"/>
                <w:lang w:val="en-US"/>
              </w:rPr>
            </w:pPr>
            <w:r>
              <w:rPr>
                <w:rFonts w:hint="eastAsia" w:ascii="仿宋" w:eastAsia="仿宋"/>
                <w:b w:val="0"/>
                <w:color w:val="auto"/>
                <w:sz w:val="24"/>
                <w:szCs w:val="24"/>
                <w:highlight w:val="none"/>
                <w:lang w:val="en-US"/>
              </w:rPr>
              <w:t>具有法人或其他组织的营业执照（或法人证书）或执业许可证明材料；自然人的则为身份证明材料；（需在有效期内，加盖供应商公章）</w:t>
            </w:r>
          </w:p>
        </w:tc>
        <w:tc>
          <w:tcPr>
            <w:tcW w:w="1411" w:type="dxa"/>
            <w:tcBorders>
              <w:tl2br w:val="nil"/>
              <w:tr2bl w:val="nil"/>
            </w:tcBorders>
            <w:vAlign w:val="center"/>
          </w:tcPr>
          <w:p w14:paraId="6B4F6A5F">
            <w:pPr>
              <w:spacing w:line="240" w:lineRule="auto"/>
              <w:ind w:firstLine="0" w:firstLineChars="0"/>
              <w:jc w:val="left"/>
              <w:rPr>
                <w:rFonts w:ascii="仿宋" w:eastAsia="仿宋"/>
                <w:b w:val="0"/>
                <w:color w:val="auto"/>
                <w:sz w:val="24"/>
                <w:szCs w:val="24"/>
                <w:lang w:val="en-US"/>
              </w:rPr>
            </w:pPr>
          </w:p>
        </w:tc>
      </w:tr>
      <w:tr w14:paraId="1F745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7E6E524A">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lang w:val="en-US"/>
              </w:rPr>
              <w:t>良好的商业信誉和财务</w:t>
            </w:r>
            <w:r>
              <w:rPr>
                <w:rFonts w:hint="eastAsia" w:ascii="仿宋" w:eastAsia="仿宋"/>
                <w:b w:val="0"/>
                <w:color w:val="auto"/>
                <w:sz w:val="24"/>
                <w:szCs w:val="24"/>
                <w:lang w:val="en-US"/>
              </w:rPr>
              <w:t>会计制度的</w:t>
            </w:r>
            <w:r>
              <w:rPr>
                <w:rFonts w:ascii="仿宋" w:eastAsia="仿宋"/>
                <w:b w:val="0"/>
                <w:color w:val="auto"/>
                <w:sz w:val="24"/>
                <w:szCs w:val="24"/>
                <w:lang w:val="en-US"/>
              </w:rPr>
              <w:t>证明材料</w:t>
            </w:r>
          </w:p>
        </w:tc>
        <w:tc>
          <w:tcPr>
            <w:tcW w:w="5531" w:type="dxa"/>
            <w:tcBorders>
              <w:tl2br w:val="nil"/>
              <w:tr2bl w:val="nil"/>
            </w:tcBorders>
            <w:vAlign w:val="center"/>
          </w:tcPr>
          <w:p w14:paraId="437CB8F2">
            <w:pPr>
              <w:spacing w:line="240" w:lineRule="auto"/>
              <w:ind w:firstLine="0" w:firstLineChars="0"/>
              <w:jc w:val="left"/>
              <w:rPr>
                <w:rFonts w:hint="eastAsia" w:ascii="仿宋" w:eastAsia="仿宋"/>
                <w:b w:val="0"/>
                <w:color w:val="auto"/>
                <w:sz w:val="24"/>
                <w:szCs w:val="24"/>
                <w:highlight w:val="none"/>
                <w:lang w:val="en-US"/>
              </w:rPr>
            </w:pPr>
            <w:r>
              <w:rPr>
                <w:rFonts w:hint="eastAsia" w:ascii="仿宋" w:eastAsia="仿宋"/>
                <w:b w:val="0"/>
                <w:color w:val="auto"/>
                <w:sz w:val="24"/>
                <w:szCs w:val="24"/>
                <w:highlight w:val="none"/>
                <w:lang w:val="en-US"/>
              </w:rPr>
              <w:t>具有良好的商业信誉和健全的财务会计制度的证明材料（加盖投标人公章)：</w:t>
            </w:r>
          </w:p>
          <w:p w14:paraId="6DCBFB58">
            <w:pPr>
              <w:spacing w:line="240" w:lineRule="auto"/>
              <w:ind w:firstLine="0" w:firstLineChars="0"/>
              <w:jc w:val="left"/>
              <w:rPr>
                <w:rFonts w:hint="eastAsia" w:ascii="仿宋" w:eastAsia="仿宋"/>
                <w:b w:val="0"/>
                <w:color w:val="auto"/>
                <w:sz w:val="24"/>
                <w:szCs w:val="24"/>
                <w:highlight w:val="none"/>
                <w:lang w:val="en-US"/>
              </w:rPr>
            </w:pPr>
            <w:r>
              <w:rPr>
                <w:rFonts w:hint="eastAsia" w:ascii="仿宋" w:eastAsia="仿宋"/>
                <w:b w:val="0"/>
                <w:color w:val="auto"/>
                <w:sz w:val="24"/>
                <w:szCs w:val="24"/>
                <w:highlight w:val="none"/>
                <w:lang w:val="en-US"/>
              </w:rPr>
              <w:t xml:space="preserve">（1）提供具有良好的商业信誉承诺函原件； </w:t>
            </w:r>
          </w:p>
          <w:p w14:paraId="6FA6F0AC">
            <w:pPr>
              <w:spacing w:line="240" w:lineRule="auto"/>
              <w:ind w:firstLine="0" w:firstLineChars="0"/>
              <w:jc w:val="left"/>
              <w:rPr>
                <w:rFonts w:ascii="仿宋" w:eastAsia="仿宋"/>
                <w:b w:val="0"/>
                <w:color w:val="auto"/>
                <w:sz w:val="24"/>
                <w:szCs w:val="24"/>
                <w:highlight w:val="none"/>
                <w:lang w:val="en-US"/>
              </w:rPr>
            </w:pPr>
            <w:r>
              <w:rPr>
                <w:rFonts w:hint="eastAsia" w:ascii="仿宋" w:eastAsia="仿宋"/>
                <w:b w:val="0"/>
                <w:color w:val="auto"/>
                <w:sz w:val="24"/>
                <w:szCs w:val="24"/>
                <w:highlight w:val="none"/>
                <w:lang w:val="en-US"/>
              </w:rPr>
              <w:t>（2）财务状况报告：①202</w:t>
            </w:r>
            <w:r>
              <w:rPr>
                <w:rFonts w:hint="eastAsia" w:ascii="仿宋" w:eastAsia="仿宋"/>
                <w:b w:val="0"/>
                <w:color w:val="auto"/>
                <w:sz w:val="24"/>
                <w:szCs w:val="24"/>
                <w:highlight w:val="none"/>
                <w:lang w:val="en-US" w:eastAsia="zh-CN"/>
              </w:rPr>
              <w:t>4</w:t>
            </w:r>
            <w:r>
              <w:rPr>
                <w:rFonts w:hint="eastAsia" w:ascii="仿宋" w:eastAsia="仿宋"/>
                <w:b w:val="0"/>
                <w:color w:val="auto"/>
                <w:sz w:val="24"/>
                <w:szCs w:val="24"/>
                <w:highlight w:val="none"/>
                <w:lang w:val="en-US"/>
              </w:rPr>
              <w:t>年度或202</w:t>
            </w:r>
            <w:r>
              <w:rPr>
                <w:rFonts w:hint="eastAsia" w:ascii="仿宋" w:eastAsia="仿宋"/>
                <w:b w:val="0"/>
                <w:color w:val="auto"/>
                <w:sz w:val="24"/>
                <w:szCs w:val="24"/>
                <w:highlight w:val="none"/>
                <w:lang w:val="en-US" w:eastAsia="zh-CN"/>
              </w:rPr>
              <w:t>5</w:t>
            </w:r>
            <w:r>
              <w:rPr>
                <w:rFonts w:hint="eastAsia" w:ascii="仿宋" w:eastAsia="仿宋"/>
                <w:b w:val="0"/>
                <w:color w:val="auto"/>
                <w:sz w:val="24"/>
                <w:szCs w:val="24"/>
                <w:highlight w:val="none"/>
                <w:lang w:val="en-US"/>
              </w:rPr>
              <w:t>年度经审计的财务报告（包含审计报告和审计报告中所涉及的财务报表、报表附注和出具报告机构、人员的证照）复印件或银行出具的资信证明复印件；②提供具有良好的财务会计制度或财务会计制度承诺函原件；注：以上①②必须同时提供；</w:t>
            </w:r>
          </w:p>
        </w:tc>
        <w:tc>
          <w:tcPr>
            <w:tcW w:w="1411" w:type="dxa"/>
            <w:tcBorders>
              <w:tl2br w:val="nil"/>
              <w:tr2bl w:val="nil"/>
            </w:tcBorders>
            <w:vAlign w:val="center"/>
          </w:tcPr>
          <w:p w14:paraId="2FBAD602">
            <w:pPr>
              <w:spacing w:line="240" w:lineRule="auto"/>
              <w:ind w:firstLine="0" w:firstLineChars="0"/>
              <w:jc w:val="left"/>
              <w:rPr>
                <w:rFonts w:ascii="仿宋" w:eastAsia="仿宋"/>
                <w:b w:val="0"/>
                <w:color w:val="auto"/>
                <w:sz w:val="24"/>
                <w:szCs w:val="24"/>
                <w:lang w:val="en-US"/>
              </w:rPr>
            </w:pPr>
          </w:p>
        </w:tc>
      </w:tr>
      <w:tr w14:paraId="18D0C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5665E615">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lang w:val="en-US"/>
              </w:rPr>
              <w:t>具备履行合同所必需的设备和专业技术能力的证明材料</w:t>
            </w:r>
          </w:p>
        </w:tc>
        <w:tc>
          <w:tcPr>
            <w:tcW w:w="5531" w:type="dxa"/>
            <w:tcBorders>
              <w:tl2br w:val="nil"/>
              <w:tr2bl w:val="nil"/>
            </w:tcBorders>
            <w:vAlign w:val="center"/>
          </w:tcPr>
          <w:p w14:paraId="2CD23B15">
            <w:pPr>
              <w:spacing w:line="240" w:lineRule="auto"/>
              <w:ind w:firstLine="0" w:firstLineChars="0"/>
              <w:jc w:val="left"/>
              <w:rPr>
                <w:rFonts w:ascii="仿宋" w:eastAsia="仿宋"/>
                <w:b w:val="0"/>
                <w:color w:val="auto"/>
                <w:sz w:val="24"/>
                <w:szCs w:val="24"/>
                <w:highlight w:val="none"/>
                <w:lang w:val="en-US"/>
              </w:rPr>
            </w:pPr>
            <w:r>
              <w:rPr>
                <w:rFonts w:ascii="仿宋" w:eastAsia="仿宋"/>
                <w:b w:val="0"/>
                <w:color w:val="auto"/>
                <w:sz w:val="24"/>
                <w:szCs w:val="24"/>
                <w:highlight w:val="none"/>
              </w:rPr>
              <w:t>具备履行合同所必需的设备和专业技术能力的证明材料</w:t>
            </w:r>
            <w:r>
              <w:rPr>
                <w:rFonts w:hint="eastAsia" w:ascii="仿宋" w:eastAsia="仿宋"/>
                <w:b w:val="0"/>
                <w:color w:val="auto"/>
                <w:sz w:val="24"/>
                <w:szCs w:val="24"/>
                <w:highlight w:val="none"/>
              </w:rPr>
              <w:t>（</w:t>
            </w:r>
            <w:r>
              <w:rPr>
                <w:rFonts w:ascii="仿宋" w:eastAsia="仿宋"/>
                <w:b w:val="0"/>
                <w:color w:val="auto"/>
                <w:sz w:val="24"/>
                <w:szCs w:val="24"/>
                <w:highlight w:val="none"/>
              </w:rPr>
              <w:t>承诺函原件加盖投标人公章</w:t>
            </w:r>
            <w:r>
              <w:rPr>
                <w:rFonts w:hint="eastAsia" w:ascii="仿宋" w:eastAsia="仿宋"/>
                <w:b w:val="0"/>
                <w:color w:val="auto"/>
                <w:sz w:val="24"/>
                <w:szCs w:val="24"/>
                <w:highlight w:val="none"/>
              </w:rPr>
              <w:t>）</w:t>
            </w:r>
            <w:r>
              <w:rPr>
                <w:rFonts w:ascii="仿宋" w:eastAsia="仿宋"/>
                <w:b w:val="0"/>
                <w:color w:val="auto"/>
                <w:sz w:val="24"/>
                <w:szCs w:val="24"/>
                <w:highlight w:val="none"/>
              </w:rPr>
              <w:t>；</w:t>
            </w:r>
          </w:p>
        </w:tc>
        <w:tc>
          <w:tcPr>
            <w:tcW w:w="1411" w:type="dxa"/>
            <w:tcBorders>
              <w:tl2br w:val="nil"/>
              <w:tr2bl w:val="nil"/>
            </w:tcBorders>
            <w:vAlign w:val="center"/>
          </w:tcPr>
          <w:p w14:paraId="22DD8098">
            <w:pPr>
              <w:spacing w:line="240" w:lineRule="auto"/>
              <w:ind w:firstLine="0" w:firstLineChars="0"/>
              <w:jc w:val="left"/>
              <w:rPr>
                <w:rFonts w:ascii="仿宋" w:eastAsia="仿宋"/>
                <w:b w:val="0"/>
                <w:color w:val="auto"/>
                <w:sz w:val="24"/>
                <w:szCs w:val="24"/>
                <w:lang w:val="en-US"/>
              </w:rPr>
            </w:pPr>
          </w:p>
        </w:tc>
      </w:tr>
      <w:tr w14:paraId="4423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1E95F445">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lang w:val="en-US"/>
              </w:rPr>
              <w:t>依法缴纳税收和社会保障资金的相关材料</w:t>
            </w:r>
          </w:p>
        </w:tc>
        <w:tc>
          <w:tcPr>
            <w:tcW w:w="5531" w:type="dxa"/>
            <w:tcBorders>
              <w:tl2br w:val="nil"/>
              <w:tr2bl w:val="nil"/>
            </w:tcBorders>
            <w:vAlign w:val="center"/>
          </w:tcPr>
          <w:p w14:paraId="29C91B1E">
            <w:pPr>
              <w:spacing w:line="240" w:lineRule="auto"/>
              <w:ind w:firstLine="0" w:firstLineChars="0"/>
              <w:jc w:val="left"/>
              <w:rPr>
                <w:rFonts w:hint="eastAsia" w:ascii="仿宋" w:eastAsia="仿宋"/>
                <w:b w:val="0"/>
                <w:color w:val="auto"/>
                <w:sz w:val="24"/>
                <w:szCs w:val="24"/>
                <w:highlight w:val="none"/>
                <w:lang w:val="en-US" w:eastAsia="zh-CN"/>
              </w:rPr>
            </w:pPr>
            <w:r>
              <w:rPr>
                <w:rFonts w:hint="eastAsia" w:ascii="仿宋" w:eastAsia="仿宋"/>
                <w:b w:val="0"/>
                <w:color w:val="auto"/>
                <w:sz w:val="24"/>
                <w:szCs w:val="24"/>
                <w:highlight w:val="none"/>
                <w:lang w:val="en-US" w:eastAsia="zh-CN"/>
              </w:rPr>
              <w:t>具有依法缴纳税收和社会保障资金的良好记录的相关材料（①加盖投标人公章；②采购活动结束后，采购代理机构将通过信用中国等网站核实投标人所作承诺真实性）：</w:t>
            </w:r>
          </w:p>
          <w:p w14:paraId="04361721">
            <w:pPr>
              <w:spacing w:line="240" w:lineRule="auto"/>
              <w:ind w:firstLine="0" w:firstLineChars="0"/>
              <w:jc w:val="left"/>
              <w:rPr>
                <w:rFonts w:hint="eastAsia" w:ascii="仿宋" w:eastAsia="仿宋"/>
                <w:b w:val="0"/>
                <w:color w:val="auto"/>
                <w:sz w:val="24"/>
                <w:szCs w:val="24"/>
                <w:highlight w:val="none"/>
                <w:lang w:val="en-US" w:eastAsia="zh-CN"/>
              </w:rPr>
            </w:pPr>
            <w:r>
              <w:rPr>
                <w:rFonts w:hint="eastAsia" w:ascii="仿宋" w:eastAsia="仿宋"/>
                <w:b w:val="0"/>
                <w:color w:val="auto"/>
                <w:sz w:val="24"/>
                <w:szCs w:val="24"/>
                <w:highlight w:val="none"/>
                <w:lang w:val="en-US" w:eastAsia="zh-CN"/>
              </w:rPr>
              <w:t>（1）2026年以来任意1个月的税收缴纳证明材料复印件（注：证明材料可为银行电子回单或者税务部门出具的纳税证明或完税证明或有效票据的复印件）；</w:t>
            </w:r>
          </w:p>
          <w:p w14:paraId="2115B637">
            <w:pPr>
              <w:spacing w:line="240" w:lineRule="auto"/>
              <w:ind w:firstLine="0" w:firstLineChars="0"/>
              <w:jc w:val="left"/>
              <w:rPr>
                <w:rFonts w:hint="eastAsia" w:ascii="仿宋" w:eastAsia="仿宋"/>
                <w:b w:val="0"/>
                <w:color w:val="auto"/>
                <w:sz w:val="24"/>
                <w:szCs w:val="24"/>
                <w:highlight w:val="none"/>
                <w:lang w:val="en-US" w:eastAsia="zh-CN"/>
              </w:rPr>
            </w:pPr>
            <w:r>
              <w:rPr>
                <w:rFonts w:hint="eastAsia" w:ascii="仿宋" w:eastAsia="仿宋"/>
                <w:b w:val="0"/>
                <w:color w:val="auto"/>
                <w:sz w:val="24"/>
                <w:szCs w:val="24"/>
                <w:highlight w:val="none"/>
                <w:lang w:val="en-US" w:eastAsia="zh-CN"/>
              </w:rPr>
              <w:t>（2）2026年以来任意1个月的社保缴纳证明材料复印件（注：证明材料可为银行电子回单或社保部门出具的社保缴纳证明材料或有效票据复印件）；</w:t>
            </w:r>
          </w:p>
        </w:tc>
        <w:tc>
          <w:tcPr>
            <w:tcW w:w="1411" w:type="dxa"/>
            <w:tcBorders>
              <w:tl2br w:val="nil"/>
              <w:tr2bl w:val="nil"/>
            </w:tcBorders>
            <w:vAlign w:val="center"/>
          </w:tcPr>
          <w:p w14:paraId="43973D83">
            <w:pPr>
              <w:spacing w:line="240" w:lineRule="auto"/>
              <w:ind w:firstLine="0" w:firstLineChars="0"/>
              <w:jc w:val="left"/>
              <w:rPr>
                <w:rFonts w:ascii="仿宋" w:eastAsia="仿宋"/>
                <w:b w:val="0"/>
                <w:color w:val="auto"/>
                <w:sz w:val="24"/>
                <w:szCs w:val="24"/>
                <w:lang w:val="en-US"/>
              </w:rPr>
            </w:pPr>
          </w:p>
        </w:tc>
      </w:tr>
      <w:tr w14:paraId="0FD06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2BC8B312">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lang w:val="en-US"/>
              </w:rPr>
              <w:t>参加本次政府采购活动前三年内，在经营活动中没有重大违法记录的证明材料</w:t>
            </w:r>
          </w:p>
        </w:tc>
        <w:tc>
          <w:tcPr>
            <w:tcW w:w="5531" w:type="dxa"/>
            <w:tcBorders>
              <w:tl2br w:val="nil"/>
              <w:tr2bl w:val="nil"/>
            </w:tcBorders>
            <w:vAlign w:val="center"/>
          </w:tcPr>
          <w:p w14:paraId="039BF244">
            <w:pPr>
              <w:spacing w:line="240" w:lineRule="auto"/>
              <w:ind w:firstLine="0" w:firstLineChars="0"/>
              <w:jc w:val="left"/>
              <w:rPr>
                <w:rFonts w:hint="eastAsia" w:ascii="仿宋" w:eastAsia="仿宋"/>
                <w:b w:val="0"/>
                <w:color w:val="auto"/>
                <w:sz w:val="24"/>
                <w:szCs w:val="24"/>
                <w:highlight w:val="none"/>
                <w:lang w:val="en-US" w:eastAsia="zh-CN"/>
              </w:rPr>
            </w:pPr>
            <w:r>
              <w:rPr>
                <w:rFonts w:ascii="仿宋" w:eastAsia="仿宋"/>
                <w:b w:val="0"/>
                <w:color w:val="auto"/>
                <w:sz w:val="24"/>
                <w:szCs w:val="24"/>
                <w:highlight w:val="none"/>
              </w:rPr>
              <w:t>参加本次政府采购活动前三年内，在经营活动中没有重大违法记录的证明材料</w:t>
            </w:r>
            <w:r>
              <w:rPr>
                <w:rFonts w:hint="eastAsia" w:ascii="仿宋" w:eastAsia="仿宋"/>
                <w:b w:val="0"/>
                <w:color w:val="auto"/>
                <w:sz w:val="24"/>
                <w:szCs w:val="24"/>
                <w:highlight w:val="none"/>
              </w:rPr>
              <w:t>（</w:t>
            </w:r>
            <w:r>
              <w:rPr>
                <w:rFonts w:ascii="仿宋" w:eastAsia="仿宋"/>
                <w:b w:val="0"/>
                <w:color w:val="auto"/>
                <w:sz w:val="24"/>
                <w:szCs w:val="24"/>
                <w:highlight w:val="none"/>
              </w:rPr>
              <w:t>承诺函原件加盖投标人公章。</w:t>
            </w:r>
            <w:r>
              <w:rPr>
                <w:rFonts w:hint="eastAsia" w:ascii="仿宋" w:eastAsia="仿宋"/>
                <w:b w:val="0"/>
                <w:color w:val="auto"/>
                <w:sz w:val="24"/>
                <w:szCs w:val="24"/>
                <w:highlight w:val="none"/>
              </w:rPr>
              <w:t>）</w:t>
            </w:r>
            <w:r>
              <w:rPr>
                <w:rFonts w:ascii="仿宋" w:eastAsia="仿宋"/>
                <w:b w:val="0"/>
                <w:color w:val="auto"/>
                <w:sz w:val="24"/>
                <w:szCs w:val="24"/>
                <w:highlight w:val="none"/>
              </w:rPr>
              <w:t>；</w:t>
            </w:r>
          </w:p>
        </w:tc>
        <w:tc>
          <w:tcPr>
            <w:tcW w:w="1411" w:type="dxa"/>
            <w:tcBorders>
              <w:tl2br w:val="nil"/>
              <w:tr2bl w:val="nil"/>
            </w:tcBorders>
            <w:vAlign w:val="center"/>
          </w:tcPr>
          <w:p w14:paraId="2E849C42">
            <w:pPr>
              <w:spacing w:line="240" w:lineRule="auto"/>
              <w:ind w:firstLine="0" w:firstLineChars="0"/>
              <w:jc w:val="left"/>
              <w:rPr>
                <w:rFonts w:ascii="仿宋" w:eastAsia="仿宋"/>
                <w:b w:val="0"/>
                <w:color w:val="auto"/>
                <w:sz w:val="24"/>
                <w:szCs w:val="24"/>
                <w:lang w:val="en-US"/>
              </w:rPr>
            </w:pPr>
          </w:p>
        </w:tc>
      </w:tr>
      <w:tr w14:paraId="4AB41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41365300">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lang w:val="en-US"/>
              </w:rPr>
              <w:t>具备法律、行政法规规定的其他条件的证明材料复印件或承诺函原件</w:t>
            </w:r>
          </w:p>
        </w:tc>
        <w:tc>
          <w:tcPr>
            <w:tcW w:w="5531" w:type="dxa"/>
            <w:tcBorders>
              <w:tl2br w:val="nil"/>
              <w:tr2bl w:val="nil"/>
            </w:tcBorders>
            <w:vAlign w:val="center"/>
          </w:tcPr>
          <w:p w14:paraId="44B8844E">
            <w:pPr>
              <w:spacing w:line="240" w:lineRule="auto"/>
              <w:ind w:firstLine="0" w:firstLineChars="0"/>
              <w:jc w:val="left"/>
              <w:rPr>
                <w:rFonts w:ascii="仿宋" w:eastAsia="仿宋"/>
                <w:b w:val="0"/>
                <w:color w:val="auto"/>
                <w:sz w:val="24"/>
                <w:szCs w:val="24"/>
                <w:highlight w:val="none"/>
                <w:lang w:val="en-US"/>
              </w:rPr>
            </w:pPr>
            <w:r>
              <w:rPr>
                <w:rFonts w:ascii="仿宋" w:eastAsia="仿宋"/>
                <w:b w:val="0"/>
                <w:color w:val="auto"/>
                <w:sz w:val="24"/>
                <w:szCs w:val="24"/>
                <w:highlight w:val="none"/>
              </w:rPr>
              <w:t>具备法律、行政法规规定的其他条件的证明材料复印件或承诺函原件（加盖投标人公章）；</w:t>
            </w:r>
          </w:p>
        </w:tc>
        <w:tc>
          <w:tcPr>
            <w:tcW w:w="1411" w:type="dxa"/>
            <w:tcBorders>
              <w:tl2br w:val="nil"/>
              <w:tr2bl w:val="nil"/>
            </w:tcBorders>
            <w:vAlign w:val="center"/>
          </w:tcPr>
          <w:p w14:paraId="6A453168">
            <w:pPr>
              <w:spacing w:line="240" w:lineRule="auto"/>
              <w:ind w:firstLine="0" w:firstLineChars="0"/>
              <w:jc w:val="left"/>
              <w:rPr>
                <w:rFonts w:ascii="仿宋" w:eastAsia="仿宋"/>
                <w:b w:val="0"/>
                <w:color w:val="auto"/>
                <w:sz w:val="24"/>
                <w:szCs w:val="24"/>
                <w:lang w:val="en-US"/>
              </w:rPr>
            </w:pPr>
          </w:p>
        </w:tc>
      </w:tr>
      <w:tr w14:paraId="1D2B7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797" w:type="dxa"/>
            <w:tcBorders>
              <w:tl2br w:val="nil"/>
              <w:tr2bl w:val="nil"/>
            </w:tcBorders>
            <w:vAlign w:val="center"/>
          </w:tcPr>
          <w:p w14:paraId="7369F9BB">
            <w:pPr>
              <w:spacing w:line="240" w:lineRule="auto"/>
              <w:ind w:firstLine="0" w:firstLineChars="0"/>
              <w:jc w:val="left"/>
              <w:rPr>
                <w:rFonts w:ascii="仿宋" w:eastAsia="仿宋"/>
                <w:b w:val="0"/>
                <w:color w:val="auto"/>
                <w:sz w:val="24"/>
                <w:szCs w:val="24"/>
                <w:lang w:val="en-US"/>
              </w:rPr>
            </w:pPr>
            <w:r>
              <w:rPr>
                <w:rFonts w:ascii="仿宋" w:eastAsia="仿宋"/>
                <w:b w:val="0"/>
                <w:color w:val="auto"/>
                <w:sz w:val="24"/>
                <w:szCs w:val="24"/>
                <w:lang w:val="en-US"/>
              </w:rPr>
              <w:t>采购人根据采购项目提出的特殊条件</w:t>
            </w:r>
          </w:p>
        </w:tc>
        <w:tc>
          <w:tcPr>
            <w:tcW w:w="5531" w:type="dxa"/>
            <w:tcBorders>
              <w:tl2br w:val="nil"/>
              <w:tr2bl w:val="nil"/>
            </w:tcBorders>
            <w:vAlign w:val="center"/>
          </w:tcPr>
          <w:p w14:paraId="19FA9E30">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leftChars="0" w:right="0" w:firstLine="0" w:firstLineChars="0"/>
              <w:textAlignment w:val="auto"/>
              <w:rPr>
                <w:rFonts w:hint="eastAsia" w:ascii="仿宋" w:eastAsia="仿宋"/>
                <w:b w:val="0"/>
                <w:color w:val="auto"/>
                <w:sz w:val="24"/>
                <w:szCs w:val="24"/>
                <w:highlight w:val="none"/>
                <w:lang w:val="en-US" w:eastAsia="zh-CN"/>
              </w:rPr>
            </w:pPr>
            <w:r>
              <w:rPr>
                <w:rFonts w:hint="eastAsia" w:ascii="仿宋" w:eastAsia="仿宋"/>
                <w:b w:val="0"/>
                <w:color w:val="auto"/>
                <w:sz w:val="24"/>
                <w:szCs w:val="24"/>
                <w:highlight w:val="none"/>
                <w:lang w:val="en-US" w:eastAsia="zh-CN"/>
              </w:rPr>
              <w:t>（1）餐食保障和人员服务保障。供应商须具有有效的《食品生产许可证》或《食品经营许可证》，若为经营企业则须提供《食品经营许可证》；（2）本项目提供的工作人员要足额配置，由承包方自行招聘，并提供人员清单。所有从业人员均须持有效的健康证，并且能够提供无犯罪记录证明，以此确保食堂运营的规范性与可靠性（按要求提供证明文件，加盖公章。）；（3）未被“信用中国”（www.creditchina.gov.cn）列入失信被执行人、重大税收违法案件当事人名单，未被“中国政府采购网”（www.ccgp.gov.cn）列入政府采购严重违法失信行为记录名单（提供查询截图，网页打印件须自招标公告发布之日起至首次提交投标文件截止时间内从上述网站中打印）并加盖公章；（4）本项目不允许转包或分包，不允许联合体投标，提供承诺书（加盖投标人公章和法人章）。（5）单位负责人为同一人或者存在直接控股、管理关系的不同投标人，不得参加同一合同项下的政府采购活动；（6）提供针对本次招标项目《反商业贿赂承诺书》的书面声明（加盖投标人公章和法人章）。</w:t>
            </w:r>
          </w:p>
        </w:tc>
        <w:tc>
          <w:tcPr>
            <w:tcW w:w="1411" w:type="dxa"/>
            <w:tcBorders>
              <w:tl2br w:val="nil"/>
              <w:tr2bl w:val="nil"/>
            </w:tcBorders>
            <w:vAlign w:val="center"/>
          </w:tcPr>
          <w:p w14:paraId="4171FEFF">
            <w:pPr>
              <w:spacing w:line="240" w:lineRule="auto"/>
              <w:ind w:firstLine="0" w:firstLineChars="0"/>
              <w:jc w:val="left"/>
              <w:rPr>
                <w:rFonts w:ascii="仿宋" w:eastAsia="仿宋"/>
                <w:b w:val="0"/>
                <w:color w:val="auto"/>
                <w:sz w:val="24"/>
                <w:szCs w:val="24"/>
                <w:lang w:val="en-US"/>
              </w:rPr>
            </w:pPr>
          </w:p>
        </w:tc>
      </w:tr>
      <w:tr w14:paraId="217A0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2797" w:type="dxa"/>
            <w:tcBorders>
              <w:tl2br w:val="nil"/>
              <w:tr2bl w:val="nil"/>
            </w:tcBorders>
            <w:vAlign w:val="center"/>
          </w:tcPr>
          <w:p w14:paraId="26F6408C">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联合体</w:t>
            </w:r>
            <w:r>
              <w:rPr>
                <w:rFonts w:hint="eastAsia" w:ascii="仿宋" w:eastAsia="仿宋"/>
                <w:b w:val="0"/>
                <w:color w:val="auto"/>
                <w:kern w:val="2"/>
                <w:sz w:val="24"/>
                <w:szCs w:val="24"/>
                <w:lang w:val="en-US" w:eastAsia="zh-CN"/>
              </w:rPr>
              <w:t>：</w:t>
            </w:r>
            <w:r>
              <w:rPr>
                <w:rFonts w:ascii="仿宋" w:eastAsia="仿宋"/>
                <w:b w:val="0"/>
                <w:color w:val="auto"/>
                <w:kern w:val="2"/>
                <w:sz w:val="24"/>
                <w:szCs w:val="24"/>
                <w:lang w:val="en-US"/>
              </w:rPr>
              <w:t>非联合体形式投标</w:t>
            </w:r>
          </w:p>
        </w:tc>
        <w:tc>
          <w:tcPr>
            <w:tcW w:w="5531" w:type="dxa"/>
            <w:tcBorders>
              <w:tl2br w:val="nil"/>
              <w:tr2bl w:val="nil"/>
            </w:tcBorders>
            <w:vAlign w:val="center"/>
          </w:tcPr>
          <w:p w14:paraId="0AC6A6BA">
            <w:pPr>
              <w:spacing w:line="240" w:lineRule="auto"/>
              <w:ind w:firstLine="0" w:firstLineChars="0"/>
              <w:jc w:val="left"/>
              <w:rPr>
                <w:rFonts w:ascii="仿宋" w:eastAsia="仿宋"/>
                <w:b w:val="0"/>
                <w:color w:val="auto"/>
                <w:sz w:val="24"/>
                <w:szCs w:val="24"/>
                <w:highlight w:val="none"/>
                <w:lang w:val="en-US"/>
              </w:rPr>
            </w:pPr>
            <w:r>
              <w:rPr>
                <w:rFonts w:hint="eastAsia" w:ascii="仿宋" w:eastAsia="仿宋"/>
                <w:b w:val="0"/>
                <w:color w:val="auto"/>
                <w:sz w:val="24"/>
                <w:szCs w:val="24"/>
                <w:highlight w:val="none"/>
                <w:lang w:val="en-US"/>
              </w:rPr>
              <w:t>本项目不接受联合体参与投标，联合体参与投标的，作无效处理。需提供声明或承诺函并加盖公章。</w:t>
            </w:r>
          </w:p>
        </w:tc>
        <w:tc>
          <w:tcPr>
            <w:tcW w:w="1411" w:type="dxa"/>
            <w:tcBorders>
              <w:tl2br w:val="nil"/>
              <w:tr2bl w:val="nil"/>
            </w:tcBorders>
            <w:vAlign w:val="center"/>
          </w:tcPr>
          <w:p w14:paraId="15D05DB4">
            <w:pPr>
              <w:spacing w:line="240" w:lineRule="auto"/>
              <w:ind w:firstLine="0" w:firstLineChars="0"/>
              <w:jc w:val="left"/>
              <w:rPr>
                <w:rFonts w:ascii="仿宋" w:eastAsia="仿宋"/>
                <w:b w:val="0"/>
                <w:color w:val="auto"/>
                <w:sz w:val="24"/>
                <w:szCs w:val="24"/>
                <w:lang w:val="en-US"/>
              </w:rPr>
            </w:pPr>
          </w:p>
        </w:tc>
      </w:tr>
      <w:tr w14:paraId="73DF9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0" w:hRule="atLeast"/>
          <w:jc w:val="center"/>
        </w:trPr>
        <w:tc>
          <w:tcPr>
            <w:tcW w:w="2797" w:type="dxa"/>
            <w:tcBorders>
              <w:tl2br w:val="nil"/>
              <w:tr2bl w:val="nil"/>
            </w:tcBorders>
            <w:vAlign w:val="center"/>
          </w:tcPr>
          <w:p w14:paraId="1A0FF17B">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仿宋" w:eastAsia="仿宋"/>
                <w:b w:val="0"/>
                <w:color w:val="auto"/>
                <w:kern w:val="2"/>
                <w:sz w:val="24"/>
                <w:szCs w:val="24"/>
                <w:lang w:val="en-US"/>
              </w:rPr>
            </w:pPr>
            <w:r>
              <w:rPr>
                <w:rFonts w:hint="eastAsia" w:ascii="仿宋" w:eastAsia="仿宋"/>
                <w:b w:val="0"/>
                <w:bCs/>
                <w:color w:val="auto"/>
                <w:sz w:val="24"/>
                <w:szCs w:val="24"/>
              </w:rPr>
              <w:t>按照规定缴纳了投标保证金</w:t>
            </w:r>
          </w:p>
        </w:tc>
        <w:tc>
          <w:tcPr>
            <w:tcW w:w="5531" w:type="dxa"/>
            <w:tcBorders>
              <w:tl2br w:val="nil"/>
              <w:tr2bl w:val="nil"/>
            </w:tcBorders>
            <w:vAlign w:val="center"/>
          </w:tcPr>
          <w:p w14:paraId="556DEF50">
            <w:pPr>
              <w:spacing w:line="240" w:lineRule="auto"/>
              <w:ind w:firstLine="0" w:firstLineChars="0"/>
              <w:jc w:val="left"/>
              <w:rPr>
                <w:rFonts w:hint="eastAsia" w:ascii="仿宋" w:eastAsia="仿宋"/>
                <w:b w:val="0"/>
                <w:color w:val="auto"/>
                <w:sz w:val="24"/>
                <w:szCs w:val="24"/>
                <w:highlight w:val="none"/>
                <w:lang w:val="en-US"/>
              </w:rPr>
            </w:pPr>
            <w:r>
              <w:rPr>
                <w:rFonts w:hint="eastAsia" w:ascii="仿宋" w:eastAsia="仿宋" w:cs="Times New Roman"/>
                <w:b w:val="0"/>
                <w:color w:val="auto"/>
                <w:sz w:val="24"/>
                <w:szCs w:val="24"/>
                <w:highlight w:val="none"/>
                <w:lang w:val="en-US" w:eastAsia="zh-CN"/>
              </w:rPr>
              <w:t>按照规定缴纳了投标保证金（投标单位出具的投标保证金缴纳凭证与《基本账户开户许可证》（或基本存款账户信息的扫描件）复印件加盖公章）</w:t>
            </w:r>
            <w:r>
              <w:rPr>
                <w:rFonts w:hint="eastAsia" w:ascii="仿宋" w:eastAsia="仿宋" w:cs="Times New Roman"/>
                <w:b w:val="0"/>
                <w:bCs/>
                <w:color w:val="auto"/>
                <w:sz w:val="24"/>
                <w:szCs w:val="24"/>
                <w:highlight w:val="none"/>
                <w:lang w:val="en-US" w:eastAsia="zh-CN" w:bidi="ar-SA"/>
              </w:rPr>
              <w:t>；</w:t>
            </w:r>
          </w:p>
        </w:tc>
        <w:tc>
          <w:tcPr>
            <w:tcW w:w="1411" w:type="dxa"/>
            <w:tcBorders>
              <w:tl2br w:val="nil"/>
              <w:tr2bl w:val="nil"/>
            </w:tcBorders>
            <w:vAlign w:val="center"/>
          </w:tcPr>
          <w:p w14:paraId="79D44A91">
            <w:pPr>
              <w:spacing w:line="240" w:lineRule="auto"/>
              <w:ind w:firstLine="0" w:firstLineChars="0"/>
              <w:jc w:val="left"/>
              <w:rPr>
                <w:rFonts w:ascii="仿宋" w:eastAsia="仿宋"/>
                <w:b w:val="0"/>
                <w:color w:val="auto"/>
                <w:sz w:val="24"/>
                <w:szCs w:val="24"/>
                <w:lang w:val="en-US"/>
              </w:rPr>
            </w:pPr>
          </w:p>
        </w:tc>
      </w:tr>
      <w:tr w14:paraId="7E560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6" w:hRule="atLeast"/>
          <w:jc w:val="center"/>
        </w:trPr>
        <w:tc>
          <w:tcPr>
            <w:tcW w:w="2797" w:type="dxa"/>
            <w:tcBorders>
              <w:tl2br w:val="nil"/>
              <w:tr2bl w:val="nil"/>
            </w:tcBorders>
            <w:vAlign w:val="center"/>
          </w:tcPr>
          <w:p w14:paraId="0F214DAB">
            <w:pPr>
              <w:spacing w:line="240" w:lineRule="auto"/>
              <w:ind w:firstLine="0" w:firstLineChars="0"/>
              <w:jc w:val="left"/>
              <w:rPr>
                <w:rFonts w:ascii="仿宋" w:eastAsia="仿宋"/>
                <w:b w:val="0"/>
                <w:color w:val="auto"/>
                <w:sz w:val="24"/>
                <w:szCs w:val="24"/>
                <w:lang w:val="en-US"/>
              </w:rPr>
            </w:pPr>
            <w:r>
              <w:rPr>
                <w:rFonts w:hint="eastAsia" w:ascii="仿宋" w:eastAsia="仿宋"/>
                <w:b w:val="0"/>
                <w:color w:val="auto"/>
                <w:sz w:val="24"/>
                <w:szCs w:val="24"/>
                <w:lang w:val="en-US"/>
              </w:rPr>
              <w:t>落实政府采购政策需满足的资格要求</w:t>
            </w:r>
          </w:p>
        </w:tc>
        <w:tc>
          <w:tcPr>
            <w:tcW w:w="5531" w:type="dxa"/>
            <w:tcBorders>
              <w:tl2br w:val="nil"/>
              <w:tr2bl w:val="nil"/>
            </w:tcBorders>
            <w:vAlign w:val="center"/>
          </w:tcPr>
          <w:p w14:paraId="67CB2E87">
            <w:pPr>
              <w:pStyle w:val="75"/>
              <w:keepNext w:val="0"/>
              <w:keepLines w:val="0"/>
              <w:pageBreakBefore w:val="0"/>
              <w:widowControl/>
              <w:kinsoku/>
              <w:wordWrap/>
              <w:overflowPunct/>
              <w:topLinePunct w:val="0"/>
              <w:autoSpaceDE/>
              <w:autoSpaceDN/>
              <w:bidi w:val="0"/>
              <w:adjustRightInd/>
              <w:snapToGrid/>
              <w:spacing w:before="60" w:beforeAutospacing="0" w:after="60" w:afterAutospacing="0" w:line="340" w:lineRule="exact"/>
              <w:ind w:firstLine="480"/>
              <w:textAlignment w:val="auto"/>
              <w:rPr>
                <w:rFonts w:hint="default" w:ascii="仿宋" w:eastAsia="仿宋"/>
                <w:b w:val="0"/>
                <w:color w:val="auto"/>
                <w:sz w:val="24"/>
                <w:szCs w:val="24"/>
                <w:highlight w:val="none"/>
                <w:lang w:val="en-US" w:eastAsia="zh-CN"/>
              </w:rPr>
            </w:pPr>
            <w:r>
              <w:rPr>
                <w:rFonts w:hint="eastAsia" w:ascii="仿宋" w:hAnsi="Times New Roman" w:eastAsia="仿宋" w:cs="Times New Roman"/>
                <w:b w:val="0"/>
                <w:color w:val="auto"/>
                <w:kern w:val="0"/>
                <w:sz w:val="24"/>
                <w:szCs w:val="24"/>
                <w:highlight w:val="none"/>
                <w:lang w:val="en-US" w:eastAsia="zh-CN" w:bidi="ar-SA"/>
              </w:rPr>
              <w:t>专门面向中小企业：应当提供《中小企业声明函》（复印件加盖公章）（格式详见投标文件格式《中小企业声明函》）</w:t>
            </w:r>
          </w:p>
        </w:tc>
        <w:tc>
          <w:tcPr>
            <w:tcW w:w="1411" w:type="dxa"/>
            <w:tcBorders>
              <w:tl2br w:val="nil"/>
              <w:tr2bl w:val="nil"/>
            </w:tcBorders>
            <w:vAlign w:val="center"/>
          </w:tcPr>
          <w:p w14:paraId="12D55233">
            <w:pPr>
              <w:spacing w:line="240" w:lineRule="auto"/>
              <w:ind w:firstLine="0" w:firstLineChars="0"/>
              <w:jc w:val="left"/>
              <w:rPr>
                <w:rFonts w:ascii="仿宋" w:eastAsia="仿宋"/>
                <w:b w:val="0"/>
                <w:color w:val="auto"/>
                <w:sz w:val="24"/>
                <w:szCs w:val="24"/>
                <w:lang w:val="en-US"/>
              </w:rPr>
            </w:pPr>
          </w:p>
        </w:tc>
      </w:tr>
    </w:tbl>
    <w:p w14:paraId="4D4085D7">
      <w:pPr>
        <w:pageBreakBefore w:val="0"/>
        <w:widowControl w:val="0"/>
        <w:kinsoku/>
        <w:wordWrap/>
        <w:overflowPunct/>
        <w:topLinePunct w:val="0"/>
        <w:bidi w:val="0"/>
        <w:spacing w:beforeAutospacing="0" w:afterAutospacing="0" w:line="360" w:lineRule="auto"/>
        <w:ind w:left="0" w:right="0"/>
        <w:rPr>
          <w:rFonts w:ascii="仿宋" w:eastAsia="仿宋"/>
          <w:b/>
          <w:bCs/>
          <w:color w:val="auto"/>
          <w:sz w:val="24"/>
          <w:szCs w:val="24"/>
          <w:highlight w:val="none"/>
        </w:rPr>
      </w:pPr>
      <w:r>
        <w:rPr>
          <w:rFonts w:ascii="仿宋" w:eastAsia="仿宋"/>
          <w:b/>
          <w:bCs/>
          <w:color w:val="auto"/>
          <w:sz w:val="24"/>
          <w:szCs w:val="24"/>
          <w:highlight w:val="none"/>
        </w:rPr>
        <w:t>注：</w:t>
      </w:r>
      <w:r>
        <w:rPr>
          <w:rFonts w:hint="eastAsia" w:ascii="仿宋" w:eastAsia="仿宋"/>
          <w:b/>
          <w:bCs/>
          <w:color w:val="auto"/>
          <w:sz w:val="24"/>
          <w:szCs w:val="24"/>
          <w:highlight w:val="none"/>
          <w:lang w:val="en-US" w:eastAsia="zh-CN"/>
        </w:rPr>
        <w:t>①、</w:t>
      </w:r>
      <w:r>
        <w:rPr>
          <w:rFonts w:ascii="仿宋" w:eastAsia="仿宋"/>
          <w:b/>
          <w:bCs/>
          <w:color w:val="auto"/>
          <w:sz w:val="24"/>
          <w:szCs w:val="24"/>
          <w:highlight w:val="none"/>
        </w:rPr>
        <w:t>以上每一项结论均为“合格”的，则投标人通过资格审查，如有任意一项结论为“不合格”的，则投标人不通过资格审查，其投标文件按无效投标文件处理。如果认为投标人有任意一项不合格的，应载明不合格的具体原因。</w:t>
      </w:r>
    </w:p>
    <w:p w14:paraId="4701A03D">
      <w:pPr>
        <w:pageBreakBefore w:val="0"/>
        <w:widowControl w:val="0"/>
        <w:kinsoku/>
        <w:wordWrap/>
        <w:overflowPunct/>
        <w:topLinePunct w:val="0"/>
        <w:bidi w:val="0"/>
        <w:spacing w:beforeAutospacing="0" w:afterAutospacing="0" w:line="360" w:lineRule="auto"/>
        <w:ind w:left="0" w:right="0"/>
        <w:rPr>
          <w:rFonts w:hint="eastAsia" w:ascii="仿宋" w:eastAsia="仿宋"/>
          <w:b/>
          <w:bCs/>
          <w:color w:val="auto"/>
          <w:sz w:val="24"/>
          <w:szCs w:val="24"/>
          <w:highlight w:val="none"/>
          <w:lang w:val="en-US" w:eastAsia="zh-CN"/>
        </w:rPr>
      </w:pPr>
      <w:r>
        <w:rPr>
          <w:rFonts w:hint="eastAsia" w:ascii="仿宋" w:eastAsia="仿宋"/>
          <w:b/>
          <w:bCs/>
          <w:color w:val="auto"/>
          <w:sz w:val="24"/>
          <w:szCs w:val="24"/>
          <w:highlight w:val="none"/>
          <w:lang w:val="en-US" w:eastAsia="zh-CN"/>
        </w:rPr>
        <w:t>②、请投标人按资格审查内容逐条上传，如不响应或上传的资料不齐全，后果自行承担。</w:t>
      </w:r>
    </w:p>
    <w:p w14:paraId="675DC25D">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9"/>
        <w:rPr>
          <w:rFonts w:ascii="仿宋" w:eastAsia="仿宋"/>
          <w:b w:val="0"/>
          <w:bCs/>
          <w:color w:val="auto"/>
          <w:kern w:val="2"/>
          <w:sz w:val="24"/>
          <w:szCs w:val="24"/>
          <w:highlight w:val="none"/>
          <w:lang w:val="en-US"/>
        </w:rPr>
      </w:pPr>
      <w:r>
        <w:rPr>
          <w:rFonts w:hint="eastAsia" w:ascii="仿宋" w:eastAsia="仿宋"/>
          <w:b w:val="0"/>
          <w:bCs/>
          <w:color w:val="auto"/>
          <w:kern w:val="2"/>
          <w:sz w:val="24"/>
          <w:szCs w:val="24"/>
          <w:highlight w:val="none"/>
          <w:lang w:val="en-US"/>
        </w:rPr>
        <w:t xml:space="preserve"> </w:t>
      </w:r>
      <w:r>
        <w:rPr>
          <w:rFonts w:ascii="仿宋" w:eastAsia="仿宋"/>
          <w:b w:val="0"/>
          <w:bCs/>
          <w:color w:val="auto"/>
          <w:kern w:val="2"/>
          <w:sz w:val="24"/>
          <w:szCs w:val="24"/>
          <w:highlight w:val="none"/>
          <w:lang w:val="en-US"/>
        </w:rPr>
        <w:t>采购人或者采购代理机构依法对投标人的资格进行审查结束后，出具资格审查报告。</w:t>
      </w:r>
    </w:p>
    <w:p w14:paraId="4436D622">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9"/>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通过资格审查的投标人不足3家的，不得评标。</w:t>
      </w:r>
    </w:p>
    <w:p w14:paraId="4354A51F">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评标委员会熟悉、理解招标文件和停止评标</w:t>
      </w:r>
    </w:p>
    <w:p w14:paraId="44BCD3E8">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评标委员会正式评标前，评标委员会熟悉和理解招标文件的过程中，发现本招标文件有下列情形之一的，评标委员会应当停止评标：</w:t>
      </w:r>
    </w:p>
    <w:p w14:paraId="53A9FAC0">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招标文件存在重大缺陷导致评标工作无法进行；</w:t>
      </w:r>
    </w:p>
    <w:p w14:paraId="30958D67">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招标文件的规定存在歧义，采购人或者采购代理机构未进行书面澄清导致评标工作无法进行；</w:t>
      </w:r>
    </w:p>
    <w:p w14:paraId="4E9FF637">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招标文件明显以不合理条件对投标人实行差别待遇或歧视待遇的；</w:t>
      </w:r>
    </w:p>
    <w:p w14:paraId="24642FD6">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采购项目属于国家规定的优先、强制采购范围，但是招标文件未依法体现优先、强制采购相关规定的；</w:t>
      </w:r>
    </w:p>
    <w:p w14:paraId="0658BFB0">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采购项目属于政府采购促进中小企业发展的范围，但是招标文件未依法体现促进中小企业发展相关规定的；</w:t>
      </w:r>
    </w:p>
    <w:p w14:paraId="65948132">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招标文件规定的评标方法是综合评分法、最低评标价法之外的评标方法，或者虽然名称为综合评分法、最低评标价法，但实际上不符合国家规定；</w:t>
      </w:r>
    </w:p>
    <w:p w14:paraId="0C6B8400">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招标文件将投标人的资格条件列为评分因素的；</w:t>
      </w:r>
    </w:p>
    <w:p w14:paraId="00C9760D">
      <w:pPr>
        <w:pageBreakBefore w:val="0"/>
        <w:widowControl w:val="0"/>
        <w:numPr>
          <w:ilvl w:val="0"/>
          <w:numId w:val="68"/>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招标文件内容违反国家有关强制性规定的。</w:t>
      </w:r>
    </w:p>
    <w:p w14:paraId="237E143C">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出现7.3.2.1规定应当停止评标情形的，评标委员会应当向采购人或者采购代理机构书面说明情况。除本条规定和评标委员会无法依法组建的情形外，评标委员会不得以任何方式和理由停止评标。</w:t>
      </w:r>
    </w:p>
    <w:p w14:paraId="1295C85A">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hint="eastAsia" w:ascii="仿宋" w:eastAsia="仿宋"/>
          <w:b w:val="0"/>
          <w:bCs/>
          <w:color w:val="auto"/>
          <w:kern w:val="2"/>
          <w:sz w:val="24"/>
          <w:szCs w:val="24"/>
          <w:highlight w:val="none"/>
          <w:lang w:val="en-US" w:eastAsia="zh-CN"/>
        </w:rPr>
        <w:t xml:space="preserve"> </w:t>
      </w:r>
      <w:r>
        <w:rPr>
          <w:rFonts w:ascii="仿宋" w:eastAsia="仿宋"/>
          <w:b w:val="0"/>
          <w:bCs/>
          <w:color w:val="auto"/>
          <w:kern w:val="2"/>
          <w:sz w:val="24"/>
          <w:szCs w:val="24"/>
          <w:highlight w:val="none"/>
          <w:lang w:val="en-US"/>
        </w:rPr>
        <w:t>评标委员会熟悉和理解招标文件完成后，应书面签字确认本招标文件是否有属于应当停止评标的情形。</w:t>
      </w:r>
    </w:p>
    <w:p w14:paraId="25B2266D">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评标委员会符合性检查</w:t>
      </w:r>
    </w:p>
    <w:p w14:paraId="72B4E5A4">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评标委员会应当对符合资格的投标人的投标文件进行符合性审查，以确定其是否满足招标文件的实质性要求。本项目符合性审查事项仅限于本招标文件的明确规定。投标文件是否满足招标文件的实质性要求，必须以本项目招标文件的明确规定作为依据，否则，不能对投标文件作为无效处理，评标委员会不得臆测符合性审查事项。</w:t>
      </w:r>
    </w:p>
    <w:p w14:paraId="7679D558">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投标文件有下列情形的，本项目不作为实质性要求进行规定，即不作为符合性审查事项，不得作为无效投标处理：</w:t>
      </w:r>
    </w:p>
    <w:p w14:paraId="29F523AD">
      <w:pPr>
        <w:pageBreakBefore w:val="0"/>
        <w:widowControl w:val="0"/>
        <w:numPr>
          <w:ilvl w:val="0"/>
          <w:numId w:val="69"/>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投标文件（包括单独递交的开标一览表）存在个别地方（总数不能超过 2 个） 没有法定代表人（主要负责人/经营者）签字或加盖印章，但有有效授权代理人签字或加盖印章的</w:t>
      </w:r>
      <w:r>
        <w:rPr>
          <w:rFonts w:hint="eastAsia" w:ascii="仿宋" w:eastAsia="仿宋"/>
          <w:b w:val="0"/>
          <w:color w:val="auto"/>
          <w:sz w:val="24"/>
          <w:szCs w:val="24"/>
          <w:highlight w:val="none"/>
          <w:lang w:eastAsia="zh-CN"/>
        </w:rPr>
        <w:t>；</w:t>
      </w:r>
    </w:p>
    <w:p w14:paraId="6FCE2760">
      <w:pPr>
        <w:pageBreakBefore w:val="0"/>
        <w:widowControl w:val="0"/>
        <w:numPr>
          <w:ilvl w:val="0"/>
          <w:numId w:val="69"/>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投标文件（包括单独递交的开标一览表）除招标文件明确要求加盖单位（法人） 公章的以外，其他地方以相关专用章加盖的</w:t>
      </w:r>
      <w:r>
        <w:rPr>
          <w:rFonts w:hint="eastAsia" w:ascii="仿宋" w:eastAsia="仿宋"/>
          <w:b w:val="0"/>
          <w:color w:val="auto"/>
          <w:sz w:val="24"/>
          <w:szCs w:val="24"/>
          <w:highlight w:val="none"/>
          <w:lang w:eastAsia="zh-CN"/>
        </w:rPr>
        <w:t>。</w:t>
      </w:r>
    </w:p>
    <w:p w14:paraId="1D49D583">
      <w:pPr>
        <w:pageBreakBefore w:val="0"/>
        <w:widowControl w:val="0"/>
        <w:numPr>
          <w:ilvl w:val="0"/>
          <w:numId w:val="69"/>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投标文件中表格、顺序等格式（如：“注”等），未按招标文件格式制作的</w:t>
      </w:r>
      <w:r>
        <w:rPr>
          <w:rFonts w:hint="eastAsia" w:ascii="仿宋" w:eastAsia="仿宋"/>
          <w:b w:val="0"/>
          <w:color w:val="auto"/>
          <w:sz w:val="24"/>
          <w:szCs w:val="24"/>
          <w:highlight w:val="none"/>
          <w:lang w:eastAsia="zh-CN"/>
        </w:rPr>
        <w:t>。</w:t>
      </w:r>
    </w:p>
    <w:p w14:paraId="24E17A8D">
      <w:pPr>
        <w:pageBreakBefore w:val="0"/>
        <w:widowControl w:val="0"/>
        <w:numPr>
          <w:ilvl w:val="0"/>
          <w:numId w:val="69"/>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其他不影响采购项目实质性要求的情形。</w:t>
      </w:r>
    </w:p>
    <w:p w14:paraId="69D0E5A1">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除政府采购法律制度规定的情形外，本项目投标人或者其投标文件有下列情形之一的，作为无效投标处理：</w:t>
      </w:r>
    </w:p>
    <w:p w14:paraId="5BB7AAFD">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投标文件载明的投标有效期少于招标文件要求的或未载明的；</w:t>
      </w:r>
    </w:p>
    <w:p w14:paraId="3AA3E04E">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不满足招标文件第</w:t>
      </w:r>
      <w:r>
        <w:rPr>
          <w:rFonts w:hint="eastAsia" w:ascii="仿宋" w:eastAsia="仿宋"/>
          <w:b w:val="0"/>
          <w:color w:val="auto"/>
          <w:sz w:val="24"/>
          <w:szCs w:val="24"/>
          <w:highlight w:val="none"/>
          <w:lang w:val="en-US" w:eastAsia="zh-CN"/>
        </w:rPr>
        <w:t>4</w:t>
      </w:r>
      <w:r>
        <w:rPr>
          <w:rFonts w:ascii="仿宋" w:eastAsia="仿宋"/>
          <w:b w:val="0"/>
          <w:color w:val="auto"/>
          <w:sz w:val="24"/>
          <w:szCs w:val="24"/>
          <w:highlight w:val="none"/>
        </w:rPr>
        <w:t>章中</w:t>
      </w:r>
      <w:r>
        <w:rPr>
          <w:rFonts w:hint="eastAsia" w:ascii="仿宋" w:eastAsia="仿宋" w:cs="宋体"/>
          <w:b w:val="0"/>
          <w:color w:val="auto"/>
          <w:sz w:val="24"/>
          <w:szCs w:val="24"/>
          <w:highlight w:val="none"/>
        </w:rPr>
        <w:t>★</w:t>
      </w:r>
      <w:r>
        <w:rPr>
          <w:rFonts w:ascii="仿宋" w:eastAsia="仿宋"/>
          <w:b w:val="0"/>
          <w:color w:val="auto"/>
          <w:sz w:val="24"/>
          <w:szCs w:val="24"/>
          <w:highlight w:val="none"/>
        </w:rPr>
        <w:t>项（若有）要求的；</w:t>
      </w:r>
    </w:p>
    <w:p w14:paraId="52516587">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投标文件的语言、计量单位、报价货币、知识产权等不符合招标文件的规定，影响评标委员会评判的；</w:t>
      </w:r>
    </w:p>
    <w:p w14:paraId="1213685B">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投标报价不符合招标文件规定的价格标底和其他报价规定的；</w:t>
      </w:r>
    </w:p>
    <w:p w14:paraId="57886942">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投标文件存在招标文件规定的投标无效情形（资格审查表的内容除外）；</w:t>
      </w:r>
    </w:p>
    <w:p w14:paraId="5BD6B701">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投标文件含有采购人不能接受的附加条件的；</w:t>
      </w:r>
    </w:p>
    <w:p w14:paraId="4CE1A38F">
      <w:pPr>
        <w:pageBreakBefore w:val="0"/>
        <w:widowControl w:val="0"/>
        <w:numPr>
          <w:ilvl w:val="0"/>
          <w:numId w:val="70"/>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未按照招标文件规定和要求</w:t>
      </w:r>
      <w:r>
        <w:rPr>
          <w:rFonts w:hint="eastAsia" w:ascii="仿宋" w:eastAsia="仿宋"/>
          <w:b w:val="0"/>
          <w:color w:val="auto"/>
          <w:sz w:val="24"/>
          <w:szCs w:val="24"/>
          <w:highlight w:val="none"/>
          <w:lang w:eastAsia="zh-CN"/>
        </w:rPr>
        <w:t>盖</w:t>
      </w:r>
      <w:r>
        <w:rPr>
          <w:rFonts w:hint="eastAsia" w:ascii="仿宋" w:eastAsia="仿宋"/>
          <w:b w:val="0"/>
          <w:color w:val="auto"/>
          <w:sz w:val="24"/>
          <w:szCs w:val="24"/>
          <w:highlight w:val="none"/>
        </w:rPr>
        <w:t>电子签章</w:t>
      </w:r>
      <w:r>
        <w:rPr>
          <w:rFonts w:ascii="仿宋" w:eastAsia="仿宋"/>
          <w:b w:val="0"/>
          <w:color w:val="auto"/>
          <w:sz w:val="24"/>
          <w:szCs w:val="24"/>
          <w:highlight w:val="none"/>
        </w:rPr>
        <w:t>的。</w:t>
      </w:r>
    </w:p>
    <w:p w14:paraId="3D957948">
      <w:pPr>
        <w:pStyle w:val="4"/>
        <w:pageBreakBefore w:val="0"/>
        <w:widowControl w:val="0"/>
        <w:tabs>
          <w:tab w:val="left" w:pos="6400"/>
        </w:tabs>
        <w:kinsoku/>
        <w:wordWrap/>
        <w:overflowPunct/>
        <w:topLinePunct w:val="0"/>
        <w:bidi w:val="0"/>
        <w:spacing w:beforeAutospacing="0" w:afterAutospacing="0" w:line="360" w:lineRule="auto"/>
        <w:ind w:left="0" w:right="0"/>
        <w:rPr>
          <w:rFonts w:ascii="仿宋" w:eastAsia="仿宋"/>
          <w:color w:val="auto"/>
          <w:sz w:val="24"/>
          <w:highlight w:val="none"/>
        </w:rPr>
      </w:pPr>
      <w:r>
        <w:rPr>
          <w:rFonts w:ascii="仿宋" w:eastAsia="仿宋"/>
          <w:b/>
          <w:bCs/>
          <w:color w:val="auto"/>
          <w:sz w:val="24"/>
          <w:highlight w:val="none"/>
        </w:rPr>
        <w:t>符合性评审表</w:t>
      </w:r>
    </w:p>
    <w:tbl>
      <w:tblPr>
        <w:tblStyle w:val="80"/>
        <w:tblW w:w="4982"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872"/>
        <w:gridCol w:w="3709"/>
        <w:gridCol w:w="4673"/>
      </w:tblGrid>
      <w:tr w14:paraId="26C3F8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5C533B9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color w:val="auto"/>
                <w:sz w:val="24"/>
                <w:szCs w:val="24"/>
                <w:highlight w:val="none"/>
                <w:lang w:val="en-US" w:eastAsia="zh-CN"/>
              </w:rPr>
            </w:pPr>
            <w:r>
              <w:rPr>
                <w:rFonts w:hint="eastAsia" w:ascii="仿宋" w:eastAsia="仿宋" w:cs="仿宋"/>
                <w:color w:val="auto"/>
                <w:sz w:val="24"/>
                <w:szCs w:val="24"/>
                <w:highlight w:val="none"/>
                <w:lang w:val="en-US" w:eastAsia="zh-CN"/>
              </w:rPr>
              <w:t>序号</w:t>
            </w:r>
          </w:p>
        </w:tc>
        <w:tc>
          <w:tcPr>
            <w:tcW w:w="3709" w:type="dxa"/>
            <w:tcBorders>
              <w:tl2br w:val="nil"/>
              <w:tr2bl w:val="nil"/>
            </w:tcBorders>
            <w:vAlign w:val="center"/>
          </w:tcPr>
          <w:p w14:paraId="03A822D7">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color w:val="auto"/>
                <w:sz w:val="24"/>
                <w:szCs w:val="24"/>
                <w:highlight w:val="none"/>
              </w:rPr>
            </w:pPr>
            <w:r>
              <w:rPr>
                <w:rFonts w:hint="eastAsia" w:ascii="仿宋" w:eastAsia="仿宋" w:cs="仿宋"/>
                <w:color w:val="auto"/>
                <w:sz w:val="24"/>
                <w:szCs w:val="24"/>
                <w:highlight w:val="none"/>
              </w:rPr>
              <w:t>评审因素</w:t>
            </w:r>
          </w:p>
        </w:tc>
        <w:tc>
          <w:tcPr>
            <w:tcW w:w="4673" w:type="dxa"/>
            <w:tcBorders>
              <w:tl2br w:val="nil"/>
              <w:tr2bl w:val="nil"/>
            </w:tcBorders>
            <w:vAlign w:val="center"/>
          </w:tcPr>
          <w:p w14:paraId="357FEB8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color w:val="auto"/>
                <w:sz w:val="24"/>
                <w:szCs w:val="24"/>
                <w:highlight w:val="cyan"/>
                <w:lang w:val="en-US" w:eastAsia="zh-CN"/>
              </w:rPr>
            </w:pPr>
            <w:r>
              <w:rPr>
                <w:rFonts w:hint="eastAsia" w:ascii="仿宋" w:eastAsia="仿宋" w:cs="仿宋"/>
                <w:b/>
                <w:color w:val="auto"/>
                <w:sz w:val="24"/>
                <w:szCs w:val="24"/>
                <w:highlight w:val="none"/>
                <w:lang w:val="en-US" w:eastAsia="zh-CN"/>
              </w:rPr>
              <w:t>评审标准</w:t>
            </w:r>
          </w:p>
        </w:tc>
      </w:tr>
      <w:tr w14:paraId="72513C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7F83C4B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1</w:t>
            </w:r>
          </w:p>
        </w:tc>
        <w:tc>
          <w:tcPr>
            <w:tcW w:w="3709" w:type="dxa"/>
            <w:tcBorders>
              <w:tl2br w:val="nil"/>
              <w:tr2bl w:val="nil"/>
            </w:tcBorders>
            <w:vAlign w:val="center"/>
          </w:tcPr>
          <w:p w14:paraId="114BD5C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color w:val="auto"/>
                <w:kern w:val="2"/>
                <w:sz w:val="24"/>
                <w:szCs w:val="24"/>
                <w:highlight w:val="none"/>
                <w:lang w:val="en-US"/>
              </w:rPr>
            </w:pPr>
            <w:r>
              <w:rPr>
                <w:rFonts w:hint="eastAsia" w:ascii="仿宋" w:eastAsia="仿宋" w:cs="仿宋"/>
                <w:b w:val="0"/>
                <w:bCs/>
                <w:color w:val="auto"/>
                <w:kern w:val="2"/>
                <w:sz w:val="24"/>
                <w:szCs w:val="24"/>
                <w:highlight w:val="none"/>
                <w:lang w:val="en-US" w:eastAsia="zh-CN"/>
              </w:rPr>
              <w:t>投标文件具有法定代表人身份证明或法定代表人授权委托书及法定代表人身份证扫描件、代理人身份证扫描件；</w:t>
            </w:r>
          </w:p>
        </w:tc>
        <w:tc>
          <w:tcPr>
            <w:tcW w:w="4673" w:type="dxa"/>
            <w:tcBorders>
              <w:tl2br w:val="nil"/>
              <w:tr2bl w:val="nil"/>
            </w:tcBorders>
            <w:vAlign w:val="center"/>
          </w:tcPr>
          <w:p w14:paraId="7116497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bCs/>
                <w:color w:val="auto"/>
                <w:kern w:val="2"/>
                <w:sz w:val="24"/>
                <w:szCs w:val="24"/>
                <w:highlight w:val="none"/>
                <w:lang w:val="en-US" w:eastAsia="zh-CN"/>
              </w:rPr>
            </w:pPr>
            <w:r>
              <w:rPr>
                <w:rFonts w:hint="eastAsia" w:ascii="仿宋" w:eastAsia="仿宋" w:cs="仿宋"/>
                <w:b w:val="0"/>
                <w:bCs/>
                <w:color w:val="auto"/>
                <w:kern w:val="2"/>
                <w:sz w:val="24"/>
                <w:szCs w:val="24"/>
                <w:highlight w:val="none"/>
                <w:lang w:val="en-US" w:eastAsia="zh-CN"/>
              </w:rPr>
              <w:t>法定代表人（主要负责人/经营者）授权委托书及法定代表人（主要负责人/经营者）身份证、代理人身份证扫描件（注：①授权委托书按本招标文件第 7 章“法定代表人（主要负责人/经营者）授权委托书”格式提供，并按格式要求签字或加盖印章；②如响应文件均由供应商法定代表人（主要负责人/经营者）签字或加盖印章的，则可不提供法定代表人（主要负责人/经营者）授权委托书及代理人身份证扫描件但必须提供法定代表人（主要负责人/经营者）身份证明书及法定代表人（主要负责人/经营者）身份证扫描件。）。</w:t>
            </w:r>
          </w:p>
        </w:tc>
      </w:tr>
      <w:tr w14:paraId="079D38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0FA27C3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2</w:t>
            </w:r>
          </w:p>
        </w:tc>
        <w:tc>
          <w:tcPr>
            <w:tcW w:w="3709" w:type="dxa"/>
            <w:tcBorders>
              <w:tl2br w:val="nil"/>
              <w:tr2bl w:val="nil"/>
            </w:tcBorders>
            <w:vAlign w:val="center"/>
          </w:tcPr>
          <w:p w14:paraId="3A34141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投标有效期</w:t>
            </w:r>
          </w:p>
        </w:tc>
        <w:tc>
          <w:tcPr>
            <w:tcW w:w="4673" w:type="dxa"/>
            <w:tcBorders>
              <w:tl2br w:val="nil"/>
              <w:tr2bl w:val="nil"/>
            </w:tcBorders>
            <w:vAlign w:val="center"/>
          </w:tcPr>
          <w:p w14:paraId="0CCEEB8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bCs/>
                <w:color w:val="auto"/>
                <w:kern w:val="2"/>
                <w:sz w:val="24"/>
                <w:szCs w:val="24"/>
                <w:highlight w:val="none"/>
                <w:lang w:val="en-US" w:eastAsia="zh-CN"/>
              </w:rPr>
            </w:pPr>
            <w:r>
              <w:rPr>
                <w:rFonts w:hint="eastAsia" w:ascii="仿宋" w:eastAsia="仿宋" w:cs="仿宋"/>
                <w:b w:val="0"/>
                <w:bCs/>
                <w:color w:val="auto"/>
                <w:kern w:val="2"/>
                <w:sz w:val="24"/>
                <w:szCs w:val="24"/>
                <w:highlight w:val="none"/>
                <w:lang w:val="en-US" w:eastAsia="zh-CN"/>
              </w:rPr>
              <w:t>是否满足</w:t>
            </w:r>
            <w:r>
              <w:rPr>
                <w:rFonts w:hint="eastAsia" w:ascii="仿宋" w:eastAsia="仿宋" w:cs="仿宋"/>
                <w:b w:val="0"/>
                <w:bCs/>
                <w:color w:val="auto"/>
                <w:kern w:val="2"/>
                <w:sz w:val="24"/>
                <w:szCs w:val="24"/>
                <w:highlight w:val="none"/>
                <w:lang w:val="en-US"/>
              </w:rPr>
              <w:t>投标有效期</w:t>
            </w:r>
            <w:r>
              <w:rPr>
                <w:rFonts w:hint="eastAsia" w:ascii="仿宋" w:eastAsia="仿宋" w:cs="仿宋"/>
                <w:b w:val="0"/>
                <w:bCs/>
                <w:color w:val="auto"/>
                <w:kern w:val="2"/>
                <w:sz w:val="24"/>
                <w:szCs w:val="24"/>
                <w:highlight w:val="none"/>
                <w:lang w:val="en-US" w:eastAsia="zh-CN"/>
              </w:rPr>
              <w:t>90天</w:t>
            </w:r>
          </w:p>
        </w:tc>
      </w:tr>
      <w:tr w14:paraId="28E234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5638BD7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3</w:t>
            </w:r>
          </w:p>
        </w:tc>
        <w:tc>
          <w:tcPr>
            <w:tcW w:w="3709" w:type="dxa"/>
            <w:tcBorders>
              <w:tl2br w:val="nil"/>
              <w:tr2bl w:val="nil"/>
            </w:tcBorders>
            <w:vAlign w:val="center"/>
          </w:tcPr>
          <w:p w14:paraId="67539B07">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★项要求（若有）</w:t>
            </w:r>
          </w:p>
        </w:tc>
        <w:tc>
          <w:tcPr>
            <w:tcW w:w="4673" w:type="dxa"/>
            <w:tcBorders>
              <w:tl2br w:val="nil"/>
              <w:tr2bl w:val="nil"/>
            </w:tcBorders>
            <w:vAlign w:val="center"/>
          </w:tcPr>
          <w:p w14:paraId="710E443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bCs/>
                <w:color w:val="auto"/>
                <w:kern w:val="2"/>
                <w:sz w:val="24"/>
                <w:szCs w:val="24"/>
                <w:highlight w:val="none"/>
                <w:lang w:val="en-US" w:eastAsia="zh-CN"/>
              </w:rPr>
            </w:pPr>
            <w:r>
              <w:rPr>
                <w:rFonts w:hint="eastAsia" w:ascii="仿宋" w:eastAsia="仿宋" w:cs="仿宋"/>
                <w:b w:val="0"/>
                <w:bCs/>
                <w:color w:val="auto"/>
                <w:kern w:val="2"/>
                <w:sz w:val="24"/>
                <w:szCs w:val="24"/>
                <w:highlight w:val="none"/>
                <w:lang w:val="en-US"/>
              </w:rPr>
              <w:t>满足招标文件第</w:t>
            </w:r>
            <w:r>
              <w:rPr>
                <w:rFonts w:hint="eastAsia" w:ascii="仿宋" w:eastAsia="仿宋" w:cs="仿宋"/>
                <w:b w:val="0"/>
                <w:bCs/>
                <w:color w:val="auto"/>
                <w:kern w:val="2"/>
                <w:sz w:val="24"/>
                <w:szCs w:val="24"/>
                <w:highlight w:val="none"/>
                <w:lang w:val="en-US" w:eastAsia="zh-CN"/>
              </w:rPr>
              <w:t>4</w:t>
            </w:r>
            <w:r>
              <w:rPr>
                <w:rFonts w:hint="eastAsia" w:ascii="仿宋" w:eastAsia="仿宋" w:cs="仿宋"/>
                <w:b w:val="0"/>
                <w:bCs/>
                <w:color w:val="auto"/>
                <w:kern w:val="2"/>
                <w:sz w:val="24"/>
                <w:szCs w:val="24"/>
                <w:highlight w:val="none"/>
                <w:lang w:val="en-US"/>
              </w:rPr>
              <w:t>章中★项（若有）要求的</w:t>
            </w:r>
          </w:p>
        </w:tc>
      </w:tr>
      <w:tr w14:paraId="0E36AB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47B3D056">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4</w:t>
            </w:r>
          </w:p>
        </w:tc>
        <w:tc>
          <w:tcPr>
            <w:tcW w:w="3709" w:type="dxa"/>
            <w:tcBorders>
              <w:tl2br w:val="nil"/>
              <w:tr2bl w:val="nil"/>
            </w:tcBorders>
            <w:vAlign w:val="center"/>
          </w:tcPr>
          <w:p w14:paraId="687D11D6">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语言、计量单位、报价货币、知识产权等</w:t>
            </w:r>
          </w:p>
        </w:tc>
        <w:tc>
          <w:tcPr>
            <w:tcW w:w="4673" w:type="dxa"/>
            <w:tcBorders>
              <w:tl2br w:val="nil"/>
              <w:tr2bl w:val="nil"/>
            </w:tcBorders>
            <w:vAlign w:val="center"/>
          </w:tcPr>
          <w:p w14:paraId="55BAF97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ascii="仿宋" w:eastAsia="仿宋" w:cs="仿宋"/>
                <w:b w:val="0"/>
                <w:bCs/>
                <w:color w:val="auto"/>
                <w:kern w:val="2"/>
                <w:sz w:val="24"/>
                <w:szCs w:val="24"/>
                <w:highlight w:val="none"/>
                <w:lang w:val="en-US" w:eastAsia="zh-CN"/>
              </w:rPr>
            </w:pPr>
            <w:r>
              <w:rPr>
                <w:rFonts w:hint="eastAsia" w:ascii="仿宋" w:eastAsia="仿宋" w:cs="仿宋"/>
                <w:b w:val="0"/>
                <w:bCs/>
                <w:color w:val="auto"/>
                <w:kern w:val="2"/>
                <w:sz w:val="24"/>
                <w:szCs w:val="24"/>
                <w:highlight w:val="none"/>
                <w:lang w:val="en-US" w:eastAsia="zh-CN"/>
              </w:rPr>
              <w:t>是否满足招标文件第二章2.4.1、2.4.2、2.4.3、2.4.6条</w:t>
            </w:r>
          </w:p>
        </w:tc>
      </w:tr>
      <w:tr w14:paraId="0BA978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6F5D083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5</w:t>
            </w:r>
          </w:p>
        </w:tc>
        <w:tc>
          <w:tcPr>
            <w:tcW w:w="3709" w:type="dxa"/>
            <w:tcBorders>
              <w:tl2br w:val="nil"/>
              <w:tr2bl w:val="nil"/>
            </w:tcBorders>
            <w:vAlign w:val="center"/>
          </w:tcPr>
          <w:p w14:paraId="7F17A58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投标报价符合招标文件规定的价格标底和其他报价规定</w:t>
            </w:r>
          </w:p>
        </w:tc>
        <w:tc>
          <w:tcPr>
            <w:tcW w:w="4673" w:type="dxa"/>
            <w:tcBorders>
              <w:tl2br w:val="nil"/>
              <w:tr2bl w:val="nil"/>
            </w:tcBorders>
            <w:vAlign w:val="center"/>
          </w:tcPr>
          <w:p w14:paraId="5628E18C">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color w:val="auto"/>
                <w:kern w:val="2"/>
                <w:sz w:val="24"/>
                <w:szCs w:val="24"/>
                <w:highlight w:val="cyan"/>
                <w:lang w:val="en-US"/>
              </w:rPr>
            </w:pPr>
            <w:r>
              <w:rPr>
                <w:rFonts w:hint="eastAsia" w:ascii="仿宋" w:eastAsia="仿宋" w:cs="仿宋"/>
                <w:b w:val="0"/>
                <w:bCs/>
                <w:color w:val="auto"/>
                <w:kern w:val="2"/>
                <w:sz w:val="24"/>
                <w:szCs w:val="24"/>
                <w:highlight w:val="none"/>
                <w:lang w:val="en-US"/>
              </w:rPr>
              <w:t>投标报价</w:t>
            </w:r>
            <w:r>
              <w:rPr>
                <w:rFonts w:hint="eastAsia" w:ascii="仿宋" w:eastAsia="仿宋" w:cs="仿宋"/>
                <w:b w:val="0"/>
                <w:bCs/>
                <w:color w:val="auto"/>
                <w:kern w:val="2"/>
                <w:sz w:val="24"/>
                <w:szCs w:val="24"/>
                <w:highlight w:val="none"/>
                <w:lang w:val="en-US" w:eastAsia="zh-CN"/>
              </w:rPr>
              <w:t>是否</w:t>
            </w:r>
            <w:r>
              <w:rPr>
                <w:rFonts w:hint="eastAsia" w:ascii="仿宋" w:eastAsia="仿宋" w:cs="仿宋"/>
                <w:b w:val="0"/>
                <w:bCs/>
                <w:color w:val="auto"/>
                <w:kern w:val="2"/>
                <w:sz w:val="24"/>
                <w:szCs w:val="24"/>
                <w:highlight w:val="none"/>
                <w:lang w:val="en-US"/>
              </w:rPr>
              <w:t>符合招标文件规定的价格标底和其他报价规定的</w:t>
            </w:r>
          </w:p>
        </w:tc>
      </w:tr>
      <w:tr w14:paraId="500906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5B8AA19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6</w:t>
            </w:r>
          </w:p>
        </w:tc>
        <w:tc>
          <w:tcPr>
            <w:tcW w:w="3709" w:type="dxa"/>
            <w:tcBorders>
              <w:tl2br w:val="nil"/>
              <w:tr2bl w:val="nil"/>
            </w:tcBorders>
            <w:vAlign w:val="center"/>
          </w:tcPr>
          <w:p w14:paraId="5F54334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sz w:val="24"/>
                <w:szCs w:val="24"/>
                <w:highlight w:val="none"/>
              </w:rPr>
              <w:t>不存在招标文件规定的投标无效情形（资格审查表的内容</w:t>
            </w:r>
            <w:r>
              <w:rPr>
                <w:rFonts w:hint="eastAsia" w:ascii="仿宋" w:eastAsia="仿宋" w:cs="仿宋"/>
                <w:b w:val="0"/>
                <w:color w:val="auto"/>
                <w:sz w:val="24"/>
                <w:szCs w:val="24"/>
                <w:highlight w:val="none"/>
                <w:lang w:val="en-US" w:eastAsia="zh-CN"/>
              </w:rPr>
              <w:t>需复核</w:t>
            </w:r>
            <w:r>
              <w:rPr>
                <w:rFonts w:hint="eastAsia" w:ascii="仿宋" w:eastAsia="仿宋" w:cs="仿宋"/>
                <w:b w:val="0"/>
                <w:color w:val="auto"/>
                <w:sz w:val="24"/>
                <w:szCs w:val="24"/>
                <w:highlight w:val="none"/>
              </w:rPr>
              <w:t>）</w:t>
            </w:r>
          </w:p>
        </w:tc>
        <w:tc>
          <w:tcPr>
            <w:tcW w:w="4673" w:type="dxa"/>
            <w:tcBorders>
              <w:tl2br w:val="nil"/>
              <w:tr2bl w:val="nil"/>
            </w:tcBorders>
            <w:vAlign w:val="center"/>
          </w:tcPr>
          <w:p w14:paraId="7A3475A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color w:val="auto"/>
                <w:kern w:val="2"/>
                <w:sz w:val="24"/>
                <w:szCs w:val="24"/>
                <w:highlight w:val="cyan"/>
                <w:lang w:val="en-US"/>
              </w:rPr>
            </w:pPr>
            <w:r>
              <w:rPr>
                <w:rFonts w:hint="eastAsia" w:ascii="仿宋" w:eastAsia="仿宋" w:cs="仿宋"/>
                <w:b w:val="0"/>
                <w:color w:val="auto"/>
                <w:sz w:val="24"/>
                <w:szCs w:val="24"/>
                <w:highlight w:val="none"/>
              </w:rPr>
              <w:t>投标文件不存在招标文件规定的投标无效情形</w:t>
            </w:r>
          </w:p>
        </w:tc>
      </w:tr>
      <w:tr w14:paraId="7A82AC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2DDB513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7</w:t>
            </w:r>
          </w:p>
        </w:tc>
        <w:tc>
          <w:tcPr>
            <w:tcW w:w="3709" w:type="dxa"/>
            <w:tcBorders>
              <w:tl2br w:val="nil"/>
              <w:tr2bl w:val="nil"/>
            </w:tcBorders>
            <w:vAlign w:val="center"/>
          </w:tcPr>
          <w:p w14:paraId="2274AAB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未含有采购人不能接受的附加条件的</w:t>
            </w:r>
          </w:p>
        </w:tc>
        <w:tc>
          <w:tcPr>
            <w:tcW w:w="4673" w:type="dxa"/>
            <w:tcBorders>
              <w:tl2br w:val="nil"/>
              <w:tr2bl w:val="nil"/>
            </w:tcBorders>
            <w:vAlign w:val="center"/>
          </w:tcPr>
          <w:p w14:paraId="240A578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color w:val="auto"/>
                <w:kern w:val="2"/>
                <w:sz w:val="24"/>
                <w:szCs w:val="24"/>
                <w:highlight w:val="cyan"/>
                <w:lang w:val="en-US"/>
              </w:rPr>
            </w:pPr>
            <w:r>
              <w:rPr>
                <w:rFonts w:hint="eastAsia" w:ascii="仿宋" w:eastAsia="仿宋" w:cs="仿宋"/>
                <w:b w:val="0"/>
                <w:color w:val="auto"/>
                <w:sz w:val="24"/>
                <w:szCs w:val="24"/>
                <w:highlight w:val="none"/>
              </w:rPr>
              <w:t>投标文件</w:t>
            </w:r>
            <w:r>
              <w:rPr>
                <w:rFonts w:hint="eastAsia" w:ascii="仿宋" w:eastAsia="仿宋" w:cs="仿宋"/>
                <w:b w:val="0"/>
                <w:color w:val="auto"/>
                <w:sz w:val="24"/>
                <w:szCs w:val="24"/>
                <w:highlight w:val="none"/>
                <w:lang w:val="en-US" w:eastAsia="zh-CN"/>
              </w:rPr>
              <w:t>未</w:t>
            </w:r>
            <w:r>
              <w:rPr>
                <w:rFonts w:hint="eastAsia" w:ascii="仿宋" w:eastAsia="仿宋" w:cs="仿宋"/>
                <w:b w:val="0"/>
                <w:color w:val="auto"/>
                <w:sz w:val="24"/>
                <w:szCs w:val="24"/>
                <w:highlight w:val="none"/>
              </w:rPr>
              <w:t>含有采购人不能接受的附加条件</w:t>
            </w:r>
          </w:p>
        </w:tc>
      </w:tr>
      <w:tr w14:paraId="5C05086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226DF0D7">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8</w:t>
            </w:r>
          </w:p>
        </w:tc>
        <w:tc>
          <w:tcPr>
            <w:tcW w:w="3709" w:type="dxa"/>
            <w:tcBorders>
              <w:tl2br w:val="nil"/>
              <w:tr2bl w:val="nil"/>
            </w:tcBorders>
            <w:vAlign w:val="center"/>
          </w:tcPr>
          <w:p w14:paraId="49A7DD3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按招标文件规定和要求格式签署、盖章</w:t>
            </w:r>
          </w:p>
        </w:tc>
        <w:tc>
          <w:tcPr>
            <w:tcW w:w="4673" w:type="dxa"/>
            <w:tcBorders>
              <w:tl2br w:val="nil"/>
              <w:tr2bl w:val="nil"/>
            </w:tcBorders>
            <w:vAlign w:val="center"/>
          </w:tcPr>
          <w:p w14:paraId="299589C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color w:val="auto"/>
                <w:kern w:val="2"/>
                <w:sz w:val="24"/>
                <w:szCs w:val="24"/>
                <w:highlight w:val="cyan"/>
                <w:lang w:val="en-US"/>
              </w:rPr>
            </w:pPr>
            <w:r>
              <w:rPr>
                <w:rFonts w:hint="eastAsia" w:ascii="仿宋" w:eastAsia="仿宋" w:cs="仿宋"/>
                <w:b w:val="0"/>
                <w:color w:val="auto"/>
                <w:sz w:val="24"/>
                <w:szCs w:val="24"/>
                <w:highlight w:val="none"/>
                <w:lang w:val="en-US" w:eastAsia="zh-CN"/>
              </w:rPr>
              <w:t>是否</w:t>
            </w:r>
            <w:r>
              <w:rPr>
                <w:rFonts w:hint="eastAsia" w:ascii="仿宋" w:eastAsia="仿宋" w:cs="仿宋"/>
                <w:b w:val="0"/>
                <w:color w:val="auto"/>
                <w:sz w:val="24"/>
                <w:szCs w:val="24"/>
                <w:highlight w:val="none"/>
              </w:rPr>
              <w:t>按照招标文件规定和要求</w:t>
            </w:r>
            <w:r>
              <w:rPr>
                <w:rFonts w:hint="eastAsia" w:ascii="仿宋" w:eastAsia="仿宋" w:cs="仿宋"/>
                <w:b w:val="0"/>
                <w:color w:val="auto"/>
                <w:sz w:val="24"/>
                <w:szCs w:val="24"/>
                <w:highlight w:val="none"/>
                <w:lang w:eastAsia="zh-CN"/>
              </w:rPr>
              <w:t>盖</w:t>
            </w:r>
            <w:r>
              <w:rPr>
                <w:rFonts w:hint="eastAsia" w:ascii="仿宋" w:eastAsia="仿宋" w:cs="仿宋"/>
                <w:b w:val="0"/>
                <w:color w:val="auto"/>
                <w:sz w:val="24"/>
                <w:szCs w:val="24"/>
                <w:highlight w:val="none"/>
              </w:rPr>
              <w:t>电子签章</w:t>
            </w:r>
          </w:p>
        </w:tc>
      </w:tr>
      <w:tr w14:paraId="1756BA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2F36372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ascii="仿宋" w:eastAsia="仿宋" w:cs="仿宋"/>
                <w:b w:val="0"/>
                <w:bCs/>
                <w:color w:val="auto"/>
                <w:sz w:val="24"/>
                <w:szCs w:val="24"/>
                <w:highlight w:val="none"/>
                <w:lang w:val="en-US" w:eastAsia="zh-CN"/>
              </w:rPr>
            </w:pPr>
            <w:r>
              <w:rPr>
                <w:rFonts w:hint="eastAsia" w:ascii="仿宋" w:eastAsia="仿宋" w:cs="仿宋"/>
                <w:b w:val="0"/>
                <w:bCs/>
                <w:color w:val="auto"/>
                <w:sz w:val="24"/>
                <w:szCs w:val="24"/>
                <w:highlight w:val="none"/>
                <w:lang w:val="en-US" w:eastAsia="zh-CN"/>
              </w:rPr>
              <w:t>9</w:t>
            </w:r>
          </w:p>
        </w:tc>
        <w:tc>
          <w:tcPr>
            <w:tcW w:w="3709" w:type="dxa"/>
            <w:tcBorders>
              <w:tl2br w:val="nil"/>
              <w:tr2bl w:val="nil"/>
            </w:tcBorders>
            <w:vAlign w:val="center"/>
          </w:tcPr>
          <w:p w14:paraId="3D2FE52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sz w:val="24"/>
                <w:szCs w:val="24"/>
                <w:highlight w:val="none"/>
                <w:lang w:val="en-US" w:eastAsia="zh-CN"/>
              </w:rPr>
              <w:t>满足招标文件的实质性要求</w:t>
            </w:r>
          </w:p>
        </w:tc>
        <w:tc>
          <w:tcPr>
            <w:tcW w:w="4673" w:type="dxa"/>
            <w:tcBorders>
              <w:tl2br w:val="nil"/>
              <w:tr2bl w:val="nil"/>
            </w:tcBorders>
            <w:vAlign w:val="center"/>
          </w:tcPr>
          <w:p w14:paraId="374911D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left"/>
              <w:textAlignment w:val="auto"/>
              <w:rPr>
                <w:rFonts w:hint="eastAsia" w:ascii="仿宋" w:eastAsia="仿宋" w:cs="仿宋"/>
                <w:b w:val="0"/>
                <w:color w:val="auto"/>
                <w:kern w:val="2"/>
                <w:sz w:val="24"/>
                <w:szCs w:val="24"/>
                <w:highlight w:val="cyan"/>
                <w:lang w:val="en-US"/>
              </w:rPr>
            </w:pPr>
            <w:r>
              <w:rPr>
                <w:rFonts w:hint="eastAsia" w:ascii="仿宋" w:eastAsia="仿宋" w:cs="仿宋"/>
                <w:b w:val="0"/>
                <w:color w:val="auto"/>
                <w:sz w:val="24"/>
                <w:szCs w:val="24"/>
                <w:highlight w:val="none"/>
                <w:lang w:val="en-US" w:eastAsia="zh-CN"/>
              </w:rPr>
              <w:t>是否满足招标文件的实质性要求</w:t>
            </w:r>
          </w:p>
        </w:tc>
      </w:tr>
      <w:tr w14:paraId="3EB391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72" w:type="dxa"/>
            <w:tcBorders>
              <w:tl2br w:val="nil"/>
              <w:tr2bl w:val="nil"/>
            </w:tcBorders>
            <w:vAlign w:val="center"/>
          </w:tcPr>
          <w:p w14:paraId="77846B4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p>
        </w:tc>
        <w:tc>
          <w:tcPr>
            <w:tcW w:w="3709" w:type="dxa"/>
            <w:tcBorders>
              <w:tl2br w:val="nil"/>
              <w:tr2bl w:val="nil"/>
            </w:tcBorders>
            <w:vAlign w:val="center"/>
          </w:tcPr>
          <w:p w14:paraId="280B687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none"/>
                <w:lang w:val="en-US"/>
              </w:rPr>
            </w:pPr>
            <w:r>
              <w:rPr>
                <w:rFonts w:hint="eastAsia" w:ascii="仿宋" w:eastAsia="仿宋" w:cs="仿宋"/>
                <w:b w:val="0"/>
                <w:color w:val="auto"/>
                <w:kern w:val="2"/>
                <w:sz w:val="24"/>
                <w:szCs w:val="24"/>
                <w:highlight w:val="none"/>
                <w:lang w:val="en-US"/>
              </w:rPr>
              <w:t>结 论</w:t>
            </w:r>
          </w:p>
        </w:tc>
        <w:tc>
          <w:tcPr>
            <w:tcW w:w="4673" w:type="dxa"/>
            <w:tcBorders>
              <w:tl2br w:val="nil"/>
              <w:tr2bl w:val="nil"/>
            </w:tcBorders>
            <w:vAlign w:val="center"/>
          </w:tcPr>
          <w:p w14:paraId="6B0835C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right="0" w:firstLine="0" w:firstLineChars="0"/>
              <w:jc w:val="center"/>
              <w:textAlignment w:val="auto"/>
              <w:rPr>
                <w:rFonts w:hint="eastAsia" w:ascii="仿宋" w:eastAsia="仿宋" w:cs="仿宋"/>
                <w:b w:val="0"/>
                <w:color w:val="auto"/>
                <w:kern w:val="2"/>
                <w:sz w:val="24"/>
                <w:szCs w:val="24"/>
                <w:highlight w:val="cyan"/>
                <w:lang w:val="en-US"/>
              </w:rPr>
            </w:pPr>
          </w:p>
        </w:tc>
      </w:tr>
    </w:tbl>
    <w:p w14:paraId="316C9DFA">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注：以上每一项结论均为“合格”的，则投标人通过符合性审查，如有任意一项结论为“不合格”的，则投标人不通过符合性审查，其投标文件按无效投标文件处理。如果认为投标人有任意一项不合格的，应载明不合格的具体原因。</w:t>
      </w:r>
    </w:p>
    <w:p w14:paraId="22E324EF">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评标委员会依法对投标人进行符合性审查结束后，出具符合性审查报告。</w:t>
      </w:r>
    </w:p>
    <w:p w14:paraId="5621A869">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通过符合性审查的投标人不足3家的，本项目废标。</w:t>
      </w:r>
    </w:p>
    <w:p w14:paraId="624C06DE">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比较与评价。</w:t>
      </w:r>
    </w:p>
    <w:p w14:paraId="611ABDD7">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评标委员会应当按照招标文件中规定的评标方法和标准，对符合性审查合格的投标文件进行商务和技术评估，综合比较与评价。</w:t>
      </w:r>
    </w:p>
    <w:p w14:paraId="6AE099D5">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复核。</w:t>
      </w:r>
    </w:p>
    <w:p w14:paraId="35539ACA">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评分汇总结束后，评标委员会应当进行复核，对畸高、畸低的重大差异评分，特别要对拟推荐为中标候选人的、报价最低的、投标文件被认定为无效的进行重点复核。</w:t>
      </w:r>
    </w:p>
    <w:p w14:paraId="487819DB">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推荐中标候选人名单。</w:t>
      </w:r>
    </w:p>
    <w:p w14:paraId="6A7F42E1">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评标结果按评审后得分由高到低顺序排列。得分相同的，按投标报价由低到高顺序排列。得分且投标报价相同的并列（注：为扶持不发达地区和少数民族地区，得分且投标报价相同的，评标委员会优先推荐企业注册地在不发达地区和少数民族地区的投标人）。投标文件满足招标文件全部实质性要求，且按照评审因素的量化指标评审得分最高的投标人为排名第一的中标候选人。</w:t>
      </w:r>
    </w:p>
    <w:p w14:paraId="0D91BB4E">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出具评标报告。</w:t>
      </w:r>
    </w:p>
    <w:p w14:paraId="65DF9076">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评标委员会根据全体评标成员签字的原始评标记录和评标结果编写评标报告。评标报告应当包括以下内容：</w:t>
      </w:r>
    </w:p>
    <w:p w14:paraId="295ED326">
      <w:pPr>
        <w:pageBreakBefore w:val="0"/>
        <w:widowControl w:val="0"/>
        <w:numPr>
          <w:ilvl w:val="0"/>
          <w:numId w:val="71"/>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招标公告刊登的媒体名称、开标日期和地点；</w:t>
      </w:r>
    </w:p>
    <w:p w14:paraId="29BF05A7">
      <w:pPr>
        <w:pageBreakBefore w:val="0"/>
        <w:widowControl w:val="0"/>
        <w:numPr>
          <w:ilvl w:val="0"/>
          <w:numId w:val="71"/>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投标人名单和评标委员会成员名单；</w:t>
      </w:r>
    </w:p>
    <w:p w14:paraId="26B1AEB0">
      <w:pPr>
        <w:pageBreakBefore w:val="0"/>
        <w:widowControl w:val="0"/>
        <w:numPr>
          <w:ilvl w:val="0"/>
          <w:numId w:val="71"/>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评标方法和标准；</w:t>
      </w:r>
    </w:p>
    <w:p w14:paraId="392493C2">
      <w:pPr>
        <w:pageBreakBefore w:val="0"/>
        <w:widowControl w:val="0"/>
        <w:numPr>
          <w:ilvl w:val="0"/>
          <w:numId w:val="71"/>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开标记录和评标情况及说明，包括无效投标人名单及原因；</w:t>
      </w:r>
    </w:p>
    <w:p w14:paraId="7C9D8A54">
      <w:pPr>
        <w:pageBreakBefore w:val="0"/>
        <w:widowControl w:val="0"/>
        <w:numPr>
          <w:ilvl w:val="0"/>
          <w:numId w:val="71"/>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评标结果，确定的中标候选人名单或者经采购人委托（若有）直接确定的中标人；</w:t>
      </w:r>
    </w:p>
    <w:p w14:paraId="07C42630">
      <w:pPr>
        <w:pageBreakBefore w:val="0"/>
        <w:widowControl w:val="0"/>
        <w:numPr>
          <w:ilvl w:val="0"/>
          <w:numId w:val="71"/>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其他需要说明的情况，包括评标过程中投标人根据评标委员会要求进行的澄清、说明或者补正，评标委员会成员的更换等。</w:t>
      </w:r>
    </w:p>
    <w:p w14:paraId="3A53A327">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评标委员会成员应当在评标报告中签字确认。</w:t>
      </w:r>
    </w:p>
    <w:p w14:paraId="7DCB8791">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评标争议处理规则。</w:t>
      </w:r>
    </w:p>
    <w:p w14:paraId="4757316E">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36209D67">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投标人应当书面澄清、说明或者更正。</w:t>
      </w:r>
    </w:p>
    <w:p w14:paraId="3EADE038">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对于投标文件中含义不明确、同类问题表述不一致或者有明显文字和计算错误的内容，评标委员会应当以书面形式（须由评标委员会全体成员签字）要求投标人作出必要的澄清、说明或者补正。</w:t>
      </w:r>
    </w:p>
    <w:p w14:paraId="69AA0729">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投标人的澄清、说明或者补正应当采用书面形式，</w:t>
      </w:r>
      <w:r>
        <w:rPr>
          <w:rFonts w:hint="eastAsia" w:ascii="仿宋" w:eastAsia="仿宋"/>
          <w:b w:val="0"/>
          <w:bCs/>
          <w:color w:val="auto"/>
          <w:kern w:val="2"/>
          <w:sz w:val="24"/>
          <w:szCs w:val="24"/>
          <w:highlight w:val="none"/>
          <w:lang w:val="en-US"/>
        </w:rPr>
        <w:t>应当加盖投标人（法定名称）电子签章，在评标委员会要求的时间内通过政府采购云平台进行递交，否则无效（给予</w:t>
      </w:r>
      <w:r>
        <w:rPr>
          <w:rFonts w:hint="eastAsia" w:ascii="仿宋" w:eastAsia="仿宋"/>
          <w:b w:val="0"/>
          <w:bCs/>
          <w:color w:val="auto"/>
          <w:kern w:val="2"/>
          <w:sz w:val="24"/>
          <w:szCs w:val="24"/>
          <w:highlight w:val="none"/>
          <w:lang w:val="en-US" w:eastAsia="zh-CN"/>
        </w:rPr>
        <w:t>投标人</w:t>
      </w:r>
      <w:r>
        <w:rPr>
          <w:rFonts w:hint="eastAsia" w:ascii="仿宋" w:eastAsia="仿宋"/>
          <w:b w:val="0"/>
          <w:bCs/>
          <w:color w:val="auto"/>
          <w:kern w:val="2"/>
          <w:sz w:val="24"/>
          <w:szCs w:val="24"/>
          <w:highlight w:val="none"/>
          <w:lang w:val="en-US"/>
        </w:rPr>
        <w:t>澄清、说明的时间不得少于30分钟，</w:t>
      </w:r>
      <w:r>
        <w:rPr>
          <w:rFonts w:hint="eastAsia" w:ascii="仿宋" w:eastAsia="仿宋"/>
          <w:b w:val="0"/>
          <w:bCs/>
          <w:color w:val="auto"/>
          <w:kern w:val="2"/>
          <w:sz w:val="24"/>
          <w:szCs w:val="24"/>
          <w:highlight w:val="none"/>
          <w:lang w:val="en-US" w:eastAsia="zh-CN"/>
        </w:rPr>
        <w:t>投标人</w:t>
      </w:r>
      <w:r>
        <w:rPr>
          <w:rFonts w:hint="eastAsia" w:ascii="仿宋" w:eastAsia="仿宋"/>
          <w:b w:val="0"/>
          <w:bCs/>
          <w:color w:val="auto"/>
          <w:kern w:val="2"/>
          <w:sz w:val="24"/>
          <w:szCs w:val="24"/>
          <w:highlight w:val="none"/>
          <w:lang w:val="en-US"/>
        </w:rPr>
        <w:t>已明确表示澄清、说明完毕的除外）。澄清、说明或者更正不影响投标文件的效力，有效的澄清、说明或者更正材料，是投标文件的组成部分。如因断电、断网、系统故障或其他不可抗力等因素，导致系统无法使用的，由投标人按评标委员会的要求进行澄清或者说明</w:t>
      </w:r>
      <w:r>
        <w:rPr>
          <w:rFonts w:ascii="仿宋" w:eastAsia="仿宋"/>
          <w:b w:val="0"/>
          <w:bCs/>
          <w:color w:val="auto"/>
          <w:kern w:val="2"/>
          <w:sz w:val="24"/>
          <w:szCs w:val="24"/>
          <w:highlight w:val="none"/>
          <w:lang w:val="en-US"/>
        </w:rPr>
        <w:t>。投标人的澄清、说明或者补正不得超出投标文件的范围或者改变投标文件的实质性内容。</w:t>
      </w:r>
    </w:p>
    <w:p w14:paraId="000412C5">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评标委员会要求投标人澄清、说明或者更正，不得超出招标文件的范围、不得以此让投标人实质改变投标文件的内容、不得影响投标人公平竞争。本项目下列内容不得澄清：</w:t>
      </w:r>
    </w:p>
    <w:p w14:paraId="7F58DBBD">
      <w:pPr>
        <w:pageBreakBefore w:val="0"/>
        <w:widowControl w:val="0"/>
        <w:numPr>
          <w:ilvl w:val="0"/>
          <w:numId w:val="72"/>
        </w:numPr>
        <w:tabs>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按财政部规定应当在评标时不予承认的投标文件内容事项；</w:t>
      </w:r>
    </w:p>
    <w:p w14:paraId="13BE49E8">
      <w:pPr>
        <w:pageBreakBefore w:val="0"/>
        <w:widowControl w:val="0"/>
        <w:numPr>
          <w:ilvl w:val="0"/>
          <w:numId w:val="72"/>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投标文件中已经明确的内容事项；</w:t>
      </w:r>
    </w:p>
    <w:p w14:paraId="6DB4D7E1">
      <w:pPr>
        <w:pageBreakBefore w:val="0"/>
        <w:widowControl w:val="0"/>
        <w:numPr>
          <w:ilvl w:val="0"/>
          <w:numId w:val="72"/>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投标文件未提供的材料。</w:t>
      </w:r>
    </w:p>
    <w:p w14:paraId="5BA7A8ED">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本项目采购过程中，投标文件出现下列情况的，不需要投标人澄清、说明或者更正，按照以下原则处理：</w:t>
      </w:r>
    </w:p>
    <w:p w14:paraId="74A87F87">
      <w:pPr>
        <w:pageBreakBefore w:val="0"/>
        <w:widowControl w:val="0"/>
        <w:numPr>
          <w:ilvl w:val="0"/>
          <w:numId w:val="72"/>
        </w:numPr>
        <w:kinsoku/>
        <w:wordWrap/>
        <w:overflowPunct/>
        <w:topLinePunct w:val="0"/>
        <w:bidi w:val="0"/>
        <w:spacing w:beforeAutospacing="0" w:afterAutospacing="0" w:line="360" w:lineRule="auto"/>
        <w:ind w:left="0" w:right="0" w:firstLine="480" w:firstLineChars="200"/>
        <w:rPr>
          <w:rFonts w:ascii="仿宋" w:eastAsia="仿宋" w:cs="Times New Roman"/>
          <w:b w:val="0"/>
          <w:color w:val="auto"/>
          <w:sz w:val="24"/>
          <w:szCs w:val="24"/>
          <w:highlight w:val="none"/>
        </w:rPr>
      </w:pPr>
      <w:r>
        <w:rPr>
          <w:rFonts w:hint="eastAsia" w:ascii="仿宋" w:eastAsia="仿宋" w:cs="Times New Roman"/>
          <w:b w:val="0"/>
          <w:color w:val="auto"/>
          <w:sz w:val="24"/>
          <w:szCs w:val="24"/>
          <w:highlight w:val="none"/>
        </w:rPr>
        <w:t>电子采购平台自动汇总生成的“开标记录表”内容与投标文件其他部分内容不一致的，以电子采购平台自动汇总生成的“开标记录表”内容为准</w:t>
      </w:r>
      <w:r>
        <w:rPr>
          <w:rFonts w:ascii="仿宋" w:eastAsia="仿宋" w:cs="Times New Roman"/>
          <w:b w:val="0"/>
          <w:color w:val="auto"/>
          <w:sz w:val="24"/>
          <w:szCs w:val="24"/>
          <w:highlight w:val="none"/>
        </w:rPr>
        <w:t>；</w:t>
      </w:r>
    </w:p>
    <w:p w14:paraId="497C912A">
      <w:pPr>
        <w:pageBreakBefore w:val="0"/>
        <w:widowControl w:val="0"/>
        <w:numPr>
          <w:ilvl w:val="0"/>
          <w:numId w:val="73"/>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大写金额和小写金额不一致的，以大写金额为准；</w:t>
      </w:r>
    </w:p>
    <w:p w14:paraId="49843675">
      <w:pPr>
        <w:pageBreakBefore w:val="0"/>
        <w:widowControl w:val="0"/>
        <w:numPr>
          <w:ilvl w:val="0"/>
          <w:numId w:val="73"/>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单价金额小数点或者百分比有明显错位的，以开标一览表的总价为准，并修改单价；</w:t>
      </w:r>
    </w:p>
    <w:p w14:paraId="6FB2664B">
      <w:pPr>
        <w:pageBreakBefore w:val="0"/>
        <w:widowControl w:val="0"/>
        <w:numPr>
          <w:ilvl w:val="0"/>
          <w:numId w:val="73"/>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总价金额与按单价汇总金额不一致的，以单价金额计算结果为准。</w:t>
      </w:r>
    </w:p>
    <w:p w14:paraId="0DC41399">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同时出现两种以上不一致的，按照前款规定的顺序修正。修正后的报价</w:t>
      </w:r>
      <w:r>
        <w:rPr>
          <w:rFonts w:ascii="仿宋" w:eastAsia="仿宋"/>
          <w:b w:val="0"/>
          <w:color w:val="auto"/>
          <w:kern w:val="2"/>
          <w:sz w:val="24"/>
          <w:szCs w:val="24"/>
          <w:highlight w:val="none"/>
          <w:lang w:val="en-US"/>
        </w:rPr>
        <w:t>按照《政府采购货物和服务招标投标管理办法》（中华人民共和国财政部令第87号）</w:t>
      </w:r>
      <w:r>
        <w:rPr>
          <w:rFonts w:ascii="仿宋" w:eastAsia="仿宋"/>
          <w:b w:val="0"/>
          <w:color w:val="auto"/>
          <w:sz w:val="24"/>
          <w:szCs w:val="24"/>
          <w:highlight w:val="none"/>
        </w:rPr>
        <w:t>第五十一条第二款的规定经投标人确认后产生约束力，投标人不确认的，其投标无效。</w:t>
      </w:r>
    </w:p>
    <w:p w14:paraId="40C2D170">
      <w:pPr>
        <w:pageBreakBefore w:val="0"/>
        <w:widowControl w:val="0"/>
        <w:kinsoku/>
        <w:wordWrap/>
        <w:overflowPunct/>
        <w:topLinePunct w:val="0"/>
        <w:bidi w:val="0"/>
        <w:spacing w:beforeAutospacing="0" w:afterAutospacing="0" w:line="360" w:lineRule="auto"/>
        <w:ind w:left="0" w:right="0"/>
        <w:rPr>
          <w:rFonts w:ascii="仿宋" w:eastAsia="仿宋"/>
          <w:color w:val="auto"/>
          <w:sz w:val="24"/>
          <w:szCs w:val="24"/>
          <w:highlight w:val="none"/>
        </w:rPr>
      </w:pPr>
      <w:r>
        <w:rPr>
          <w:rFonts w:ascii="仿宋" w:eastAsia="仿宋"/>
          <w:color w:val="auto"/>
          <w:sz w:val="24"/>
          <w:szCs w:val="24"/>
          <w:highlight w:val="none"/>
        </w:rPr>
        <w:t>注：评标委员会成员应当积极履行澄清、说明或者更正的职责，不得滥用权力。投标人的投标文件可以要求澄清、说明或者更正的，不得未经澄清、说明或者更正而直接作无效投标处理。</w:t>
      </w:r>
    </w:p>
    <w:p w14:paraId="3FDF69A2">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低于成本价投标处理。</w:t>
      </w:r>
    </w:p>
    <w:p w14:paraId="5CE460F4">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根据《关于推动解决政府采购异常低价问题的通知》【财库（2026）2号】，政府采购评审中出现下列情形之一的，评审委员会应当启动异常低价投标（响应）审查程序：</w:t>
      </w:r>
    </w:p>
    <w:p w14:paraId="31FC9ED0">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（1）投标（响应）报价低于全部通过符合性审查供应商投标（响应）报价平均值50%的，即投标（响应）报价&lt;全部通过符合性审查供应商投标（响应）报价平均值×50%；</w:t>
      </w:r>
    </w:p>
    <w:p w14:paraId="39B6DF23">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（2）投标（响应）报价低于通过符合性审查的次低报价供应商投标（响应）报价50%的，即投标（响应）报价&lt;通过符合性审查的次低报价供应商投标（响应）报价×50%；</w:t>
      </w:r>
    </w:p>
    <w:p w14:paraId="1DBC12EE">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（3）投标（响应）报价低于采购项目最高限价45%的，即投标（响应）报价&lt;采购项目最高限价×45%；</w:t>
      </w:r>
    </w:p>
    <w:p w14:paraId="08F53D88">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（4）评审委员会基于专业判断，认为供应商报价过低，有可能影响产品质量或者不能诚信履约的其他情形。</w:t>
      </w:r>
    </w:p>
    <w:p w14:paraId="67105F3A">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采购人可以结合具体项目实际情况，提高上述第1项至第3项中启动异常低价投标（响应）审查的数值标准，但是最高不得超过65%。</w:t>
      </w:r>
    </w:p>
    <w:p w14:paraId="45DD284C">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相关法律法规对供应商报价有规定的，从其规定。</w:t>
      </w:r>
    </w:p>
    <w:p w14:paraId="595B2C49">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18C4E38">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04DE834">
      <w:pPr>
        <w:keepNext w:val="0"/>
        <w:keepLines w:val="0"/>
        <w:widowControl/>
        <w:suppressLineNumbers w:val="0"/>
        <w:jc w:val="left"/>
        <w:rPr>
          <w:rFonts w:hint="eastAsia" w:ascii="仿宋" w:hAnsi="仿宋" w:eastAsia="仿宋" w:cs="仿宋"/>
          <w:b w:val="0"/>
          <w:color w:val="000000"/>
          <w:kern w:val="0"/>
          <w:sz w:val="24"/>
          <w:szCs w:val="24"/>
          <w:highlight w:val="none"/>
          <w:lang w:val="en-US" w:eastAsia="zh-CN" w:bidi="ar"/>
        </w:rPr>
      </w:pPr>
      <w:r>
        <w:rPr>
          <w:rFonts w:hint="eastAsia" w:ascii="仿宋" w:hAnsi="仿宋" w:eastAsia="仿宋" w:cs="仿宋"/>
          <w:b w:val="0"/>
          <w:color w:val="000000"/>
          <w:kern w:val="0"/>
          <w:sz w:val="24"/>
          <w:szCs w:val="24"/>
          <w:highlight w:val="none"/>
          <w:lang w:val="en-US" w:eastAsia="zh-CN" w:bidi="ar"/>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23A4542">
      <w:pPr>
        <w:keepNext w:val="0"/>
        <w:keepLines w:val="0"/>
        <w:widowControl/>
        <w:suppressLineNumbers w:val="0"/>
        <w:jc w:val="left"/>
        <w:rPr>
          <w:rFonts w:ascii="仿宋" w:eastAsia="仿宋"/>
          <w:b w:val="0"/>
          <w:color w:val="auto"/>
          <w:sz w:val="24"/>
          <w:szCs w:val="24"/>
          <w:highlight w:val="none"/>
        </w:rPr>
      </w:pPr>
      <w:r>
        <w:rPr>
          <w:rFonts w:hint="eastAsia" w:ascii="仿宋" w:hAnsi="仿宋" w:eastAsia="仿宋" w:cs="仿宋"/>
          <w:b w:val="0"/>
          <w:color w:val="000000"/>
          <w:kern w:val="0"/>
          <w:sz w:val="24"/>
          <w:szCs w:val="24"/>
          <w:highlight w:val="none"/>
          <w:lang w:val="en-US" w:eastAsia="zh-CN" w:bidi="ar"/>
        </w:rPr>
        <w:t>异常低价投标（响应）审查的启动原因、审查意见和审查结果应当在评审报告中记录，并随供应商提供的相关书面说明及证明材料，以及评审委员会有关互联网浏览、查询历史一并归档</w:t>
      </w:r>
      <w:r>
        <w:rPr>
          <w:rFonts w:ascii="仿宋" w:eastAsia="仿宋"/>
          <w:b w:val="0"/>
          <w:color w:val="auto"/>
          <w:sz w:val="24"/>
          <w:szCs w:val="24"/>
          <w:highlight w:val="none"/>
        </w:rPr>
        <w:t>。</w:t>
      </w:r>
    </w:p>
    <w:p w14:paraId="22BB8DFB">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采购代理机构现场复核评标结果。</w:t>
      </w:r>
    </w:p>
    <w:p w14:paraId="14E24762">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评标结果汇总完成后，除下列情形外，任何人不得修改评标结果：</w:t>
      </w:r>
    </w:p>
    <w:p w14:paraId="09C4F0F0">
      <w:pPr>
        <w:pageBreakBefore w:val="0"/>
        <w:widowControl w:val="0"/>
        <w:numPr>
          <w:ilvl w:val="0"/>
          <w:numId w:val="74"/>
        </w:numPr>
        <w:tabs>
          <w:tab w:val="left" w:pos="567"/>
          <w:tab w:val="left" w:pos="709"/>
        </w:tabs>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分值汇总计算错误的；</w:t>
      </w:r>
    </w:p>
    <w:p w14:paraId="5C1B733A">
      <w:pPr>
        <w:pageBreakBefore w:val="0"/>
        <w:widowControl w:val="0"/>
        <w:numPr>
          <w:ilvl w:val="0"/>
          <w:numId w:val="74"/>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分项评分超出评分标准范围的；</w:t>
      </w:r>
    </w:p>
    <w:p w14:paraId="42550F99">
      <w:pPr>
        <w:pageBreakBefore w:val="0"/>
        <w:widowControl w:val="0"/>
        <w:numPr>
          <w:ilvl w:val="0"/>
          <w:numId w:val="74"/>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评标委员会成员对客观评审因素评分不一致的；</w:t>
      </w:r>
    </w:p>
    <w:p w14:paraId="124ED4BD">
      <w:pPr>
        <w:pageBreakBefore w:val="0"/>
        <w:widowControl w:val="0"/>
        <w:numPr>
          <w:ilvl w:val="0"/>
          <w:numId w:val="74"/>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经评标委员会认定评分畸高、畸低的。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3C0821E">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投标人对本条第一款情形提出质疑的，采购人或者采购代理机构可以组织原评标委员会进行重新评审，重新评审改变评标结果的，应当书面报告本级财政部门。</w:t>
      </w:r>
    </w:p>
    <w:p w14:paraId="658D835E">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采购代理机构复核过程中，评标委员会不得离开评标现场。</w:t>
      </w:r>
    </w:p>
    <w:p w14:paraId="787B96D2">
      <w:pPr>
        <w:keepNext/>
        <w:keepLines w:val="0"/>
        <w:pageBreakBefore w:val="0"/>
        <w:widowControl w:val="0"/>
        <w:numPr>
          <w:ilvl w:val="1"/>
          <w:numId w:val="22"/>
        </w:numPr>
        <w:tabs>
          <w:tab w:val="left" w:pos="360"/>
        </w:tabs>
        <w:kinsoku/>
        <w:wordWrap/>
        <w:overflowPunct/>
        <w:topLinePunct w:val="0"/>
        <w:autoSpaceDE/>
        <w:autoSpaceDN/>
        <w:bidi w:val="0"/>
        <w:adjustRightInd/>
        <w:snapToGrid w:val="0"/>
        <w:spacing w:beforeAutospacing="0" w:afterAutospacing="0" w:line="480" w:lineRule="exact"/>
        <w:ind w:left="850" w:right="0" w:hanging="567" w:firstLineChars="0"/>
        <w:jc w:val="left"/>
        <w:textAlignment w:val="auto"/>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299" w:name="_Toc21851"/>
      <w:r>
        <w:rPr>
          <w:rFonts w:ascii="仿宋" w:eastAsia="仿宋"/>
          <w:bCs/>
          <w:color w:val="auto"/>
          <w:kern w:val="2"/>
          <w:sz w:val="24"/>
          <w:szCs w:val="24"/>
          <w:highlight w:val="none"/>
          <w:lang w:val="en-US"/>
        </w:rPr>
        <w:t>评标细则及标准</w:t>
      </w:r>
      <w:bookmarkEnd w:id="299"/>
    </w:p>
    <w:p w14:paraId="023F0AF5">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80" w:lineRule="exact"/>
        <w:ind w:left="850" w:right="0" w:hanging="567" w:firstLineChars="0"/>
        <w:jc w:val="left"/>
        <w:textAlignment w:val="auto"/>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本次综合评分的因素</w:t>
      </w:r>
    </w:p>
    <w:p w14:paraId="05E09595">
      <w:pPr>
        <w:keepLines w:val="0"/>
        <w:pageBreakBefore w:val="0"/>
        <w:widowControl w:val="0"/>
        <w:kinsoku/>
        <w:wordWrap/>
        <w:overflowPunct/>
        <w:topLinePunct w:val="0"/>
        <w:autoSpaceDE/>
        <w:autoSpaceDN/>
        <w:bidi w:val="0"/>
        <w:adjustRightInd/>
        <w:snapToGrid w:val="0"/>
        <w:spacing w:beforeAutospacing="0" w:afterAutospacing="0" w:line="480" w:lineRule="exact"/>
        <w:ind w:left="0" w:right="0"/>
        <w:textAlignment w:val="auto"/>
        <w:rPr>
          <w:rFonts w:ascii="仿宋" w:eastAsia="仿宋"/>
          <w:b w:val="0"/>
          <w:color w:val="auto"/>
          <w:sz w:val="24"/>
          <w:szCs w:val="24"/>
          <w:highlight w:val="none"/>
        </w:rPr>
      </w:pPr>
      <w:r>
        <w:rPr>
          <w:rFonts w:ascii="仿宋" w:eastAsia="仿宋"/>
          <w:b w:val="0"/>
          <w:color w:val="auto"/>
          <w:sz w:val="24"/>
          <w:szCs w:val="24"/>
          <w:highlight w:val="none"/>
        </w:rPr>
        <w:t>详见综合评分明细表。</w:t>
      </w:r>
    </w:p>
    <w:p w14:paraId="08688F4B">
      <w:pPr>
        <w:keepLines w:val="0"/>
        <w:pageBreakBefore w:val="0"/>
        <w:widowControl w:val="0"/>
        <w:numPr>
          <w:ilvl w:val="2"/>
          <w:numId w:val="22"/>
        </w:numPr>
        <w:tabs>
          <w:tab w:val="left" w:pos="360"/>
        </w:tabs>
        <w:kinsoku/>
        <w:wordWrap/>
        <w:overflowPunct/>
        <w:topLinePunct w:val="0"/>
        <w:autoSpaceDE/>
        <w:autoSpaceDN/>
        <w:bidi w:val="0"/>
        <w:adjustRightInd/>
        <w:snapToGrid/>
        <w:spacing w:beforeAutospacing="0" w:afterAutospacing="0" w:line="480" w:lineRule="exact"/>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评标委员会成员应当根据自身专业情况对每个有效投标</w:t>
      </w:r>
      <w:r>
        <w:rPr>
          <w:rFonts w:hint="eastAsia" w:ascii="仿宋" w:eastAsia="仿宋"/>
          <w:b w:val="0"/>
          <w:bCs/>
          <w:color w:val="auto"/>
          <w:kern w:val="2"/>
          <w:sz w:val="24"/>
          <w:szCs w:val="24"/>
          <w:highlight w:val="none"/>
          <w:lang w:val="en-US" w:eastAsia="zh-CN"/>
        </w:rPr>
        <w:t>人</w:t>
      </w:r>
      <w:r>
        <w:rPr>
          <w:rFonts w:ascii="仿宋" w:eastAsia="仿宋"/>
          <w:b w:val="0"/>
          <w:bCs/>
          <w:color w:val="auto"/>
          <w:kern w:val="2"/>
          <w:sz w:val="24"/>
          <w:szCs w:val="24"/>
          <w:highlight w:val="none"/>
          <w:lang w:val="en-US"/>
        </w:rPr>
        <w:t>的投标文件进行独立评分，加权汇总每项评分因素的得分，得出每个有效投标</w:t>
      </w:r>
      <w:r>
        <w:rPr>
          <w:rFonts w:hint="eastAsia" w:ascii="仿宋" w:eastAsia="仿宋"/>
          <w:b w:val="0"/>
          <w:bCs/>
          <w:color w:val="auto"/>
          <w:kern w:val="2"/>
          <w:sz w:val="24"/>
          <w:szCs w:val="24"/>
          <w:highlight w:val="none"/>
          <w:lang w:val="en-US" w:eastAsia="zh-CN"/>
        </w:rPr>
        <w:t>人</w:t>
      </w:r>
      <w:r>
        <w:rPr>
          <w:rFonts w:ascii="仿宋" w:eastAsia="仿宋"/>
          <w:b w:val="0"/>
          <w:bCs/>
          <w:color w:val="auto"/>
          <w:kern w:val="2"/>
          <w:sz w:val="24"/>
          <w:szCs w:val="24"/>
          <w:highlight w:val="none"/>
          <w:lang w:val="en-US"/>
        </w:rPr>
        <w:t>的总分。技术</w:t>
      </w:r>
      <w:r>
        <w:rPr>
          <w:rFonts w:hint="eastAsia" w:ascii="仿宋" w:eastAsia="仿宋"/>
          <w:b w:val="0"/>
          <w:bCs/>
          <w:color w:val="auto"/>
          <w:kern w:val="2"/>
          <w:sz w:val="24"/>
          <w:szCs w:val="24"/>
          <w:highlight w:val="none"/>
          <w:lang w:val="en-US" w:eastAsia="zh-CN"/>
        </w:rPr>
        <w:t>、与技术有关的服务及其他技术</w:t>
      </w:r>
      <w:r>
        <w:rPr>
          <w:rFonts w:ascii="仿宋" w:eastAsia="仿宋"/>
          <w:b w:val="0"/>
          <w:bCs/>
          <w:color w:val="auto"/>
          <w:kern w:val="2"/>
          <w:sz w:val="24"/>
          <w:szCs w:val="24"/>
          <w:highlight w:val="none"/>
          <w:lang w:val="en-US"/>
        </w:rPr>
        <w:t>类评分因素由</w:t>
      </w:r>
      <w:r>
        <w:rPr>
          <w:rFonts w:hint="eastAsia" w:ascii="仿宋" w:eastAsia="仿宋"/>
          <w:b w:val="0"/>
          <w:bCs/>
          <w:color w:val="auto"/>
          <w:kern w:val="2"/>
          <w:sz w:val="24"/>
          <w:szCs w:val="24"/>
          <w:highlight w:val="none"/>
          <w:lang w:val="en-US" w:eastAsia="zh-CN"/>
        </w:rPr>
        <w:t>抽取的</w:t>
      </w:r>
      <w:r>
        <w:rPr>
          <w:rFonts w:ascii="仿宋" w:eastAsia="仿宋"/>
          <w:b w:val="0"/>
          <w:bCs/>
          <w:color w:val="auto"/>
          <w:kern w:val="2"/>
          <w:sz w:val="24"/>
          <w:szCs w:val="24"/>
          <w:highlight w:val="none"/>
          <w:lang w:val="en-US"/>
        </w:rPr>
        <w:t>技术方面评标委员会成员独立评分。</w:t>
      </w:r>
      <w:r>
        <w:rPr>
          <w:rFonts w:hint="eastAsia" w:ascii="仿宋" w:eastAsia="仿宋"/>
          <w:b w:val="0"/>
          <w:bCs/>
          <w:color w:val="auto"/>
          <w:kern w:val="2"/>
          <w:sz w:val="24"/>
          <w:szCs w:val="24"/>
          <w:highlight w:val="none"/>
          <w:lang w:val="en-US" w:eastAsia="zh-CN"/>
        </w:rPr>
        <w:t>财务状况及其他</w:t>
      </w:r>
      <w:r>
        <w:rPr>
          <w:rFonts w:ascii="仿宋" w:eastAsia="仿宋"/>
          <w:b w:val="0"/>
          <w:bCs/>
          <w:color w:val="auto"/>
          <w:kern w:val="2"/>
          <w:sz w:val="24"/>
          <w:szCs w:val="24"/>
          <w:highlight w:val="none"/>
          <w:lang w:val="en-US"/>
        </w:rPr>
        <w:t>经济类评分因素</w:t>
      </w:r>
      <w:r>
        <w:rPr>
          <w:rFonts w:hint="eastAsia" w:ascii="仿宋" w:eastAsia="仿宋"/>
          <w:b w:val="0"/>
          <w:bCs/>
          <w:color w:val="auto"/>
          <w:kern w:val="2"/>
          <w:sz w:val="24"/>
          <w:szCs w:val="24"/>
          <w:highlight w:val="none"/>
          <w:lang w:val="en-US" w:eastAsia="zh-CN"/>
        </w:rPr>
        <w:t>、政府采购政策功能、政府采购合同主要条款及其他政策合同类的评分因素</w:t>
      </w:r>
      <w:r>
        <w:rPr>
          <w:rFonts w:ascii="仿宋" w:eastAsia="仿宋"/>
          <w:b w:val="0"/>
          <w:bCs/>
          <w:color w:val="auto"/>
          <w:kern w:val="2"/>
          <w:sz w:val="24"/>
          <w:szCs w:val="24"/>
          <w:highlight w:val="none"/>
          <w:lang w:val="en-US"/>
        </w:rPr>
        <w:t>由</w:t>
      </w:r>
      <w:r>
        <w:rPr>
          <w:rFonts w:hint="eastAsia" w:ascii="仿宋" w:eastAsia="仿宋"/>
          <w:b w:val="0"/>
          <w:bCs/>
          <w:color w:val="auto"/>
          <w:kern w:val="2"/>
          <w:sz w:val="24"/>
          <w:szCs w:val="24"/>
          <w:highlight w:val="none"/>
          <w:lang w:val="en-US" w:eastAsia="zh-CN"/>
        </w:rPr>
        <w:t>抽取的</w:t>
      </w:r>
      <w:r>
        <w:rPr>
          <w:rFonts w:ascii="仿宋" w:eastAsia="仿宋"/>
          <w:b w:val="0"/>
          <w:bCs/>
          <w:color w:val="auto"/>
          <w:kern w:val="2"/>
          <w:sz w:val="24"/>
          <w:szCs w:val="24"/>
          <w:highlight w:val="none"/>
          <w:lang w:val="en-US"/>
        </w:rPr>
        <w:t>经济方面</w:t>
      </w:r>
      <w:r>
        <w:rPr>
          <w:rFonts w:hint="eastAsia" w:ascii="仿宋" w:eastAsia="仿宋"/>
          <w:b w:val="0"/>
          <w:bCs/>
          <w:color w:val="auto"/>
          <w:kern w:val="2"/>
          <w:sz w:val="24"/>
          <w:szCs w:val="24"/>
          <w:highlight w:val="none"/>
          <w:lang w:val="en-US" w:eastAsia="zh-CN"/>
        </w:rPr>
        <w:t>或法律方面</w:t>
      </w:r>
      <w:r>
        <w:rPr>
          <w:rFonts w:ascii="仿宋" w:eastAsia="仿宋"/>
          <w:b w:val="0"/>
          <w:bCs/>
          <w:color w:val="auto"/>
          <w:kern w:val="2"/>
          <w:sz w:val="24"/>
          <w:szCs w:val="24"/>
          <w:highlight w:val="none"/>
          <w:lang w:val="en-US"/>
        </w:rPr>
        <w:t>评标委员会成员独立评分。采购人代表原则上对技术</w:t>
      </w:r>
      <w:r>
        <w:rPr>
          <w:rFonts w:hint="eastAsia" w:ascii="仿宋" w:eastAsia="仿宋"/>
          <w:b w:val="0"/>
          <w:bCs/>
          <w:color w:val="auto"/>
          <w:kern w:val="2"/>
          <w:sz w:val="24"/>
          <w:szCs w:val="24"/>
          <w:highlight w:val="none"/>
          <w:lang w:val="en-US" w:eastAsia="zh-CN"/>
        </w:rPr>
        <w:t>、与技术有关的服务及其他技术</w:t>
      </w:r>
      <w:r>
        <w:rPr>
          <w:rFonts w:ascii="仿宋" w:eastAsia="仿宋"/>
          <w:b w:val="0"/>
          <w:bCs/>
          <w:color w:val="auto"/>
          <w:kern w:val="2"/>
          <w:sz w:val="24"/>
          <w:szCs w:val="24"/>
          <w:highlight w:val="none"/>
          <w:lang w:val="en-US"/>
        </w:rPr>
        <w:t>类评分因素独立评分。价格和其他不能明确区分的评分因素由评标委员会成员共同评分。</w:t>
      </w:r>
    </w:p>
    <w:p w14:paraId="04E22E2F">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综合评分明细表</w:t>
      </w:r>
    </w:p>
    <w:p w14:paraId="752CC30F">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综合评分明细表的制定以科学合理、降低评标委员会自由裁量权为原则。</w:t>
      </w:r>
    </w:p>
    <w:p w14:paraId="6AB70B6F">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lang w:val="en-US" w:eastAsia="zh-CN"/>
        </w:rPr>
      </w:pPr>
      <w:r>
        <w:rPr>
          <w:rFonts w:ascii="仿宋" w:eastAsia="仿宋"/>
          <w:b w:val="0"/>
          <w:bCs/>
          <w:color w:val="auto"/>
          <w:kern w:val="2"/>
          <w:sz w:val="24"/>
          <w:szCs w:val="24"/>
          <w:highlight w:val="none"/>
          <w:lang w:val="en-US"/>
        </w:rPr>
        <w:t xml:space="preserve"> 综合评分明细表</w:t>
      </w:r>
    </w:p>
    <w:tbl>
      <w:tblPr>
        <w:tblStyle w:val="80"/>
        <w:tblW w:w="108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2"/>
        <w:gridCol w:w="1446"/>
        <w:gridCol w:w="841"/>
        <w:gridCol w:w="7348"/>
      </w:tblGrid>
      <w:tr w14:paraId="0961B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78" w:type="dxa"/>
            <w:gridSpan w:val="2"/>
            <w:noWrap w:val="0"/>
            <w:vAlign w:val="center"/>
          </w:tcPr>
          <w:p w14:paraId="681BD3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r>
              <w:rPr>
                <w:rFonts w:hint="eastAsia" w:ascii="仿宋" w:hAnsi="仿宋" w:eastAsia="仿宋" w:cs="仿宋"/>
                <w:b w:val="0"/>
                <w:color w:val="auto"/>
                <w:kern w:val="2"/>
                <w:sz w:val="24"/>
                <w:szCs w:val="24"/>
                <w:highlight w:val="none"/>
                <w:lang w:val="en-US"/>
              </w:rPr>
              <w:t>评标项目</w:t>
            </w:r>
          </w:p>
        </w:tc>
        <w:tc>
          <w:tcPr>
            <w:tcW w:w="841" w:type="dxa"/>
            <w:noWrap w:val="0"/>
            <w:vAlign w:val="center"/>
          </w:tcPr>
          <w:p w14:paraId="0A606B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r>
              <w:rPr>
                <w:rFonts w:hint="eastAsia" w:ascii="仿宋" w:hAnsi="仿宋" w:eastAsia="仿宋" w:cs="仿宋"/>
                <w:b w:val="0"/>
                <w:color w:val="auto"/>
                <w:kern w:val="2"/>
                <w:sz w:val="24"/>
                <w:szCs w:val="24"/>
                <w:highlight w:val="none"/>
                <w:lang w:val="en-US"/>
              </w:rPr>
              <w:t>评标分值</w:t>
            </w:r>
          </w:p>
        </w:tc>
        <w:tc>
          <w:tcPr>
            <w:tcW w:w="7348" w:type="dxa"/>
            <w:noWrap w:val="0"/>
            <w:vAlign w:val="center"/>
          </w:tcPr>
          <w:p w14:paraId="5C489E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r>
              <w:rPr>
                <w:rFonts w:hint="eastAsia" w:ascii="仿宋" w:hAnsi="仿宋" w:eastAsia="仿宋" w:cs="仿宋"/>
                <w:b w:val="0"/>
                <w:color w:val="auto"/>
                <w:kern w:val="2"/>
                <w:sz w:val="24"/>
                <w:szCs w:val="24"/>
                <w:highlight w:val="none"/>
                <w:lang w:val="en-US"/>
              </w:rPr>
              <w:t>评标方法描述</w:t>
            </w:r>
          </w:p>
        </w:tc>
      </w:tr>
      <w:tr w14:paraId="46362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Merge w:val="restart"/>
            <w:noWrap w:val="0"/>
            <w:vAlign w:val="center"/>
          </w:tcPr>
          <w:p w14:paraId="2DE25E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经济部分20分</w:t>
            </w:r>
          </w:p>
        </w:tc>
        <w:tc>
          <w:tcPr>
            <w:tcW w:w="1446" w:type="dxa"/>
            <w:noWrap w:val="0"/>
            <w:vAlign w:val="center"/>
          </w:tcPr>
          <w:p w14:paraId="3BF5A4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餐费及服务费报价</w:t>
            </w:r>
          </w:p>
        </w:tc>
        <w:tc>
          <w:tcPr>
            <w:tcW w:w="841" w:type="dxa"/>
            <w:noWrap w:val="0"/>
            <w:vAlign w:val="center"/>
          </w:tcPr>
          <w:p w14:paraId="0CCA63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10分</w:t>
            </w:r>
          </w:p>
        </w:tc>
        <w:tc>
          <w:tcPr>
            <w:tcW w:w="7348" w:type="dxa"/>
            <w:noWrap w:val="0"/>
            <w:vAlign w:val="center"/>
          </w:tcPr>
          <w:p w14:paraId="6D823560">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color w:val="auto"/>
                <w:kern w:val="2"/>
                <w:sz w:val="24"/>
                <w:szCs w:val="24"/>
                <w:highlight w:val="none"/>
                <w:lang w:val="en-US"/>
              </w:rPr>
            </w:pPr>
            <w:r>
              <w:rPr>
                <w:rFonts w:hint="eastAsia" w:ascii="仿宋" w:hAnsi="仿宋" w:eastAsia="仿宋" w:cs="仿宋"/>
                <w:b w:val="0"/>
                <w:kern w:val="2"/>
                <w:sz w:val="24"/>
                <w:szCs w:val="24"/>
                <w:lang w:val="en-US"/>
              </w:rPr>
              <w:t>评标基准价 =有效投标报价的最低值，有效投标报价等于基准值的得满分，投标报价得分=（评标基准价/投标报价）×</w:t>
            </w:r>
            <w:r>
              <w:rPr>
                <w:rFonts w:hint="eastAsia" w:ascii="仿宋" w:hAnsi="仿宋" w:eastAsia="仿宋" w:cs="仿宋"/>
                <w:b w:val="0"/>
                <w:kern w:val="2"/>
                <w:sz w:val="24"/>
                <w:szCs w:val="24"/>
                <w:lang w:val="en-US" w:eastAsia="zh-CN"/>
              </w:rPr>
              <w:t>10</w:t>
            </w:r>
            <w:r>
              <w:rPr>
                <w:rFonts w:hint="eastAsia" w:ascii="仿宋" w:hAnsi="仿宋" w:eastAsia="仿宋" w:cs="仿宋"/>
                <w:b w:val="0"/>
                <w:kern w:val="2"/>
                <w:sz w:val="24"/>
                <w:szCs w:val="24"/>
                <w:lang w:val="en-US"/>
              </w:rPr>
              <w:t>%×100。有效投标报价为通过初步审查的供应商报价</w:t>
            </w:r>
            <w:r>
              <w:rPr>
                <w:rFonts w:hint="eastAsia" w:ascii="仿宋" w:hAnsi="仿宋" w:eastAsia="仿宋" w:cs="仿宋"/>
                <w:b w:val="0"/>
                <w:kern w:val="2"/>
                <w:sz w:val="24"/>
                <w:szCs w:val="24"/>
                <w:lang w:val="en-US" w:eastAsia="zh-CN"/>
              </w:rPr>
              <w:t>。</w:t>
            </w:r>
          </w:p>
        </w:tc>
      </w:tr>
      <w:tr w14:paraId="2CE13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Merge w:val="continue"/>
            <w:noWrap w:val="0"/>
            <w:vAlign w:val="center"/>
          </w:tcPr>
          <w:p w14:paraId="612E6C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p>
        </w:tc>
        <w:tc>
          <w:tcPr>
            <w:tcW w:w="1446" w:type="dxa"/>
            <w:noWrap w:val="0"/>
            <w:vAlign w:val="center"/>
          </w:tcPr>
          <w:p w14:paraId="7CF8AE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承包费报价</w:t>
            </w:r>
          </w:p>
        </w:tc>
        <w:tc>
          <w:tcPr>
            <w:tcW w:w="841" w:type="dxa"/>
            <w:noWrap w:val="0"/>
            <w:vAlign w:val="center"/>
          </w:tcPr>
          <w:p w14:paraId="58F18A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10分</w:t>
            </w:r>
          </w:p>
        </w:tc>
        <w:tc>
          <w:tcPr>
            <w:tcW w:w="7348" w:type="dxa"/>
            <w:noWrap w:val="0"/>
            <w:vAlign w:val="center"/>
          </w:tcPr>
          <w:p w14:paraId="47656622">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rPr>
              <w:t>将第三方评估机构出具的评估金额</w:t>
            </w:r>
            <w:r>
              <w:rPr>
                <w:rFonts w:hint="eastAsia" w:ascii="仿宋" w:hAnsi="仿宋" w:eastAsia="仿宋" w:cs="仿宋"/>
                <w:b w:val="0"/>
                <w:kern w:val="2"/>
                <w:sz w:val="24"/>
                <w:szCs w:val="24"/>
                <w:highlight w:val="none"/>
                <w:lang w:val="en-US" w:eastAsia="zh-CN"/>
              </w:rPr>
              <w:t>30</w:t>
            </w:r>
            <w:r>
              <w:rPr>
                <w:rFonts w:hint="eastAsia" w:ascii="仿宋" w:hAnsi="仿宋" w:eastAsia="仿宋" w:cs="仿宋"/>
                <w:b w:val="0"/>
                <w:kern w:val="2"/>
                <w:sz w:val="24"/>
                <w:szCs w:val="24"/>
                <w:highlight w:val="none"/>
                <w:lang w:val="en-US"/>
              </w:rPr>
              <w:t>万元作为承包底价，价格分应当在此基础上采用</w:t>
            </w:r>
            <w:r>
              <w:rPr>
                <w:rFonts w:hint="eastAsia" w:ascii="仿宋" w:hAnsi="仿宋" w:eastAsia="仿宋" w:cs="仿宋"/>
                <w:b w:val="0"/>
                <w:kern w:val="2"/>
                <w:sz w:val="24"/>
                <w:szCs w:val="24"/>
                <w:highlight w:val="none"/>
                <w:lang w:val="en-US" w:eastAsia="zh-CN"/>
              </w:rPr>
              <w:t>加权平均值为基准价进行计算。计算结果保留2位小数。有效投标报价为通过初步审查的供应商报价。</w:t>
            </w:r>
          </w:p>
          <w:p w14:paraId="03227C6C">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（1）评标基准价的确定：</w:t>
            </w:r>
          </w:p>
          <w:p w14:paraId="53BE8E16">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评标价平均值即为评标基准价。</w:t>
            </w:r>
          </w:p>
          <w:p w14:paraId="6C7E17AB">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（2）偏差率 = 100% ×（投标人评标价一评标基准价）/评标基准价</w:t>
            </w:r>
          </w:p>
          <w:p w14:paraId="6DAAFBC1">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“（投标人评标价一评标基准价）/评标基准价”保留至小数点后四位，小数点后第五位“四舍五入”。</w:t>
            </w:r>
          </w:p>
          <w:p w14:paraId="595D9558">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(3)评标价得分计算公式示例 ：</w:t>
            </w:r>
          </w:p>
          <w:p w14:paraId="6C89FB69">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①如果投标人的评标价＞评标基准价，则评标价得分=（100-|偏差率|×100×E1）×10%</w:t>
            </w:r>
          </w:p>
          <w:p w14:paraId="5C7D02EC">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highlight w:val="none"/>
                <w:lang w:val="en-US" w:eastAsia="zh-CN"/>
              </w:rPr>
            </w:pPr>
            <w:r>
              <w:rPr>
                <w:rFonts w:hint="eastAsia" w:ascii="仿宋" w:hAnsi="仿宋" w:eastAsia="仿宋" w:cs="仿宋"/>
                <w:b w:val="0"/>
                <w:kern w:val="2"/>
                <w:sz w:val="24"/>
                <w:szCs w:val="24"/>
                <w:highlight w:val="none"/>
                <w:lang w:val="en-US" w:eastAsia="zh-CN"/>
              </w:rPr>
              <w:t>②如果投标人的评标价≦评标基准价，则评标价得分=（100-|偏差率|×100×E2）×10%。</w:t>
            </w:r>
          </w:p>
          <w:p w14:paraId="4D4DB719">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highlight w:val="none"/>
                <w:lang w:val="en-US" w:eastAsia="zh-CN"/>
              </w:rPr>
              <w:t>其中：E1=1.5，E2=1。</w:t>
            </w:r>
          </w:p>
        </w:tc>
      </w:tr>
      <w:tr w14:paraId="53E4A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Merge w:val="restart"/>
            <w:noWrap w:val="0"/>
            <w:vAlign w:val="center"/>
          </w:tcPr>
          <w:p w14:paraId="0CC435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商务部分34分</w:t>
            </w:r>
          </w:p>
        </w:tc>
        <w:tc>
          <w:tcPr>
            <w:tcW w:w="1446" w:type="dxa"/>
            <w:noWrap w:val="0"/>
            <w:vAlign w:val="center"/>
          </w:tcPr>
          <w:p w14:paraId="4A5B99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类似项目</w:t>
            </w:r>
          </w:p>
          <w:p w14:paraId="25053E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业绩</w:t>
            </w:r>
          </w:p>
        </w:tc>
        <w:tc>
          <w:tcPr>
            <w:tcW w:w="841" w:type="dxa"/>
            <w:noWrap w:val="0"/>
            <w:vAlign w:val="center"/>
          </w:tcPr>
          <w:p w14:paraId="47B5A7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10分</w:t>
            </w:r>
          </w:p>
        </w:tc>
        <w:tc>
          <w:tcPr>
            <w:tcW w:w="7348" w:type="dxa"/>
            <w:noWrap w:val="0"/>
            <w:vAlign w:val="center"/>
          </w:tcPr>
          <w:p w14:paraId="5FEC2B36">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提供2023年至今的类似项目服务业绩（类似业绩指有医院或学校或机关项目业绩），每提供一项业绩得 5分，满分为10分。未提供业绩证明材料或内容模糊不清或提供不全的，不得分。</w:t>
            </w:r>
          </w:p>
          <w:p w14:paraId="6608F30D">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仿宋" w:hAnsi="仿宋" w:eastAsia="仿宋" w:cs="仿宋"/>
                <w:b w:val="0"/>
                <w:color w:val="auto"/>
                <w:kern w:val="2"/>
                <w:sz w:val="24"/>
                <w:szCs w:val="24"/>
                <w:highlight w:val="none"/>
                <w:lang w:val="en-US" w:eastAsia="zh-CN"/>
              </w:rPr>
            </w:pPr>
            <w:r>
              <w:rPr>
                <w:rFonts w:hint="eastAsia" w:ascii="仿宋" w:hAnsi="仿宋" w:eastAsia="仿宋" w:cs="仿宋"/>
                <w:b w:val="0"/>
                <w:kern w:val="2"/>
                <w:sz w:val="24"/>
                <w:szCs w:val="24"/>
                <w:lang w:val="en-US" w:eastAsia="zh-CN"/>
              </w:rPr>
              <w:t>备注：①.业绩证明材料须提供投标单位合同复印件（合同需体现签署日期、服务期限、合同标的等关键内容）、结算发票、被服务方的打款记录及被服务单位提供的满意度评价（满意度评价须加盖被服务单位公章）。以上证明材料须加盖投标单位公章。②.同一项目续签合同的不可重复得分。弄虚作假者取消其投标资格并追究其法律责任。</w:t>
            </w:r>
          </w:p>
        </w:tc>
      </w:tr>
      <w:tr w14:paraId="61557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Merge w:val="continue"/>
            <w:noWrap w:val="0"/>
            <w:vAlign w:val="center"/>
          </w:tcPr>
          <w:p w14:paraId="07B2BA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p>
        </w:tc>
        <w:tc>
          <w:tcPr>
            <w:tcW w:w="1446" w:type="dxa"/>
            <w:noWrap w:val="0"/>
            <w:vAlign w:val="center"/>
          </w:tcPr>
          <w:p w14:paraId="00824F14">
            <w:pPr>
              <w:widowControl/>
              <w:adjustRightInd w:val="0"/>
              <w:spacing w:before="60" w:after="60" w:line="320" w:lineRule="exact"/>
              <w:ind w:firstLine="0" w:firstLineChars="0"/>
              <w:jc w:val="center"/>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餐饮从业人员资格</w:t>
            </w:r>
          </w:p>
        </w:tc>
        <w:tc>
          <w:tcPr>
            <w:tcW w:w="841" w:type="dxa"/>
            <w:noWrap w:val="0"/>
            <w:vAlign w:val="center"/>
          </w:tcPr>
          <w:p w14:paraId="0AF4FB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24分</w:t>
            </w:r>
          </w:p>
        </w:tc>
        <w:tc>
          <w:tcPr>
            <w:tcW w:w="7348" w:type="dxa"/>
            <w:noWrap w:val="0"/>
            <w:vAlign w:val="center"/>
          </w:tcPr>
          <w:p w14:paraId="251D605E">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针对本项目提供不少于厨师5人，面点师（含西点师）3人，切配人员3人，服务员6人，保洁人员3人，上述人员需提供身份证复印件、劳动合同复印件、健康证复印件并加盖投标人公章，每提供1人得0.5分，未提供不得分，此项满分为10分。</w:t>
            </w:r>
          </w:p>
          <w:p w14:paraId="4C033CBC">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针对本项目提供的厨师5人及面点师（含西点师）3人，以上人员提供技师级（二级）及以上证书的1分/人，高级职业资格证书（三级）的0.5分/人（同一人有多个证书的，仅按最高级别的证书计分）；以上人员同时需提供拟派人员劳动合同复印件、健康证复印件及相关证书复印件，加盖投标人公章，未提供不得分，此项满分8分。</w:t>
            </w:r>
          </w:p>
          <w:p w14:paraId="0806D04A">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3、针对本项目设置：</w:t>
            </w:r>
            <w:r>
              <w:rPr>
                <w:rFonts w:hint="eastAsia" w:ascii="微软雅黑" w:hAnsi="微软雅黑" w:eastAsia="微软雅黑" w:cs="微软雅黑"/>
                <w:b w:val="0"/>
                <w:bCs/>
                <w:color w:val="auto"/>
                <w:kern w:val="2"/>
                <w:sz w:val="24"/>
                <w:szCs w:val="24"/>
                <w:highlight w:val="none"/>
                <w:lang w:val="en-US" w:eastAsia="zh-CN" w:bidi="ar-SA"/>
              </w:rPr>
              <w:t>①</w:t>
            </w:r>
            <w:r>
              <w:rPr>
                <w:rFonts w:hint="eastAsia" w:ascii="仿宋" w:hAnsi="仿宋" w:eastAsia="仿宋" w:cs="仿宋"/>
                <w:b w:val="0"/>
                <w:bCs/>
                <w:color w:val="auto"/>
                <w:kern w:val="2"/>
                <w:sz w:val="24"/>
                <w:szCs w:val="24"/>
                <w:highlight w:val="none"/>
                <w:lang w:val="en-US" w:eastAsia="zh-CN" w:bidi="ar-SA"/>
              </w:rPr>
              <w:t>食品安全总监1人，须提供食品安全总监证书、劳动合同复印件、健康证复印件，加盖投标人公章。</w:t>
            </w:r>
            <w:r>
              <w:rPr>
                <w:rFonts w:hint="eastAsia" w:ascii="微软雅黑" w:hAnsi="微软雅黑" w:eastAsia="微软雅黑" w:cs="微软雅黑"/>
                <w:b w:val="0"/>
                <w:bCs/>
                <w:color w:val="auto"/>
                <w:kern w:val="2"/>
                <w:sz w:val="24"/>
                <w:szCs w:val="24"/>
                <w:highlight w:val="none"/>
                <w:lang w:val="en-US" w:eastAsia="zh-CN" w:bidi="ar-SA"/>
              </w:rPr>
              <w:t>②</w:t>
            </w:r>
            <w:r>
              <w:rPr>
                <w:rFonts w:hint="eastAsia" w:ascii="仿宋" w:hAnsi="仿宋" w:eastAsia="仿宋" w:cs="仿宋"/>
                <w:b w:val="0"/>
                <w:bCs/>
                <w:color w:val="auto"/>
                <w:kern w:val="2"/>
                <w:sz w:val="24"/>
                <w:szCs w:val="24"/>
                <w:highlight w:val="none"/>
                <w:lang w:val="en-US" w:eastAsia="zh-CN" w:bidi="ar-SA"/>
              </w:rPr>
              <w:t>食品安全管理员1人，须提供食品安全管理员证书、劳动合同复印件、健康证复印件，加盖投标人公章。</w:t>
            </w:r>
          </w:p>
          <w:p w14:paraId="478DAEA5">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备注：食品安全总监和食品安全管理员不得兼任。</w:t>
            </w:r>
          </w:p>
          <w:p w14:paraId="20C342DB">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须同时提供</w:t>
            </w:r>
            <w:r>
              <w:rPr>
                <w:rFonts w:hint="eastAsia" w:ascii="微软雅黑" w:hAnsi="微软雅黑" w:eastAsia="微软雅黑" w:cs="微软雅黑"/>
                <w:b w:val="0"/>
                <w:bCs/>
                <w:color w:val="auto"/>
                <w:kern w:val="2"/>
                <w:sz w:val="24"/>
                <w:szCs w:val="24"/>
                <w:highlight w:val="none"/>
                <w:lang w:val="en-US" w:eastAsia="zh-CN" w:bidi="ar-SA"/>
              </w:rPr>
              <w:t>①②</w:t>
            </w:r>
            <w:r>
              <w:rPr>
                <w:rFonts w:hint="eastAsia" w:ascii="仿宋" w:hAnsi="仿宋" w:eastAsia="仿宋" w:cs="仿宋"/>
                <w:b w:val="0"/>
                <w:bCs/>
                <w:color w:val="auto"/>
                <w:kern w:val="2"/>
                <w:sz w:val="24"/>
                <w:szCs w:val="24"/>
                <w:highlight w:val="none"/>
                <w:lang w:val="en-US" w:eastAsia="zh-CN" w:bidi="ar-SA"/>
              </w:rPr>
              <w:t>的证明材料，证明材料齐全的，得4分；证明材料不全的、不符的，不得分。此项满分4分。</w:t>
            </w:r>
          </w:p>
          <w:p w14:paraId="046881E6">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4、本项目需设营养配餐师1人，该人员须提供营养配餐师证书(或公共营养师证书)、劳动合同复印件、健康证复印件，加盖投标人公章，未提供或证明材料不全的、不符的不得分，此项满分为2分。</w:t>
            </w:r>
          </w:p>
        </w:tc>
      </w:tr>
      <w:tr w14:paraId="35978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Merge w:val="restart"/>
            <w:noWrap w:val="0"/>
            <w:vAlign w:val="center"/>
          </w:tcPr>
          <w:p w14:paraId="0165F0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eastAsia="zh-CN"/>
              </w:rPr>
            </w:pPr>
            <w:r>
              <w:rPr>
                <w:rFonts w:hint="eastAsia" w:ascii="仿宋" w:hAnsi="仿宋" w:eastAsia="仿宋" w:cs="仿宋"/>
                <w:b w:val="0"/>
                <w:color w:val="auto"/>
                <w:kern w:val="2"/>
                <w:sz w:val="24"/>
                <w:szCs w:val="24"/>
                <w:highlight w:val="none"/>
                <w:lang w:val="en-US" w:eastAsia="zh-CN"/>
              </w:rPr>
              <w:t>技术部分46分</w:t>
            </w:r>
          </w:p>
        </w:tc>
        <w:tc>
          <w:tcPr>
            <w:tcW w:w="1446" w:type="dxa"/>
            <w:noWrap w:val="0"/>
            <w:vAlign w:val="center"/>
          </w:tcPr>
          <w:p w14:paraId="037DF230">
            <w:pPr>
              <w:widowControl/>
              <w:adjustRightInd w:val="0"/>
              <w:spacing w:before="60" w:after="60" w:line="320" w:lineRule="exact"/>
              <w:ind w:firstLine="0" w:firstLineChars="0"/>
              <w:jc w:val="center"/>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服务方案</w:t>
            </w:r>
          </w:p>
        </w:tc>
        <w:tc>
          <w:tcPr>
            <w:tcW w:w="841" w:type="dxa"/>
            <w:noWrap w:val="0"/>
            <w:vAlign w:val="center"/>
          </w:tcPr>
          <w:p w14:paraId="4480CC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24分</w:t>
            </w:r>
          </w:p>
        </w:tc>
        <w:tc>
          <w:tcPr>
            <w:tcW w:w="7348" w:type="dxa"/>
            <w:noWrap w:val="0"/>
            <w:vAlign w:val="center"/>
          </w:tcPr>
          <w:p w14:paraId="087600B1">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（1）针对本项目提出菜品质量管理方案</w:t>
            </w:r>
          </w:p>
          <w:p w14:paraId="1AB95386">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1.方案内容完整清晰明确且科学合理、可行性高、具有针对性并完全满足采购需求的，得4分；</w:t>
            </w:r>
          </w:p>
          <w:p w14:paraId="06426AF7">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2.方案内容较完整清晰明确且相对科学合理、可行性较高，具有针对性并较好的满足采购需求的，得2分；</w:t>
            </w:r>
          </w:p>
          <w:p w14:paraId="7CBA8301">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3.方案内容差，可行性差的，内容不完整的，得0分。</w:t>
            </w:r>
          </w:p>
          <w:p w14:paraId="32F7E8CC">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（2）针对本项目提出餐厅档口经营方案</w:t>
            </w:r>
          </w:p>
          <w:p w14:paraId="58B99468">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1.方案内容完整清晰明确且科学合理、可行性高、具有针对性并完全满足采购需求的，得4分；</w:t>
            </w:r>
          </w:p>
          <w:p w14:paraId="026C5F35">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2.方案内容较完整清晰明确且相对科学合理、可行性一般，具有针对性并较好的满足采购需求的，得2分；</w:t>
            </w:r>
          </w:p>
          <w:p w14:paraId="39D8C2DC">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3.方案内容差，可行性差的，内容不完整的，得0分。</w:t>
            </w:r>
          </w:p>
          <w:p w14:paraId="7BF15FA0">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（3）针对本项目提出送餐服务方案</w:t>
            </w:r>
          </w:p>
          <w:p w14:paraId="7BD68F24">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1.方案内容完整清晰明确且科学合理、可行性高、具有针对性并完全满足采购需求的，得4分，</w:t>
            </w:r>
          </w:p>
          <w:p w14:paraId="7B140A76">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2.方案内容较完整清晰明确且相对科学合理、可行性一般，具有针对性并较好的满足采购需求的，得2分；</w:t>
            </w:r>
          </w:p>
          <w:p w14:paraId="77CB1C00">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3.方案内容差，可行性差的，内容不完整的，得0分。</w:t>
            </w:r>
          </w:p>
          <w:p w14:paraId="4B56C6CC">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（4）针对本项目提出特殊科室服务方案</w:t>
            </w:r>
          </w:p>
          <w:p w14:paraId="1B27C0E7">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1.方案内容完整清晰明确且科学合理、可行性高、具有针对性并完全满足采购需求的，得4分；</w:t>
            </w:r>
          </w:p>
          <w:p w14:paraId="5A06F0A1">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2.方案内容较完整清晰明确且相对科学合理、可行性较高，具有针对性并较好的满足采购需求的，得2分；</w:t>
            </w:r>
          </w:p>
          <w:p w14:paraId="0BAB6A1E">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3.方案内容差，可行性差的，内容不完整的，得0分。</w:t>
            </w:r>
          </w:p>
          <w:p w14:paraId="09646A8C">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（5）针对本项目提出食材采购方案</w:t>
            </w:r>
          </w:p>
          <w:p w14:paraId="115544FE">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1.方案内容完整清晰明确且科学合理、可行性高、具有针对性并完全满足采购需求的，得4分，</w:t>
            </w:r>
          </w:p>
          <w:p w14:paraId="7E1917AD">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2.方案内容较完整清晰明确且相对科学合理、可行性较高，具有针对性并较好的满足采购需求的，得2分，</w:t>
            </w:r>
          </w:p>
          <w:p w14:paraId="3D0A2DB5">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3.方案内容差，可行性差的，内容不完整的，得0分。</w:t>
            </w:r>
          </w:p>
          <w:p w14:paraId="514F12F1">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（6）针对本项目提出售后服务方案</w:t>
            </w:r>
          </w:p>
          <w:p w14:paraId="7EEF0E58">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1.方案内容完整清晰明确且科学合理、可行性高、具有针对性并完全满足采购需求的，得4分；</w:t>
            </w:r>
          </w:p>
          <w:p w14:paraId="32AE91C4">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2.方案内容较完整清晰明确且相对科学合理、可行性较高，具有针对性并较好的满足采购需求的，得2分；</w:t>
            </w:r>
          </w:p>
          <w:p w14:paraId="14EFE87A">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3.方案内容差，可行性差的，内容不完整的，得0分。</w:t>
            </w:r>
          </w:p>
        </w:tc>
      </w:tr>
      <w:tr w14:paraId="3C10A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7" w:hRule="atLeast"/>
          <w:jc w:val="center"/>
        </w:trPr>
        <w:tc>
          <w:tcPr>
            <w:tcW w:w="1232" w:type="dxa"/>
            <w:vMerge w:val="continue"/>
            <w:noWrap w:val="0"/>
            <w:vAlign w:val="center"/>
          </w:tcPr>
          <w:p w14:paraId="43CDE0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p>
        </w:tc>
        <w:tc>
          <w:tcPr>
            <w:tcW w:w="1446" w:type="dxa"/>
            <w:noWrap w:val="0"/>
            <w:vAlign w:val="center"/>
          </w:tcPr>
          <w:p w14:paraId="783C6CFA">
            <w:pPr>
              <w:widowControl/>
              <w:adjustRightInd w:val="0"/>
              <w:spacing w:before="60" w:after="60" w:line="320" w:lineRule="exact"/>
              <w:ind w:firstLine="0" w:firstLineChars="0"/>
              <w:jc w:val="center"/>
              <w:textAlignment w:val="baseline"/>
              <w:rPr>
                <w:rFonts w:hint="eastAsia" w:ascii="仿宋" w:hAnsi="仿宋" w:eastAsia="仿宋" w:cs="仿宋"/>
                <w:b w:val="0"/>
                <w:bCs/>
                <w:color w:val="000000"/>
                <w:kern w:val="0"/>
                <w:sz w:val="24"/>
                <w:szCs w:val="24"/>
                <w:highlight w:val="none"/>
                <w:lang w:val="en-US" w:eastAsia="zh-CN" w:bidi="ar-SA"/>
              </w:rPr>
            </w:pPr>
            <w:r>
              <w:rPr>
                <w:rFonts w:hint="eastAsia" w:ascii="仿宋" w:hAnsi="仿宋" w:eastAsia="仿宋" w:cs="仿宋"/>
                <w:b w:val="0"/>
                <w:bCs/>
                <w:color w:val="000000"/>
                <w:kern w:val="0"/>
                <w:sz w:val="24"/>
                <w:szCs w:val="24"/>
                <w:highlight w:val="none"/>
                <w:lang w:val="en-US" w:eastAsia="zh-CN" w:bidi="ar-SA"/>
              </w:rPr>
              <w:t>安全生产管理能力</w:t>
            </w:r>
          </w:p>
        </w:tc>
        <w:tc>
          <w:tcPr>
            <w:tcW w:w="841" w:type="dxa"/>
            <w:noWrap w:val="0"/>
            <w:vAlign w:val="center"/>
          </w:tcPr>
          <w:p w14:paraId="34E828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4分</w:t>
            </w:r>
          </w:p>
        </w:tc>
        <w:tc>
          <w:tcPr>
            <w:tcW w:w="7348" w:type="dxa"/>
            <w:noWrap w:val="0"/>
            <w:vAlign w:val="center"/>
          </w:tcPr>
          <w:p w14:paraId="3673D1C9">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针对本项目提供安全生产管理方案，内容包括但不限于：燃气使用安全检测、食品安全快速检测、各类设施设备安全操作规程，建立针对安全生产管理专项制度，明确安全生产管理工作计划和预案。满分4 分。</w:t>
            </w:r>
          </w:p>
          <w:p w14:paraId="65E398CA">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1.安全生产管理方案清晰明确、科学合理、可行性强，满足采购需求的得4分；</w:t>
            </w:r>
          </w:p>
          <w:p w14:paraId="06A54DDD">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2.安全生产管理方案较为清晰明确、较为科学合理、可行性较强，满足采购需求的得2分。</w:t>
            </w:r>
          </w:p>
          <w:p w14:paraId="38E0F71D">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3.安全生产管理方案清晰明确性内容差，科学合理性、可行性差的，针对性一般不能满足采购需求的或未提供的得0 分。</w:t>
            </w:r>
          </w:p>
        </w:tc>
      </w:tr>
      <w:tr w14:paraId="024AA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7" w:hRule="atLeast"/>
          <w:jc w:val="center"/>
        </w:trPr>
        <w:tc>
          <w:tcPr>
            <w:tcW w:w="1232" w:type="dxa"/>
            <w:vMerge w:val="continue"/>
            <w:noWrap w:val="0"/>
            <w:vAlign w:val="center"/>
          </w:tcPr>
          <w:p w14:paraId="410C08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p>
        </w:tc>
        <w:tc>
          <w:tcPr>
            <w:tcW w:w="1446" w:type="dxa"/>
            <w:noWrap w:val="0"/>
            <w:vAlign w:val="center"/>
          </w:tcPr>
          <w:p w14:paraId="387C7916">
            <w:pPr>
              <w:widowControl/>
              <w:adjustRightInd w:val="0"/>
              <w:spacing w:before="60" w:after="60" w:line="320" w:lineRule="exact"/>
              <w:ind w:firstLine="0" w:firstLineChars="0"/>
              <w:jc w:val="center"/>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制度</w:t>
            </w:r>
          </w:p>
          <w:p w14:paraId="020A2C06">
            <w:pPr>
              <w:widowControl/>
              <w:adjustRightInd w:val="0"/>
              <w:spacing w:before="60" w:after="60" w:line="320" w:lineRule="exact"/>
              <w:ind w:firstLine="0" w:firstLineChars="0"/>
              <w:jc w:val="center"/>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建设</w:t>
            </w:r>
          </w:p>
        </w:tc>
        <w:tc>
          <w:tcPr>
            <w:tcW w:w="841" w:type="dxa"/>
            <w:noWrap w:val="0"/>
            <w:vAlign w:val="center"/>
          </w:tcPr>
          <w:p w14:paraId="181240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5分</w:t>
            </w:r>
          </w:p>
        </w:tc>
        <w:tc>
          <w:tcPr>
            <w:tcW w:w="7348" w:type="dxa"/>
            <w:noWrap w:val="0"/>
            <w:vAlign w:val="center"/>
          </w:tcPr>
          <w:p w14:paraId="0E6409E6">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包括但不限于①食堂原材料管理制度②食堂仓库管理制度③食品加工管理制度④食品安全保障制度⑤食品质量管理制度⑥卫生清洁管理制度⑦消防安全管理制度⑧人员管理制度⑨财务管理制度⑩食堂采购管理制度。</w:t>
            </w:r>
          </w:p>
          <w:p w14:paraId="52719FE4">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1.方案内容完整清晰明确且科学合理、可行性高、具有针对性并完全满足采购需求的，得5分；</w:t>
            </w:r>
          </w:p>
          <w:p w14:paraId="14AAB870">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2.方案内容较完整清晰明确且相对科学合理、可行性较高，具有针对性并较好的满足采购需求的，得2分，</w:t>
            </w:r>
          </w:p>
          <w:p w14:paraId="335F3FC7">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3.方案内容差，可行性差的，内容不完整的，以上制度缺少1项的得0分。</w:t>
            </w:r>
          </w:p>
        </w:tc>
      </w:tr>
      <w:tr w14:paraId="2F029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32" w:type="dxa"/>
            <w:vMerge w:val="continue"/>
            <w:noWrap w:val="0"/>
            <w:vAlign w:val="center"/>
          </w:tcPr>
          <w:p w14:paraId="1E80DC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p>
        </w:tc>
        <w:tc>
          <w:tcPr>
            <w:tcW w:w="1446" w:type="dxa"/>
            <w:noWrap w:val="0"/>
            <w:vAlign w:val="center"/>
          </w:tcPr>
          <w:p w14:paraId="44733018">
            <w:pPr>
              <w:widowControl/>
              <w:adjustRightInd w:val="0"/>
              <w:spacing w:before="60" w:after="60" w:line="320" w:lineRule="exact"/>
              <w:ind w:firstLine="0" w:firstLineChars="0"/>
              <w:jc w:val="center"/>
              <w:textAlignment w:val="baseline"/>
              <w:rPr>
                <w:rFonts w:hint="eastAsia" w:ascii="仿宋" w:hAnsi="仿宋" w:eastAsia="仿宋" w:cs="仿宋"/>
                <w:b w:val="0"/>
                <w:bCs/>
                <w:spacing w:val="-4"/>
                <w:kern w:val="2"/>
                <w:sz w:val="24"/>
                <w:szCs w:val="24"/>
                <w:lang w:val="en-US" w:eastAsia="zh-CN" w:bidi="ar-SA"/>
              </w:rPr>
            </w:pPr>
            <w:r>
              <w:rPr>
                <w:rFonts w:hint="eastAsia" w:ascii="仿宋" w:hAnsi="仿宋" w:eastAsia="仿宋" w:cs="仿宋"/>
                <w:b w:val="0"/>
                <w:bCs/>
                <w:spacing w:val="-4"/>
                <w:kern w:val="2"/>
                <w:sz w:val="24"/>
                <w:szCs w:val="24"/>
                <w:lang w:val="en-US" w:eastAsia="zh-CN" w:bidi="ar-SA"/>
              </w:rPr>
              <w:t>装修改造</w:t>
            </w:r>
          </w:p>
          <w:p w14:paraId="5AE8DFB3">
            <w:pPr>
              <w:widowControl/>
              <w:adjustRightInd w:val="0"/>
              <w:spacing w:before="60" w:after="60" w:line="320" w:lineRule="exact"/>
              <w:ind w:firstLine="0" w:firstLineChars="0"/>
              <w:jc w:val="center"/>
              <w:textAlignment w:val="baseline"/>
              <w:rPr>
                <w:rFonts w:hint="eastAsia" w:ascii="仿宋" w:hAnsi="仿宋" w:eastAsia="仿宋" w:cs="仿宋"/>
                <w:b w:val="0"/>
                <w:bCs/>
                <w:spacing w:val="-4"/>
                <w:kern w:val="2"/>
                <w:sz w:val="24"/>
                <w:szCs w:val="24"/>
                <w:lang w:val="en-US" w:eastAsia="zh-CN" w:bidi="ar-SA"/>
              </w:rPr>
            </w:pPr>
            <w:r>
              <w:rPr>
                <w:rFonts w:hint="eastAsia" w:ascii="仿宋" w:hAnsi="仿宋" w:eastAsia="仿宋" w:cs="仿宋"/>
                <w:b w:val="0"/>
                <w:bCs/>
                <w:spacing w:val="-4"/>
                <w:kern w:val="2"/>
                <w:sz w:val="24"/>
                <w:szCs w:val="24"/>
                <w:lang w:val="en-US" w:eastAsia="zh-CN" w:bidi="ar-SA"/>
              </w:rPr>
              <w:t>方案</w:t>
            </w:r>
          </w:p>
        </w:tc>
        <w:tc>
          <w:tcPr>
            <w:tcW w:w="841" w:type="dxa"/>
            <w:noWrap w:val="0"/>
            <w:vAlign w:val="center"/>
          </w:tcPr>
          <w:p w14:paraId="683526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5分</w:t>
            </w:r>
          </w:p>
        </w:tc>
        <w:tc>
          <w:tcPr>
            <w:tcW w:w="7348" w:type="dxa"/>
            <w:noWrap w:val="0"/>
            <w:vAlign w:val="center"/>
          </w:tcPr>
          <w:p w14:paraId="5C0F96A1">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根据本院区餐厅布局设计平面图，并提供装修改造方案，包含但不限于以下内容：按需求分两个就餐区，包厢若干。两个就餐区域能满足就餐人员需要。两个就餐区分别有独立的出入口进出，人员不得相互交叉走动。就餐区人员能在本就餐区域出餐档口自行点餐、取餐。</w:t>
            </w:r>
          </w:p>
          <w:p w14:paraId="51124876">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1.提供的平面图及方案清晰明确、科学合理、可行性强的，能充分满足采购需求的得5分；</w:t>
            </w:r>
          </w:p>
          <w:p w14:paraId="6A394975">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2.提供的平面图及方案较为清晰明确、较为科学合理、可行性较强，满足采购需求的得 2分；</w:t>
            </w:r>
          </w:p>
          <w:p w14:paraId="0BE1B9F0">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3.提供的平面图及方案差或只提供1项或两项均未提供的得0分。</w:t>
            </w:r>
          </w:p>
        </w:tc>
      </w:tr>
      <w:tr w14:paraId="6414D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32" w:type="dxa"/>
            <w:noWrap w:val="0"/>
            <w:vAlign w:val="center"/>
          </w:tcPr>
          <w:p w14:paraId="0A79FD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p>
        </w:tc>
        <w:tc>
          <w:tcPr>
            <w:tcW w:w="1446" w:type="dxa"/>
            <w:noWrap w:val="0"/>
            <w:vAlign w:val="center"/>
          </w:tcPr>
          <w:p w14:paraId="5E7CA26C">
            <w:pPr>
              <w:widowControl/>
              <w:adjustRightInd w:val="0"/>
              <w:spacing w:before="60" w:after="60" w:line="320" w:lineRule="exact"/>
              <w:ind w:firstLine="0" w:firstLineChars="0"/>
              <w:jc w:val="center"/>
              <w:textAlignment w:val="baseline"/>
              <w:rPr>
                <w:rFonts w:hint="eastAsia" w:ascii="仿宋" w:hAnsi="仿宋" w:eastAsia="仿宋" w:cs="仿宋"/>
                <w:b w:val="0"/>
                <w:bCs/>
                <w:spacing w:val="-4"/>
                <w:kern w:val="2"/>
                <w:sz w:val="24"/>
                <w:szCs w:val="24"/>
                <w:highlight w:val="none"/>
                <w:lang w:val="en-US" w:eastAsia="zh-CN" w:bidi="ar-SA"/>
              </w:rPr>
            </w:pPr>
            <w:r>
              <w:rPr>
                <w:rFonts w:hint="eastAsia" w:ascii="仿宋" w:hAnsi="仿宋" w:eastAsia="仿宋" w:cs="仿宋"/>
                <w:b w:val="0"/>
                <w:bCs/>
                <w:spacing w:val="-4"/>
                <w:kern w:val="2"/>
                <w:sz w:val="24"/>
                <w:szCs w:val="24"/>
                <w:highlight w:val="none"/>
                <w:lang w:val="en-US" w:eastAsia="zh-CN" w:bidi="ar-SA"/>
              </w:rPr>
              <w:t>设施设备</w:t>
            </w:r>
          </w:p>
          <w:p w14:paraId="25DD0EE0">
            <w:pPr>
              <w:widowControl/>
              <w:adjustRightInd w:val="0"/>
              <w:spacing w:before="60" w:after="60" w:line="320" w:lineRule="exact"/>
              <w:ind w:firstLine="0" w:firstLineChars="0"/>
              <w:jc w:val="center"/>
              <w:textAlignment w:val="baseline"/>
              <w:rPr>
                <w:rFonts w:hint="default" w:ascii="仿宋" w:hAnsi="仿宋" w:eastAsia="仿宋" w:cs="仿宋"/>
                <w:b w:val="0"/>
                <w:bCs/>
                <w:spacing w:val="-4"/>
                <w:kern w:val="2"/>
                <w:sz w:val="24"/>
                <w:szCs w:val="24"/>
                <w:highlight w:val="none"/>
                <w:lang w:val="en-US" w:eastAsia="zh-CN" w:bidi="ar-SA"/>
              </w:rPr>
            </w:pPr>
            <w:r>
              <w:rPr>
                <w:rFonts w:hint="eastAsia" w:ascii="仿宋" w:hAnsi="仿宋" w:eastAsia="仿宋" w:cs="仿宋"/>
                <w:b w:val="0"/>
                <w:bCs/>
                <w:spacing w:val="-4"/>
                <w:kern w:val="2"/>
                <w:sz w:val="24"/>
                <w:szCs w:val="24"/>
                <w:highlight w:val="none"/>
                <w:lang w:val="en-US" w:eastAsia="zh-CN" w:bidi="ar-SA"/>
              </w:rPr>
              <w:t>投入</w:t>
            </w:r>
          </w:p>
        </w:tc>
        <w:tc>
          <w:tcPr>
            <w:tcW w:w="841" w:type="dxa"/>
            <w:noWrap w:val="0"/>
            <w:vAlign w:val="center"/>
          </w:tcPr>
          <w:p w14:paraId="77BE16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3分</w:t>
            </w:r>
          </w:p>
        </w:tc>
        <w:tc>
          <w:tcPr>
            <w:tcW w:w="7348" w:type="dxa"/>
            <w:noWrap w:val="0"/>
            <w:vAlign w:val="center"/>
          </w:tcPr>
          <w:p w14:paraId="4A8AF783">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针对本院区餐厅布局投入餐厅设备配置方案，需提供①洗碗机2台、②蒸箱2台、③烤箱2台、④燃气炉灶4台、⑤电饼铛1台、⑥四门冰箱2台、⑦双门保鲜柜2台、⑧冷面操作柜2台、⑨消毒柜2台、⑩开水器2台、⑪餐桌椅、⑫保温餐车4台等，不限于以上设备的购置发票（购买协议），每提供一项设备得0.25分，满分为3分，提供不齐全和未提供的不得分。（附具体的设施设备投入清单）。</w:t>
            </w:r>
          </w:p>
        </w:tc>
      </w:tr>
      <w:tr w14:paraId="563D6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32" w:type="dxa"/>
            <w:noWrap w:val="0"/>
            <w:vAlign w:val="center"/>
          </w:tcPr>
          <w:p w14:paraId="17009C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color w:val="auto"/>
                <w:kern w:val="2"/>
                <w:sz w:val="24"/>
                <w:szCs w:val="24"/>
                <w:highlight w:val="none"/>
                <w:lang w:val="en-US"/>
              </w:rPr>
            </w:pPr>
          </w:p>
        </w:tc>
        <w:tc>
          <w:tcPr>
            <w:tcW w:w="1446" w:type="dxa"/>
            <w:noWrap w:val="0"/>
            <w:vAlign w:val="center"/>
          </w:tcPr>
          <w:p w14:paraId="413C7133">
            <w:pPr>
              <w:widowControl/>
              <w:adjustRightInd w:val="0"/>
              <w:spacing w:before="60" w:after="60" w:line="320" w:lineRule="exact"/>
              <w:ind w:firstLine="0" w:firstLineChars="0"/>
              <w:jc w:val="center"/>
              <w:textAlignment w:val="baseline"/>
              <w:rPr>
                <w:rFonts w:hint="eastAsia" w:ascii="仿宋" w:hAnsi="仿宋" w:eastAsia="仿宋" w:cs="仿宋"/>
                <w:b w:val="0"/>
                <w:bCs/>
                <w:spacing w:val="-4"/>
                <w:kern w:val="2"/>
                <w:sz w:val="24"/>
                <w:szCs w:val="24"/>
                <w:highlight w:val="none"/>
                <w:lang w:val="en-US" w:eastAsia="zh-CN" w:bidi="ar-SA"/>
              </w:rPr>
            </w:pPr>
            <w:r>
              <w:rPr>
                <w:rFonts w:hint="eastAsia" w:ascii="仿宋" w:hAnsi="仿宋" w:eastAsia="仿宋" w:cs="仿宋"/>
                <w:b w:val="0"/>
                <w:bCs/>
                <w:spacing w:val="-4"/>
                <w:kern w:val="2"/>
                <w:sz w:val="24"/>
                <w:szCs w:val="24"/>
                <w:highlight w:val="none"/>
                <w:lang w:val="en-US" w:eastAsia="zh-CN" w:bidi="ar-SA"/>
              </w:rPr>
              <w:t>智慧点餐</w:t>
            </w:r>
          </w:p>
          <w:p w14:paraId="7A9FD4EA">
            <w:pPr>
              <w:widowControl/>
              <w:adjustRightInd w:val="0"/>
              <w:spacing w:before="60" w:after="60" w:line="320" w:lineRule="exact"/>
              <w:ind w:firstLine="0" w:firstLineChars="0"/>
              <w:jc w:val="center"/>
              <w:textAlignment w:val="baseline"/>
              <w:rPr>
                <w:rFonts w:hint="default" w:ascii="仿宋" w:hAnsi="仿宋" w:eastAsia="仿宋" w:cs="仿宋"/>
                <w:b w:val="0"/>
                <w:bCs/>
                <w:spacing w:val="-4"/>
                <w:kern w:val="2"/>
                <w:sz w:val="24"/>
                <w:szCs w:val="24"/>
                <w:highlight w:val="none"/>
                <w:lang w:val="en-US" w:eastAsia="zh-CN" w:bidi="ar-SA"/>
              </w:rPr>
            </w:pPr>
            <w:r>
              <w:rPr>
                <w:rFonts w:hint="eastAsia" w:ascii="仿宋" w:hAnsi="仿宋" w:eastAsia="仿宋" w:cs="仿宋"/>
                <w:b w:val="0"/>
                <w:bCs/>
                <w:spacing w:val="-4"/>
                <w:kern w:val="2"/>
                <w:sz w:val="24"/>
                <w:szCs w:val="24"/>
                <w:highlight w:val="none"/>
                <w:lang w:val="en-US" w:eastAsia="zh-CN" w:bidi="ar-SA"/>
              </w:rPr>
              <w:t>系统</w:t>
            </w:r>
          </w:p>
        </w:tc>
        <w:tc>
          <w:tcPr>
            <w:tcW w:w="841" w:type="dxa"/>
            <w:noWrap w:val="0"/>
            <w:vAlign w:val="center"/>
          </w:tcPr>
          <w:p w14:paraId="77EE27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5分</w:t>
            </w:r>
          </w:p>
        </w:tc>
        <w:tc>
          <w:tcPr>
            <w:tcW w:w="7348" w:type="dxa"/>
            <w:noWrap w:val="0"/>
            <w:vAlign w:val="center"/>
          </w:tcPr>
          <w:p w14:paraId="6F008B72">
            <w:pPr>
              <w:keepNext w:val="0"/>
              <w:keepLines w:val="0"/>
              <w:pageBreakBefore w:val="0"/>
              <w:widowControl/>
              <w:suppressLineNumbers w:val="0"/>
              <w:kinsoku/>
              <w:wordWrap/>
              <w:overflowPunct/>
              <w:topLinePunct w:val="0"/>
              <w:autoSpaceDE/>
              <w:autoSpaceDN/>
              <w:bidi w:val="0"/>
              <w:snapToGrid/>
              <w:spacing w:line="300" w:lineRule="exact"/>
              <w:ind w:firstLine="0" w:firstLineChars="0"/>
              <w:jc w:val="left"/>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根据项目需求，投标方提供符合餐厅的智慧点餐系统，系统模块包括但不限于智慧点餐、用餐点评及数据统计、外卖、线上支付、退单、库存管理等功能。（须提供系统购买（购置发票）或租赁协议，投标人自主研发的软件提供软件著作权证书）</w:t>
            </w:r>
          </w:p>
          <w:p w14:paraId="496B316E">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1.提供的智慧方案可行性强，同时提供购买服务协议和智慧点餐系统详细功能介绍的，能满足采购需求的得5分；</w:t>
            </w:r>
          </w:p>
          <w:p w14:paraId="3C4F8A43">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2.提供的智慧点餐方案可行性一般，提供购买服务协议或智慧点餐系统功能介绍的，能满足采购一般需求的得2分。</w:t>
            </w:r>
          </w:p>
          <w:p w14:paraId="62396A4C">
            <w:pPr>
              <w:keepNext w:val="0"/>
              <w:keepLines w:val="0"/>
              <w:pageBreakBefore w:val="0"/>
              <w:widowControl/>
              <w:kinsoku/>
              <w:wordWrap/>
              <w:overflowPunct/>
              <w:topLinePunct w:val="0"/>
              <w:autoSpaceDE/>
              <w:autoSpaceDN/>
              <w:bidi w:val="0"/>
              <w:adjustRightInd w:val="0"/>
              <w:snapToGrid/>
              <w:spacing w:before="60" w:after="60" w:line="300" w:lineRule="exact"/>
              <w:ind w:firstLine="0" w:firstLineChars="0"/>
              <w:jc w:val="left"/>
              <w:textAlignment w:val="baseline"/>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3.提供的方案可行性差或未提供的得0分。</w:t>
            </w:r>
          </w:p>
        </w:tc>
      </w:tr>
    </w:tbl>
    <w:p w14:paraId="0B19D8AD">
      <w:pPr>
        <w:pStyle w:val="43"/>
        <w:ind w:left="0" w:leftChars="0" w:firstLine="0" w:firstLineChars="0"/>
        <w:rPr>
          <w:rFonts w:ascii="仿宋" w:eastAsia="仿宋"/>
          <w:b w:val="0"/>
          <w:bCs/>
          <w:color w:val="auto"/>
          <w:kern w:val="2"/>
          <w:sz w:val="24"/>
          <w:szCs w:val="24"/>
          <w:highlight w:val="none"/>
          <w:lang w:val="en-US"/>
        </w:rPr>
      </w:pPr>
    </w:p>
    <w:p w14:paraId="7002D007">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300" w:name="_Toc9212"/>
      <w:r>
        <w:rPr>
          <w:rFonts w:ascii="仿宋" w:eastAsia="仿宋"/>
          <w:bCs/>
          <w:color w:val="auto"/>
          <w:kern w:val="2"/>
          <w:sz w:val="24"/>
          <w:szCs w:val="24"/>
          <w:highlight w:val="none"/>
          <w:lang w:val="en-US"/>
        </w:rPr>
        <w:t>废 标</w:t>
      </w:r>
      <w:bookmarkEnd w:id="300"/>
    </w:p>
    <w:p w14:paraId="52029BF5">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本次政府采购活动中，出现下列情形之一的，予以废标：</w:t>
      </w:r>
    </w:p>
    <w:p w14:paraId="74FC077A">
      <w:pPr>
        <w:pageBreakBefore w:val="0"/>
        <w:widowControl w:val="0"/>
        <w:numPr>
          <w:ilvl w:val="0"/>
          <w:numId w:val="75"/>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符合专业条件的</w:t>
      </w:r>
      <w:r>
        <w:rPr>
          <w:rFonts w:hint="eastAsia" w:ascii="仿宋" w:eastAsia="仿宋"/>
          <w:b w:val="0"/>
          <w:color w:val="auto"/>
          <w:kern w:val="2"/>
          <w:sz w:val="24"/>
          <w:szCs w:val="24"/>
          <w:highlight w:val="none"/>
          <w:lang w:val="en-US" w:eastAsia="zh-CN"/>
        </w:rPr>
        <w:t>投标人</w:t>
      </w:r>
      <w:r>
        <w:rPr>
          <w:rFonts w:ascii="仿宋" w:eastAsia="仿宋"/>
          <w:b w:val="0"/>
          <w:color w:val="auto"/>
          <w:kern w:val="2"/>
          <w:sz w:val="24"/>
          <w:szCs w:val="24"/>
          <w:highlight w:val="none"/>
          <w:lang w:val="en-US"/>
        </w:rPr>
        <w:t>或者对招标文件作实质响应的</w:t>
      </w:r>
      <w:r>
        <w:rPr>
          <w:rFonts w:hint="eastAsia" w:ascii="仿宋" w:eastAsia="仿宋"/>
          <w:b w:val="0"/>
          <w:color w:val="auto"/>
          <w:kern w:val="2"/>
          <w:sz w:val="24"/>
          <w:szCs w:val="24"/>
          <w:highlight w:val="none"/>
          <w:lang w:val="en-US" w:eastAsia="zh-CN"/>
        </w:rPr>
        <w:t>投标人</w:t>
      </w:r>
      <w:r>
        <w:rPr>
          <w:rFonts w:ascii="仿宋" w:eastAsia="仿宋"/>
          <w:b w:val="0"/>
          <w:color w:val="auto"/>
          <w:kern w:val="2"/>
          <w:sz w:val="24"/>
          <w:szCs w:val="24"/>
          <w:highlight w:val="none"/>
          <w:lang w:val="en-US"/>
        </w:rPr>
        <w:t>不足三家的；</w:t>
      </w:r>
    </w:p>
    <w:p w14:paraId="49EC9AFC">
      <w:pPr>
        <w:pageBreakBefore w:val="0"/>
        <w:widowControl w:val="0"/>
        <w:numPr>
          <w:ilvl w:val="0"/>
          <w:numId w:val="75"/>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出现影响采购公正的违法、违规行为的；</w:t>
      </w:r>
    </w:p>
    <w:p w14:paraId="3F8C30BC">
      <w:pPr>
        <w:pageBreakBefore w:val="0"/>
        <w:widowControl w:val="0"/>
        <w:numPr>
          <w:ilvl w:val="0"/>
          <w:numId w:val="75"/>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投标人的报价均超过了采购预算，采购人不能支付的；</w:t>
      </w:r>
    </w:p>
    <w:p w14:paraId="37B411AC">
      <w:pPr>
        <w:pageBreakBefore w:val="0"/>
        <w:widowControl w:val="0"/>
        <w:numPr>
          <w:ilvl w:val="0"/>
          <w:numId w:val="75"/>
        </w:numPr>
        <w:kinsoku/>
        <w:wordWrap/>
        <w:overflowPunct/>
        <w:topLinePunct w:val="0"/>
        <w:bidi w:val="0"/>
        <w:spacing w:beforeAutospacing="0" w:afterAutospacing="0" w:line="360" w:lineRule="auto"/>
        <w:ind w:left="0" w:right="0" w:firstLine="480" w:firstLineChars="20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因重大变故，采购任务取消的。</w:t>
      </w:r>
    </w:p>
    <w:p w14:paraId="26F48648">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废标后，采购代理机构应在</w:t>
      </w:r>
      <w:r>
        <w:rPr>
          <w:rFonts w:hint="eastAsia" w:ascii="仿宋" w:eastAsia="仿宋"/>
          <w:b w:val="0"/>
          <w:color w:val="auto"/>
          <w:kern w:val="2"/>
          <w:sz w:val="24"/>
          <w:szCs w:val="24"/>
          <w:highlight w:val="none"/>
          <w:lang w:val="en-US" w:eastAsia="zh-CN"/>
        </w:rPr>
        <w:t>新疆政府采购网</w:t>
      </w:r>
      <w:r>
        <w:rPr>
          <w:rFonts w:ascii="仿宋" w:eastAsia="仿宋"/>
          <w:b w:val="0"/>
          <w:color w:val="auto"/>
          <w:kern w:val="2"/>
          <w:sz w:val="24"/>
          <w:szCs w:val="24"/>
          <w:highlight w:val="none"/>
          <w:lang w:val="en-US"/>
        </w:rPr>
        <w:t>上公告，并公告废标的情形。</w:t>
      </w:r>
    </w:p>
    <w:p w14:paraId="310A51D0">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对于评标过程中废标的采购项目，评标委员会应当对招标文件是否存在倾向性和歧视性、是否存在不合理条款进行论证，并出具书面论证意见。</w:t>
      </w:r>
    </w:p>
    <w:p w14:paraId="0C56DE34">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301" w:name="_Toc27020"/>
      <w:r>
        <w:rPr>
          <w:rFonts w:ascii="仿宋" w:eastAsia="仿宋"/>
          <w:bCs/>
          <w:color w:val="auto"/>
          <w:kern w:val="2"/>
          <w:sz w:val="24"/>
          <w:szCs w:val="24"/>
          <w:highlight w:val="none"/>
          <w:lang w:val="en-US"/>
        </w:rPr>
        <w:t>定标</w:t>
      </w:r>
      <w:bookmarkEnd w:id="301"/>
    </w:p>
    <w:p w14:paraId="4A191D60">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定标原则：</w:t>
      </w:r>
      <w:r>
        <w:rPr>
          <w:rFonts w:ascii="仿宋" w:eastAsia="仿宋"/>
          <w:b w:val="0"/>
          <w:bCs/>
          <w:color w:val="auto"/>
          <w:kern w:val="2"/>
          <w:sz w:val="24"/>
          <w:szCs w:val="24"/>
          <w:highlight w:val="none"/>
          <w:lang w:val="en-US"/>
        </w:rPr>
        <w:t xml:space="preserve">本项目根据评标委员会推荐的中标候选人名单，按顺序确定中标人。 </w:t>
      </w:r>
    </w:p>
    <w:p w14:paraId="2015F8C4">
      <w:pPr>
        <w:pageBreakBefore w:val="0"/>
        <w:widowControl w:val="0"/>
        <w:numPr>
          <w:ilvl w:val="2"/>
          <w:numId w:val="22"/>
        </w:numPr>
        <w:tabs>
          <w:tab w:val="left" w:pos="360"/>
        </w:tabs>
        <w:kinsoku/>
        <w:wordWrap/>
        <w:overflowPunct/>
        <w:topLinePunct w:val="0"/>
        <w:bidi w:val="0"/>
        <w:snapToGrid/>
        <w:spacing w:beforeAutospacing="0" w:afterAutospacing="0" w:line="360" w:lineRule="auto"/>
        <w:ind w:left="850" w:right="0" w:hanging="567" w:firstLineChars="0"/>
        <w:jc w:val="left"/>
        <w:outlineLvl w:val="2"/>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定标程序</w:t>
      </w:r>
    </w:p>
    <w:p w14:paraId="1B8C272E">
      <w:pPr>
        <w:keepNext w:val="0"/>
        <w:keepLines w:val="0"/>
        <w:pageBreakBefore w:val="0"/>
        <w:widowControl w:val="0"/>
        <w:numPr>
          <w:ilvl w:val="3"/>
          <w:numId w:val="22"/>
        </w:numPr>
        <w:tabs>
          <w:tab w:val="left" w:pos="360"/>
        </w:tabs>
        <w:kinsoku/>
        <w:wordWrap/>
        <w:overflowPunct/>
        <w:topLinePunct w:val="0"/>
        <w:autoSpaceDE/>
        <w:autoSpaceDN/>
        <w:bidi w:val="0"/>
        <w:adjustRightInd/>
        <w:snapToGrid w:val="0"/>
        <w:spacing w:beforeAutospacing="0" w:afterAutospacing="0" w:line="360" w:lineRule="auto"/>
        <w:ind w:left="0" w:right="0" w:firstLine="283" w:firstLineChars="0"/>
        <w:textAlignment w:val="auto"/>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w:t>
      </w:r>
      <w:r>
        <w:rPr>
          <w:rFonts w:hint="eastAsia" w:ascii="仿宋" w:eastAsia="仿宋"/>
          <w:b w:val="0"/>
          <w:bCs/>
          <w:color w:val="auto"/>
          <w:kern w:val="2"/>
          <w:sz w:val="24"/>
          <w:szCs w:val="24"/>
          <w:highlight w:val="none"/>
          <w:lang w:val="en-US" w:eastAsia="zh-CN"/>
        </w:rPr>
        <w:t>新疆驰珑信诚招标代理有限公司</w:t>
      </w:r>
      <w:r>
        <w:rPr>
          <w:rFonts w:ascii="仿宋" w:eastAsia="仿宋"/>
          <w:b w:val="0"/>
          <w:bCs/>
          <w:color w:val="auto"/>
          <w:kern w:val="2"/>
          <w:sz w:val="24"/>
          <w:szCs w:val="24"/>
          <w:highlight w:val="none"/>
          <w:lang w:val="en-US"/>
        </w:rPr>
        <w:t xml:space="preserve">自评审结束后2个工作日内将评审报告及有关资料送交采购人确定中标人。 </w:t>
      </w:r>
    </w:p>
    <w:p w14:paraId="2E02CA33">
      <w:pPr>
        <w:keepNext w:val="0"/>
        <w:keepLines w:val="0"/>
        <w:pageBreakBefore w:val="0"/>
        <w:widowControl w:val="0"/>
        <w:numPr>
          <w:ilvl w:val="3"/>
          <w:numId w:val="22"/>
        </w:numPr>
        <w:tabs>
          <w:tab w:val="left" w:pos="360"/>
        </w:tabs>
        <w:kinsoku/>
        <w:wordWrap/>
        <w:overflowPunct/>
        <w:topLinePunct w:val="0"/>
        <w:autoSpaceDE/>
        <w:autoSpaceDN/>
        <w:bidi w:val="0"/>
        <w:adjustRightInd/>
        <w:snapToGrid w:val="0"/>
        <w:spacing w:beforeAutospacing="0" w:afterAutospacing="0" w:line="360" w:lineRule="auto"/>
        <w:ind w:left="0" w:right="0" w:firstLine="283" w:firstLineChars="0"/>
        <w:textAlignment w:val="auto"/>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采购人收到评审报告及有关资料后，应当在5个工作日内按照评审报告中推荐的中标候选人顺序确定中标人。</w:t>
      </w:r>
    </w:p>
    <w:p w14:paraId="4C5B9504">
      <w:pPr>
        <w:keepNext w:val="0"/>
        <w:keepLines w:val="0"/>
        <w:pageBreakBefore w:val="0"/>
        <w:widowControl w:val="0"/>
        <w:numPr>
          <w:ilvl w:val="2"/>
          <w:numId w:val="22"/>
        </w:numPr>
        <w:tabs>
          <w:tab w:val="left" w:pos="360"/>
        </w:tabs>
        <w:kinsoku/>
        <w:wordWrap/>
        <w:overflowPunct/>
        <w:topLinePunct w:val="0"/>
        <w:autoSpaceDE/>
        <w:autoSpaceDN/>
        <w:bidi w:val="0"/>
        <w:adjustRightInd/>
        <w:snapToGrid w:val="0"/>
        <w:spacing w:beforeAutospacing="0" w:afterAutospacing="0" w:line="360" w:lineRule="auto"/>
        <w:ind w:left="850" w:right="0" w:hanging="567" w:firstLineChars="0"/>
        <w:jc w:val="left"/>
        <w:textAlignment w:val="auto"/>
        <w:outlineLvl w:val="2"/>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采购人确定中标人后，应当及时书面通知</w:t>
      </w:r>
      <w:r>
        <w:rPr>
          <w:rFonts w:hint="eastAsia" w:ascii="仿宋" w:eastAsia="仿宋"/>
          <w:b w:val="0"/>
          <w:bCs/>
          <w:color w:val="auto"/>
          <w:kern w:val="2"/>
          <w:sz w:val="24"/>
          <w:szCs w:val="24"/>
          <w:highlight w:val="none"/>
          <w:lang w:val="en-US" w:eastAsia="zh-CN"/>
        </w:rPr>
        <w:t>新疆驰珑信诚招标代理有限公司</w:t>
      </w:r>
      <w:r>
        <w:rPr>
          <w:rFonts w:ascii="仿宋" w:eastAsia="仿宋"/>
          <w:b w:val="0"/>
          <w:bCs/>
          <w:color w:val="auto"/>
          <w:kern w:val="2"/>
          <w:sz w:val="24"/>
          <w:szCs w:val="24"/>
          <w:highlight w:val="none"/>
          <w:lang w:val="en-US"/>
        </w:rPr>
        <w:t>，由其发出中标通知书并发布中标结果公告。</w:t>
      </w:r>
    </w:p>
    <w:p w14:paraId="233764E5">
      <w:pPr>
        <w:pageBreakBefore w:val="0"/>
        <w:widowControl w:val="0"/>
        <w:numPr>
          <w:ilvl w:val="3"/>
          <w:numId w:val="22"/>
        </w:numPr>
        <w:tabs>
          <w:tab w:val="left" w:pos="360"/>
        </w:tabs>
        <w:kinsoku/>
        <w:wordWrap/>
        <w:overflowPunct/>
        <w:topLinePunct w:val="0"/>
        <w:bidi w:val="0"/>
        <w:spacing w:beforeAutospacing="0" w:afterAutospacing="0" w:line="360" w:lineRule="auto"/>
        <w:ind w:left="0" w:right="0" w:firstLine="283" w:firstLineChars="0"/>
        <w:outlineLvl w:val="3"/>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 xml:space="preserve"> 采购代理机构不退回投标文件和其他投标资料（招标文件另有约定的除外）。</w:t>
      </w:r>
    </w:p>
    <w:p w14:paraId="01619654">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302" w:name="_Toc25649"/>
      <w:r>
        <w:rPr>
          <w:rFonts w:ascii="仿宋" w:eastAsia="仿宋"/>
          <w:bCs/>
          <w:color w:val="auto"/>
          <w:kern w:val="2"/>
          <w:sz w:val="24"/>
          <w:szCs w:val="24"/>
          <w:highlight w:val="none"/>
          <w:lang w:val="en-US"/>
        </w:rPr>
        <w:t>评标专家在政府采购活动中承担以下义务</w:t>
      </w:r>
      <w:bookmarkEnd w:id="302"/>
    </w:p>
    <w:p w14:paraId="328ACDE9">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 xml:space="preserve">遵守评审工作纪律； </w:t>
      </w:r>
    </w:p>
    <w:p w14:paraId="4E5F92D5">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按照客观、公正、审慎的原则，根据采购文件规定的评审程序、评审方法和评审标准进行独立评审；</w:t>
      </w:r>
    </w:p>
    <w:p w14:paraId="0390D6D3">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不得泄露评审文件、评审情况和在评审过程中获悉的商业秘密；</w:t>
      </w:r>
    </w:p>
    <w:p w14:paraId="588846D8">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及时向监督部门报告评审过程中采购组织单位向评审专家做倾向性、误导性的解释或者说明，</w:t>
      </w:r>
      <w:r>
        <w:rPr>
          <w:rFonts w:hint="eastAsia" w:ascii="仿宋" w:eastAsia="仿宋"/>
          <w:b w:val="0"/>
          <w:color w:val="auto"/>
          <w:sz w:val="24"/>
          <w:szCs w:val="24"/>
          <w:highlight w:val="none"/>
          <w:lang w:eastAsia="zh-CN"/>
        </w:rPr>
        <w:t>投标人</w:t>
      </w:r>
      <w:r>
        <w:rPr>
          <w:rFonts w:ascii="仿宋" w:eastAsia="仿宋"/>
          <w:b w:val="0"/>
          <w:color w:val="auto"/>
          <w:sz w:val="24"/>
          <w:szCs w:val="24"/>
          <w:highlight w:val="none"/>
        </w:rPr>
        <w:t>行贿、提供虚假材料或者串通、受到的非法干预情况等违法违规行为；</w:t>
      </w:r>
    </w:p>
    <w:p w14:paraId="79760BED">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发现采购文件内容违反国家有关强制性规定或者存在歧义、重大缺陷导致评审工作无法进行时，停止评审并向采购组织单位书面说明情况；</w:t>
      </w:r>
    </w:p>
    <w:p w14:paraId="754E7E86">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配合答复处理</w:t>
      </w:r>
      <w:r>
        <w:rPr>
          <w:rFonts w:hint="eastAsia" w:ascii="仿宋" w:eastAsia="仿宋"/>
          <w:b w:val="0"/>
          <w:color w:val="auto"/>
          <w:sz w:val="24"/>
          <w:szCs w:val="24"/>
          <w:highlight w:val="none"/>
          <w:lang w:eastAsia="zh-CN"/>
        </w:rPr>
        <w:t>投标人</w:t>
      </w:r>
      <w:r>
        <w:rPr>
          <w:rFonts w:ascii="仿宋" w:eastAsia="仿宋"/>
          <w:b w:val="0"/>
          <w:color w:val="auto"/>
          <w:sz w:val="24"/>
          <w:szCs w:val="24"/>
          <w:highlight w:val="none"/>
        </w:rPr>
        <w:t>的询问、质疑和投诉等事项；</w:t>
      </w:r>
    </w:p>
    <w:p w14:paraId="501D2AE2">
      <w:pPr>
        <w:pageBreakBefore w:val="0"/>
        <w:widowControl w:val="0"/>
        <w:numPr>
          <w:ilvl w:val="1"/>
          <w:numId w:val="76"/>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法律、法规和规章规定的其他义务。</w:t>
      </w:r>
    </w:p>
    <w:p w14:paraId="48361992">
      <w:pPr>
        <w:keepNext/>
        <w:pageBreakBefore w:val="0"/>
        <w:widowControl w:val="0"/>
        <w:numPr>
          <w:ilvl w:val="1"/>
          <w:numId w:val="22"/>
        </w:numPr>
        <w:tabs>
          <w:tab w:val="left" w:pos="360"/>
        </w:tabs>
        <w:kinsoku/>
        <w:wordWrap/>
        <w:overflowPunct/>
        <w:topLinePunct w:val="0"/>
        <w:bidi w:val="0"/>
        <w:spacing w:beforeAutospacing="0" w:afterAutospacing="0" w:line="360" w:lineRule="auto"/>
        <w:ind w:left="850" w:right="0" w:hanging="567" w:firstLineChars="0"/>
        <w:jc w:val="left"/>
        <w:outlineLvl w:val="1"/>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303" w:name="_Toc13111"/>
      <w:r>
        <w:rPr>
          <w:rFonts w:ascii="仿宋" w:eastAsia="仿宋"/>
          <w:bCs/>
          <w:color w:val="auto"/>
          <w:kern w:val="2"/>
          <w:sz w:val="24"/>
          <w:szCs w:val="24"/>
          <w:highlight w:val="none"/>
          <w:lang w:val="en-US"/>
        </w:rPr>
        <w:t>评审专家在政府采购活动中应当遵守以下工作纪律</w:t>
      </w:r>
      <w:bookmarkEnd w:id="303"/>
    </w:p>
    <w:p w14:paraId="2C7E6B07">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遵行《政府采购法》第十二条和《政府采购法实施条例》第九条及财政部关于回避的规定。</w:t>
      </w:r>
    </w:p>
    <w:p w14:paraId="2CDF9205">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评审前，应当将通讯工具或者相关电子设备交由采购组织单位统一保管。</w:t>
      </w:r>
    </w:p>
    <w:p w14:paraId="752F99FB">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评审过程中，不得与外界联系，因发生不可预见情况，确实需要与外界联系的，应当在监督人员监督之下办理。</w:t>
      </w:r>
    </w:p>
    <w:p w14:paraId="1BCEAD29">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评审过程中，不得干预或者影响正常评审工作，不得发表倾向性、引导性意见，不得修改或细化采购文件确定的评审程序、评审方法、评审因素和评审标准，不得接受</w:t>
      </w:r>
      <w:r>
        <w:rPr>
          <w:rFonts w:hint="eastAsia" w:ascii="仿宋" w:eastAsia="仿宋"/>
          <w:b w:val="0"/>
          <w:color w:val="auto"/>
          <w:sz w:val="24"/>
          <w:szCs w:val="24"/>
          <w:highlight w:val="none"/>
          <w:lang w:eastAsia="zh-CN"/>
        </w:rPr>
        <w:t>投标人</w:t>
      </w:r>
      <w:r>
        <w:rPr>
          <w:rFonts w:ascii="仿宋" w:eastAsia="仿宋"/>
          <w:b w:val="0"/>
          <w:color w:val="auto"/>
          <w:sz w:val="24"/>
          <w:szCs w:val="24"/>
          <w:highlight w:val="none"/>
        </w:rPr>
        <w:t>主动提出的澄清和解释，不得征询采购人代表的意见，不得协商评分，不得违反规定的评审格式评分和撰写评审意见，不得拒绝对自己的评审意见签字确认。</w:t>
      </w:r>
    </w:p>
    <w:p w14:paraId="02442AA4">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在评审过程中和评审结束后，不得记录、复制或带走任何评审资料，除因履行规定的</w:t>
      </w:r>
      <w:r>
        <w:rPr>
          <w:rFonts w:hint="eastAsia" w:ascii="仿宋" w:eastAsia="仿宋"/>
          <w:b w:val="0"/>
          <w:color w:val="auto"/>
          <w:sz w:val="24"/>
          <w:szCs w:val="24"/>
          <w:highlight w:val="none"/>
          <w:lang w:eastAsia="zh-CN"/>
        </w:rPr>
        <w:t>评审专家</w:t>
      </w:r>
      <w:r>
        <w:rPr>
          <w:rFonts w:ascii="仿宋" w:eastAsia="仿宋"/>
          <w:b w:val="0"/>
          <w:color w:val="auto"/>
          <w:sz w:val="24"/>
          <w:szCs w:val="24"/>
          <w:highlight w:val="none"/>
        </w:rPr>
        <w:t>义务，不得向外界透露评审内容。</w:t>
      </w:r>
    </w:p>
    <w:p w14:paraId="627A9EC9">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服从评审现场采购组织单位的现场秩序管理，接受评审现场监督人员的合法监督。</w:t>
      </w:r>
    </w:p>
    <w:p w14:paraId="0189014B">
      <w:pPr>
        <w:pageBreakBefore w:val="0"/>
        <w:widowControl w:val="0"/>
        <w:numPr>
          <w:ilvl w:val="1"/>
          <w:numId w:val="77"/>
        </w:numPr>
        <w:kinsoku/>
        <w:wordWrap/>
        <w:overflowPunct/>
        <w:topLinePunct w:val="0"/>
        <w:bidi w:val="0"/>
        <w:spacing w:beforeAutospacing="0" w:afterAutospacing="0" w:line="360" w:lineRule="auto"/>
        <w:ind w:left="0" w:right="0" w:firstLine="480" w:firstLineChars="200"/>
        <w:rPr>
          <w:rFonts w:ascii="仿宋" w:eastAsia="仿宋"/>
          <w:b w:val="0"/>
          <w:color w:val="auto"/>
          <w:sz w:val="24"/>
          <w:szCs w:val="24"/>
          <w:highlight w:val="none"/>
        </w:rPr>
      </w:pPr>
      <w:r>
        <w:rPr>
          <w:rFonts w:ascii="仿宋" w:eastAsia="仿宋"/>
          <w:b w:val="0"/>
          <w:color w:val="auto"/>
          <w:sz w:val="24"/>
          <w:szCs w:val="24"/>
          <w:highlight w:val="none"/>
        </w:rPr>
        <w:t>遵守有关廉洁自律规定，不得私下接触</w:t>
      </w:r>
      <w:r>
        <w:rPr>
          <w:rFonts w:hint="eastAsia" w:ascii="仿宋" w:eastAsia="仿宋"/>
          <w:b w:val="0"/>
          <w:color w:val="auto"/>
          <w:sz w:val="24"/>
          <w:szCs w:val="24"/>
          <w:highlight w:val="none"/>
          <w:lang w:eastAsia="zh-CN"/>
        </w:rPr>
        <w:t>投标人</w:t>
      </w:r>
      <w:r>
        <w:rPr>
          <w:rFonts w:ascii="仿宋" w:eastAsia="仿宋"/>
          <w:b w:val="0"/>
          <w:color w:val="auto"/>
          <w:sz w:val="24"/>
          <w:szCs w:val="24"/>
          <w:highlight w:val="none"/>
        </w:rPr>
        <w:t>，不得收受</w:t>
      </w:r>
      <w:r>
        <w:rPr>
          <w:rFonts w:hint="eastAsia" w:ascii="仿宋" w:eastAsia="仿宋"/>
          <w:b w:val="0"/>
          <w:color w:val="auto"/>
          <w:sz w:val="24"/>
          <w:szCs w:val="24"/>
          <w:highlight w:val="none"/>
          <w:lang w:eastAsia="zh-CN"/>
        </w:rPr>
        <w:t>投标人</w:t>
      </w:r>
      <w:r>
        <w:rPr>
          <w:rFonts w:ascii="仿宋" w:eastAsia="仿宋"/>
          <w:b w:val="0"/>
          <w:color w:val="auto"/>
          <w:sz w:val="24"/>
          <w:szCs w:val="24"/>
          <w:highlight w:val="none"/>
        </w:rPr>
        <w:t>及有关业务单位和个人的财物或好处，不得接受采购组织单位的请托。</w:t>
      </w:r>
    </w:p>
    <w:p w14:paraId="7CD3ED98">
      <w:pPr>
        <w:ind w:left="0" w:firstLine="0" w:firstLineChars="0"/>
        <w:rPr>
          <w:rFonts w:ascii="仿宋" w:eastAsia="仿宋"/>
          <w:b w:val="0"/>
          <w:color w:val="auto"/>
          <w:sz w:val="24"/>
          <w:szCs w:val="24"/>
          <w:highlight w:val="none"/>
        </w:rPr>
      </w:pPr>
    </w:p>
    <w:p w14:paraId="2A0CC501">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09D3BFA7">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7AB15D3B">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6D74A7F2">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0EFAD6A7">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60B01A36">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1E2CFA8C">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758B2BF0">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34568FE9">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41FD694B">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val="0"/>
        <w:spacing w:beforeAutospacing="0" w:afterAutospacing="0" w:line="360" w:lineRule="auto"/>
        <w:ind w:left="283" w:leftChars="0" w:right="0" w:rightChars="0"/>
        <w:textAlignment w:val="auto"/>
        <w:outlineLvl w:val="9"/>
        <w:rPr>
          <w:rFonts w:ascii="仿宋" w:eastAsia="仿宋"/>
          <w:b w:val="0"/>
          <w:bCs/>
          <w:color w:val="auto"/>
          <w:kern w:val="2"/>
          <w:sz w:val="24"/>
          <w:szCs w:val="24"/>
          <w:highlight w:val="none"/>
          <w:lang w:val="en-US"/>
        </w:rPr>
      </w:pPr>
    </w:p>
    <w:p w14:paraId="23C53CBB">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highlight w:val="none"/>
        </w:rPr>
      </w:pPr>
      <w:bookmarkStart w:id="304" w:name="_Toc36134583"/>
      <w:bookmarkStart w:id="305" w:name="_Toc36215973"/>
      <w:bookmarkStart w:id="306" w:name="_Toc40704297"/>
      <w:r>
        <w:rPr>
          <w:rFonts w:hint="eastAsia" w:ascii="仿宋" w:eastAsia="仿宋"/>
          <w:b/>
          <w:color w:val="auto"/>
          <w:highlight w:val="none"/>
          <w:lang w:val="en-US" w:eastAsia="zh-CN"/>
        </w:rPr>
        <w:t xml:space="preserve"> </w:t>
      </w:r>
      <w:bookmarkStart w:id="307" w:name="_Toc26229"/>
      <w:r>
        <w:rPr>
          <w:rFonts w:ascii="仿宋" w:eastAsia="仿宋"/>
          <w:b/>
          <w:color w:val="auto"/>
          <w:highlight w:val="none"/>
        </w:rPr>
        <w:t>拟签订的合同文本</w:t>
      </w:r>
      <w:bookmarkEnd w:id="304"/>
      <w:bookmarkEnd w:id="305"/>
      <w:bookmarkEnd w:id="306"/>
      <w:bookmarkEnd w:id="307"/>
    </w:p>
    <w:p w14:paraId="528427E6">
      <w:pPr>
        <w:pageBreakBefore w:val="0"/>
        <w:widowControl w:val="0"/>
        <w:kinsoku/>
        <w:wordWrap/>
        <w:overflowPunct/>
        <w:topLinePunct w:val="0"/>
        <w:bidi w:val="0"/>
        <w:spacing w:beforeAutospacing="0" w:afterAutospacing="0" w:line="360" w:lineRule="auto"/>
        <w:ind w:left="0" w:right="0" w:firstLine="482" w:firstLineChars="200"/>
        <w:jc w:val="left"/>
        <w:rPr>
          <w:rFonts w:ascii="仿宋" w:eastAsia="仿宋"/>
          <w:b/>
          <w:bCs/>
          <w:color w:val="auto"/>
          <w:sz w:val="24"/>
          <w:szCs w:val="24"/>
          <w:highlight w:val="none"/>
        </w:rPr>
      </w:pPr>
    </w:p>
    <w:p w14:paraId="362B4208">
      <w:pPr>
        <w:pageBreakBefore w:val="0"/>
        <w:widowControl w:val="0"/>
        <w:kinsoku/>
        <w:wordWrap/>
        <w:overflowPunct/>
        <w:topLinePunct w:val="0"/>
        <w:bidi w:val="0"/>
        <w:spacing w:beforeAutospacing="0" w:afterAutospacing="0" w:line="360" w:lineRule="auto"/>
        <w:ind w:left="0" w:right="0" w:firstLine="482" w:firstLineChars="200"/>
        <w:jc w:val="left"/>
        <w:rPr>
          <w:rFonts w:hint="eastAsia" w:ascii="仿宋" w:eastAsia="仿宋" w:cs="仿宋"/>
          <w:b w:val="0"/>
          <w:bCs w:val="0"/>
          <w:snapToGrid w:val="0"/>
          <w:color w:val="000000"/>
          <w:kern w:val="0"/>
          <w:sz w:val="28"/>
          <w:szCs w:val="28"/>
          <w:highlight w:val="none"/>
          <w:lang w:val="en-US" w:eastAsia="en-US" w:bidi="ar-SA"/>
        </w:rPr>
      </w:pPr>
      <w:r>
        <w:rPr>
          <w:rFonts w:ascii="仿宋" w:eastAsia="仿宋"/>
          <w:b/>
          <w:bCs/>
          <w:color w:val="auto"/>
          <w:sz w:val="24"/>
          <w:szCs w:val="24"/>
          <w:highlight w:val="none"/>
        </w:rPr>
        <w:t>合同条款甲乙双方根据实际情况进行签订，签订内容不得违反国家法规政策，不得违反招标文件及投标文件的约定。（说明：本合同不作为最终合同，甲方有权在签订合同时对合同的相关条款及内容作进一步的细化和修改。）</w:t>
      </w:r>
      <w:r>
        <w:rPr>
          <w:rFonts w:hint="eastAsia" w:ascii="仿宋" w:eastAsia="仿宋" w:cs="仿宋"/>
          <w:b w:val="0"/>
          <w:bCs w:val="0"/>
          <w:snapToGrid w:val="0"/>
          <w:color w:val="000000"/>
          <w:kern w:val="0"/>
          <w:sz w:val="28"/>
          <w:szCs w:val="28"/>
          <w:highlight w:val="none"/>
          <w:lang w:val="en-US" w:eastAsia="en-US" w:bidi="ar-SA"/>
        </w:rPr>
        <w:t>（</w:t>
      </w:r>
      <w:r>
        <w:rPr>
          <w:rFonts w:hint="eastAsia" w:ascii="仿宋" w:eastAsia="仿宋" w:cs="仿宋"/>
          <w:b w:val="0"/>
          <w:bCs w:val="0"/>
          <w:snapToGrid w:val="0"/>
          <w:color w:val="000000"/>
          <w:kern w:val="0"/>
          <w:sz w:val="24"/>
          <w:szCs w:val="24"/>
          <w:highlight w:val="none"/>
          <w:lang w:val="en-US" w:eastAsia="en-US" w:bidi="ar-SA"/>
        </w:rPr>
        <w:t>此合同仅供参考。以最终采购人与中标人签定的合同条款为准进行公示， 最终签定合同的主要条款不能与招标文件有冲突）</w:t>
      </w:r>
    </w:p>
    <w:p w14:paraId="654C2DCB">
      <w:pPr>
        <w:spacing w:before="101" w:line="228" w:lineRule="auto"/>
        <w:outlineLvl w:val="9"/>
        <w:rPr>
          <w:rFonts w:hint="eastAsia" w:ascii="仿宋" w:eastAsia="仿宋" w:cs="仿宋"/>
          <w:b w:val="0"/>
          <w:bCs w:val="0"/>
          <w:snapToGrid w:val="0"/>
          <w:color w:val="000000"/>
          <w:kern w:val="0"/>
          <w:sz w:val="28"/>
          <w:szCs w:val="28"/>
          <w:highlight w:val="none"/>
          <w:lang w:val="en-US" w:eastAsia="en-US" w:bidi="ar-SA"/>
        </w:rPr>
      </w:pPr>
    </w:p>
    <w:p w14:paraId="4447CDBB">
      <w:pPr>
        <w:keepNext w:val="0"/>
        <w:keepLines w:val="0"/>
        <w:pageBreakBefore w:val="0"/>
        <w:widowControl w:val="0"/>
        <w:kinsoku/>
        <w:wordWrap/>
        <w:overflowPunct/>
        <w:topLinePunct w:val="0"/>
        <w:bidi w:val="0"/>
        <w:spacing w:line="440" w:lineRule="exact"/>
        <w:ind w:left="0" w:firstLine="0" w:firstLineChars="0"/>
        <w:jc w:val="both"/>
        <w:outlineLvl w:val="9"/>
        <w:rPr>
          <w:rFonts w:hint="eastAsia" w:ascii="仿宋_GB2312" w:eastAsia="仿宋_GB2312" w:cs="仿宋_GB2312"/>
          <w:b w:val="0"/>
          <w:bCs w:val="0"/>
          <w:color w:val="auto"/>
          <w:kern w:val="2"/>
          <w:sz w:val="24"/>
          <w:szCs w:val="24"/>
          <w:lang w:val="en-US" w:eastAsia="zh-CN" w:bidi="ar-SA"/>
        </w:rPr>
      </w:pPr>
    </w:p>
    <w:p w14:paraId="50DF01FF">
      <w:pPr>
        <w:keepNext w:val="0"/>
        <w:keepLines w:val="0"/>
        <w:pageBreakBefore w:val="0"/>
        <w:widowControl w:val="0"/>
        <w:kinsoku/>
        <w:wordWrap/>
        <w:overflowPunct/>
        <w:topLinePunct w:val="0"/>
        <w:bidi w:val="0"/>
        <w:spacing w:line="440" w:lineRule="exact"/>
        <w:ind w:left="0" w:firstLine="0" w:firstLineChars="0"/>
        <w:jc w:val="both"/>
        <w:outlineLvl w:val="9"/>
        <w:rPr>
          <w:rFonts w:ascii="仿宋_GB2312" w:eastAsia="仿宋_GB2312" w:cs="仿宋_GB2312"/>
          <w:b w:val="0"/>
          <w:bCs w:val="0"/>
          <w:color w:val="auto"/>
          <w:kern w:val="2"/>
          <w:sz w:val="24"/>
          <w:szCs w:val="24"/>
          <w:lang w:val="en-US" w:eastAsia="zh-CN" w:bidi="ar-SA"/>
        </w:rPr>
      </w:pPr>
    </w:p>
    <w:p w14:paraId="6F829B94">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highlight w:val="none"/>
        </w:rPr>
        <w:sectPr>
          <w:headerReference r:id="rId9" w:type="first"/>
          <w:pgSz w:w="11906" w:h="16838"/>
          <w:pgMar w:top="1418" w:right="1134" w:bottom="1418" w:left="1701" w:header="850" w:footer="567" w:gutter="0"/>
          <w:cols w:space="720" w:num="1"/>
          <w:titlePg/>
          <w:docGrid w:type="lines" w:linePitch="437" w:charSpace="0"/>
        </w:sectPr>
      </w:pPr>
    </w:p>
    <w:p w14:paraId="7A26BAF4">
      <w:pPr>
        <w:widowControl/>
        <w:spacing w:line="200" w:lineRule="atLeast"/>
        <w:ind w:left="0" w:firstLine="0" w:firstLineChars="0"/>
        <w:jc w:val="center"/>
        <w:rPr>
          <w:rFonts w:hint="eastAsia" w:ascii="仿宋" w:eastAsia="仿宋" w:cs="仿宋"/>
          <w:b/>
          <w:bCs/>
          <w:color w:val="auto"/>
          <w:sz w:val="52"/>
          <w:szCs w:val="52"/>
        </w:rPr>
      </w:pPr>
    </w:p>
    <w:p w14:paraId="748DB800">
      <w:pPr>
        <w:widowControl/>
        <w:spacing w:line="200" w:lineRule="atLeast"/>
        <w:ind w:left="0" w:firstLine="0" w:firstLineChars="0"/>
        <w:jc w:val="center"/>
        <w:rPr>
          <w:rFonts w:hint="eastAsia" w:ascii="仿宋" w:eastAsia="仿宋" w:cs="仿宋"/>
          <w:b/>
          <w:bCs/>
          <w:color w:val="auto"/>
          <w:sz w:val="52"/>
          <w:szCs w:val="52"/>
        </w:rPr>
      </w:pPr>
    </w:p>
    <w:p w14:paraId="12A2D99F">
      <w:pPr>
        <w:widowControl/>
        <w:spacing w:line="200" w:lineRule="atLeast"/>
        <w:ind w:left="0" w:firstLine="0" w:firstLineChars="0"/>
        <w:jc w:val="center"/>
        <w:rPr>
          <w:rFonts w:hint="eastAsia" w:ascii="仿宋" w:eastAsia="仿宋" w:cs="仿宋"/>
          <w:b/>
          <w:bCs/>
          <w:color w:val="auto"/>
          <w:sz w:val="52"/>
          <w:szCs w:val="52"/>
        </w:rPr>
      </w:pPr>
      <w:r>
        <w:rPr>
          <w:rFonts w:hint="eastAsia" w:ascii="仿宋" w:eastAsia="仿宋" w:cs="仿宋"/>
          <w:b/>
          <w:bCs/>
          <w:color w:val="auto"/>
          <w:sz w:val="52"/>
          <w:szCs w:val="52"/>
        </w:rPr>
        <w:t>服务合同</w:t>
      </w:r>
    </w:p>
    <w:p w14:paraId="21ACD4B2">
      <w:pPr>
        <w:widowControl/>
        <w:spacing w:line="200" w:lineRule="atLeast"/>
        <w:jc w:val="center"/>
        <w:rPr>
          <w:rFonts w:hint="eastAsia" w:ascii="仿宋" w:eastAsia="仿宋" w:cs="仿宋"/>
          <w:b/>
          <w:bCs/>
          <w:color w:val="auto"/>
          <w:sz w:val="52"/>
          <w:szCs w:val="52"/>
        </w:rPr>
      </w:pPr>
    </w:p>
    <w:p w14:paraId="32DD5008">
      <w:pPr>
        <w:widowControl/>
        <w:spacing w:line="200" w:lineRule="atLeast"/>
        <w:ind w:left="0" w:firstLine="0" w:firstLineChars="0"/>
        <w:jc w:val="center"/>
        <w:rPr>
          <w:rFonts w:hint="eastAsia" w:ascii="仿宋" w:eastAsia="仿宋" w:cs="仿宋"/>
          <w:b/>
          <w:bCs/>
          <w:color w:val="auto"/>
          <w:sz w:val="28"/>
          <w:szCs w:val="28"/>
        </w:rPr>
      </w:pPr>
      <w:r>
        <w:rPr>
          <w:rFonts w:hint="eastAsia" w:ascii="仿宋" w:eastAsia="仿宋" w:cs="仿宋"/>
          <w:b/>
          <w:bCs/>
          <w:color w:val="auto"/>
          <w:sz w:val="28"/>
          <w:szCs w:val="28"/>
        </w:rPr>
        <w:t>（参考本）</w:t>
      </w:r>
    </w:p>
    <w:p w14:paraId="4B9340A8">
      <w:pPr>
        <w:widowControl/>
        <w:spacing w:before="100" w:beforeAutospacing="1" w:after="100" w:afterAutospacing="1" w:line="200" w:lineRule="atLeast"/>
        <w:rPr>
          <w:rFonts w:hint="eastAsia" w:ascii="仿宋" w:eastAsia="仿宋" w:cs="仿宋"/>
          <w:b/>
          <w:bCs/>
          <w:color w:val="auto"/>
          <w:sz w:val="28"/>
          <w:szCs w:val="28"/>
        </w:rPr>
      </w:pPr>
      <w:r>
        <w:rPr>
          <w:rFonts w:hint="eastAsia" w:ascii="仿宋" w:eastAsia="仿宋" w:cs="仿宋"/>
          <w:b/>
          <w:bCs/>
          <w:color w:val="auto"/>
          <w:sz w:val="28"/>
          <w:szCs w:val="28"/>
        </w:rPr>
        <w:t xml:space="preserve">         </w:t>
      </w:r>
    </w:p>
    <w:p w14:paraId="2DADCBCC">
      <w:pPr>
        <w:widowControl/>
        <w:spacing w:line="200" w:lineRule="atLeast"/>
        <w:rPr>
          <w:rFonts w:hint="eastAsia" w:ascii="仿宋" w:eastAsia="仿宋" w:cs="仿宋"/>
          <w:b/>
          <w:bCs/>
          <w:color w:val="auto"/>
          <w:sz w:val="28"/>
          <w:szCs w:val="28"/>
        </w:rPr>
      </w:pPr>
      <w:r>
        <w:rPr>
          <w:rFonts w:hint="eastAsia" w:ascii="仿宋" w:eastAsia="仿宋" w:cs="仿宋"/>
          <w:b/>
          <w:bCs/>
          <w:color w:val="auto"/>
          <w:sz w:val="28"/>
          <w:szCs w:val="28"/>
        </w:rPr>
        <w:t xml:space="preserve">          合同编号：</w:t>
      </w:r>
      <w:r>
        <w:rPr>
          <w:rFonts w:hint="eastAsia" w:ascii="仿宋" w:eastAsia="仿宋" w:cs="仿宋"/>
          <w:b/>
          <w:bCs/>
          <w:color w:val="auto"/>
          <w:sz w:val="28"/>
          <w:szCs w:val="28"/>
          <w:u w:val="single"/>
        </w:rPr>
        <w:t xml:space="preserve">                         </w:t>
      </w:r>
    </w:p>
    <w:p w14:paraId="55B55487">
      <w:pPr>
        <w:widowControl/>
        <w:spacing w:before="100" w:beforeAutospacing="1" w:after="100" w:afterAutospacing="1" w:line="200" w:lineRule="atLeast"/>
        <w:rPr>
          <w:rFonts w:hint="eastAsia" w:ascii="仿宋" w:eastAsia="仿宋" w:cs="仿宋"/>
          <w:b/>
          <w:bCs/>
          <w:color w:val="auto"/>
          <w:sz w:val="28"/>
          <w:szCs w:val="28"/>
        </w:rPr>
      </w:pPr>
    </w:p>
    <w:p w14:paraId="3D2E6026">
      <w:pPr>
        <w:widowControl/>
        <w:spacing w:before="100" w:beforeAutospacing="1" w:after="100" w:afterAutospacing="1" w:line="200" w:lineRule="atLeast"/>
        <w:rPr>
          <w:rFonts w:hint="eastAsia" w:ascii="仿宋" w:eastAsia="仿宋" w:cs="仿宋"/>
          <w:b/>
          <w:bCs/>
          <w:color w:val="auto"/>
          <w:sz w:val="28"/>
          <w:szCs w:val="28"/>
        </w:rPr>
      </w:pPr>
    </w:p>
    <w:p w14:paraId="685D9AF2">
      <w:pPr>
        <w:widowControl/>
        <w:spacing w:before="100" w:beforeAutospacing="1" w:after="100" w:afterAutospacing="1" w:line="200" w:lineRule="atLeast"/>
        <w:rPr>
          <w:rFonts w:hint="eastAsia" w:ascii="仿宋" w:eastAsia="仿宋" w:cs="仿宋"/>
          <w:b/>
          <w:bCs/>
          <w:color w:val="auto"/>
          <w:sz w:val="28"/>
          <w:szCs w:val="28"/>
        </w:rPr>
      </w:pPr>
    </w:p>
    <w:p w14:paraId="0503D021">
      <w:pPr>
        <w:widowControl/>
        <w:spacing w:before="100" w:beforeAutospacing="1" w:after="100" w:afterAutospacing="1" w:line="200" w:lineRule="atLeast"/>
        <w:ind w:left="0" w:firstLine="0" w:firstLineChars="0"/>
        <w:rPr>
          <w:rFonts w:hint="eastAsia" w:ascii="仿宋" w:eastAsia="仿宋" w:cs="仿宋"/>
          <w:b/>
          <w:bCs/>
          <w:color w:val="auto"/>
          <w:sz w:val="28"/>
          <w:szCs w:val="28"/>
        </w:rPr>
      </w:pPr>
    </w:p>
    <w:p w14:paraId="35C5C6B0">
      <w:pPr>
        <w:widowControl/>
        <w:spacing w:before="100" w:beforeAutospacing="1" w:after="100" w:afterAutospacing="1" w:line="200" w:lineRule="atLeast"/>
        <w:ind w:firstLine="2530" w:firstLineChars="900"/>
        <w:rPr>
          <w:rFonts w:hint="eastAsia" w:ascii="仿宋" w:eastAsia="仿宋" w:cs="仿宋"/>
          <w:b/>
          <w:bCs/>
          <w:color w:val="auto"/>
          <w:sz w:val="28"/>
          <w:szCs w:val="28"/>
        </w:rPr>
      </w:pPr>
      <w:r>
        <w:rPr>
          <w:rFonts w:hint="eastAsia" w:ascii="仿宋" w:eastAsia="仿宋" w:cs="仿宋"/>
          <w:b/>
          <w:bCs/>
          <w:color w:val="auto"/>
          <w:sz w:val="28"/>
          <w:szCs w:val="28"/>
        </w:rPr>
        <w:t xml:space="preserve">甲方：          </w:t>
      </w:r>
    </w:p>
    <w:p w14:paraId="01905305">
      <w:pPr>
        <w:widowControl/>
        <w:spacing w:before="100" w:beforeAutospacing="1" w:after="100" w:afterAutospacing="1" w:line="200" w:lineRule="atLeast"/>
        <w:ind w:firstLine="2530" w:firstLineChars="900"/>
        <w:rPr>
          <w:rFonts w:hint="eastAsia" w:ascii="仿宋" w:eastAsia="仿宋" w:cs="仿宋"/>
          <w:b/>
          <w:bCs/>
          <w:color w:val="auto"/>
          <w:sz w:val="28"/>
          <w:szCs w:val="28"/>
        </w:rPr>
      </w:pPr>
      <w:r>
        <w:rPr>
          <w:rFonts w:hint="eastAsia" w:ascii="仿宋" w:eastAsia="仿宋" w:cs="仿宋"/>
          <w:b/>
          <w:bCs/>
          <w:color w:val="auto"/>
          <w:sz w:val="28"/>
          <w:szCs w:val="28"/>
        </w:rPr>
        <w:t>乙方：</w:t>
      </w:r>
    </w:p>
    <w:p w14:paraId="49C20D76">
      <w:pPr>
        <w:rPr>
          <w:rFonts w:hint="eastAsia" w:ascii="仿宋" w:eastAsia="仿宋" w:cs="仿宋"/>
          <w:b/>
          <w:bCs/>
          <w:color w:val="auto"/>
          <w:sz w:val="28"/>
          <w:szCs w:val="28"/>
        </w:rPr>
      </w:pPr>
    </w:p>
    <w:p w14:paraId="435C0EDC">
      <w:pPr>
        <w:rPr>
          <w:rFonts w:hint="eastAsia" w:ascii="仿宋" w:eastAsia="仿宋" w:cs="仿宋"/>
          <w:b/>
          <w:bCs/>
          <w:color w:val="auto"/>
          <w:sz w:val="28"/>
          <w:szCs w:val="28"/>
        </w:rPr>
      </w:pPr>
      <w:r>
        <w:rPr>
          <w:rFonts w:hint="eastAsia" w:ascii="仿宋" w:eastAsia="仿宋" w:cs="仿宋"/>
          <w:b/>
          <w:bCs/>
          <w:color w:val="auto"/>
          <w:sz w:val="28"/>
          <w:szCs w:val="28"/>
        </w:rPr>
        <w:t xml:space="preserve">           </w:t>
      </w:r>
      <w:r>
        <w:rPr>
          <w:rFonts w:hint="eastAsia" w:ascii="仿宋" w:eastAsia="仿宋" w:cs="仿宋"/>
          <w:b/>
          <w:bCs/>
          <w:color w:val="auto"/>
          <w:sz w:val="28"/>
          <w:szCs w:val="28"/>
          <w:lang w:val="en-US" w:eastAsia="zh-CN"/>
        </w:rPr>
        <w:t xml:space="preserve"> </w:t>
      </w:r>
      <w:r>
        <w:rPr>
          <w:rFonts w:hint="eastAsia" w:ascii="仿宋" w:eastAsia="仿宋" w:cs="仿宋"/>
          <w:b/>
          <w:bCs/>
          <w:color w:val="auto"/>
          <w:sz w:val="28"/>
          <w:szCs w:val="28"/>
        </w:rPr>
        <w:t xml:space="preserve"> </w:t>
      </w:r>
    </w:p>
    <w:p w14:paraId="1C710900">
      <w:pPr>
        <w:rPr>
          <w:rFonts w:hint="eastAsia" w:ascii="仿宋" w:eastAsia="仿宋" w:cs="仿宋"/>
          <w:b/>
          <w:bCs/>
          <w:color w:val="auto"/>
          <w:sz w:val="28"/>
          <w:szCs w:val="28"/>
        </w:rPr>
      </w:pPr>
    </w:p>
    <w:p w14:paraId="6708AD4B">
      <w:pPr>
        <w:ind w:firstLine="1968" w:firstLineChars="700"/>
        <w:rPr>
          <w:rFonts w:hint="eastAsia" w:ascii="仿宋" w:eastAsia="仿宋" w:cs="仿宋"/>
          <w:color w:val="auto"/>
          <w:sz w:val="28"/>
          <w:szCs w:val="28"/>
        </w:rPr>
      </w:pPr>
      <w:r>
        <w:rPr>
          <w:rFonts w:hint="eastAsia" w:ascii="仿宋" w:eastAsia="仿宋" w:cs="仿宋"/>
          <w:b/>
          <w:bCs/>
          <w:color w:val="auto"/>
          <w:sz w:val="28"/>
          <w:szCs w:val="28"/>
        </w:rPr>
        <w:t>签订时间：</w:t>
      </w:r>
      <w:r>
        <w:rPr>
          <w:rFonts w:hint="eastAsia" w:ascii="仿宋" w:eastAsia="仿宋" w:cs="仿宋"/>
          <w:b/>
          <w:bCs/>
          <w:color w:val="auto"/>
          <w:sz w:val="28"/>
          <w:szCs w:val="28"/>
          <w:u w:val="single"/>
        </w:rPr>
        <w:t xml:space="preserve">         </w:t>
      </w:r>
      <w:r>
        <w:rPr>
          <w:rFonts w:hint="eastAsia" w:ascii="仿宋" w:eastAsia="仿宋" w:cs="仿宋"/>
          <w:b/>
          <w:bCs/>
          <w:color w:val="auto"/>
          <w:sz w:val="28"/>
          <w:szCs w:val="28"/>
        </w:rPr>
        <w:t>年</w:t>
      </w:r>
      <w:r>
        <w:rPr>
          <w:rFonts w:hint="eastAsia" w:ascii="仿宋" w:eastAsia="仿宋" w:cs="仿宋"/>
          <w:b/>
          <w:bCs/>
          <w:color w:val="auto"/>
          <w:sz w:val="28"/>
          <w:szCs w:val="28"/>
          <w:u w:val="single"/>
        </w:rPr>
        <w:t xml:space="preserve">     </w:t>
      </w:r>
      <w:r>
        <w:rPr>
          <w:rFonts w:hint="eastAsia" w:ascii="仿宋" w:eastAsia="仿宋" w:cs="仿宋"/>
          <w:b/>
          <w:bCs/>
          <w:color w:val="auto"/>
          <w:sz w:val="28"/>
          <w:szCs w:val="28"/>
        </w:rPr>
        <w:t>月</w:t>
      </w:r>
      <w:r>
        <w:rPr>
          <w:rFonts w:hint="eastAsia" w:ascii="仿宋" w:eastAsia="仿宋" w:cs="仿宋"/>
          <w:b/>
          <w:bCs/>
          <w:color w:val="auto"/>
          <w:sz w:val="28"/>
          <w:szCs w:val="28"/>
          <w:u w:val="single"/>
        </w:rPr>
        <w:t xml:space="preserve">    </w:t>
      </w:r>
      <w:r>
        <w:rPr>
          <w:rFonts w:hint="eastAsia" w:ascii="仿宋" w:eastAsia="仿宋" w:cs="仿宋"/>
          <w:b/>
          <w:bCs/>
          <w:color w:val="auto"/>
          <w:sz w:val="28"/>
          <w:szCs w:val="28"/>
        </w:rPr>
        <w:t>日</w:t>
      </w:r>
    </w:p>
    <w:p w14:paraId="22C796D1">
      <w:pPr>
        <w:spacing w:line="360" w:lineRule="auto"/>
        <w:ind w:firstLine="562" w:firstLineChars="200"/>
        <w:jc w:val="center"/>
        <w:rPr>
          <w:rFonts w:hint="eastAsia" w:ascii="仿宋" w:eastAsia="仿宋" w:cs="仿宋"/>
          <w:b/>
          <w:bCs/>
          <w:color w:val="auto"/>
          <w:sz w:val="28"/>
          <w:szCs w:val="28"/>
        </w:rPr>
      </w:pPr>
    </w:p>
    <w:p w14:paraId="0009BE76">
      <w:pPr>
        <w:ind w:firstLine="562" w:firstLineChars="200"/>
        <w:jc w:val="center"/>
        <w:rPr>
          <w:rFonts w:hint="eastAsia" w:ascii="仿宋" w:eastAsia="仿宋" w:cs="仿宋"/>
          <w:color w:val="auto"/>
          <w:sz w:val="28"/>
          <w:szCs w:val="28"/>
        </w:rPr>
      </w:pPr>
      <w:r>
        <w:rPr>
          <w:rFonts w:hint="eastAsia" w:ascii="仿宋" w:eastAsia="仿宋" w:cs="仿宋"/>
          <w:color w:val="auto"/>
          <w:sz w:val="28"/>
          <w:szCs w:val="28"/>
        </w:rPr>
        <w:t>注：仅供参考，实际以和采购人签订的合同为主。</w:t>
      </w:r>
    </w:p>
    <w:p w14:paraId="0D9EBA66">
      <w:pPr>
        <w:ind w:firstLine="562" w:firstLineChars="200"/>
        <w:jc w:val="center"/>
        <w:rPr>
          <w:rFonts w:hint="eastAsia" w:ascii="仿宋" w:eastAsia="仿宋" w:cs="仿宋"/>
          <w:color w:val="auto"/>
          <w:sz w:val="28"/>
          <w:szCs w:val="28"/>
        </w:rPr>
      </w:pPr>
    </w:p>
    <w:p w14:paraId="42ADB437">
      <w:pPr>
        <w:ind w:firstLine="562" w:firstLineChars="200"/>
        <w:jc w:val="center"/>
        <w:rPr>
          <w:rFonts w:hint="eastAsia" w:ascii="仿宋" w:eastAsia="仿宋" w:cs="仿宋"/>
          <w:color w:val="auto"/>
          <w:sz w:val="28"/>
          <w:szCs w:val="28"/>
        </w:rPr>
      </w:pPr>
    </w:p>
    <w:p w14:paraId="2460182C">
      <w:pPr>
        <w:ind w:firstLine="562" w:firstLineChars="200"/>
        <w:jc w:val="center"/>
        <w:rPr>
          <w:rFonts w:hint="eastAsia" w:ascii="仿宋" w:eastAsia="仿宋" w:cs="仿宋"/>
          <w:color w:val="auto"/>
          <w:sz w:val="28"/>
          <w:szCs w:val="28"/>
        </w:rPr>
      </w:pPr>
    </w:p>
    <w:p w14:paraId="0B8B95C1">
      <w:pPr>
        <w:ind w:left="0" w:firstLine="0" w:firstLineChars="0"/>
        <w:jc w:val="both"/>
        <w:rPr>
          <w:rFonts w:hint="eastAsia" w:ascii="仿宋" w:eastAsia="仿宋" w:cs="仿宋"/>
          <w:color w:val="auto"/>
          <w:sz w:val="28"/>
          <w:szCs w:val="28"/>
        </w:rPr>
      </w:pPr>
    </w:p>
    <w:p w14:paraId="41F56BDD">
      <w:pPr>
        <w:snapToGrid/>
        <w:spacing w:line="240" w:lineRule="auto"/>
        <w:ind w:firstLine="0" w:firstLineChars="0"/>
        <w:jc w:val="left"/>
        <w:rPr>
          <w:rFonts w:hint="eastAsia" w:ascii="仿宋" w:hAnsi="仿宋" w:eastAsia="仿宋" w:cs="仿宋"/>
          <w:b w:val="0"/>
          <w:kern w:val="2"/>
          <w:sz w:val="24"/>
          <w:szCs w:val="24"/>
          <w:u w:val="single"/>
          <w:lang w:val="en-US" w:eastAsia="zh-CN"/>
        </w:rPr>
      </w:pPr>
      <w:r>
        <w:rPr>
          <w:rFonts w:hint="eastAsia" w:ascii="仿宋" w:hAnsi="仿宋" w:eastAsia="仿宋" w:cs="仿宋"/>
          <w:b/>
          <w:bCs/>
          <w:kern w:val="2"/>
          <w:sz w:val="24"/>
          <w:szCs w:val="24"/>
          <w:lang w:val="en-US"/>
        </w:rPr>
        <w:t>项目名称：</w:t>
      </w:r>
      <w:r>
        <w:rPr>
          <w:rFonts w:hint="eastAsia" w:ascii="仿宋" w:hAnsi="仿宋" w:eastAsia="仿宋" w:cs="仿宋"/>
          <w:b/>
          <w:bCs/>
          <w:kern w:val="2"/>
          <w:sz w:val="24"/>
          <w:szCs w:val="24"/>
          <w:u w:val="single"/>
          <w:lang w:val="en-US" w:eastAsia="zh-CN"/>
        </w:rPr>
        <w:t xml:space="preserve">                                            </w:t>
      </w:r>
    </w:p>
    <w:p w14:paraId="74DC5C3A">
      <w:pPr>
        <w:snapToGrid/>
        <w:spacing w:line="240" w:lineRule="auto"/>
        <w:ind w:firstLine="0" w:firstLineChars="0"/>
        <w:jc w:val="left"/>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甲   方</w:t>
      </w:r>
      <w:r>
        <w:rPr>
          <w:rFonts w:hint="eastAsia" w:ascii="仿宋" w:hAnsi="仿宋" w:eastAsia="仿宋" w:cs="仿宋"/>
          <w:b w:val="0"/>
          <w:kern w:val="2"/>
          <w:sz w:val="24"/>
          <w:szCs w:val="24"/>
          <w:lang w:val="en-US"/>
        </w:rPr>
        <w:t>：</w:t>
      </w:r>
      <w:r>
        <w:rPr>
          <w:rFonts w:hint="eastAsia" w:ascii="仿宋" w:hAnsi="仿宋" w:eastAsia="仿宋" w:cs="仿宋"/>
          <w:b w:val="0"/>
          <w:kern w:val="2"/>
          <w:sz w:val="24"/>
          <w:szCs w:val="24"/>
          <w:u w:val="single"/>
          <w:lang w:val="en-US"/>
        </w:rPr>
        <w:t>昌吉回族自治州人民医院（以下称甲方）</w:t>
      </w:r>
    </w:p>
    <w:p w14:paraId="5328FD3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乙   方：</w:t>
      </w:r>
      <w:r>
        <w:rPr>
          <w:rFonts w:hint="eastAsia" w:ascii="仿宋" w:hAnsi="仿宋" w:eastAsia="仿宋" w:cs="仿宋"/>
          <w:b/>
          <w:bCs/>
          <w:kern w:val="2"/>
          <w:sz w:val="24"/>
          <w:szCs w:val="24"/>
          <w:lang w:val="en-US" w:eastAsia="zh-CN"/>
        </w:rPr>
        <w:t xml:space="preserve">                          </w:t>
      </w:r>
      <w:r>
        <w:rPr>
          <w:rFonts w:hint="eastAsia" w:ascii="仿宋" w:hAnsi="仿宋" w:eastAsia="仿宋" w:cs="仿宋"/>
          <w:b w:val="0"/>
          <w:kern w:val="2"/>
          <w:sz w:val="24"/>
          <w:szCs w:val="24"/>
          <w:u w:val="single"/>
          <w:lang w:val="en-US"/>
        </w:rPr>
        <w:t>（以下称乙方）</w:t>
      </w:r>
    </w:p>
    <w:p w14:paraId="628D3F3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签订日期：</w:t>
      </w:r>
      <w:r>
        <w:rPr>
          <w:rFonts w:hint="eastAsia" w:ascii="仿宋" w:hAnsi="仿宋" w:eastAsia="仿宋" w:cs="仿宋"/>
          <w:b/>
          <w:bCs/>
          <w:kern w:val="2"/>
          <w:sz w:val="24"/>
          <w:szCs w:val="24"/>
          <w:lang w:val="en-US" w:eastAsia="zh-CN"/>
        </w:rPr>
        <w:t xml:space="preserve">       </w:t>
      </w:r>
      <w:r>
        <w:rPr>
          <w:rFonts w:hint="eastAsia" w:ascii="仿宋" w:hAnsi="仿宋" w:eastAsia="仿宋" w:cs="仿宋"/>
          <w:b/>
          <w:bCs/>
          <w:kern w:val="2"/>
          <w:sz w:val="24"/>
          <w:szCs w:val="24"/>
          <w:u w:val="single"/>
          <w:lang w:val="en-US"/>
        </w:rPr>
        <w:t>年</w:t>
      </w:r>
      <w:r>
        <w:rPr>
          <w:rFonts w:hint="eastAsia" w:ascii="仿宋" w:hAnsi="仿宋" w:eastAsia="仿宋" w:cs="仿宋"/>
          <w:b/>
          <w:bCs/>
          <w:kern w:val="2"/>
          <w:sz w:val="24"/>
          <w:szCs w:val="24"/>
          <w:u w:val="single"/>
          <w:lang w:val="en-US" w:eastAsia="zh-CN"/>
        </w:rPr>
        <w:t xml:space="preserve">    </w:t>
      </w:r>
      <w:r>
        <w:rPr>
          <w:rFonts w:hint="eastAsia" w:ascii="仿宋" w:hAnsi="仿宋" w:eastAsia="仿宋" w:cs="仿宋"/>
          <w:b/>
          <w:bCs/>
          <w:kern w:val="2"/>
          <w:sz w:val="24"/>
          <w:szCs w:val="24"/>
          <w:u w:val="single"/>
          <w:lang w:val="en-US"/>
        </w:rPr>
        <w:t>月</w:t>
      </w:r>
      <w:r>
        <w:rPr>
          <w:rFonts w:hint="eastAsia" w:ascii="仿宋" w:hAnsi="仿宋" w:eastAsia="仿宋" w:cs="仿宋"/>
          <w:b/>
          <w:bCs/>
          <w:kern w:val="2"/>
          <w:sz w:val="24"/>
          <w:szCs w:val="24"/>
          <w:u w:val="single"/>
          <w:lang w:val="en-US" w:eastAsia="zh-CN"/>
        </w:rPr>
        <w:t xml:space="preserve">    </w:t>
      </w:r>
      <w:r>
        <w:rPr>
          <w:rFonts w:hint="eastAsia" w:ascii="仿宋" w:hAnsi="仿宋" w:eastAsia="仿宋" w:cs="仿宋"/>
          <w:b/>
          <w:bCs/>
          <w:kern w:val="2"/>
          <w:sz w:val="24"/>
          <w:szCs w:val="24"/>
          <w:u w:val="single"/>
          <w:lang w:val="en-US"/>
        </w:rPr>
        <w:t>日</w:t>
      </w:r>
    </w:p>
    <w:p w14:paraId="24350124">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双方合作的目标</w:t>
      </w:r>
    </w:p>
    <w:p w14:paraId="29BDF067">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由</w:t>
      </w:r>
      <w:r>
        <w:rPr>
          <w:rFonts w:hint="eastAsia" w:ascii="仿宋" w:hAnsi="仿宋" w:eastAsia="仿宋" w:cs="仿宋"/>
          <w:b w:val="0"/>
          <w:kern w:val="2"/>
          <w:sz w:val="24"/>
          <w:szCs w:val="24"/>
          <w:u w:val="single"/>
          <w:lang w:val="en-US" w:eastAsia="zh-CN"/>
        </w:rPr>
        <w:t xml:space="preserve">                </w:t>
      </w:r>
      <w:r>
        <w:rPr>
          <w:rFonts w:hint="eastAsia" w:ascii="仿宋" w:hAnsi="仿宋" w:eastAsia="仿宋" w:cs="仿宋"/>
          <w:b w:val="0"/>
          <w:kern w:val="2"/>
          <w:sz w:val="24"/>
          <w:szCs w:val="24"/>
          <w:lang w:val="en-US"/>
        </w:rPr>
        <w:t>公司组建人员，依据</w:t>
      </w:r>
      <w:r>
        <w:rPr>
          <w:rFonts w:hint="eastAsia" w:ascii="仿宋" w:hAnsi="仿宋" w:eastAsia="仿宋" w:cs="仿宋"/>
          <w:b w:val="0"/>
          <w:kern w:val="2"/>
          <w:sz w:val="24"/>
          <w:szCs w:val="24"/>
          <w:lang w:val="en-US" w:eastAsia="zh-CN"/>
        </w:rPr>
        <w:t>昌吉回族自治州人民医院</w:t>
      </w:r>
      <w:r>
        <w:rPr>
          <w:rFonts w:hint="eastAsia" w:ascii="仿宋" w:hAnsi="仿宋" w:eastAsia="仿宋" w:cs="仿宋"/>
          <w:b w:val="0"/>
          <w:kern w:val="2"/>
          <w:sz w:val="24"/>
          <w:szCs w:val="24"/>
          <w:lang w:val="en-US"/>
        </w:rPr>
        <w:t>职工餐厅和营养食堂</w:t>
      </w:r>
    </w:p>
    <w:p w14:paraId="0AE6AD77">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基本保障功能和对患者服务需求，按照</w:t>
      </w:r>
      <w:r>
        <w:rPr>
          <w:rFonts w:hint="eastAsia" w:ascii="仿宋" w:hAnsi="仿宋" w:eastAsia="仿宋" w:cs="仿宋"/>
          <w:b w:val="0"/>
          <w:kern w:val="2"/>
          <w:sz w:val="24"/>
          <w:szCs w:val="24"/>
          <w:lang w:val="en-US" w:eastAsia="zh-CN"/>
        </w:rPr>
        <w:t>公司</w:t>
      </w:r>
      <w:r>
        <w:rPr>
          <w:rFonts w:hint="eastAsia" w:ascii="仿宋" w:hAnsi="仿宋" w:eastAsia="仿宋" w:cs="仿宋"/>
          <w:b w:val="0"/>
          <w:kern w:val="2"/>
          <w:sz w:val="24"/>
          <w:szCs w:val="24"/>
          <w:lang w:val="en-US"/>
        </w:rPr>
        <w:t>管理体系进行保障运营，开展规范化的托管</w:t>
      </w:r>
    </w:p>
    <w:p w14:paraId="13FD3BB7">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保障做好</w:t>
      </w:r>
      <w:r>
        <w:rPr>
          <w:rFonts w:hint="eastAsia" w:ascii="仿宋" w:hAnsi="仿宋" w:eastAsia="仿宋" w:cs="仿宋"/>
          <w:b w:val="0"/>
          <w:kern w:val="2"/>
          <w:sz w:val="24"/>
          <w:szCs w:val="24"/>
          <w:lang w:val="en-US" w:eastAsia="zh-CN"/>
        </w:rPr>
        <w:t>昌吉回族自治州人民医院</w:t>
      </w:r>
      <w:r>
        <w:rPr>
          <w:rFonts w:hint="eastAsia" w:ascii="仿宋" w:hAnsi="仿宋" w:eastAsia="仿宋" w:cs="仿宋"/>
          <w:b w:val="0"/>
          <w:kern w:val="2"/>
          <w:sz w:val="24"/>
          <w:szCs w:val="24"/>
          <w:lang w:val="en-US"/>
        </w:rPr>
        <w:t>全体职工用餐保障和日常患者用餐、调剂餐服务保障</w:t>
      </w:r>
    </w:p>
    <w:p w14:paraId="141B0A10">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以及单位日常其他接待性的就餐工作，为</w:t>
      </w:r>
      <w:r>
        <w:rPr>
          <w:rFonts w:hint="eastAsia" w:ascii="仿宋" w:hAnsi="仿宋" w:eastAsia="仿宋" w:cs="仿宋"/>
          <w:b w:val="0"/>
          <w:kern w:val="2"/>
          <w:sz w:val="24"/>
          <w:szCs w:val="24"/>
          <w:lang w:val="en-US" w:eastAsia="zh-CN"/>
        </w:rPr>
        <w:t>昌吉回族自治州人民医院</w:t>
      </w:r>
      <w:r>
        <w:rPr>
          <w:rFonts w:hint="eastAsia" w:ascii="仿宋" w:hAnsi="仿宋" w:eastAsia="仿宋" w:cs="仿宋"/>
          <w:b w:val="0"/>
          <w:kern w:val="2"/>
          <w:sz w:val="24"/>
          <w:szCs w:val="24"/>
          <w:lang w:val="en-US"/>
        </w:rPr>
        <w:t>提供良好的后勤服务</w:t>
      </w:r>
    </w:p>
    <w:p w14:paraId="0E4AC097">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和标准化管理，为昌吉州人民医院和</w:t>
      </w:r>
      <w:r>
        <w:rPr>
          <w:rFonts w:hint="eastAsia" w:ascii="仿宋" w:hAnsi="仿宋" w:eastAsia="仿宋" w:cs="仿宋"/>
          <w:b w:val="0"/>
          <w:kern w:val="2"/>
          <w:sz w:val="24"/>
          <w:szCs w:val="24"/>
          <w:lang w:val="en-US" w:eastAsia="zh-CN"/>
        </w:rPr>
        <w:t>XXXX</w:t>
      </w:r>
      <w:r>
        <w:rPr>
          <w:rFonts w:hint="eastAsia" w:ascii="仿宋" w:hAnsi="仿宋" w:eastAsia="仿宋" w:cs="仿宋"/>
          <w:b w:val="0"/>
          <w:kern w:val="2"/>
          <w:sz w:val="24"/>
          <w:szCs w:val="24"/>
          <w:lang w:val="en-US"/>
        </w:rPr>
        <w:t>两家单位的社会口碑和品牌建设做出示范，经</w:t>
      </w:r>
    </w:p>
    <w:p w14:paraId="2B6FCAF5">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双方友好协商，就甲方职工餐厅和营养食堂由乙方进行委托管理事宜达成以下共识，特</w:t>
      </w:r>
    </w:p>
    <w:p w14:paraId="08ADC709">
      <w:pPr>
        <w:snapToGrid/>
        <w:spacing w:line="540" w:lineRule="exact"/>
        <w:ind w:left="-646" w:leftChars="-202" w:right="-640" w:rightChars="-200"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签订本合同以供双方信守。</w:t>
      </w:r>
    </w:p>
    <w:p w14:paraId="3190AD23">
      <w:pPr>
        <w:snapToGrid/>
        <w:spacing w:line="540" w:lineRule="exact"/>
        <w:ind w:right="-640" w:rightChars="-200"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一、合作的模式及时间</w:t>
      </w:r>
    </w:p>
    <w:p w14:paraId="7235F98E">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kern w:val="2"/>
          <w:sz w:val="24"/>
          <w:szCs w:val="24"/>
          <w:lang w:val="en-US"/>
        </w:rPr>
        <w:t>1、合作的方式为全委托管理，由昌吉回族自治州人民医院提供</w:t>
      </w:r>
      <w:r>
        <w:rPr>
          <w:rFonts w:hint="eastAsia" w:ascii="仿宋" w:hAnsi="仿宋" w:eastAsia="仿宋" w:cs="仿宋"/>
          <w:b w:val="0"/>
          <w:color w:val="auto"/>
          <w:kern w:val="2"/>
          <w:sz w:val="24"/>
          <w:szCs w:val="24"/>
          <w:lang w:val="en-US"/>
        </w:rPr>
        <w:t>餐饮</w:t>
      </w:r>
      <w:r>
        <w:rPr>
          <w:rFonts w:hint="eastAsia" w:ascii="仿宋" w:hAnsi="仿宋" w:eastAsia="仿宋" w:cs="仿宋"/>
          <w:b w:val="0"/>
          <w:kern w:val="2"/>
          <w:sz w:val="24"/>
          <w:szCs w:val="24"/>
          <w:lang w:val="en-US"/>
        </w:rPr>
        <w:t>生产场所和基本完备的配套设施（水电气暖网路等）</w:t>
      </w:r>
      <w:r>
        <w:rPr>
          <w:rFonts w:hint="eastAsia" w:ascii="仿宋" w:hAnsi="仿宋" w:eastAsia="仿宋" w:cs="仿宋"/>
          <w:b w:val="0"/>
          <w:bCs/>
          <w:kern w:val="2"/>
          <w:sz w:val="24"/>
          <w:szCs w:val="24"/>
          <w:lang w:val="en-US"/>
        </w:rPr>
        <w:t>委托</w:t>
      </w:r>
      <w:r>
        <w:rPr>
          <w:rFonts w:hint="eastAsia" w:ascii="仿宋" w:hAnsi="仿宋" w:eastAsia="仿宋" w:cs="仿宋"/>
          <w:b w:val="0"/>
          <w:bCs/>
          <w:kern w:val="2"/>
          <w:sz w:val="24"/>
          <w:szCs w:val="24"/>
          <w:u w:val="single"/>
          <w:lang w:val="en-US" w:eastAsia="zh-CN"/>
        </w:rPr>
        <w:t xml:space="preserve">     </w:t>
      </w:r>
      <w:r>
        <w:rPr>
          <w:rFonts w:hint="eastAsia" w:ascii="仿宋" w:hAnsi="仿宋" w:eastAsia="仿宋" w:cs="仿宋"/>
          <w:b w:val="0"/>
          <w:bCs/>
          <w:kern w:val="2"/>
          <w:sz w:val="24"/>
          <w:szCs w:val="24"/>
          <w:lang w:val="en-US"/>
        </w:rPr>
        <w:t>公司对职工餐厅进行全面管理；</w:t>
      </w:r>
    </w:p>
    <w:p w14:paraId="6F832888">
      <w:pPr>
        <w:snapToGrid/>
        <w:spacing w:line="240" w:lineRule="auto"/>
        <w:ind w:left="1960" w:hanging="1680" w:hangingChars="700"/>
        <w:jc w:val="left"/>
        <w:rPr>
          <w:rFonts w:hint="eastAsia" w:ascii="仿宋" w:hAnsi="仿宋" w:eastAsia="仿宋" w:cs="仿宋"/>
          <w:b w:val="0"/>
          <w:color w:val="auto"/>
          <w:kern w:val="2"/>
          <w:sz w:val="24"/>
          <w:szCs w:val="24"/>
          <w:lang w:val="en-US"/>
        </w:rPr>
      </w:pPr>
      <w:r>
        <w:rPr>
          <w:rFonts w:hint="eastAsia" w:ascii="仿宋" w:hAnsi="仿宋" w:eastAsia="仿宋" w:cs="仿宋"/>
          <w:b w:val="0"/>
          <w:color w:val="auto"/>
          <w:kern w:val="2"/>
          <w:sz w:val="24"/>
          <w:szCs w:val="24"/>
          <w:lang w:val="en-US"/>
        </w:rPr>
        <w:t>2、为保证餐厅正常运行，甲方给予乙方一个月装修期，既</w:t>
      </w:r>
      <w:r>
        <w:rPr>
          <w:rFonts w:hint="eastAsia" w:ascii="仿宋" w:hAnsi="仿宋" w:eastAsia="仿宋" w:cs="仿宋"/>
          <w:b w:val="0"/>
          <w:color w:val="auto"/>
          <w:kern w:val="2"/>
          <w:sz w:val="24"/>
          <w:szCs w:val="24"/>
          <w:lang w:val="en-US" w:eastAsia="zh-CN"/>
        </w:rPr>
        <w:t xml:space="preserve"> </w:t>
      </w:r>
      <w:r>
        <w:rPr>
          <w:rFonts w:hint="eastAsia" w:ascii="仿宋" w:hAnsi="仿宋" w:eastAsia="仿宋" w:cs="仿宋"/>
          <w:b w:val="0"/>
          <w:color w:val="auto"/>
          <w:kern w:val="2"/>
          <w:sz w:val="24"/>
          <w:szCs w:val="24"/>
          <w:u w:val="single"/>
          <w:lang w:val="en-US" w:eastAsia="zh-CN"/>
        </w:rPr>
        <w:t xml:space="preserve">   </w:t>
      </w:r>
      <w:r>
        <w:rPr>
          <w:rFonts w:hint="eastAsia" w:ascii="仿宋" w:hAnsi="仿宋" w:eastAsia="仿宋" w:cs="仿宋"/>
          <w:b w:val="0"/>
          <w:color w:val="auto"/>
          <w:kern w:val="2"/>
          <w:sz w:val="24"/>
          <w:szCs w:val="24"/>
          <w:lang w:val="en-US"/>
        </w:rPr>
        <w:t>年</w:t>
      </w:r>
      <w:r>
        <w:rPr>
          <w:rFonts w:hint="eastAsia" w:ascii="仿宋" w:hAnsi="仿宋" w:eastAsia="仿宋" w:cs="仿宋"/>
          <w:b w:val="0"/>
          <w:color w:val="auto"/>
          <w:kern w:val="2"/>
          <w:sz w:val="24"/>
          <w:szCs w:val="24"/>
          <w:u w:val="single"/>
          <w:lang w:val="en-US" w:eastAsia="zh-CN"/>
        </w:rPr>
        <w:t xml:space="preserve">  </w:t>
      </w:r>
      <w:r>
        <w:rPr>
          <w:rFonts w:hint="eastAsia" w:ascii="仿宋" w:hAnsi="仿宋" w:eastAsia="仿宋" w:cs="仿宋"/>
          <w:b w:val="0"/>
          <w:color w:val="auto"/>
          <w:kern w:val="2"/>
          <w:sz w:val="24"/>
          <w:szCs w:val="24"/>
          <w:lang w:val="en-US"/>
        </w:rPr>
        <w:t>月</w:t>
      </w:r>
      <w:r>
        <w:rPr>
          <w:rFonts w:hint="eastAsia" w:ascii="仿宋" w:hAnsi="仿宋" w:eastAsia="仿宋" w:cs="仿宋"/>
          <w:b w:val="0"/>
          <w:color w:val="auto"/>
          <w:kern w:val="2"/>
          <w:sz w:val="24"/>
          <w:szCs w:val="24"/>
          <w:lang w:val="en-US" w:eastAsia="zh-CN"/>
        </w:rPr>
        <w:t xml:space="preserve"> </w:t>
      </w:r>
      <w:r>
        <w:rPr>
          <w:rFonts w:hint="eastAsia" w:ascii="仿宋" w:hAnsi="仿宋" w:eastAsia="仿宋" w:cs="仿宋"/>
          <w:b w:val="0"/>
          <w:color w:val="auto"/>
          <w:kern w:val="2"/>
          <w:sz w:val="24"/>
          <w:szCs w:val="24"/>
          <w:lang w:val="en-US"/>
        </w:rPr>
        <w:t>日至</w:t>
      </w:r>
      <w:r>
        <w:rPr>
          <w:rFonts w:hint="eastAsia" w:ascii="仿宋" w:hAnsi="仿宋" w:eastAsia="仿宋" w:cs="仿宋"/>
          <w:b w:val="0"/>
          <w:color w:val="auto"/>
          <w:kern w:val="2"/>
          <w:sz w:val="24"/>
          <w:szCs w:val="24"/>
          <w:u w:val="single"/>
          <w:lang w:val="en-US" w:eastAsia="zh-CN"/>
        </w:rPr>
        <w:t xml:space="preserve">    </w:t>
      </w:r>
      <w:r>
        <w:rPr>
          <w:rFonts w:hint="eastAsia" w:ascii="仿宋" w:hAnsi="仿宋" w:eastAsia="仿宋" w:cs="仿宋"/>
          <w:b w:val="0"/>
          <w:color w:val="auto"/>
          <w:kern w:val="2"/>
          <w:sz w:val="24"/>
          <w:szCs w:val="24"/>
          <w:lang w:val="en-US"/>
        </w:rPr>
        <w:t>月</w:t>
      </w:r>
      <w:r>
        <w:rPr>
          <w:rFonts w:hint="eastAsia" w:ascii="仿宋" w:hAnsi="仿宋" w:eastAsia="仿宋" w:cs="仿宋"/>
          <w:b w:val="0"/>
          <w:color w:val="auto"/>
          <w:kern w:val="2"/>
          <w:sz w:val="24"/>
          <w:szCs w:val="24"/>
          <w:u w:val="single"/>
          <w:lang w:val="en-US" w:eastAsia="zh-CN"/>
        </w:rPr>
        <w:t xml:space="preserve">  </w:t>
      </w:r>
      <w:r>
        <w:rPr>
          <w:rFonts w:hint="eastAsia" w:ascii="仿宋" w:hAnsi="仿宋" w:eastAsia="仿宋" w:cs="仿宋"/>
          <w:b w:val="0"/>
          <w:color w:val="auto"/>
          <w:kern w:val="2"/>
          <w:sz w:val="24"/>
          <w:szCs w:val="24"/>
          <w:lang w:val="en-US"/>
        </w:rPr>
        <w:t>日，</w:t>
      </w:r>
    </w:p>
    <w:p w14:paraId="0B1692A1">
      <w:pPr>
        <w:snapToGrid/>
        <w:spacing w:line="240" w:lineRule="auto"/>
        <w:ind w:left="1960" w:hanging="1680" w:hangingChars="700"/>
        <w:jc w:val="left"/>
        <w:rPr>
          <w:rFonts w:hint="eastAsia" w:ascii="仿宋" w:hAnsi="仿宋" w:eastAsia="仿宋" w:cs="仿宋"/>
          <w:b w:val="0"/>
          <w:color w:val="auto"/>
          <w:kern w:val="2"/>
          <w:sz w:val="24"/>
          <w:szCs w:val="24"/>
          <w:lang w:val="en-US"/>
        </w:rPr>
      </w:pPr>
      <w:r>
        <w:rPr>
          <w:rFonts w:hint="eastAsia" w:ascii="仿宋" w:hAnsi="仿宋" w:eastAsia="仿宋" w:cs="仿宋"/>
          <w:b w:val="0"/>
          <w:color w:val="auto"/>
          <w:kern w:val="2"/>
          <w:sz w:val="24"/>
          <w:szCs w:val="24"/>
          <w:lang w:val="en-US"/>
        </w:rPr>
        <w:t>装修期内的安全问题由乙方负全责。</w:t>
      </w:r>
    </w:p>
    <w:p w14:paraId="753192B4">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3、</w:t>
      </w:r>
      <w:r>
        <w:rPr>
          <w:rFonts w:hint="eastAsia" w:ascii="仿宋" w:hAnsi="仿宋" w:eastAsia="仿宋" w:cs="仿宋"/>
          <w:b w:val="0"/>
          <w:kern w:val="2"/>
          <w:sz w:val="24"/>
          <w:szCs w:val="24"/>
          <w:lang w:val="en-US" w:eastAsia="zh-CN"/>
        </w:rPr>
        <w:t>此项目合同一年签订一次，承包期内承包方通过医院的监督考核且满意度达85%以上后，签订次年承包合同，否则甲方有权终止承包。每年一续签，可以续签两次。</w:t>
      </w:r>
    </w:p>
    <w:p w14:paraId="444AB093">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bCs/>
          <w:kern w:val="2"/>
          <w:sz w:val="24"/>
          <w:szCs w:val="24"/>
          <w:lang w:val="en-US"/>
        </w:rPr>
        <w:t>二、具体委托管理内容及标准</w:t>
      </w:r>
    </w:p>
    <w:p w14:paraId="421F2518">
      <w:pPr>
        <w:snapToGrid/>
        <w:spacing w:line="240" w:lineRule="auto"/>
        <w:ind w:left="170" w:leftChars="53"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1、由昌吉回族自治州人民医院提供餐饮生产加工场所和基本完备的配套基础设施，含水、电、气、暖、现有的消防管线等，并提供一个外网、电话通讯接口，提供餐厅区域的主体结构框架和平面图纸。</w:t>
      </w:r>
    </w:p>
    <w:p w14:paraId="1995BEA6">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kern w:val="2"/>
          <w:sz w:val="24"/>
          <w:szCs w:val="24"/>
          <w:lang w:val="en-US"/>
        </w:rPr>
        <w:t>2、由</w:t>
      </w:r>
      <w:r>
        <w:rPr>
          <w:rFonts w:hint="eastAsia" w:ascii="仿宋" w:hAnsi="仿宋" w:eastAsia="仿宋" w:cs="仿宋"/>
          <w:b w:val="0"/>
          <w:bCs/>
          <w:kern w:val="2"/>
          <w:sz w:val="24"/>
          <w:szCs w:val="24"/>
          <w:u w:val="single"/>
          <w:lang w:val="en-US" w:eastAsia="zh-CN"/>
        </w:rPr>
        <w:t xml:space="preserve">       </w:t>
      </w:r>
      <w:r>
        <w:rPr>
          <w:rFonts w:hint="eastAsia" w:ascii="仿宋" w:hAnsi="仿宋" w:eastAsia="仿宋" w:cs="仿宋"/>
          <w:b w:val="0"/>
          <w:bCs/>
          <w:kern w:val="2"/>
          <w:sz w:val="24"/>
          <w:szCs w:val="24"/>
          <w:u w:val="none"/>
          <w:lang w:val="en-US" w:eastAsia="zh-CN"/>
        </w:rPr>
        <w:t>公司</w:t>
      </w:r>
      <w:r>
        <w:rPr>
          <w:rFonts w:hint="eastAsia" w:ascii="仿宋" w:hAnsi="仿宋" w:eastAsia="仿宋" w:cs="仿宋"/>
          <w:b w:val="0"/>
          <w:bCs/>
          <w:kern w:val="2"/>
          <w:sz w:val="24"/>
          <w:szCs w:val="24"/>
          <w:lang w:val="en-US"/>
        </w:rPr>
        <w:t>根据甲方所需要的服务功能及改造设想进行整体室内功能的变更规划和装修设计出图，图纸提供给甲方审核审验并确认，所产生设计费用由乙方承担。</w:t>
      </w:r>
    </w:p>
    <w:p w14:paraId="0BEB2724">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kern w:val="2"/>
          <w:sz w:val="24"/>
          <w:szCs w:val="24"/>
          <w:lang w:val="en-US"/>
        </w:rPr>
        <w:t>3、由乙方负责整体装修改造施工工作，并对部分水、电、暖、防水进行部分改造，整体装修改造所产生的费用由乙方承担。</w:t>
      </w:r>
    </w:p>
    <w:p w14:paraId="7E34A052">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color w:val="121212"/>
          <w:kern w:val="2"/>
          <w:sz w:val="24"/>
          <w:szCs w:val="24"/>
          <w:lang w:val="en-US"/>
        </w:rPr>
        <w:t>4、乙方对甲方餐厅装修改造范围：（1）就餐厅分为职工与患者就餐区；（2）其中两个餐饮包间粉刷修补；（3）一个餐厅雅座区部分拆除修补范围；（4）后堂布局改造；</w:t>
      </w:r>
      <w:r>
        <w:rPr>
          <w:rFonts w:hint="eastAsia" w:ascii="仿宋" w:hAnsi="仿宋" w:eastAsia="仿宋" w:cs="仿宋"/>
          <w:b w:val="0"/>
          <w:color w:val="auto"/>
          <w:kern w:val="2"/>
          <w:sz w:val="24"/>
          <w:szCs w:val="24"/>
          <w:lang w:val="en-US"/>
        </w:rPr>
        <w:t>（5）餐厅全区域的防水改造。</w:t>
      </w:r>
    </w:p>
    <w:p w14:paraId="166AB264">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kern w:val="2"/>
          <w:sz w:val="24"/>
          <w:szCs w:val="24"/>
          <w:lang w:val="en-US"/>
        </w:rPr>
        <w:t>5、乙方根据功能区域的调整和生产经营的需要采购相应的设施设备和餐饮用具以及餐厅所需要的餐桌椅等，产权归乙方所有。</w:t>
      </w:r>
    </w:p>
    <w:p w14:paraId="6AE71D29">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kern w:val="2"/>
          <w:sz w:val="24"/>
          <w:szCs w:val="24"/>
          <w:lang w:val="en-US"/>
        </w:rPr>
        <w:t>6、甲方无偿提供给乙方使用的设施设备经由乙方确认鉴定后办理盘点移交手续双方签字确认，产权归甲方所有。</w:t>
      </w:r>
    </w:p>
    <w:p w14:paraId="6073E11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bCs/>
          <w:kern w:val="2"/>
          <w:sz w:val="24"/>
          <w:szCs w:val="24"/>
          <w:lang w:val="en-US"/>
        </w:rPr>
        <w:t>7、乙方根据甲方日常医护人员餐厅保障和患者营养食堂需求组建相关技术和服务团队</w:t>
      </w:r>
      <w:r>
        <w:rPr>
          <w:rFonts w:hint="eastAsia" w:ascii="仿宋" w:hAnsi="仿宋" w:eastAsia="仿宋" w:cs="仿宋"/>
          <w:b w:val="0"/>
          <w:kern w:val="2"/>
          <w:sz w:val="24"/>
          <w:szCs w:val="24"/>
          <w:lang w:val="en-US"/>
        </w:rPr>
        <w:t>完成餐厅日常管理，甲方会议会餐重点接待保障活动另派专人进行服务保障。</w:t>
      </w:r>
    </w:p>
    <w:p w14:paraId="11174801">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8、甲方托管给乙方医护人员职工餐厅和营养食堂为一日三餐全餐服务模式，</w:t>
      </w:r>
      <w:r>
        <w:rPr>
          <w:rFonts w:hint="eastAsia" w:ascii="仿宋" w:hAnsi="仿宋" w:eastAsia="仿宋" w:cs="仿宋"/>
          <w:b w:val="0"/>
          <w:color w:val="auto"/>
          <w:kern w:val="2"/>
          <w:sz w:val="24"/>
          <w:szCs w:val="24"/>
          <w:lang w:val="en-US"/>
        </w:rPr>
        <w:t>并对手术室及特殊岗位进行配送餐服务</w:t>
      </w:r>
      <w:r>
        <w:rPr>
          <w:rFonts w:hint="eastAsia" w:ascii="仿宋" w:hAnsi="仿宋" w:eastAsia="仿宋" w:cs="仿宋"/>
          <w:b w:val="0"/>
          <w:color w:val="auto"/>
          <w:kern w:val="2"/>
          <w:sz w:val="24"/>
          <w:szCs w:val="24"/>
          <w:lang w:val="en-US" w:eastAsia="zh-CN"/>
        </w:rPr>
        <w:t>（标准另订）</w:t>
      </w:r>
      <w:r>
        <w:rPr>
          <w:rFonts w:hint="eastAsia" w:ascii="仿宋" w:hAnsi="仿宋" w:eastAsia="仿宋" w:cs="仿宋"/>
          <w:b w:val="0"/>
          <w:color w:val="auto"/>
          <w:kern w:val="2"/>
          <w:sz w:val="24"/>
          <w:szCs w:val="24"/>
          <w:lang w:val="en-US"/>
        </w:rPr>
        <w:t>，同</w:t>
      </w:r>
      <w:r>
        <w:rPr>
          <w:rFonts w:hint="eastAsia" w:ascii="仿宋" w:hAnsi="仿宋" w:eastAsia="仿宋" w:cs="仿宋"/>
          <w:b w:val="0"/>
          <w:kern w:val="2"/>
          <w:sz w:val="24"/>
          <w:szCs w:val="24"/>
          <w:lang w:val="en-US"/>
        </w:rPr>
        <w:t>时需要按照医院对患者服务的要求提供特色营养餐、食疗餐、病房配送餐服务项目为患者提供更多便利。</w:t>
      </w:r>
    </w:p>
    <w:p w14:paraId="5C5BF25A">
      <w:pPr>
        <w:snapToGrid/>
        <w:spacing w:line="240" w:lineRule="auto"/>
        <w:ind w:firstLine="120" w:firstLineChars="50"/>
        <w:rPr>
          <w:rFonts w:hint="eastAsia" w:ascii="仿宋" w:hAnsi="仿宋" w:eastAsia="仿宋" w:cs="仿宋"/>
          <w:b w:val="0"/>
          <w:color w:val="auto"/>
          <w:kern w:val="2"/>
          <w:sz w:val="24"/>
          <w:szCs w:val="24"/>
          <w:lang w:val="en-US" w:eastAsia="zh-CN"/>
        </w:rPr>
      </w:pPr>
      <w:r>
        <w:rPr>
          <w:rFonts w:hint="eastAsia" w:ascii="仿宋" w:hAnsi="仿宋" w:eastAsia="仿宋" w:cs="仿宋"/>
          <w:b w:val="0"/>
          <w:kern w:val="2"/>
          <w:sz w:val="24"/>
          <w:szCs w:val="24"/>
          <w:lang w:val="en-US"/>
        </w:rPr>
        <w:t>9、甲方医院职工在职工餐厅的午餐采取自助餐形式按照</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元/人/餐标准（</w:t>
      </w:r>
      <w:r>
        <w:rPr>
          <w:rFonts w:hint="eastAsia" w:ascii="仿宋" w:hAnsi="仿宋" w:eastAsia="仿宋" w:cs="仿宋"/>
          <w:b w:val="0"/>
          <w:kern w:val="2"/>
          <w:sz w:val="24"/>
          <w:szCs w:val="24"/>
          <w:lang w:val="en-US" w:eastAsia="zh-CN"/>
        </w:rPr>
        <w:t>甲方单位补助   元</w:t>
      </w:r>
      <w:r>
        <w:rPr>
          <w:rFonts w:hint="eastAsia" w:ascii="仿宋" w:hAnsi="仿宋" w:eastAsia="仿宋" w:cs="仿宋"/>
          <w:b w:val="0"/>
          <w:kern w:val="2"/>
          <w:sz w:val="24"/>
          <w:szCs w:val="24"/>
          <w:lang w:val="en-US"/>
        </w:rPr>
        <w:t>/人/餐</w:t>
      </w:r>
      <w:r>
        <w:rPr>
          <w:rFonts w:hint="eastAsia" w:ascii="仿宋" w:hAnsi="仿宋" w:eastAsia="仿宋" w:cs="仿宋"/>
          <w:b w:val="0"/>
          <w:kern w:val="2"/>
          <w:sz w:val="24"/>
          <w:szCs w:val="24"/>
          <w:lang w:val="en-US" w:eastAsia="zh-CN"/>
        </w:rPr>
        <w:t>，剩余部分职工个人自费  元</w:t>
      </w:r>
      <w:r>
        <w:rPr>
          <w:rFonts w:hint="eastAsia" w:ascii="仿宋" w:hAnsi="仿宋" w:eastAsia="仿宋" w:cs="仿宋"/>
          <w:b w:val="0"/>
          <w:kern w:val="2"/>
          <w:sz w:val="24"/>
          <w:szCs w:val="24"/>
          <w:lang w:val="en-US"/>
        </w:rPr>
        <w:t>/人/餐</w:t>
      </w:r>
      <w:r>
        <w:rPr>
          <w:rFonts w:hint="eastAsia" w:ascii="仿宋" w:hAnsi="仿宋" w:eastAsia="仿宋" w:cs="仿宋"/>
          <w:b w:val="0"/>
          <w:kern w:val="2"/>
          <w:sz w:val="24"/>
          <w:szCs w:val="24"/>
          <w:lang w:val="en-US" w:eastAsia="zh-CN"/>
        </w:rPr>
        <w:t>；</w:t>
      </w:r>
      <w:r>
        <w:rPr>
          <w:rFonts w:hint="eastAsia" w:ascii="仿宋" w:hAnsi="仿宋" w:eastAsia="仿宋" w:cs="仿宋"/>
          <w:b w:val="0"/>
          <w:kern w:val="2"/>
          <w:sz w:val="24"/>
          <w:szCs w:val="24"/>
          <w:lang w:val="en-US"/>
        </w:rPr>
        <w:t>含食材水电气人工物耗税等费用）实名打卡用餐。甲方职工早、晚餐自费在职工餐厅美食档口自选用餐</w:t>
      </w:r>
      <w:r>
        <w:rPr>
          <w:rFonts w:hint="eastAsia" w:ascii="仿宋" w:hAnsi="仿宋" w:eastAsia="仿宋" w:cs="仿宋"/>
          <w:b w:val="0"/>
          <w:kern w:val="2"/>
          <w:sz w:val="24"/>
          <w:szCs w:val="24"/>
          <w:lang w:val="en-US" w:eastAsia="zh-CN"/>
        </w:rPr>
        <w:t>，</w:t>
      </w:r>
      <w:r>
        <w:rPr>
          <w:rFonts w:hint="eastAsia" w:ascii="仿宋" w:hAnsi="仿宋" w:eastAsia="仿宋" w:cs="仿宋"/>
          <w:b w:val="0"/>
          <w:color w:val="auto"/>
          <w:kern w:val="2"/>
          <w:sz w:val="24"/>
          <w:szCs w:val="24"/>
          <w:highlight w:val="none"/>
          <w:lang w:val="en-US" w:eastAsia="zh-CN"/>
        </w:rPr>
        <w:t>合同期内如需改变补助形式和餐别，双方需另行商定签订补充协议</w:t>
      </w:r>
      <w:r>
        <w:rPr>
          <w:rFonts w:hint="eastAsia" w:ascii="仿宋" w:hAnsi="仿宋" w:eastAsia="仿宋" w:cs="仿宋"/>
          <w:b w:val="0"/>
          <w:color w:val="auto"/>
          <w:kern w:val="2"/>
          <w:sz w:val="24"/>
          <w:szCs w:val="24"/>
          <w:highlight w:val="none"/>
          <w:lang w:val="en-US"/>
        </w:rPr>
        <w:t>。</w:t>
      </w:r>
    </w:p>
    <w:p w14:paraId="191BD50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10、乙方餐厅的开餐时间为：</w:t>
      </w:r>
    </w:p>
    <w:p w14:paraId="53D4F116">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早：8:00—10:00；午餐</w:t>
      </w:r>
      <w:r>
        <w:rPr>
          <w:rFonts w:hint="eastAsia" w:ascii="仿宋" w:hAnsi="仿宋" w:eastAsia="仿宋" w:cs="仿宋"/>
          <w:b w:val="0"/>
          <w:kern w:val="2"/>
          <w:sz w:val="24"/>
          <w:szCs w:val="24"/>
          <w:lang w:val="en-US" w:eastAsia="zh-CN"/>
        </w:rPr>
        <w:t>13</w:t>
      </w:r>
      <w:r>
        <w:rPr>
          <w:rFonts w:hint="eastAsia" w:ascii="仿宋" w:hAnsi="仿宋" w:eastAsia="仿宋" w:cs="仿宋"/>
          <w:b w:val="0"/>
          <w:kern w:val="2"/>
          <w:sz w:val="24"/>
          <w:szCs w:val="24"/>
          <w:lang w:val="en-US"/>
        </w:rPr>
        <w:t>:</w:t>
      </w:r>
      <w:r>
        <w:rPr>
          <w:rFonts w:hint="eastAsia" w:ascii="仿宋" w:hAnsi="仿宋" w:eastAsia="仿宋" w:cs="仿宋"/>
          <w:b w:val="0"/>
          <w:kern w:val="2"/>
          <w:sz w:val="24"/>
          <w:szCs w:val="24"/>
          <w:lang w:val="en-US" w:eastAsia="zh-CN"/>
        </w:rPr>
        <w:t>0</w:t>
      </w:r>
      <w:r>
        <w:rPr>
          <w:rFonts w:hint="eastAsia" w:ascii="仿宋" w:hAnsi="仿宋" w:eastAsia="仿宋" w:cs="仿宋"/>
          <w:b w:val="0"/>
          <w:kern w:val="2"/>
          <w:sz w:val="24"/>
          <w:szCs w:val="24"/>
          <w:lang w:val="en-US"/>
        </w:rPr>
        <w:t>0—15:</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0；晚餐：19:00——21:00</w:t>
      </w:r>
    </w:p>
    <w:p w14:paraId="0FB05652">
      <w:pPr>
        <w:snapToGrid/>
        <w:spacing w:line="240" w:lineRule="auto"/>
        <w:ind w:firstLine="0" w:firstLineChars="0"/>
        <w:rPr>
          <w:rFonts w:hint="eastAsia" w:ascii="仿宋" w:hAnsi="仿宋" w:eastAsia="仿宋" w:cs="仿宋"/>
          <w:b w:val="0"/>
          <w:color w:val="000000"/>
          <w:kern w:val="2"/>
          <w:sz w:val="24"/>
          <w:szCs w:val="24"/>
          <w:lang w:val="en-US"/>
        </w:rPr>
      </w:pPr>
      <w:r>
        <w:rPr>
          <w:rFonts w:hint="eastAsia" w:ascii="仿宋" w:hAnsi="仿宋" w:eastAsia="仿宋" w:cs="仿宋"/>
          <w:b w:val="0"/>
          <w:kern w:val="2"/>
          <w:sz w:val="24"/>
          <w:szCs w:val="24"/>
          <w:lang w:val="en-US"/>
        </w:rPr>
        <w:t>11、乙方在保障甲方职工以及患者服务的基础上为广大职工和患者按照市场价九折</w:t>
      </w:r>
      <w:r>
        <w:rPr>
          <w:rFonts w:hint="eastAsia" w:ascii="仿宋" w:hAnsi="仿宋" w:eastAsia="仿宋" w:cs="仿宋"/>
          <w:b w:val="0"/>
          <w:kern w:val="2"/>
          <w:sz w:val="24"/>
          <w:szCs w:val="24"/>
          <w:lang w:val="en-US" w:eastAsia="zh-CN"/>
        </w:rPr>
        <w:t>（职工餐自助午餐除外）</w:t>
      </w:r>
      <w:r>
        <w:rPr>
          <w:rFonts w:hint="eastAsia" w:ascii="仿宋" w:hAnsi="仿宋" w:eastAsia="仿宋" w:cs="仿宋"/>
          <w:b w:val="0"/>
          <w:kern w:val="2"/>
          <w:sz w:val="24"/>
          <w:szCs w:val="24"/>
          <w:lang w:val="en-US"/>
        </w:rPr>
        <w:t>提供餐饮成品和半成品便利服务，</w:t>
      </w:r>
      <w:r>
        <w:rPr>
          <w:rFonts w:hint="eastAsia" w:ascii="仿宋" w:hAnsi="仿宋" w:eastAsia="仿宋" w:cs="仿宋"/>
          <w:b w:val="0"/>
          <w:color w:val="000000"/>
          <w:kern w:val="2"/>
          <w:sz w:val="24"/>
          <w:szCs w:val="24"/>
          <w:lang w:val="en-US"/>
        </w:rPr>
        <w:t>餐厅不得提供香烟、米、面、油、日用百货等商品售货服务。</w:t>
      </w:r>
    </w:p>
    <w:p w14:paraId="79E77AE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12、乙方在管理甲方职工餐厅和营养食堂期间因生产经营所产生的水、电、气</w:t>
      </w:r>
      <w:r>
        <w:rPr>
          <w:rFonts w:hint="eastAsia" w:ascii="仿宋" w:hAnsi="仿宋" w:eastAsia="仿宋" w:cs="仿宋"/>
          <w:b w:val="0"/>
          <w:kern w:val="2"/>
          <w:sz w:val="24"/>
          <w:szCs w:val="24"/>
          <w:lang w:val="en-US" w:eastAsia="zh-CN"/>
        </w:rPr>
        <w:t>（含检测费）</w:t>
      </w:r>
      <w:r>
        <w:rPr>
          <w:rFonts w:hint="eastAsia" w:ascii="仿宋" w:hAnsi="仿宋" w:eastAsia="仿宋" w:cs="仿宋"/>
          <w:b w:val="0"/>
          <w:kern w:val="2"/>
          <w:sz w:val="24"/>
          <w:szCs w:val="24"/>
          <w:lang w:val="en-US"/>
        </w:rPr>
        <w:t>、暖费用由乙方承担，</w:t>
      </w:r>
      <w:r>
        <w:rPr>
          <w:rFonts w:hint="eastAsia" w:ascii="仿宋" w:hAnsi="仿宋" w:eastAsia="仿宋" w:cs="仿宋"/>
          <w:b w:val="0"/>
          <w:color w:val="auto"/>
          <w:kern w:val="2"/>
          <w:sz w:val="24"/>
          <w:szCs w:val="24"/>
          <w:lang w:val="en-US"/>
        </w:rPr>
        <w:t>水电单独挂表和暖气费</w:t>
      </w:r>
      <w:r>
        <w:rPr>
          <w:rFonts w:hint="eastAsia" w:ascii="仿宋" w:hAnsi="仿宋" w:eastAsia="仿宋" w:cs="仿宋"/>
          <w:b w:val="0"/>
          <w:kern w:val="2"/>
          <w:sz w:val="24"/>
          <w:szCs w:val="24"/>
          <w:lang w:val="en-US"/>
        </w:rPr>
        <w:t>由甲方按行业标准核算代收费用，不得加价。</w:t>
      </w:r>
    </w:p>
    <w:p w14:paraId="40461EA5">
      <w:pPr>
        <w:snapToGrid/>
        <w:spacing w:line="240" w:lineRule="auto"/>
        <w:ind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color w:val="auto"/>
          <w:kern w:val="2"/>
          <w:sz w:val="24"/>
          <w:szCs w:val="24"/>
          <w:lang w:val="en-US"/>
        </w:rPr>
        <w:t>13、乙方在管理运营期间因职工餐厅和营养食堂所要产生的房产税、土地使用税、</w:t>
      </w:r>
      <w:r>
        <w:rPr>
          <w:rFonts w:hint="eastAsia" w:ascii="仿宋" w:hAnsi="仿宋" w:eastAsia="仿宋" w:cs="仿宋"/>
          <w:b w:val="0"/>
          <w:color w:val="auto"/>
          <w:kern w:val="2"/>
          <w:sz w:val="24"/>
          <w:szCs w:val="24"/>
          <w:lang w:val="en-US" w:eastAsia="zh-CN"/>
        </w:rPr>
        <w:t>生活</w:t>
      </w:r>
      <w:r>
        <w:rPr>
          <w:rFonts w:hint="eastAsia" w:ascii="仿宋" w:hAnsi="仿宋" w:eastAsia="仿宋" w:cs="仿宋"/>
          <w:b w:val="0"/>
          <w:color w:val="auto"/>
          <w:kern w:val="2"/>
          <w:sz w:val="24"/>
          <w:szCs w:val="24"/>
          <w:lang w:val="en-US"/>
        </w:rPr>
        <w:t>垃圾清运费</w:t>
      </w:r>
      <w:r>
        <w:rPr>
          <w:rFonts w:hint="eastAsia" w:ascii="仿宋" w:hAnsi="仿宋" w:eastAsia="仿宋" w:cs="仿宋"/>
          <w:b w:val="0"/>
          <w:kern w:val="2"/>
          <w:sz w:val="24"/>
          <w:szCs w:val="24"/>
          <w:lang w:val="en-US" w:eastAsia="zh-CN"/>
        </w:rPr>
        <w:t>（餐余垃圾由乙方自行处理）</w:t>
      </w:r>
      <w:r>
        <w:rPr>
          <w:rFonts w:hint="eastAsia" w:ascii="仿宋" w:hAnsi="仿宋" w:eastAsia="仿宋" w:cs="仿宋"/>
          <w:b w:val="0"/>
          <w:color w:val="auto"/>
          <w:kern w:val="2"/>
          <w:sz w:val="24"/>
          <w:szCs w:val="24"/>
          <w:lang w:val="en-US"/>
        </w:rPr>
        <w:t>、</w:t>
      </w:r>
      <w:r>
        <w:rPr>
          <w:rFonts w:hint="eastAsia" w:ascii="仿宋" w:hAnsi="仿宋" w:eastAsia="仿宋" w:cs="仿宋"/>
          <w:b w:val="0"/>
          <w:color w:val="auto"/>
          <w:kern w:val="2"/>
          <w:sz w:val="24"/>
          <w:szCs w:val="24"/>
          <w:lang w:val="en-US" w:eastAsia="zh-CN"/>
        </w:rPr>
        <w:t>餐厅范围外</w:t>
      </w:r>
      <w:r>
        <w:rPr>
          <w:rFonts w:hint="eastAsia" w:ascii="仿宋" w:hAnsi="仿宋" w:eastAsia="仿宋" w:cs="仿宋"/>
          <w:b w:val="0"/>
          <w:color w:val="auto"/>
          <w:kern w:val="2"/>
          <w:sz w:val="24"/>
          <w:szCs w:val="24"/>
          <w:lang w:val="en-US"/>
        </w:rPr>
        <w:t>修缮费、绿化三包费、</w:t>
      </w:r>
      <w:r>
        <w:rPr>
          <w:rFonts w:hint="eastAsia" w:ascii="仿宋" w:hAnsi="仿宋" w:eastAsia="仿宋" w:cs="仿宋"/>
          <w:b w:val="0"/>
          <w:color w:val="auto"/>
          <w:kern w:val="2"/>
          <w:sz w:val="24"/>
          <w:szCs w:val="24"/>
          <w:lang w:val="en-US" w:eastAsia="zh-CN"/>
        </w:rPr>
        <w:t>餐厅范围外</w:t>
      </w:r>
      <w:r>
        <w:rPr>
          <w:rFonts w:hint="eastAsia" w:ascii="仿宋" w:hAnsi="仿宋" w:eastAsia="仿宋" w:cs="仿宋"/>
          <w:b w:val="0"/>
          <w:color w:val="auto"/>
          <w:kern w:val="2"/>
          <w:sz w:val="24"/>
          <w:szCs w:val="24"/>
          <w:lang w:val="en-US"/>
        </w:rPr>
        <w:t>安保服务费、道路修缮、消防、电梯、</w:t>
      </w:r>
      <w:r>
        <w:rPr>
          <w:rFonts w:hint="eastAsia" w:ascii="仿宋" w:hAnsi="仿宋" w:eastAsia="仿宋" w:cs="仿宋"/>
          <w:b w:val="0"/>
          <w:color w:val="auto"/>
          <w:kern w:val="2"/>
          <w:sz w:val="24"/>
          <w:szCs w:val="24"/>
          <w:lang w:val="en-US" w:eastAsia="zh-CN"/>
        </w:rPr>
        <w:t>餐厅外</w:t>
      </w:r>
      <w:r>
        <w:rPr>
          <w:rFonts w:hint="eastAsia" w:ascii="仿宋" w:hAnsi="仿宋" w:eastAsia="仿宋" w:cs="仿宋"/>
          <w:b w:val="0"/>
          <w:color w:val="auto"/>
          <w:kern w:val="2"/>
          <w:sz w:val="24"/>
          <w:szCs w:val="24"/>
          <w:lang w:val="en-US"/>
        </w:rPr>
        <w:t>各类大型设施设备维保检测、不动产保险和大型设施设备保险以及大楼主水电气暖管线维修耗材费以及第三方依法依约收取的费用由甲方承担。</w:t>
      </w:r>
    </w:p>
    <w:p w14:paraId="5201170D">
      <w:pPr>
        <w:snapToGrid/>
        <w:spacing w:line="240" w:lineRule="auto"/>
        <w:ind w:firstLine="0" w:firstLineChars="0"/>
        <w:rPr>
          <w:rFonts w:hint="eastAsia" w:ascii="仿宋" w:hAnsi="仿宋" w:eastAsia="仿宋" w:cs="仿宋"/>
          <w:b w:val="0"/>
          <w:color w:val="auto"/>
          <w:kern w:val="2"/>
          <w:sz w:val="24"/>
          <w:szCs w:val="24"/>
          <w:lang w:val="en-US"/>
        </w:rPr>
      </w:pPr>
      <w:r>
        <w:rPr>
          <w:rFonts w:hint="eastAsia" w:ascii="仿宋" w:hAnsi="仿宋" w:eastAsia="仿宋" w:cs="仿宋"/>
          <w:b w:val="0"/>
          <w:color w:val="auto"/>
          <w:kern w:val="2"/>
          <w:sz w:val="24"/>
          <w:szCs w:val="24"/>
          <w:lang w:val="en-US"/>
        </w:rPr>
        <w:t>14、职工餐厅严格按照《食品安全法》、保障各类原料采购，按照营养配餐、地域结合、特色突出理念制定每周食谱为职工做好日常就餐服务，营养餐档口根据季节和患者服务需求每季调整档口品类。确保各类食材质量安全，严禁出现安全事故。严格食品制作流程，严防各种食物中毒等事故的发生。如发生食品安全事故，乙方需自行承担各类行政</w:t>
      </w:r>
      <w:r>
        <w:rPr>
          <w:rFonts w:hint="eastAsia" w:ascii="仿宋" w:hAnsi="仿宋" w:eastAsia="仿宋" w:cs="仿宋"/>
          <w:b w:val="0"/>
          <w:color w:val="auto"/>
          <w:kern w:val="2"/>
          <w:sz w:val="24"/>
          <w:szCs w:val="24"/>
          <w:lang w:val="en-US" w:eastAsia="zh-CN"/>
        </w:rPr>
        <w:t>和</w:t>
      </w:r>
      <w:r>
        <w:rPr>
          <w:rFonts w:hint="eastAsia" w:ascii="仿宋" w:hAnsi="仿宋" w:eastAsia="仿宋" w:cs="仿宋"/>
          <w:b w:val="0"/>
          <w:color w:val="auto"/>
          <w:kern w:val="2"/>
          <w:sz w:val="24"/>
          <w:szCs w:val="24"/>
          <w:lang w:val="en-US"/>
        </w:rPr>
        <w:t>经济处罚，并赔偿医疗费等一切费用</w:t>
      </w:r>
      <w:r>
        <w:rPr>
          <w:rFonts w:hint="eastAsia" w:ascii="仿宋" w:hAnsi="仿宋" w:eastAsia="仿宋" w:cs="仿宋"/>
          <w:b w:val="0"/>
          <w:kern w:val="2"/>
          <w:sz w:val="24"/>
          <w:szCs w:val="24"/>
          <w:lang w:val="en-US"/>
        </w:rPr>
        <w:t>，</w:t>
      </w:r>
      <w:r>
        <w:rPr>
          <w:rFonts w:hint="eastAsia" w:ascii="仿宋" w:hAnsi="仿宋" w:eastAsia="仿宋" w:cs="仿宋"/>
          <w:b w:val="0"/>
          <w:color w:val="auto"/>
          <w:kern w:val="2"/>
          <w:sz w:val="24"/>
          <w:szCs w:val="24"/>
          <w:lang w:val="en-US" w:eastAsia="zh-CN"/>
        </w:rPr>
        <w:t>情节严重者</w:t>
      </w:r>
      <w:r>
        <w:rPr>
          <w:rFonts w:hint="eastAsia" w:ascii="仿宋" w:hAnsi="仿宋" w:eastAsia="仿宋" w:cs="仿宋"/>
          <w:b w:val="0"/>
          <w:color w:val="auto"/>
          <w:kern w:val="2"/>
          <w:sz w:val="24"/>
          <w:szCs w:val="24"/>
          <w:lang w:val="en-US"/>
        </w:rPr>
        <w:t>甲方有权单方解除合同。</w:t>
      </w:r>
    </w:p>
    <w:p w14:paraId="4C64A863">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三、相关费用</w:t>
      </w:r>
    </w:p>
    <w:p w14:paraId="21BA00E0">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（一）职工餐厅补助结算方式</w:t>
      </w:r>
    </w:p>
    <w:p w14:paraId="07D6C569">
      <w:pPr>
        <w:snapToGrid/>
        <w:spacing w:line="240" w:lineRule="auto"/>
        <w:ind w:firstLine="0" w:firstLineChars="0"/>
        <w:jc w:val="left"/>
        <w:rPr>
          <w:rFonts w:hint="eastAsia" w:ascii="仿宋" w:hAnsi="仿宋" w:eastAsia="仿宋" w:cs="仿宋"/>
          <w:b w:val="0"/>
          <w:color w:val="FF0000"/>
          <w:kern w:val="2"/>
          <w:sz w:val="24"/>
          <w:szCs w:val="24"/>
          <w:lang w:val="en-US"/>
        </w:rPr>
      </w:pPr>
      <w:r>
        <w:rPr>
          <w:rFonts w:hint="eastAsia" w:ascii="仿宋" w:hAnsi="仿宋" w:eastAsia="仿宋" w:cs="仿宋"/>
          <w:b w:val="0"/>
          <w:kern w:val="2"/>
          <w:sz w:val="24"/>
          <w:szCs w:val="24"/>
          <w:lang w:val="en-US"/>
        </w:rPr>
        <w:t>（1）、甲方职工用餐单位补助费用按照午餐按</w:t>
      </w:r>
      <w:r>
        <w:rPr>
          <w:rFonts w:hint="eastAsia" w:ascii="仿宋" w:hAnsi="仿宋" w:eastAsia="仿宋" w:cs="仿宋"/>
          <w:b w:val="0"/>
          <w:color w:val="auto"/>
          <w:kern w:val="2"/>
          <w:sz w:val="24"/>
          <w:szCs w:val="24"/>
          <w:lang w:val="en-US" w:eastAsia="zh-CN"/>
        </w:rPr>
        <w:t xml:space="preserve">   </w:t>
      </w:r>
      <w:r>
        <w:rPr>
          <w:rFonts w:hint="eastAsia" w:ascii="仿宋" w:hAnsi="仿宋" w:eastAsia="仿宋" w:cs="仿宋"/>
          <w:b w:val="0"/>
          <w:color w:val="auto"/>
          <w:kern w:val="2"/>
          <w:sz w:val="24"/>
          <w:szCs w:val="24"/>
          <w:lang w:val="en-US"/>
        </w:rPr>
        <w:t>元/人/餐</w:t>
      </w:r>
      <w:r>
        <w:rPr>
          <w:rFonts w:hint="eastAsia" w:ascii="仿宋" w:hAnsi="仿宋" w:eastAsia="仿宋" w:cs="仿宋"/>
          <w:b w:val="0"/>
          <w:kern w:val="2"/>
          <w:sz w:val="24"/>
          <w:szCs w:val="24"/>
          <w:lang w:val="en-US"/>
        </w:rPr>
        <w:t>每日实名打卡，月度根据实际消费人次据实结算，</w:t>
      </w:r>
      <w:r>
        <w:rPr>
          <w:rFonts w:hint="eastAsia" w:ascii="仿宋" w:hAnsi="仿宋" w:eastAsia="仿宋" w:cs="仿宋"/>
          <w:b w:val="0"/>
          <w:kern w:val="2"/>
          <w:sz w:val="24"/>
          <w:szCs w:val="24"/>
          <w:lang w:val="en-US" w:eastAsia="zh-CN"/>
        </w:rPr>
        <w:t>甲方初步按照</w:t>
      </w:r>
      <w:r>
        <w:rPr>
          <w:rFonts w:hint="eastAsia" w:ascii="仿宋" w:hAnsi="仿宋" w:eastAsia="仿宋" w:cs="仿宋"/>
          <w:b w:val="0"/>
          <w:kern w:val="2"/>
          <w:sz w:val="24"/>
          <w:szCs w:val="24"/>
          <w:lang w:val="en-US"/>
        </w:rPr>
        <w:t>每人每月补助22</w:t>
      </w:r>
      <w:r>
        <w:rPr>
          <w:rFonts w:hint="eastAsia" w:ascii="仿宋" w:hAnsi="仿宋" w:eastAsia="仿宋" w:cs="仿宋"/>
          <w:b w:val="0"/>
          <w:color w:val="auto"/>
          <w:kern w:val="2"/>
          <w:sz w:val="24"/>
          <w:szCs w:val="24"/>
          <w:lang w:val="en-US" w:eastAsia="zh-CN"/>
        </w:rPr>
        <w:t>次</w:t>
      </w:r>
      <w:r>
        <w:rPr>
          <w:rFonts w:hint="eastAsia" w:ascii="仿宋" w:hAnsi="仿宋" w:eastAsia="仿宋" w:cs="仿宋"/>
          <w:b w:val="0"/>
          <w:kern w:val="2"/>
          <w:sz w:val="24"/>
          <w:szCs w:val="24"/>
          <w:lang w:val="en-US" w:eastAsia="zh-CN"/>
        </w:rPr>
        <w:t>进行补助</w:t>
      </w:r>
      <w:r>
        <w:rPr>
          <w:rFonts w:hint="eastAsia" w:ascii="仿宋" w:hAnsi="仿宋" w:eastAsia="仿宋" w:cs="仿宋"/>
          <w:b w:val="0"/>
          <w:color w:val="auto"/>
          <w:kern w:val="2"/>
          <w:sz w:val="24"/>
          <w:szCs w:val="24"/>
          <w:lang w:val="en-US" w:eastAsia="zh-CN"/>
        </w:rPr>
        <w:t>。</w:t>
      </w:r>
      <w:r>
        <w:rPr>
          <w:rFonts w:hint="eastAsia" w:ascii="仿宋" w:hAnsi="仿宋" w:eastAsia="仿宋" w:cs="仿宋"/>
          <w:b w:val="0"/>
          <w:kern w:val="2"/>
          <w:sz w:val="24"/>
          <w:szCs w:val="24"/>
          <w:lang w:val="en-US"/>
        </w:rPr>
        <w:t>乙方每月10日前提供上月实际费用清单和企业管理服务发票（发票开具仅限于单位补助部分开票），甲方每月20日前将款项打入乙方对公账户内。</w:t>
      </w:r>
      <w:r>
        <w:rPr>
          <w:rFonts w:hint="eastAsia" w:ascii="仿宋" w:hAnsi="仿宋" w:eastAsia="仿宋" w:cs="仿宋"/>
          <w:b w:val="0"/>
          <w:color w:val="auto"/>
          <w:kern w:val="2"/>
          <w:sz w:val="24"/>
          <w:szCs w:val="24"/>
          <w:lang w:val="en-US"/>
        </w:rPr>
        <w:t>补助金额以《</w:t>
      </w:r>
      <w:r>
        <w:rPr>
          <w:rFonts w:hint="eastAsia" w:ascii="仿宋" w:hAnsi="仿宋" w:eastAsia="仿宋" w:cs="仿宋"/>
          <w:b w:val="0"/>
          <w:color w:val="auto"/>
          <w:kern w:val="2"/>
          <w:sz w:val="24"/>
          <w:szCs w:val="24"/>
          <w:lang w:val="en-US" w:eastAsia="zh-CN"/>
        </w:rPr>
        <w:t>昌吉回族自治州人民医院</w:t>
      </w:r>
      <w:r>
        <w:rPr>
          <w:rFonts w:hint="eastAsia" w:ascii="仿宋" w:hAnsi="仿宋" w:eastAsia="仿宋" w:cs="仿宋"/>
          <w:b w:val="0"/>
          <w:color w:val="auto"/>
          <w:kern w:val="2"/>
          <w:sz w:val="24"/>
          <w:szCs w:val="24"/>
          <w:lang w:val="en-US"/>
        </w:rPr>
        <w:t>就餐补助管理规定》为准。</w:t>
      </w:r>
    </w:p>
    <w:p w14:paraId="7F2B41D3">
      <w:pPr>
        <w:snapToGrid/>
        <w:spacing w:line="240" w:lineRule="auto"/>
        <w:ind w:firstLine="0" w:firstLineChars="0"/>
        <w:jc w:val="left"/>
        <w:rPr>
          <w:rFonts w:hint="eastAsia" w:ascii="仿宋" w:hAnsi="仿宋" w:eastAsia="仿宋" w:cs="仿宋"/>
          <w:b/>
          <w:kern w:val="2"/>
          <w:sz w:val="24"/>
          <w:szCs w:val="24"/>
          <w:lang w:val="en-US"/>
        </w:rPr>
      </w:pPr>
      <w:r>
        <w:rPr>
          <w:rFonts w:hint="eastAsia" w:ascii="仿宋" w:hAnsi="仿宋" w:eastAsia="仿宋" w:cs="仿宋"/>
          <w:b w:val="0"/>
          <w:kern w:val="2"/>
          <w:sz w:val="24"/>
          <w:szCs w:val="24"/>
          <w:lang w:val="en-US"/>
        </w:rPr>
        <w:t>（二）</w:t>
      </w:r>
      <w:r>
        <w:rPr>
          <w:rFonts w:hint="eastAsia" w:ascii="仿宋" w:hAnsi="仿宋" w:eastAsia="仿宋" w:cs="仿宋"/>
          <w:b/>
          <w:kern w:val="2"/>
          <w:sz w:val="24"/>
          <w:szCs w:val="24"/>
          <w:lang w:val="en-US"/>
        </w:rPr>
        <w:t>会议培训接待费：</w:t>
      </w:r>
    </w:p>
    <w:p w14:paraId="460B0E1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根据会议标准由会议举办方与乙方另行商议。</w:t>
      </w:r>
    </w:p>
    <w:p w14:paraId="46FE35E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kern w:val="2"/>
          <w:sz w:val="24"/>
          <w:szCs w:val="24"/>
          <w:lang w:val="en-US"/>
        </w:rPr>
        <w:t>（三）委托管理费用：</w:t>
      </w:r>
    </w:p>
    <w:p w14:paraId="2260F8E7">
      <w:pPr>
        <w:snapToGrid/>
        <w:spacing w:line="240" w:lineRule="auto"/>
        <w:ind w:firstLine="720" w:firstLineChars="300"/>
        <w:jc w:val="left"/>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乙方</w:t>
      </w:r>
      <w:r>
        <w:rPr>
          <w:rFonts w:hint="eastAsia" w:ascii="仿宋" w:hAnsi="仿宋" w:eastAsia="仿宋" w:cs="仿宋"/>
          <w:b w:val="0"/>
          <w:kern w:val="2"/>
          <w:sz w:val="24"/>
          <w:szCs w:val="24"/>
          <w:lang w:val="en-US" w:eastAsia="zh-CN"/>
        </w:rPr>
        <w:t>将</w:t>
      </w:r>
      <w:r>
        <w:rPr>
          <w:rFonts w:hint="eastAsia" w:ascii="仿宋" w:hAnsi="仿宋" w:eastAsia="仿宋" w:cs="仿宋"/>
          <w:b w:val="0"/>
          <w:kern w:val="2"/>
          <w:sz w:val="24"/>
          <w:szCs w:val="24"/>
          <w:lang w:val="en-US"/>
        </w:rPr>
        <w:t>餐厅收入以及利润将优先用于保障餐厅的正常运营（包括采购、人员工资、设施设备维护维修费用、水电暖等费用、管理费用等）；乙方按照</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万元/年向甲方缴纳管理费后，餐厅的收入优先用于支付运营成本后，有结余的归乙方所有。乙方应给甲方缴纳的管理费用每年在</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月</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日以货币形式支付</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万元，甲方需给乙方开具相应的发票。</w:t>
      </w:r>
    </w:p>
    <w:p w14:paraId="590A65B8">
      <w:pPr>
        <w:widowControl/>
        <w:snapToGrid/>
        <w:spacing w:line="240" w:lineRule="auto"/>
        <w:ind w:right="-218" w:rightChars="-68" w:firstLine="0" w:firstLineChars="0"/>
        <w:jc w:val="left"/>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第四条  甲方权利义务</w:t>
      </w:r>
    </w:p>
    <w:p w14:paraId="576E140E">
      <w:pPr>
        <w:widowControl/>
        <w:snapToGrid/>
        <w:spacing w:line="240" w:lineRule="auto"/>
        <w:ind w:right="-218" w:rightChars="-68"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（1）、甲方有权利对乙方提供的装修改造方案进行把关审核并提出意见建议并签字确认，确认后不得随意修改布局。</w:t>
      </w:r>
    </w:p>
    <w:p w14:paraId="659BDBA4">
      <w:pPr>
        <w:widowControl/>
        <w:snapToGrid/>
        <w:spacing w:line="240" w:lineRule="auto"/>
        <w:ind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（2）、甲方需按照机关单位餐厅开办要求提供相关资料协助乙方办理</w:t>
      </w:r>
    </w:p>
    <w:p w14:paraId="1F2BC41A">
      <w:pPr>
        <w:widowControl/>
        <w:snapToGrid/>
        <w:spacing w:line="240" w:lineRule="auto"/>
        <w:ind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相关开办手续和证照。</w:t>
      </w:r>
    </w:p>
    <w:p w14:paraId="4DC64D0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（3）、按本合同的规定按时支付相关补助及其他费用。</w:t>
      </w:r>
    </w:p>
    <w:p w14:paraId="25848B3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（4）、负责给乙方提供完善的保障正常生产操作的基本的配套设施设备和安全生产环境。</w:t>
      </w:r>
    </w:p>
    <w:p w14:paraId="3898D85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5）、甲方总务科负责按合同要求的催缴管理费、水、电、暖等费用；财务科负责按合同约定审核和支付相关补助和其他费用及收取水、电、暖、管理费等费用；人事科负责提供职工人员信息；院工会负责对乙方提供的服务按照考核标准进行考核监管，每月可通过满意度调查和职工患者评议等方式征求意见，乙方需根据院工会反馈意见及建议整改。</w:t>
      </w:r>
    </w:p>
    <w:p w14:paraId="562AF16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（6）、甲方院工会有权利对乙方食堂卫生、原材料采购渠道进行监督抽检并及时向全院职工反馈乙方提出整改意见和建议。</w:t>
      </w:r>
    </w:p>
    <w:p w14:paraId="2BCFEAFB">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color w:val="auto"/>
          <w:kern w:val="2"/>
          <w:sz w:val="24"/>
          <w:szCs w:val="24"/>
          <w:lang w:val="en-US"/>
        </w:rPr>
        <w:t>（7）、甲方总务科有权利要求乙方配合相关的公共性活动开展涉及创卫、创城以及医院迎检评比各方面的工作。</w:t>
      </w:r>
      <w:r>
        <w:rPr>
          <w:rFonts w:hint="eastAsia" w:ascii="仿宋" w:hAnsi="仿宋" w:eastAsia="仿宋" w:cs="仿宋"/>
          <w:b w:val="0"/>
          <w:kern w:val="2"/>
          <w:sz w:val="24"/>
          <w:szCs w:val="24"/>
          <w:lang w:val="en-US"/>
        </w:rPr>
        <w:t>如因乙方直接原因造成甲方受到各类处罚及通报的，乙方应承担相应责任，给甲方造成经济损失的由乙方全部承担，行政处罚的罚款由乙方全额承担</w:t>
      </w:r>
      <w:r>
        <w:rPr>
          <w:rFonts w:hint="eastAsia" w:ascii="仿宋" w:hAnsi="仿宋" w:eastAsia="仿宋" w:cs="仿宋"/>
          <w:b w:val="0"/>
          <w:kern w:val="2"/>
          <w:sz w:val="24"/>
          <w:szCs w:val="24"/>
          <w:lang w:val="en-US" w:eastAsia="zh-CN"/>
        </w:rPr>
        <w:t>。</w:t>
      </w:r>
    </w:p>
    <w:p w14:paraId="19B8762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（8）、甲方指派专人负责对乙方执行日常工作的监督及乙方派驻现场人员工作质量工作态度及效率方面的监督及时反馈意见建议，同时做好乙方与各科室间的沟通协调工作。</w:t>
      </w:r>
    </w:p>
    <w:p w14:paraId="4881A49F">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（9）、甲方需约束职工，杜绝在餐厅赊欠和在餐厅酗酒，不得要求乙方在标准餐范围内私开小灶，不得自带食品到餐厅用餐，不为职工提供食品寄存。</w:t>
      </w:r>
    </w:p>
    <w:p w14:paraId="512DAD3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（10）、甲方要督促本院职工在就餐期间自觉遵守餐厅用餐规定，及时打卡、不带料加工，午餐不浪费、不打包，不得穿戴医用工作服进入食堂用餐，职工和患者不得私自进入生产加工区域影响乙方正常工作。</w:t>
      </w:r>
    </w:p>
    <w:p w14:paraId="56A01864">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（11）、甲方有义务</w:t>
      </w:r>
      <w:r>
        <w:rPr>
          <w:rFonts w:hint="eastAsia" w:ascii="仿宋" w:hAnsi="仿宋" w:eastAsia="仿宋" w:cs="仿宋"/>
          <w:b w:val="0"/>
          <w:kern w:val="2"/>
          <w:sz w:val="24"/>
          <w:szCs w:val="24"/>
          <w:lang w:val="en-US" w:eastAsia="zh-CN"/>
        </w:rPr>
        <w:t>协助</w:t>
      </w:r>
      <w:r>
        <w:rPr>
          <w:rFonts w:hint="eastAsia" w:ascii="仿宋" w:hAnsi="仿宋" w:eastAsia="仿宋" w:cs="仿宋"/>
          <w:b w:val="0"/>
          <w:color w:val="auto"/>
          <w:kern w:val="2"/>
          <w:sz w:val="24"/>
          <w:szCs w:val="24"/>
          <w:lang w:val="en-US"/>
        </w:rPr>
        <w:t>解决乙</w:t>
      </w:r>
      <w:r>
        <w:rPr>
          <w:rFonts w:hint="eastAsia" w:ascii="仿宋" w:hAnsi="仿宋" w:eastAsia="仿宋" w:cs="仿宋"/>
          <w:b w:val="0"/>
          <w:kern w:val="2"/>
          <w:sz w:val="24"/>
          <w:szCs w:val="24"/>
          <w:lang w:val="en-US"/>
        </w:rPr>
        <w:t>方</w:t>
      </w:r>
      <w:r>
        <w:rPr>
          <w:rFonts w:hint="eastAsia" w:ascii="仿宋" w:hAnsi="仿宋" w:eastAsia="仿宋" w:cs="仿宋"/>
          <w:b w:val="0"/>
          <w:color w:val="000000"/>
          <w:kern w:val="2"/>
          <w:sz w:val="24"/>
          <w:szCs w:val="24"/>
          <w:lang w:val="en-US"/>
        </w:rPr>
        <w:t>在</w:t>
      </w:r>
      <w:r>
        <w:rPr>
          <w:rFonts w:hint="eastAsia" w:ascii="仿宋" w:hAnsi="仿宋" w:eastAsia="仿宋" w:cs="仿宋"/>
          <w:b w:val="0"/>
          <w:kern w:val="2"/>
          <w:sz w:val="24"/>
          <w:szCs w:val="24"/>
          <w:lang w:val="en-US"/>
        </w:rPr>
        <w:t>管理期间遇到涉及基础设施和大型设备以及其他方面的问题，维修费用由产权所有方承担</w:t>
      </w:r>
      <w:r>
        <w:rPr>
          <w:rFonts w:hint="eastAsia" w:ascii="仿宋" w:hAnsi="仿宋" w:eastAsia="仿宋" w:cs="仿宋"/>
          <w:b w:val="0"/>
          <w:kern w:val="2"/>
          <w:sz w:val="24"/>
          <w:szCs w:val="24"/>
          <w:lang w:val="en-US" w:eastAsia="zh-CN"/>
        </w:rPr>
        <w:t>。若因责任方原因造成的损坏及故障，则维修费由责任方承担</w:t>
      </w:r>
      <w:r>
        <w:rPr>
          <w:rFonts w:hint="eastAsia" w:ascii="仿宋" w:hAnsi="仿宋" w:eastAsia="仿宋" w:cs="仿宋"/>
          <w:b w:val="0"/>
          <w:kern w:val="2"/>
          <w:sz w:val="24"/>
          <w:szCs w:val="24"/>
          <w:lang w:val="en-US"/>
        </w:rPr>
        <w:t>。</w:t>
      </w:r>
    </w:p>
    <w:p w14:paraId="4999DEC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（12）、甲方如遇单位重大活动或者是重要接待任务时需提前告知乙</w:t>
      </w:r>
    </w:p>
    <w:p w14:paraId="4CD7FB3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方便于提前准备和更充分的保障。</w:t>
      </w:r>
    </w:p>
    <w:p w14:paraId="0F764D7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（13）、甲方需指定专人和乙方对接餐厅事务，根据合同内容需另外计算费用部分需指定专人及时签字确认。</w:t>
      </w:r>
    </w:p>
    <w:p w14:paraId="5A306180">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14）、甲方在乙方进驻时要派专人双方现场进行无偿提供给乙方使用的相关物资清查、设施设备盘点办理正式交接手续签字确认并留档备查，待管理期结束后双方根据设施设备使用年限及损耗再清点退还如有损坏双方商定赔偿金额。</w:t>
      </w:r>
    </w:p>
    <w:p w14:paraId="6512AA0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（15）、甲方在管理服务期限内不得随意改变用餐方式，如须有变动必须提前30天与乙方协商，经过双方协商后，签订补充协议，方可变更用餐方式。</w:t>
      </w:r>
    </w:p>
    <w:p w14:paraId="5CA27194">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（16）甲方在第一期合同期届满前60天与乙方就第二委托管理期续约事宜开展协商。</w:t>
      </w:r>
    </w:p>
    <w:p w14:paraId="15493143">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（17）因乙方过失造成合同无法继续履行的，自乙方收到甲方解除合同告知书之日起30日后，甲方有权</w:t>
      </w:r>
      <w:r>
        <w:rPr>
          <w:rFonts w:hint="eastAsia" w:ascii="仿宋" w:hAnsi="仿宋" w:eastAsia="仿宋" w:cs="仿宋"/>
          <w:b w:val="0"/>
          <w:kern w:val="2"/>
          <w:sz w:val="24"/>
          <w:szCs w:val="24"/>
          <w:lang w:val="en-US"/>
        </w:rPr>
        <w:t>发布对外托管的各类信息和招标公告</w:t>
      </w:r>
      <w:r>
        <w:rPr>
          <w:rFonts w:hint="eastAsia" w:ascii="仿宋" w:hAnsi="仿宋" w:eastAsia="仿宋" w:cs="仿宋"/>
          <w:b w:val="0"/>
          <w:kern w:val="2"/>
          <w:sz w:val="24"/>
          <w:szCs w:val="24"/>
          <w:lang w:val="en-US" w:eastAsia="zh-CN"/>
        </w:rPr>
        <w:t>。</w:t>
      </w:r>
    </w:p>
    <w:p w14:paraId="49F27828">
      <w:pPr>
        <w:snapToGrid/>
        <w:spacing w:line="240" w:lineRule="auto"/>
        <w:ind w:firstLine="0" w:firstLineChars="0"/>
        <w:rPr>
          <w:rFonts w:hint="eastAsia" w:ascii="仿宋" w:hAnsi="仿宋" w:eastAsia="仿宋" w:cs="仿宋"/>
          <w:b w:val="0"/>
          <w:color w:val="auto"/>
          <w:kern w:val="2"/>
          <w:sz w:val="24"/>
          <w:szCs w:val="24"/>
          <w:lang w:val="en-US"/>
        </w:rPr>
      </w:pPr>
      <w:r>
        <w:rPr>
          <w:rFonts w:hint="eastAsia" w:ascii="仿宋" w:hAnsi="仿宋" w:eastAsia="仿宋" w:cs="仿宋"/>
          <w:b w:val="0"/>
          <w:color w:val="auto"/>
          <w:kern w:val="2"/>
          <w:sz w:val="24"/>
          <w:szCs w:val="24"/>
          <w:lang w:val="en-US"/>
        </w:rPr>
        <w:t>（1</w:t>
      </w:r>
      <w:r>
        <w:rPr>
          <w:rFonts w:hint="eastAsia" w:ascii="仿宋" w:hAnsi="仿宋" w:eastAsia="仿宋" w:cs="仿宋"/>
          <w:b w:val="0"/>
          <w:color w:val="auto"/>
          <w:kern w:val="2"/>
          <w:sz w:val="24"/>
          <w:szCs w:val="24"/>
          <w:lang w:val="en-US" w:eastAsia="zh-CN"/>
        </w:rPr>
        <w:t>8</w:t>
      </w:r>
      <w:r>
        <w:rPr>
          <w:rFonts w:hint="eastAsia" w:ascii="仿宋" w:hAnsi="仿宋" w:eastAsia="仿宋" w:cs="仿宋"/>
          <w:b w:val="0"/>
          <w:color w:val="auto"/>
          <w:kern w:val="2"/>
          <w:sz w:val="24"/>
          <w:szCs w:val="24"/>
          <w:lang w:val="en-US"/>
        </w:rPr>
        <w:t>）甲方不干涉参与乙方日常各类经营管理活动。</w:t>
      </w:r>
    </w:p>
    <w:p w14:paraId="4CC3E71E">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bCs/>
          <w:kern w:val="2"/>
          <w:sz w:val="24"/>
          <w:szCs w:val="24"/>
          <w:lang w:val="en-US"/>
        </w:rPr>
        <w:t>第五条  乙方权利义务</w:t>
      </w:r>
    </w:p>
    <w:p w14:paraId="656FDE5E">
      <w:pPr>
        <w:widowControl/>
        <w:snapToGrid/>
        <w:spacing w:line="240" w:lineRule="auto"/>
        <w:ind w:right="-218" w:rightChars="-68"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（1）、乙方不得对餐厅进行任何形式的转包和分包或委托他人经营管理，否则甲方有权解除本合同。</w:t>
      </w:r>
    </w:p>
    <w:p w14:paraId="049CD9B2">
      <w:pPr>
        <w:widowControl/>
        <w:snapToGrid/>
        <w:spacing w:line="240" w:lineRule="auto"/>
        <w:ind w:right="-218" w:rightChars="-68"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（2）、乙方需要将装修改造方案提交甲方把关审核并提出意见建议确认后不可再进行更改。乙方在进场装修施工中不得影响主体建筑物（房屋）安全， 不得改变建筑物结构性质，乙方需按照施工管理规范。做好现场管理及各项安全以及人员资质的审查、操作安全工作出现问题由乙方承担。</w:t>
      </w:r>
    </w:p>
    <w:p w14:paraId="113E6359">
      <w:pPr>
        <w:widowControl/>
        <w:snapToGrid/>
        <w:spacing w:line="240" w:lineRule="auto"/>
        <w:ind w:right="-218" w:rightChars="-68"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（3）、乙方需在甲方配合下按照要求完成相关餐厅资质和证照及相关行政许可等手续，乙方应当结合餐厅所在地的民族特色及就餐人群的饮食习惯，确定餐厅经营餐食品种及类型。</w:t>
      </w:r>
    </w:p>
    <w:p w14:paraId="3A2766C4">
      <w:pPr>
        <w:widowControl/>
        <w:snapToGrid/>
        <w:spacing w:line="240" w:lineRule="auto"/>
        <w:ind w:right="-218" w:rightChars="-68" w:firstLine="0" w:firstLineChars="0"/>
        <w:jc w:val="left"/>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（4）、乙方要根据有关法律、法规在与甲方的管理合同期内保障餐厅正常的生产和服务，不得从事和餐饮无关的其他相关活动和违法行为。</w:t>
      </w:r>
    </w:p>
    <w:p w14:paraId="66DB4A32">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kern w:val="2"/>
          <w:sz w:val="24"/>
          <w:szCs w:val="24"/>
          <w:lang w:val="en-US"/>
        </w:rPr>
        <w:t>（5）、</w:t>
      </w:r>
      <w:r>
        <w:rPr>
          <w:rFonts w:hint="eastAsia" w:ascii="仿宋" w:hAnsi="仿宋" w:eastAsia="仿宋" w:cs="仿宋"/>
          <w:b w:val="0"/>
          <w:bCs/>
          <w:kern w:val="2"/>
          <w:sz w:val="24"/>
          <w:szCs w:val="24"/>
          <w:lang w:val="en-US"/>
        </w:rPr>
        <w:t>乙方需按照合同约定发票类别根据甲方所产生的费用每月10日给甲方出具相关正式发票和相关清单到甲方处进行结算。</w:t>
      </w:r>
    </w:p>
    <w:p w14:paraId="5651D891">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kern w:val="2"/>
          <w:sz w:val="24"/>
          <w:szCs w:val="24"/>
          <w:lang w:val="en-US"/>
        </w:rPr>
        <w:t>（6）、乙方需按照合同期约定时间缴纳相关的管理费用。</w:t>
      </w:r>
    </w:p>
    <w:p w14:paraId="1162D5DC">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kern w:val="2"/>
          <w:sz w:val="24"/>
          <w:szCs w:val="24"/>
          <w:lang w:val="en-US"/>
        </w:rPr>
        <w:t>（7）、乙方需向甲方提供供应商资质备案、进货原材料台账（食品溯源）或者定期公示原材料的相关票据（米面粮油等）。</w:t>
      </w:r>
    </w:p>
    <w:p w14:paraId="45ED72A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（8）、乙方给职工提供的早晚餐和患者早中晚餐需按照</w:t>
      </w:r>
      <w:r>
        <w:rPr>
          <w:rFonts w:hint="eastAsia" w:ascii="仿宋" w:hAnsi="仿宋" w:eastAsia="仿宋" w:cs="仿宋"/>
          <w:b w:val="0"/>
          <w:color w:val="auto"/>
          <w:kern w:val="2"/>
          <w:sz w:val="24"/>
          <w:szCs w:val="24"/>
          <w:lang w:val="en-US"/>
        </w:rPr>
        <w:t>不高于市场价的九折进行优惠，提供的餐饮成品及半成品给职工和患者提供不高于</w:t>
      </w:r>
      <w:r>
        <w:rPr>
          <w:rFonts w:hint="eastAsia" w:ascii="仿宋" w:hAnsi="仿宋" w:eastAsia="仿宋" w:cs="仿宋"/>
          <w:b w:val="0"/>
          <w:kern w:val="2"/>
          <w:sz w:val="24"/>
          <w:szCs w:val="24"/>
          <w:lang w:val="en-US"/>
        </w:rPr>
        <w:t>市场价九折的优惠，可以制作售卖各类节日食品。</w:t>
      </w:r>
    </w:p>
    <w:p w14:paraId="6FB39534">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（9）、乙方不给职工和患者提供食品寄存服务，不提供自带食品的加工烹制，不允许自带食品进入餐厅用餐，不允许补助餐内的打包。</w:t>
      </w:r>
    </w:p>
    <w:p w14:paraId="6976708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（10）、乙方可在甲方宣传科审核后，在病房进行餐厅业务宣传。乙方在给病房提供餐饮配送服务时不得再加收其他额外费用</w:t>
      </w:r>
      <w:r>
        <w:rPr>
          <w:rFonts w:hint="eastAsia" w:ascii="仿宋" w:hAnsi="仿宋" w:eastAsia="仿宋" w:cs="仿宋"/>
          <w:b w:val="0"/>
          <w:kern w:val="2"/>
          <w:sz w:val="24"/>
          <w:szCs w:val="24"/>
          <w:lang w:val="en-US" w:eastAsia="zh-CN"/>
        </w:rPr>
        <w:t>（餐盒、餐具除外）</w:t>
      </w:r>
      <w:r>
        <w:rPr>
          <w:rFonts w:hint="eastAsia" w:ascii="仿宋" w:hAnsi="仿宋" w:eastAsia="仿宋" w:cs="仿宋"/>
          <w:b w:val="0"/>
          <w:kern w:val="2"/>
          <w:sz w:val="24"/>
          <w:szCs w:val="24"/>
          <w:lang w:val="en-US"/>
        </w:rPr>
        <w:t>。</w:t>
      </w:r>
    </w:p>
    <w:p w14:paraId="4664227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（11）、乙方需要及时给办理医院出院的患者办理食堂退卡手续，不给医护人员及患者提供赊欠担保如造成损失和投诉及损失由乙方承担责任并处理。</w:t>
      </w:r>
    </w:p>
    <w:p w14:paraId="25E6990D">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（12）、乙方要本着科学营养制定完善的菜谱、根据季节更换、每周合理调整、保证基本口味稳定，保障原材料不能以次充好烹饪偷工减料。</w:t>
      </w:r>
    </w:p>
    <w:p w14:paraId="5A061B47">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kern w:val="2"/>
          <w:sz w:val="24"/>
          <w:szCs w:val="24"/>
          <w:lang w:val="en-US"/>
        </w:rPr>
        <w:t>（13）、乙方必须保障餐厅正常运营，不得无故停业，不得无故随意关闭窗口如有违反甲方有权利对乙方做出通报和处罚。</w:t>
      </w:r>
    </w:p>
    <w:p w14:paraId="79B53593">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（14）、乙方在双方合同期内根据社会消费水平及物价情况有权利适度调整餐品价格，需要出据调查报告提供甲方备案。</w:t>
      </w:r>
    </w:p>
    <w:p w14:paraId="28F2AE5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（15）、乙方确保在甲方管理合同内餐厅场所的食品安全及各项安全生产工作如有问题由乙方全权负责。甲方</w:t>
      </w:r>
      <w:r>
        <w:rPr>
          <w:rFonts w:hint="eastAsia" w:ascii="仿宋" w:hAnsi="仿宋" w:eastAsia="仿宋" w:cs="仿宋"/>
          <w:b w:val="0"/>
          <w:kern w:val="2"/>
          <w:sz w:val="24"/>
          <w:szCs w:val="24"/>
          <w:lang w:val="en-US" w:eastAsia="zh-CN"/>
        </w:rPr>
        <w:t>有权监督执行，如乙方与受害方达不成共识，可请第三方法律机构裁决</w:t>
      </w:r>
      <w:r>
        <w:rPr>
          <w:rFonts w:hint="eastAsia" w:ascii="仿宋" w:hAnsi="仿宋" w:eastAsia="仿宋" w:cs="仿宋"/>
          <w:b w:val="0"/>
          <w:kern w:val="2"/>
          <w:sz w:val="24"/>
          <w:szCs w:val="24"/>
          <w:lang w:val="en-US"/>
        </w:rPr>
        <w:t>。</w:t>
      </w:r>
    </w:p>
    <w:p w14:paraId="526DDFAD">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bCs/>
          <w:kern w:val="2"/>
          <w:sz w:val="24"/>
          <w:szCs w:val="24"/>
          <w:lang w:val="en-US"/>
        </w:rPr>
        <w:t>（16）、</w:t>
      </w:r>
      <w:r>
        <w:rPr>
          <w:rFonts w:hint="eastAsia" w:ascii="仿宋" w:hAnsi="仿宋" w:eastAsia="仿宋" w:cs="仿宋"/>
          <w:b w:val="0"/>
          <w:kern w:val="2"/>
          <w:sz w:val="24"/>
          <w:szCs w:val="24"/>
          <w:lang w:val="en-US"/>
        </w:rPr>
        <w:t>乙方在甲方处开展相关餐饮保障活动负责购买食品安全保险和公众责任险。如在餐厅内发生滑倒、摔伤等事件的，由乙方承担各项责任。</w:t>
      </w:r>
      <w:r>
        <w:rPr>
          <w:rFonts w:hint="eastAsia" w:ascii="仿宋" w:hAnsi="仿宋" w:eastAsia="仿宋" w:cs="仿宋"/>
          <w:b w:val="0"/>
          <w:kern w:val="2"/>
          <w:sz w:val="24"/>
          <w:szCs w:val="24"/>
          <w:lang w:val="en-US" w:eastAsia="zh-CN"/>
        </w:rPr>
        <w:t>如乙方与受害方达不成共识，可请第三方法律机构裁决</w:t>
      </w:r>
      <w:r>
        <w:rPr>
          <w:rFonts w:hint="eastAsia" w:ascii="仿宋" w:hAnsi="仿宋" w:eastAsia="仿宋" w:cs="仿宋"/>
          <w:b w:val="0"/>
          <w:kern w:val="2"/>
          <w:sz w:val="24"/>
          <w:szCs w:val="24"/>
          <w:lang w:val="en-US"/>
        </w:rPr>
        <w:t>。</w:t>
      </w:r>
    </w:p>
    <w:p w14:paraId="54D0E24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（17）、乙方需聘用符合相关技术条件，取得相关资证和经过审验合格的人员参与餐厅工作并能够上墙公示，聘用人员需按照法律规定负责为其购买各类保险，签订劳动用工合同。</w:t>
      </w:r>
    </w:p>
    <w:p w14:paraId="1A25C3A5">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bCs/>
          <w:kern w:val="2"/>
          <w:sz w:val="24"/>
          <w:szCs w:val="24"/>
          <w:lang w:val="en-US"/>
        </w:rPr>
        <w:t>（18）、</w:t>
      </w:r>
      <w:r>
        <w:rPr>
          <w:rFonts w:hint="eastAsia" w:ascii="仿宋" w:hAnsi="仿宋" w:eastAsia="仿宋" w:cs="仿宋"/>
          <w:b w:val="0"/>
          <w:kern w:val="2"/>
          <w:sz w:val="24"/>
          <w:szCs w:val="24"/>
          <w:lang w:val="en-US"/>
        </w:rPr>
        <w:t>乙方在甲方餐厅管理合同内产生的劳务纠纷以及工伤事件由乙方全权负责。</w:t>
      </w:r>
    </w:p>
    <w:p w14:paraId="503ACA23">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bCs/>
          <w:kern w:val="2"/>
          <w:sz w:val="24"/>
          <w:szCs w:val="24"/>
          <w:lang w:val="en-US"/>
        </w:rPr>
        <w:t>（19）、</w:t>
      </w:r>
      <w:r>
        <w:rPr>
          <w:rFonts w:hint="eastAsia" w:ascii="仿宋" w:hAnsi="仿宋" w:eastAsia="仿宋" w:cs="仿宋"/>
          <w:b w:val="0"/>
          <w:kern w:val="2"/>
          <w:sz w:val="24"/>
          <w:szCs w:val="24"/>
          <w:lang w:val="en-US"/>
        </w:rPr>
        <w:t>乙方在进驻时要与甲方指定人员双方现场进行甲方提供的无偿供乙方使用的相关物资清查、设施设备盘点办理正式交接手续签字确认并留档备查，待管理期结束后双方根据设施设备使用年限及损耗再清点退还，如有损坏双方商定赔偿金额。</w:t>
      </w:r>
    </w:p>
    <w:p w14:paraId="55FD4AC0">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bCs/>
          <w:kern w:val="2"/>
          <w:sz w:val="24"/>
          <w:szCs w:val="24"/>
          <w:lang w:val="en-US"/>
        </w:rPr>
        <w:t>（20）、乙方有义务保护甲方移交无偿使用的设施设备（以清单为准），定期开展维护保养工作排除隐患，维护保养费用由乙方承担。在此期间因违规操作或故意损坏造成的损毁由乙方负责。</w:t>
      </w:r>
    </w:p>
    <w:p w14:paraId="1C4719C4">
      <w:pPr>
        <w:snapToGrid/>
        <w:spacing w:line="240" w:lineRule="auto"/>
        <w:ind w:firstLine="0" w:firstLineChars="0"/>
        <w:rPr>
          <w:rFonts w:hint="eastAsia" w:ascii="仿宋" w:hAnsi="仿宋" w:eastAsia="仿宋" w:cs="仿宋"/>
          <w:b w:val="0"/>
          <w:bCs/>
          <w:kern w:val="2"/>
          <w:sz w:val="24"/>
          <w:szCs w:val="24"/>
          <w:lang w:val="en-US"/>
        </w:rPr>
      </w:pPr>
      <w:r>
        <w:rPr>
          <w:rFonts w:hint="eastAsia" w:ascii="仿宋" w:hAnsi="仿宋" w:eastAsia="仿宋" w:cs="仿宋"/>
          <w:b w:val="0"/>
          <w:kern w:val="2"/>
          <w:sz w:val="24"/>
          <w:szCs w:val="24"/>
          <w:lang w:val="en-US"/>
        </w:rPr>
        <w:t>（21）、乙方</w:t>
      </w:r>
      <w:r>
        <w:rPr>
          <w:rFonts w:hint="eastAsia" w:ascii="仿宋" w:hAnsi="仿宋" w:eastAsia="仿宋" w:cs="仿宋"/>
          <w:b w:val="0"/>
          <w:bCs/>
          <w:kern w:val="2"/>
          <w:sz w:val="24"/>
          <w:szCs w:val="24"/>
          <w:lang w:val="en-US"/>
        </w:rPr>
        <w:t>在合同期内采购生产经营所需的各类设施设备，餐饮具餐炊具工具用具等张贴资产标签明示产权归乙方所有。</w:t>
      </w:r>
    </w:p>
    <w:p w14:paraId="49F5EA00">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kern w:val="2"/>
          <w:sz w:val="24"/>
          <w:szCs w:val="24"/>
          <w:lang w:val="en-US"/>
        </w:rPr>
        <w:t>（22）、乙方提供给甲方职工和患者的餐饮具要颜色形状分开，餐饮具洗消要分离，餐饮具管理分离避免交叉建立完备的洗消制度和档案。</w:t>
      </w:r>
    </w:p>
    <w:p w14:paraId="02DE78B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bCs/>
          <w:kern w:val="2"/>
          <w:sz w:val="24"/>
          <w:szCs w:val="24"/>
          <w:lang w:val="en-US"/>
        </w:rPr>
        <w:t>（23）、</w:t>
      </w:r>
      <w:r>
        <w:rPr>
          <w:rFonts w:hint="eastAsia" w:ascii="仿宋" w:hAnsi="仿宋" w:eastAsia="仿宋" w:cs="仿宋"/>
          <w:b w:val="0"/>
          <w:kern w:val="2"/>
          <w:sz w:val="24"/>
          <w:szCs w:val="24"/>
          <w:lang w:val="en-US"/>
        </w:rPr>
        <w:t>乙方有义务在与甲方的管理合同约定范围内对餐厅进行常规的维修服务工作。</w:t>
      </w:r>
    </w:p>
    <w:p w14:paraId="5CE34CC6">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bCs/>
          <w:kern w:val="2"/>
          <w:sz w:val="24"/>
          <w:szCs w:val="24"/>
          <w:lang w:val="en-US"/>
        </w:rPr>
        <w:t>（24）、乙方在管理期间需建立健全各类管理制度及设施设备操作流程，建立餐厅内饮食宣传文化并上墙公示。</w:t>
      </w:r>
    </w:p>
    <w:p w14:paraId="3A1F9012">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bCs/>
          <w:kern w:val="2"/>
          <w:sz w:val="24"/>
          <w:szCs w:val="24"/>
          <w:lang w:val="en-US"/>
        </w:rPr>
        <w:t>（25）、</w:t>
      </w:r>
      <w:r>
        <w:rPr>
          <w:rFonts w:hint="eastAsia" w:ascii="仿宋" w:hAnsi="仿宋" w:eastAsia="仿宋" w:cs="仿宋"/>
          <w:b w:val="0"/>
          <w:kern w:val="2"/>
          <w:sz w:val="24"/>
          <w:szCs w:val="24"/>
          <w:lang w:val="en-US"/>
        </w:rPr>
        <w:t>乙方在保障正常供餐服务的同时要配合甲方在职工餐厅举办的其他重大活动和重要接待的工作。</w:t>
      </w:r>
    </w:p>
    <w:p w14:paraId="1811D3FF">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（26）、乙方人员在甲方保障工作期间不得利用其甲方人员关系谋取私利，不得擅自到其他区域活动，不得打听窃取</w:t>
      </w:r>
      <w:r>
        <w:rPr>
          <w:rFonts w:hint="eastAsia" w:ascii="仿宋" w:hAnsi="仿宋" w:eastAsia="仿宋" w:cs="仿宋"/>
          <w:b w:val="0"/>
          <w:kern w:val="2"/>
          <w:sz w:val="24"/>
          <w:szCs w:val="24"/>
          <w:lang w:val="en-US" w:eastAsia="zh-CN"/>
        </w:rPr>
        <w:t>涉及</w:t>
      </w:r>
      <w:r>
        <w:rPr>
          <w:rFonts w:hint="eastAsia" w:ascii="仿宋" w:hAnsi="仿宋" w:eastAsia="仿宋" w:cs="仿宋"/>
          <w:b w:val="0"/>
          <w:kern w:val="2"/>
          <w:sz w:val="24"/>
          <w:szCs w:val="24"/>
          <w:lang w:val="en-US"/>
        </w:rPr>
        <w:t>甲方单位的各类信息，要严格做好各项保密工作，因乙方人员失职造成严重后果或社会不良影响的由乙方肇事人员及单位承担相关责任。</w:t>
      </w:r>
    </w:p>
    <w:p w14:paraId="730C4729">
      <w:pPr>
        <w:snapToGrid/>
        <w:spacing w:line="240" w:lineRule="auto"/>
        <w:ind w:firstLine="0" w:firstLineChars="0"/>
        <w:rPr>
          <w:rFonts w:hint="eastAsia" w:ascii="仿宋" w:hAnsi="仿宋" w:eastAsia="仿宋" w:cs="仿宋"/>
          <w:b/>
          <w:bCs/>
          <w:kern w:val="2"/>
          <w:sz w:val="24"/>
          <w:szCs w:val="24"/>
          <w:lang w:val="en-US"/>
        </w:rPr>
      </w:pPr>
      <w:r>
        <w:rPr>
          <w:rFonts w:hint="eastAsia" w:ascii="仿宋" w:hAnsi="仿宋" w:eastAsia="仿宋" w:cs="仿宋"/>
          <w:b w:val="0"/>
          <w:kern w:val="2"/>
          <w:sz w:val="24"/>
          <w:szCs w:val="24"/>
          <w:lang w:val="en-US"/>
        </w:rPr>
        <w:t>（27）、乙方要有专人和甲方人员沟通对接，应认真听取甲方提出的建议和意见并加以改进，接受甲方的考核管理。</w:t>
      </w:r>
    </w:p>
    <w:p w14:paraId="6D8EFB7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（28）、乙方员工在工作期间和公共区域活动期间遵守甲方的各项规章制度和要求。</w:t>
      </w:r>
    </w:p>
    <w:p w14:paraId="215A26DD">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（29）、乙方有义务做好医院内的环境秩序保持和配合医院开展公共性的工作，有义务配合甲方提出的力所能及的相关配合性工作。</w:t>
      </w:r>
    </w:p>
    <w:p w14:paraId="400714B4">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（30）、乙方有权利在第一期合同期满时提前60天与甲方</w:t>
      </w:r>
      <w:r>
        <w:rPr>
          <w:rFonts w:hint="eastAsia" w:ascii="仿宋" w:hAnsi="仿宋" w:eastAsia="仿宋" w:cs="仿宋"/>
          <w:b w:val="0"/>
          <w:kern w:val="2"/>
          <w:sz w:val="24"/>
          <w:szCs w:val="24"/>
          <w:lang w:val="en-US" w:eastAsia="zh-CN"/>
        </w:rPr>
        <w:t>进行关于</w:t>
      </w:r>
      <w:r>
        <w:rPr>
          <w:rFonts w:hint="eastAsia" w:ascii="仿宋" w:hAnsi="仿宋" w:eastAsia="仿宋" w:cs="仿宋"/>
          <w:b w:val="0"/>
          <w:kern w:val="2"/>
          <w:sz w:val="24"/>
          <w:szCs w:val="24"/>
          <w:lang w:val="en-US"/>
        </w:rPr>
        <w:t>第二期委托管理合同</w:t>
      </w:r>
      <w:r>
        <w:rPr>
          <w:rFonts w:hint="eastAsia" w:ascii="仿宋" w:hAnsi="仿宋" w:eastAsia="仿宋" w:cs="仿宋"/>
          <w:b w:val="0"/>
          <w:kern w:val="2"/>
          <w:sz w:val="24"/>
          <w:szCs w:val="24"/>
          <w:lang w:val="en-US" w:eastAsia="zh-CN"/>
        </w:rPr>
        <w:t>的对接</w:t>
      </w:r>
      <w:r>
        <w:rPr>
          <w:rFonts w:hint="eastAsia" w:ascii="仿宋" w:hAnsi="仿宋" w:eastAsia="仿宋" w:cs="仿宋"/>
          <w:b w:val="0"/>
          <w:kern w:val="2"/>
          <w:sz w:val="24"/>
          <w:szCs w:val="24"/>
          <w:lang w:val="en-US"/>
        </w:rPr>
        <w:t>，具体合同期限和委托管理模式双方可再行商定。</w:t>
      </w:r>
    </w:p>
    <w:p w14:paraId="324FB52A">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（3</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）、乙方在管理期间因生产经营违规被查封或停业造成不能继续供餐服务的甲方有权利对乙方进行通报整改、处罚、直到解除本合同</w:t>
      </w:r>
      <w:r>
        <w:rPr>
          <w:rFonts w:hint="eastAsia" w:ascii="仿宋" w:hAnsi="仿宋" w:eastAsia="仿宋" w:cs="仿宋"/>
          <w:b w:val="0"/>
          <w:kern w:val="2"/>
          <w:sz w:val="24"/>
          <w:szCs w:val="24"/>
          <w:lang w:val="en-US" w:eastAsia="zh-CN"/>
        </w:rPr>
        <w:t>，</w:t>
      </w:r>
      <w:r>
        <w:rPr>
          <w:rFonts w:hint="eastAsia" w:ascii="仿宋" w:hAnsi="仿宋" w:eastAsia="仿宋" w:cs="仿宋"/>
          <w:b w:val="0"/>
          <w:kern w:val="2"/>
          <w:sz w:val="24"/>
          <w:szCs w:val="24"/>
          <w:lang w:val="en-US"/>
        </w:rPr>
        <w:t>乙方因其他原因不能继续履约的本合同自然解除。</w:t>
      </w:r>
    </w:p>
    <w:p w14:paraId="4D680EA1">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（3</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）、双方合同期满</w:t>
      </w:r>
      <w:r>
        <w:rPr>
          <w:rFonts w:hint="eastAsia" w:ascii="仿宋" w:hAnsi="仿宋" w:eastAsia="仿宋" w:cs="仿宋"/>
          <w:b w:val="0"/>
          <w:kern w:val="2"/>
          <w:sz w:val="24"/>
          <w:szCs w:val="24"/>
          <w:lang w:val="en-US" w:eastAsia="zh-CN"/>
        </w:rPr>
        <w:t>且</w:t>
      </w:r>
      <w:r>
        <w:rPr>
          <w:rFonts w:hint="eastAsia" w:ascii="仿宋" w:hAnsi="仿宋" w:eastAsia="仿宋" w:cs="仿宋"/>
          <w:b w:val="0"/>
          <w:kern w:val="2"/>
          <w:sz w:val="24"/>
          <w:szCs w:val="24"/>
          <w:lang w:val="en-US"/>
        </w:rPr>
        <w:t>第二合同期协商未果不能继续托管的，乙方投入的可移动资产及设施设备归乙方所有，需在合同期满后</w:t>
      </w:r>
      <w:r>
        <w:rPr>
          <w:rFonts w:hint="eastAsia" w:ascii="仿宋" w:hAnsi="仿宋" w:eastAsia="仿宋" w:cs="仿宋"/>
          <w:b w:val="0"/>
          <w:kern w:val="2"/>
          <w:sz w:val="24"/>
          <w:szCs w:val="24"/>
          <w:lang w:val="en-US" w:eastAsia="zh-CN"/>
        </w:rPr>
        <w:t>15</w:t>
      </w:r>
      <w:r>
        <w:rPr>
          <w:rFonts w:hint="eastAsia" w:ascii="仿宋" w:hAnsi="仿宋" w:eastAsia="仿宋" w:cs="仿宋"/>
          <w:b w:val="0"/>
          <w:kern w:val="2"/>
          <w:sz w:val="24"/>
          <w:szCs w:val="24"/>
          <w:lang w:val="en-US"/>
        </w:rPr>
        <w:t>日内自行搬离，如未搬离视为对物品设备所有权的主动放弃，甲方可自行任意处置且不承担任何责任。涉及装修的各类不可移动资产和设施、其他不可移动设备、设施或移动后将导致价值（使用价值）丧失的设备设施物品的均归甲方所有，乙方不得进行拆除破坏。</w:t>
      </w:r>
      <w:r>
        <w:rPr>
          <w:rFonts w:hint="eastAsia" w:ascii="仿宋" w:hAnsi="仿宋" w:eastAsia="仿宋" w:cs="仿宋"/>
          <w:b w:val="0"/>
          <w:kern w:val="2"/>
          <w:sz w:val="24"/>
          <w:szCs w:val="24"/>
          <w:lang w:val="en-US" w:eastAsia="zh-CN"/>
        </w:rPr>
        <w:t>双方在合同期内因故解除本合同时乙方投入的可移动资产及设备归乙方所有，乙方投入装修及其他不可移动设备、设施或</w:t>
      </w:r>
      <w:r>
        <w:rPr>
          <w:rFonts w:hint="eastAsia" w:ascii="仿宋" w:hAnsi="仿宋" w:eastAsia="仿宋" w:cs="仿宋"/>
          <w:b w:val="0"/>
          <w:kern w:val="2"/>
          <w:sz w:val="24"/>
          <w:szCs w:val="24"/>
          <w:lang w:val="en-US"/>
        </w:rPr>
        <w:t>移动后将导致价值（使用价值）丧失的设备设施物品的均</w:t>
      </w:r>
      <w:r>
        <w:rPr>
          <w:rFonts w:hint="eastAsia" w:ascii="仿宋" w:hAnsi="仿宋" w:eastAsia="仿宋" w:cs="仿宋"/>
          <w:b w:val="0"/>
          <w:kern w:val="2"/>
          <w:sz w:val="24"/>
          <w:szCs w:val="24"/>
          <w:lang w:val="en-US" w:eastAsia="zh-CN"/>
        </w:rPr>
        <w:t>归乙</w:t>
      </w:r>
      <w:r>
        <w:rPr>
          <w:rFonts w:hint="eastAsia" w:ascii="仿宋" w:hAnsi="仿宋" w:eastAsia="仿宋" w:cs="仿宋"/>
          <w:b w:val="0"/>
          <w:kern w:val="2"/>
          <w:sz w:val="24"/>
          <w:szCs w:val="24"/>
          <w:lang w:val="en-US"/>
        </w:rPr>
        <w:t>方所有，</w:t>
      </w:r>
      <w:r>
        <w:rPr>
          <w:rFonts w:hint="eastAsia" w:ascii="仿宋" w:hAnsi="仿宋" w:eastAsia="仿宋" w:cs="仿宋"/>
          <w:b w:val="0"/>
          <w:kern w:val="2"/>
          <w:sz w:val="24"/>
          <w:szCs w:val="24"/>
          <w:lang w:val="en-US" w:eastAsia="zh-CN"/>
        </w:rPr>
        <w:t>乙方有权利与后续接管方进行协商议价处理。协商期为三十个日历日，如达不成共识，不得阻碍餐厅营业。</w:t>
      </w:r>
    </w:p>
    <w:p w14:paraId="5863D3B3">
      <w:pPr>
        <w:snapToGrid/>
        <w:spacing w:line="240" w:lineRule="auto"/>
        <w:ind w:firstLine="0" w:firstLineChars="0"/>
        <w:rPr>
          <w:rFonts w:hint="eastAsia" w:ascii="仿宋" w:hAnsi="仿宋" w:eastAsia="仿宋" w:cs="仿宋"/>
          <w:b w:val="0"/>
          <w:color w:val="auto"/>
          <w:kern w:val="2"/>
          <w:sz w:val="24"/>
          <w:szCs w:val="24"/>
          <w:lang w:val="en-US"/>
        </w:rPr>
      </w:pPr>
      <w:r>
        <w:rPr>
          <w:rFonts w:hint="eastAsia" w:ascii="仿宋" w:hAnsi="仿宋" w:eastAsia="仿宋" w:cs="仿宋"/>
          <w:b w:val="0"/>
          <w:color w:val="auto"/>
          <w:kern w:val="2"/>
          <w:sz w:val="24"/>
          <w:szCs w:val="24"/>
          <w:lang w:val="en-US"/>
        </w:rPr>
        <w:t>（3</w:t>
      </w:r>
      <w:r>
        <w:rPr>
          <w:rFonts w:hint="eastAsia" w:ascii="仿宋" w:hAnsi="仿宋" w:eastAsia="仿宋" w:cs="仿宋"/>
          <w:b w:val="0"/>
          <w:color w:val="auto"/>
          <w:kern w:val="2"/>
          <w:sz w:val="24"/>
          <w:szCs w:val="24"/>
          <w:lang w:val="en-US" w:eastAsia="zh-CN"/>
        </w:rPr>
        <w:t>3</w:t>
      </w:r>
      <w:r>
        <w:rPr>
          <w:rFonts w:hint="eastAsia" w:ascii="仿宋" w:hAnsi="仿宋" w:eastAsia="仿宋" w:cs="仿宋"/>
          <w:b w:val="0"/>
          <w:color w:val="auto"/>
          <w:kern w:val="2"/>
          <w:sz w:val="24"/>
          <w:szCs w:val="24"/>
          <w:lang w:val="en-US"/>
        </w:rPr>
        <w:t>）、甲方餐厅</w:t>
      </w:r>
      <w:r>
        <w:rPr>
          <w:rFonts w:hint="eastAsia" w:ascii="仿宋" w:hAnsi="仿宋" w:eastAsia="仿宋" w:cs="仿宋"/>
          <w:b w:val="0"/>
          <w:color w:val="auto"/>
          <w:kern w:val="2"/>
          <w:sz w:val="24"/>
          <w:szCs w:val="24"/>
          <w:lang w:val="en-US" w:eastAsia="zh-CN"/>
        </w:rPr>
        <w:t xml:space="preserve">    </w:t>
      </w:r>
      <w:r>
        <w:rPr>
          <w:rFonts w:hint="eastAsia" w:ascii="仿宋" w:hAnsi="仿宋" w:eastAsia="仿宋" w:cs="仿宋"/>
          <w:b w:val="0"/>
          <w:color w:val="auto"/>
          <w:kern w:val="2"/>
          <w:sz w:val="24"/>
          <w:szCs w:val="24"/>
          <w:lang w:val="en-US"/>
        </w:rPr>
        <w:t>年</w:t>
      </w:r>
      <w:r>
        <w:rPr>
          <w:rFonts w:hint="eastAsia" w:ascii="仿宋" w:hAnsi="仿宋" w:eastAsia="仿宋" w:cs="仿宋"/>
          <w:b w:val="0"/>
          <w:color w:val="auto"/>
          <w:kern w:val="2"/>
          <w:sz w:val="24"/>
          <w:szCs w:val="24"/>
          <w:lang w:val="en-US" w:eastAsia="zh-CN"/>
        </w:rPr>
        <w:t xml:space="preserve">    </w:t>
      </w:r>
      <w:r>
        <w:rPr>
          <w:rFonts w:hint="eastAsia" w:ascii="仿宋" w:hAnsi="仿宋" w:eastAsia="仿宋" w:cs="仿宋"/>
          <w:b w:val="0"/>
          <w:color w:val="auto"/>
          <w:kern w:val="2"/>
          <w:sz w:val="24"/>
          <w:szCs w:val="24"/>
          <w:lang w:val="en-US"/>
        </w:rPr>
        <w:t>月</w:t>
      </w:r>
      <w:r>
        <w:rPr>
          <w:rFonts w:hint="eastAsia" w:ascii="仿宋" w:hAnsi="仿宋" w:eastAsia="仿宋" w:cs="仿宋"/>
          <w:b w:val="0"/>
          <w:color w:val="auto"/>
          <w:kern w:val="2"/>
          <w:sz w:val="24"/>
          <w:szCs w:val="24"/>
          <w:lang w:val="en-US" w:eastAsia="zh-CN"/>
        </w:rPr>
        <w:t xml:space="preserve">    </w:t>
      </w:r>
      <w:r>
        <w:rPr>
          <w:rFonts w:hint="eastAsia" w:ascii="仿宋" w:hAnsi="仿宋" w:eastAsia="仿宋" w:cs="仿宋"/>
          <w:b w:val="0"/>
          <w:color w:val="auto"/>
          <w:kern w:val="2"/>
          <w:sz w:val="24"/>
          <w:szCs w:val="24"/>
          <w:lang w:val="en-US"/>
        </w:rPr>
        <w:t>日前所涉及的各项纠纷及产生的费用与乙方无关，由甲方全权负责。</w:t>
      </w:r>
    </w:p>
    <w:p w14:paraId="1B85485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第六条 乙方按下列约定实现管理目标：</w:t>
      </w:r>
    </w:p>
    <w:p w14:paraId="6802CB21">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单位对餐厅管理的总满意率在85%以上；房屋及设备、设施完好率90%以上；维修及时率90%以上，急修及时率90%；维修项目合格率90%以上；投诉处理率95%以上；主动接受甲方管理人员《</w:t>
      </w:r>
      <w:r>
        <w:rPr>
          <w:rFonts w:hint="eastAsia" w:ascii="仿宋" w:hAnsi="仿宋" w:eastAsia="仿宋" w:cs="仿宋"/>
          <w:b w:val="0"/>
          <w:kern w:val="2"/>
          <w:sz w:val="24"/>
          <w:szCs w:val="24"/>
          <w:lang w:val="en-US" w:eastAsia="zh-CN"/>
        </w:rPr>
        <w:t>昌吉回族自治州人民医院食堂餐饮服务单位绩效考核标准</w:t>
      </w:r>
      <w:r>
        <w:rPr>
          <w:rFonts w:hint="eastAsia" w:ascii="仿宋" w:hAnsi="仿宋" w:eastAsia="仿宋" w:cs="仿宋"/>
          <w:b w:val="0"/>
          <w:kern w:val="2"/>
          <w:sz w:val="24"/>
          <w:szCs w:val="24"/>
          <w:lang w:val="en-US"/>
        </w:rPr>
        <w:t>》。</w:t>
      </w:r>
    </w:p>
    <w:p w14:paraId="59C2CB2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第七条 违约责任</w:t>
      </w:r>
    </w:p>
    <w:p w14:paraId="107355DD">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1、由于甲方未履行本合同中所约定之内容，使乙方不能完成餐厅管理目标的，乙方有权要求甲方在一定期限内解决，逾期未解决的，乙方有权终止合同，造成乙方经济损失的</w:t>
      </w:r>
      <w:r>
        <w:rPr>
          <w:rFonts w:hint="eastAsia" w:ascii="仿宋" w:hAnsi="仿宋" w:eastAsia="仿宋" w:cs="仿宋"/>
          <w:b w:val="0"/>
          <w:kern w:val="2"/>
          <w:sz w:val="24"/>
          <w:szCs w:val="24"/>
          <w:lang w:val="en-US" w:eastAsia="zh-CN"/>
        </w:rPr>
        <w:t>甲方</w:t>
      </w:r>
      <w:r>
        <w:rPr>
          <w:rFonts w:hint="eastAsia" w:ascii="仿宋" w:hAnsi="仿宋" w:eastAsia="仿宋" w:cs="仿宋"/>
          <w:b w:val="0"/>
          <w:kern w:val="2"/>
          <w:sz w:val="24"/>
          <w:szCs w:val="24"/>
          <w:lang w:val="en-US"/>
        </w:rPr>
        <w:t>赔偿乙方的实际经济损失。</w:t>
      </w:r>
    </w:p>
    <w:p w14:paraId="66A271FA">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2、由于乙方未履行本合同中所约定之内容，从而不能完成餐厅管理服务目标的，甲方有权要求乙方在一定期限内整改，逾期未整改的；甲方有权终止合同，造成甲方经济损失的乙方赔偿甲方的实际经济损失。</w:t>
      </w:r>
    </w:p>
    <w:p w14:paraId="1AA4F634">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3、甲乙双方中任何一方无法律依据和正当理由提前终止合同，造成另一方经济损失的，</w:t>
      </w:r>
      <w:r>
        <w:rPr>
          <w:rFonts w:hint="eastAsia" w:ascii="仿宋" w:hAnsi="仿宋" w:eastAsia="仿宋" w:cs="仿宋"/>
          <w:b w:val="0"/>
          <w:color w:val="auto"/>
          <w:kern w:val="2"/>
          <w:sz w:val="24"/>
          <w:szCs w:val="24"/>
          <w:lang w:val="en-US"/>
        </w:rPr>
        <w:t>违约方应赔偿守约方上1个月餐厅营业总额作为违约金，造成其他经济的应另行给予经济赔偿</w:t>
      </w:r>
      <w:r>
        <w:rPr>
          <w:rFonts w:hint="eastAsia" w:ascii="仿宋" w:hAnsi="仿宋" w:eastAsia="仿宋" w:cs="仿宋"/>
          <w:b w:val="0"/>
          <w:kern w:val="2"/>
          <w:sz w:val="24"/>
          <w:szCs w:val="24"/>
          <w:lang w:val="en-US"/>
        </w:rPr>
        <w:t>。</w:t>
      </w:r>
    </w:p>
    <w:p w14:paraId="7B856BD1">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4、管理服务项目增加或变更时，由双方协商相关费用的具体调整办法。</w:t>
      </w:r>
    </w:p>
    <w:p w14:paraId="761C8A7C">
      <w:pPr>
        <w:snapToGrid/>
        <w:spacing w:line="240" w:lineRule="auto"/>
        <w:ind w:firstLine="0" w:firstLineChars="0"/>
        <w:rPr>
          <w:rFonts w:hint="eastAsia" w:ascii="仿宋" w:hAnsi="仿宋" w:eastAsia="仿宋" w:cs="仿宋"/>
          <w:b w:val="0"/>
          <w:color w:val="FF0000"/>
          <w:kern w:val="2"/>
          <w:sz w:val="24"/>
          <w:szCs w:val="24"/>
          <w:lang w:val="en-US"/>
        </w:rPr>
      </w:pPr>
      <w:r>
        <w:rPr>
          <w:rFonts w:hint="eastAsia" w:ascii="仿宋" w:hAnsi="仿宋" w:eastAsia="仿宋" w:cs="仿宋"/>
          <w:b/>
          <w:bCs/>
          <w:color w:val="auto"/>
          <w:kern w:val="2"/>
          <w:sz w:val="24"/>
          <w:szCs w:val="24"/>
          <w:lang w:val="en-US"/>
        </w:rPr>
        <w:t xml:space="preserve">第八条 </w:t>
      </w:r>
      <w:r>
        <w:rPr>
          <w:rFonts w:hint="eastAsia" w:ascii="仿宋" w:hAnsi="仿宋" w:eastAsia="仿宋" w:cs="仿宋"/>
          <w:b w:val="0"/>
          <w:kern w:val="2"/>
          <w:sz w:val="24"/>
          <w:szCs w:val="24"/>
          <w:lang w:val="en-US"/>
        </w:rPr>
        <w:t xml:space="preserve"> 争议之解决方式：本合同执行中如发生争议，甲乙双方应通过友好协商解决，协商不成的，可向合同履行地法院提起诉讼。</w:t>
      </w:r>
    </w:p>
    <w:p w14:paraId="56544FD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第九条</w:t>
      </w:r>
      <w:r>
        <w:rPr>
          <w:rFonts w:hint="eastAsia" w:ascii="仿宋" w:hAnsi="仿宋" w:eastAsia="仿宋" w:cs="仿宋"/>
          <w:b w:val="0"/>
          <w:kern w:val="2"/>
          <w:sz w:val="24"/>
          <w:szCs w:val="24"/>
          <w:lang w:val="en-US"/>
        </w:rPr>
        <w:t xml:space="preserve"> 双方可对本合同之条款进行补充，以书面形式签订补充协议，补充协议与合同具有同等效力。</w:t>
      </w:r>
    </w:p>
    <w:p w14:paraId="48DBA281">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 xml:space="preserve">第十条 </w:t>
      </w:r>
      <w:r>
        <w:rPr>
          <w:rFonts w:hint="eastAsia" w:ascii="仿宋" w:hAnsi="仿宋" w:eastAsia="仿宋" w:cs="仿宋"/>
          <w:b w:val="0"/>
          <w:kern w:val="2"/>
          <w:sz w:val="24"/>
          <w:szCs w:val="24"/>
          <w:lang w:val="en-US"/>
        </w:rPr>
        <w:t xml:space="preserve"> 本合同及附件和补充协议未规定之事宜，均遵照中华人民共和国有关法律、法规执行。</w:t>
      </w:r>
    </w:p>
    <w:p w14:paraId="588F94E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第十一条</w:t>
      </w:r>
      <w:r>
        <w:rPr>
          <w:rFonts w:hint="eastAsia" w:ascii="仿宋" w:hAnsi="仿宋" w:eastAsia="仿宋" w:cs="仿宋"/>
          <w:b w:val="0"/>
          <w:kern w:val="2"/>
          <w:sz w:val="24"/>
          <w:szCs w:val="24"/>
          <w:lang w:val="en-US"/>
        </w:rPr>
        <w:t xml:space="preserve">  本合同在履行期间，如遇不可抗力，致使合同无法履行时，双方应按有关法律规定及时协商处理</w:t>
      </w:r>
    </w:p>
    <w:p w14:paraId="4142F2D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第十二条</w:t>
      </w:r>
      <w:r>
        <w:rPr>
          <w:rFonts w:hint="eastAsia" w:ascii="仿宋" w:hAnsi="仿宋" w:eastAsia="仿宋" w:cs="仿宋"/>
          <w:b w:val="0"/>
          <w:kern w:val="2"/>
          <w:sz w:val="24"/>
          <w:szCs w:val="24"/>
          <w:lang w:val="en-US"/>
        </w:rPr>
        <w:t xml:space="preserve"> 本合同及附件</w:t>
      </w:r>
      <w:r>
        <w:rPr>
          <w:rFonts w:hint="eastAsia" w:ascii="仿宋" w:hAnsi="仿宋" w:eastAsia="仿宋" w:cs="仿宋"/>
          <w:b w:val="0"/>
          <w:kern w:val="2"/>
          <w:sz w:val="24"/>
          <w:szCs w:val="24"/>
          <w:lang w:val="en-US" w:eastAsia="zh-CN"/>
        </w:rPr>
        <w:t>（后附移交清单、图纸）</w:t>
      </w:r>
      <w:r>
        <w:rPr>
          <w:rFonts w:hint="eastAsia" w:ascii="仿宋" w:hAnsi="仿宋" w:eastAsia="仿宋" w:cs="仿宋"/>
          <w:b w:val="0"/>
          <w:kern w:val="2"/>
          <w:sz w:val="24"/>
          <w:szCs w:val="24"/>
          <w:lang w:val="en-US"/>
        </w:rPr>
        <w:t>共陆份,甲、乙双方各执叁份，具有同等法律效力。</w:t>
      </w:r>
    </w:p>
    <w:p w14:paraId="2854A143">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第十三条</w:t>
      </w:r>
      <w:r>
        <w:rPr>
          <w:rFonts w:hint="eastAsia" w:ascii="仿宋" w:hAnsi="仿宋" w:eastAsia="仿宋" w:cs="仿宋"/>
          <w:b w:val="0"/>
          <w:kern w:val="2"/>
          <w:sz w:val="24"/>
          <w:szCs w:val="24"/>
          <w:lang w:val="en-US"/>
        </w:rPr>
        <w:t xml:space="preserve"> 本合同由双方代表签字盖章后即生效。</w:t>
      </w:r>
    </w:p>
    <w:p w14:paraId="288E2DAF">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附件：一、《餐厅设施、设备移交清单》</w:t>
      </w:r>
    </w:p>
    <w:p w14:paraId="5FC93A03">
      <w:pPr>
        <w:numPr>
          <w:ilvl w:val="0"/>
          <w:numId w:val="78"/>
        </w:numPr>
        <w:snapToGrid/>
        <w:spacing w:line="240" w:lineRule="auto"/>
        <w:ind w:left="840" w:leftChars="0"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《餐厅改造布局图》</w:t>
      </w:r>
    </w:p>
    <w:p w14:paraId="7FDFB9EA">
      <w:pPr>
        <w:numPr>
          <w:ilvl w:val="0"/>
          <w:numId w:val="78"/>
        </w:numPr>
        <w:snapToGrid/>
        <w:spacing w:line="240" w:lineRule="auto"/>
        <w:ind w:left="840" w:leftChars="0" w:firstLine="0" w:firstLineChars="0"/>
        <w:rPr>
          <w:rFonts w:hint="eastAsia" w:ascii="仿宋" w:hAnsi="仿宋" w:eastAsia="仿宋" w:cs="仿宋"/>
          <w:b w:val="0"/>
          <w:kern w:val="0"/>
          <w:sz w:val="24"/>
          <w:szCs w:val="24"/>
          <w:highlight w:val="none"/>
          <w:shd w:val="clear" w:color="auto" w:fill="auto"/>
          <w:lang w:val="en-US" w:eastAsia="zh-CN"/>
        </w:rPr>
      </w:pPr>
      <w:r>
        <w:rPr>
          <w:rFonts w:hint="eastAsia" w:ascii="仿宋" w:hAnsi="仿宋" w:eastAsia="仿宋" w:cs="仿宋"/>
          <w:b w:val="0"/>
          <w:kern w:val="2"/>
          <w:sz w:val="24"/>
          <w:szCs w:val="24"/>
          <w:lang w:val="en-US" w:eastAsia="zh-CN"/>
        </w:rPr>
        <w:t>《昌吉回族自治州人民医院食堂承包管理方案》</w:t>
      </w:r>
    </w:p>
    <w:p w14:paraId="34BA33EC">
      <w:pPr>
        <w:numPr>
          <w:ilvl w:val="0"/>
          <w:numId w:val="0"/>
        </w:numPr>
        <w:snapToGrid/>
        <w:spacing w:line="240" w:lineRule="auto"/>
        <w:ind w:left="840" w:leftChars="0" w:firstLine="0" w:firstLineChars="0"/>
        <w:rPr>
          <w:rFonts w:hint="eastAsia" w:ascii="仿宋" w:hAnsi="仿宋" w:eastAsia="仿宋" w:cs="仿宋"/>
          <w:b w:val="0"/>
          <w:kern w:val="2"/>
          <w:sz w:val="24"/>
          <w:szCs w:val="24"/>
          <w:lang w:val="en-US" w:eastAsia="zh-CN"/>
        </w:rPr>
      </w:pPr>
    </w:p>
    <w:p w14:paraId="12D731C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甲方：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 xml:space="preserve"> 乙方：</w:t>
      </w:r>
    </w:p>
    <w:p w14:paraId="33986ADF">
      <w:pPr>
        <w:snapToGrid/>
        <w:spacing w:line="240" w:lineRule="auto"/>
        <w:ind w:left="5880" w:hanging="5040" w:hangingChars="2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地址：昌吉市延安北路303号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地址：</w:t>
      </w:r>
    </w:p>
    <w:p w14:paraId="071E12E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法定</w:t>
      </w:r>
      <w:r>
        <w:rPr>
          <w:rFonts w:hint="eastAsia" w:ascii="仿宋" w:hAnsi="仿宋" w:eastAsia="仿宋" w:cs="仿宋"/>
          <w:b w:val="0"/>
          <w:kern w:val="2"/>
          <w:sz w:val="24"/>
          <w:szCs w:val="24"/>
          <w:lang w:val="en-US"/>
        </w:rPr>
        <w:t>代表人：</w:t>
      </w:r>
      <w:r>
        <w:rPr>
          <w:rFonts w:hint="eastAsia" w:ascii="仿宋" w:hAnsi="仿宋" w:eastAsia="仿宋" w:cs="仿宋"/>
          <w:b w:val="0"/>
          <w:kern w:val="2"/>
          <w:sz w:val="24"/>
          <w:szCs w:val="24"/>
          <w:lang w:val="en-US" w:eastAsia="zh-CN"/>
        </w:rPr>
        <w:t xml:space="preserve">                        法定</w:t>
      </w:r>
      <w:r>
        <w:rPr>
          <w:rFonts w:hint="eastAsia" w:ascii="仿宋" w:hAnsi="仿宋" w:eastAsia="仿宋" w:cs="仿宋"/>
          <w:b w:val="0"/>
          <w:kern w:val="2"/>
          <w:sz w:val="24"/>
          <w:szCs w:val="24"/>
          <w:lang w:val="en-US"/>
        </w:rPr>
        <w:t>代表人：</w:t>
      </w:r>
      <w:r>
        <w:rPr>
          <w:rFonts w:hint="eastAsia" w:ascii="仿宋" w:hAnsi="仿宋" w:eastAsia="仿宋" w:cs="仿宋"/>
          <w:b w:val="0"/>
          <w:kern w:val="2"/>
          <w:sz w:val="24"/>
          <w:szCs w:val="24"/>
          <w:lang w:val="en-US" w:eastAsia="zh-CN"/>
        </w:rPr>
        <w:t xml:space="preserve">           </w:t>
      </w:r>
    </w:p>
    <w:p w14:paraId="7103382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 xml:space="preserve">委托人：                        </w:t>
      </w: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委托人：</w:t>
      </w:r>
      <w:r>
        <w:rPr>
          <w:rFonts w:hint="eastAsia" w:ascii="仿宋" w:hAnsi="仿宋" w:eastAsia="仿宋" w:cs="仿宋"/>
          <w:b w:val="0"/>
          <w:kern w:val="2"/>
          <w:sz w:val="24"/>
          <w:szCs w:val="24"/>
          <w:lang w:val="en-US"/>
        </w:rPr>
        <w:t xml:space="preserve">                         </w:t>
      </w:r>
    </w:p>
    <w:p w14:paraId="3E19ABF3">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时间：</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时间：</w:t>
      </w:r>
    </w:p>
    <w:p w14:paraId="05357E5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联系电话：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联系电话：</w:t>
      </w:r>
    </w:p>
    <w:p w14:paraId="36687DB3">
      <w:pPr>
        <w:snapToGrid/>
        <w:spacing w:line="240" w:lineRule="auto"/>
        <w:ind w:firstLine="0" w:firstLineChars="0"/>
        <w:rPr>
          <w:rFonts w:hint="eastAsia" w:ascii="仿宋" w:hAnsi="仿宋" w:eastAsia="仿宋" w:cs="仿宋"/>
          <w:b w:val="0"/>
          <w:kern w:val="2"/>
          <w:sz w:val="24"/>
          <w:szCs w:val="24"/>
          <w:lang w:val="en-US"/>
        </w:rPr>
      </w:pPr>
    </w:p>
    <w:p w14:paraId="059D2CB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备注：</w:t>
      </w:r>
    </w:p>
    <w:p w14:paraId="7DADD01E">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甲方付款信息</w:t>
      </w:r>
    </w:p>
    <w:p w14:paraId="169AFF98">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单位名称：</w:t>
      </w:r>
    </w:p>
    <w:p w14:paraId="5F8A8CA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事业法人证号</w:t>
      </w:r>
      <w:r>
        <w:rPr>
          <w:rFonts w:hint="eastAsia" w:ascii="仿宋" w:hAnsi="仿宋" w:eastAsia="仿宋" w:cs="仿宋"/>
          <w:b w:val="0"/>
          <w:kern w:val="2"/>
          <w:sz w:val="24"/>
          <w:szCs w:val="24"/>
          <w:lang w:val="en-US"/>
        </w:rPr>
        <w:t>：</w:t>
      </w:r>
    </w:p>
    <w:p w14:paraId="4F18D94A">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开户行及账号：</w:t>
      </w:r>
    </w:p>
    <w:p w14:paraId="02999E6D">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地址：</w:t>
      </w:r>
    </w:p>
    <w:p w14:paraId="28A23F8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电话：</w:t>
      </w:r>
    </w:p>
    <w:p w14:paraId="39AABF90">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乙方付款信息</w:t>
      </w:r>
    </w:p>
    <w:p w14:paraId="38335705">
      <w:pPr>
        <w:snapToGrid/>
        <w:spacing w:line="240" w:lineRule="auto"/>
        <w:ind w:firstLine="0" w:firstLineChars="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rPr>
        <w:t>单位名称：</w:t>
      </w:r>
      <w:r>
        <w:rPr>
          <w:rFonts w:hint="eastAsia" w:ascii="仿宋" w:hAnsi="仿宋" w:eastAsia="仿宋" w:cs="仿宋"/>
          <w:b w:val="0"/>
          <w:kern w:val="2"/>
          <w:sz w:val="24"/>
          <w:szCs w:val="24"/>
          <w:lang w:val="en-US" w:eastAsia="zh-CN"/>
        </w:rPr>
        <w:t xml:space="preserve"> </w:t>
      </w:r>
    </w:p>
    <w:p w14:paraId="4E349190">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纳税人识别号：</w:t>
      </w:r>
    </w:p>
    <w:p w14:paraId="0A35AB11">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开户行及账号：</w:t>
      </w:r>
    </w:p>
    <w:p w14:paraId="7479740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地址：</w:t>
      </w:r>
    </w:p>
    <w:p w14:paraId="389BAF2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电话：</w:t>
      </w:r>
    </w:p>
    <w:p w14:paraId="41B378E7">
      <w:pPr>
        <w:snapToGrid/>
        <w:spacing w:line="240" w:lineRule="auto"/>
        <w:ind w:firstLine="0" w:firstLineChars="0"/>
        <w:rPr>
          <w:rFonts w:hint="eastAsia" w:ascii="仿宋" w:hAnsi="仿宋" w:eastAsia="仿宋" w:cs="仿宋"/>
          <w:b w:val="0"/>
          <w:kern w:val="2"/>
          <w:sz w:val="24"/>
          <w:szCs w:val="24"/>
          <w:lang w:val="en-US"/>
        </w:rPr>
      </w:pPr>
    </w:p>
    <w:p w14:paraId="5372C838">
      <w:pPr>
        <w:snapToGrid/>
        <w:spacing w:line="240" w:lineRule="auto"/>
        <w:ind w:firstLine="0" w:firstLineChars="0"/>
        <w:rPr>
          <w:rFonts w:hint="eastAsia" w:ascii="仿宋" w:hAnsi="仿宋" w:eastAsia="仿宋" w:cs="仿宋"/>
          <w:b w:val="0"/>
          <w:kern w:val="2"/>
          <w:sz w:val="24"/>
          <w:szCs w:val="24"/>
          <w:lang w:val="en-US"/>
        </w:rPr>
      </w:pPr>
    </w:p>
    <w:p w14:paraId="60772518">
      <w:pPr>
        <w:snapToGrid/>
        <w:spacing w:line="240" w:lineRule="auto"/>
        <w:ind w:firstLine="0" w:firstLineChars="0"/>
        <w:rPr>
          <w:rFonts w:hint="eastAsia" w:ascii="宋体" w:hAnsi="宋体" w:cs="Arial"/>
          <w:b w:val="0"/>
          <w:kern w:val="2"/>
          <w:sz w:val="28"/>
          <w:szCs w:val="28"/>
          <w:lang w:val="en-US"/>
        </w:rPr>
      </w:pPr>
    </w:p>
    <w:p w14:paraId="15EFFA4C">
      <w:pPr>
        <w:snapToGrid/>
        <w:spacing w:line="240" w:lineRule="auto"/>
        <w:ind w:firstLine="0" w:firstLineChars="0"/>
        <w:rPr>
          <w:rFonts w:hint="eastAsia" w:ascii="宋体" w:hAnsi="宋体" w:cs="Arial"/>
          <w:b w:val="0"/>
          <w:kern w:val="2"/>
          <w:sz w:val="28"/>
          <w:szCs w:val="28"/>
          <w:lang w:val="en-US"/>
        </w:rPr>
      </w:pPr>
    </w:p>
    <w:p w14:paraId="41E69962">
      <w:pPr>
        <w:snapToGrid/>
        <w:spacing w:line="240" w:lineRule="auto"/>
        <w:ind w:firstLine="0" w:firstLineChars="0"/>
        <w:rPr>
          <w:rFonts w:hint="eastAsia" w:ascii="宋体" w:hAnsi="宋体" w:cs="Arial"/>
          <w:b w:val="0"/>
          <w:kern w:val="2"/>
          <w:sz w:val="28"/>
          <w:szCs w:val="28"/>
          <w:lang w:val="en-US"/>
        </w:rPr>
      </w:pPr>
    </w:p>
    <w:p w14:paraId="7E6C66CC">
      <w:pPr>
        <w:snapToGrid/>
        <w:spacing w:line="240" w:lineRule="auto"/>
        <w:ind w:firstLine="0" w:firstLineChars="0"/>
        <w:rPr>
          <w:rFonts w:hint="eastAsia" w:ascii="宋体" w:hAnsi="宋体" w:eastAsia="宋体" w:cs="Arial"/>
          <w:b w:val="0"/>
          <w:kern w:val="2"/>
          <w:sz w:val="28"/>
          <w:szCs w:val="28"/>
          <w:lang w:val="en-US" w:eastAsia="zh-CN"/>
        </w:rPr>
      </w:pPr>
      <w:r>
        <w:rPr>
          <w:rFonts w:hint="eastAsia" w:ascii="宋体" w:hAnsi="宋体" w:cs="Arial"/>
          <w:b w:val="0"/>
          <w:kern w:val="2"/>
          <w:sz w:val="28"/>
          <w:szCs w:val="28"/>
          <w:lang w:val="en-US" w:eastAsia="zh-CN"/>
        </w:rPr>
        <w:t>附件一：</w:t>
      </w:r>
    </w:p>
    <w:p w14:paraId="309D0C01">
      <w:pPr>
        <w:snapToGrid/>
        <w:spacing w:line="240" w:lineRule="auto"/>
        <w:ind w:firstLine="0" w:firstLineChars="0"/>
        <w:jc w:val="center"/>
        <w:rPr>
          <w:rFonts w:hint="eastAsia" w:ascii="宋体" w:hAnsi="宋体" w:eastAsia="宋体" w:cs="宋体"/>
          <w:b/>
          <w:bCs/>
          <w:kern w:val="2"/>
          <w:sz w:val="44"/>
          <w:szCs w:val="44"/>
          <w:lang w:val="en-US" w:eastAsia="zh-CN"/>
        </w:rPr>
      </w:pPr>
      <w:r>
        <w:rPr>
          <w:rFonts w:hint="eastAsia" w:ascii="宋体" w:hAnsi="宋体" w:eastAsia="宋体" w:cs="宋体"/>
          <w:b/>
          <w:bCs/>
          <w:kern w:val="2"/>
          <w:sz w:val="44"/>
          <w:szCs w:val="44"/>
          <w:lang w:val="en-US" w:eastAsia="zh-CN"/>
        </w:rPr>
        <w:t>餐厅设施、设备移交清单</w:t>
      </w:r>
    </w:p>
    <w:tbl>
      <w:tblPr>
        <w:tblStyle w:val="81"/>
        <w:tblpPr w:leftFromText="180" w:rightFromText="180" w:vertAnchor="text" w:horzAnchor="page" w:tblpX="1786" w:tblpY="6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144"/>
        <w:gridCol w:w="1020"/>
        <w:gridCol w:w="1108"/>
        <w:gridCol w:w="556"/>
        <w:gridCol w:w="873"/>
        <w:gridCol w:w="975"/>
        <w:gridCol w:w="2440"/>
      </w:tblGrid>
      <w:tr w14:paraId="0341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410517DB">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序号</w:t>
            </w:r>
          </w:p>
        </w:tc>
        <w:tc>
          <w:tcPr>
            <w:tcW w:w="1144" w:type="dxa"/>
            <w:noWrap w:val="0"/>
            <w:vAlign w:val="top"/>
          </w:tcPr>
          <w:p w14:paraId="6C316A9C">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名称</w:t>
            </w:r>
          </w:p>
        </w:tc>
        <w:tc>
          <w:tcPr>
            <w:tcW w:w="1020" w:type="dxa"/>
            <w:noWrap w:val="0"/>
            <w:vAlign w:val="top"/>
          </w:tcPr>
          <w:p w14:paraId="6DBB64E3">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品牌</w:t>
            </w:r>
          </w:p>
        </w:tc>
        <w:tc>
          <w:tcPr>
            <w:tcW w:w="1108" w:type="dxa"/>
            <w:noWrap w:val="0"/>
            <w:vAlign w:val="top"/>
          </w:tcPr>
          <w:p w14:paraId="45C7396A">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型号</w:t>
            </w:r>
          </w:p>
        </w:tc>
        <w:tc>
          <w:tcPr>
            <w:tcW w:w="556" w:type="dxa"/>
            <w:noWrap w:val="0"/>
            <w:vAlign w:val="top"/>
          </w:tcPr>
          <w:p w14:paraId="579325E7">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数量</w:t>
            </w:r>
          </w:p>
        </w:tc>
        <w:tc>
          <w:tcPr>
            <w:tcW w:w="873" w:type="dxa"/>
            <w:noWrap w:val="0"/>
            <w:vAlign w:val="top"/>
          </w:tcPr>
          <w:p w14:paraId="39B337FF">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外观是否完好</w:t>
            </w:r>
          </w:p>
        </w:tc>
        <w:tc>
          <w:tcPr>
            <w:tcW w:w="975" w:type="dxa"/>
            <w:noWrap w:val="0"/>
            <w:vAlign w:val="top"/>
          </w:tcPr>
          <w:p w14:paraId="706BE46F">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能否正常运行</w:t>
            </w:r>
          </w:p>
        </w:tc>
        <w:tc>
          <w:tcPr>
            <w:tcW w:w="2440" w:type="dxa"/>
            <w:noWrap w:val="0"/>
            <w:vAlign w:val="top"/>
          </w:tcPr>
          <w:p w14:paraId="0996C888">
            <w:pPr>
              <w:snapToGrid/>
              <w:spacing w:line="240" w:lineRule="auto"/>
              <w:ind w:firstLine="0" w:firstLineChars="0"/>
              <w:jc w:val="center"/>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备注</w:t>
            </w:r>
          </w:p>
        </w:tc>
      </w:tr>
      <w:tr w14:paraId="3FE2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B7F5751">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1</w:t>
            </w:r>
          </w:p>
        </w:tc>
        <w:tc>
          <w:tcPr>
            <w:tcW w:w="1144" w:type="dxa"/>
            <w:noWrap w:val="0"/>
            <w:vAlign w:val="top"/>
          </w:tcPr>
          <w:p w14:paraId="0B71124E">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餐厅排烟系统</w:t>
            </w:r>
          </w:p>
        </w:tc>
        <w:tc>
          <w:tcPr>
            <w:tcW w:w="1020" w:type="dxa"/>
            <w:noWrap w:val="0"/>
            <w:vAlign w:val="top"/>
          </w:tcPr>
          <w:p w14:paraId="01E8BBA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5CC82AF1">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2D1CC349">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3套</w:t>
            </w:r>
          </w:p>
        </w:tc>
        <w:tc>
          <w:tcPr>
            <w:tcW w:w="873" w:type="dxa"/>
            <w:noWrap w:val="0"/>
            <w:vAlign w:val="top"/>
          </w:tcPr>
          <w:p w14:paraId="342E757C">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完好</w:t>
            </w:r>
          </w:p>
        </w:tc>
        <w:tc>
          <w:tcPr>
            <w:tcW w:w="975" w:type="dxa"/>
            <w:noWrap w:val="0"/>
            <w:vAlign w:val="top"/>
          </w:tcPr>
          <w:p w14:paraId="6726643C">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可以正常运行</w:t>
            </w:r>
          </w:p>
        </w:tc>
        <w:tc>
          <w:tcPr>
            <w:tcW w:w="2440" w:type="dxa"/>
            <w:noWrap w:val="0"/>
            <w:vAlign w:val="top"/>
          </w:tcPr>
          <w:p w14:paraId="65DE0118">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面点房引风机需进一步查看</w:t>
            </w:r>
          </w:p>
        </w:tc>
      </w:tr>
      <w:tr w14:paraId="4C0C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E6217CF">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2</w:t>
            </w:r>
          </w:p>
        </w:tc>
        <w:tc>
          <w:tcPr>
            <w:tcW w:w="1144" w:type="dxa"/>
            <w:noWrap w:val="0"/>
            <w:vAlign w:val="top"/>
          </w:tcPr>
          <w:p w14:paraId="318F3BCD">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餐厅空调系统</w:t>
            </w:r>
          </w:p>
        </w:tc>
        <w:tc>
          <w:tcPr>
            <w:tcW w:w="1020" w:type="dxa"/>
            <w:noWrap w:val="0"/>
            <w:vAlign w:val="top"/>
          </w:tcPr>
          <w:p w14:paraId="499AAD4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59EC5D7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6819AA70">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1套</w:t>
            </w:r>
          </w:p>
        </w:tc>
        <w:tc>
          <w:tcPr>
            <w:tcW w:w="873" w:type="dxa"/>
            <w:noWrap w:val="0"/>
            <w:vAlign w:val="top"/>
          </w:tcPr>
          <w:p w14:paraId="131652F1">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完好</w:t>
            </w:r>
          </w:p>
        </w:tc>
        <w:tc>
          <w:tcPr>
            <w:tcW w:w="975" w:type="dxa"/>
            <w:noWrap w:val="0"/>
            <w:vAlign w:val="top"/>
          </w:tcPr>
          <w:p w14:paraId="496446E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2B8652B2">
            <w:pPr>
              <w:snapToGrid/>
              <w:spacing w:line="240" w:lineRule="auto"/>
              <w:ind w:firstLine="0" w:firstLineChars="0"/>
              <w:rPr>
                <w:rFonts w:hint="eastAsia" w:ascii="Calibri" w:hAnsi="Calibri" w:cs="Arial"/>
                <w:b w:val="0"/>
                <w:kern w:val="2"/>
                <w:sz w:val="21"/>
                <w:szCs w:val="22"/>
                <w:vertAlign w:val="baseline"/>
                <w:lang w:val="en-US" w:eastAsia="zh-CN"/>
              </w:rPr>
            </w:pPr>
            <w:r>
              <w:rPr>
                <w:rFonts w:hint="eastAsia" w:ascii="Calibri" w:hAnsi="Calibri" w:cs="Arial"/>
                <w:b w:val="0"/>
                <w:kern w:val="2"/>
                <w:sz w:val="21"/>
                <w:szCs w:val="22"/>
                <w:vertAlign w:val="baseline"/>
                <w:lang w:val="en-US" w:eastAsia="zh-CN"/>
              </w:rPr>
              <w:t>因室外温度原因无法启动</w:t>
            </w:r>
          </w:p>
        </w:tc>
      </w:tr>
      <w:tr w14:paraId="096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CB3853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222E9D8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F128D31">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37C9307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28CA12B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0C4F19F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11DFAF9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65A6889D">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3250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E01603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4BC1E633">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B5C304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5DEA4D4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6A7230A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2E809AE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249231A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3FE78C47">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5367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1E56A117">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11D6319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AED9BD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62DC2617">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209048E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754E7BD2">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534931C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252E5F9A">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1EE2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62DB5C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49860104">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A68BD6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6A08BD0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3F7074A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74DC5BC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6DBCF5B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16F8BD78">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0FF7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618133FD">
            <w:pPr>
              <w:snapToGrid/>
              <w:spacing w:line="240" w:lineRule="auto"/>
              <w:ind w:firstLine="0" w:firstLineChars="0"/>
              <w:rPr>
                <w:rFonts w:hint="eastAsia" w:ascii="Calibri" w:hAnsi="Calibri" w:cs="Arial"/>
                <w:b w:val="0"/>
                <w:kern w:val="2"/>
                <w:sz w:val="21"/>
                <w:szCs w:val="22"/>
                <w:vertAlign w:val="baseline"/>
                <w:lang w:val="en-US" w:eastAsia="zh-CN"/>
              </w:rPr>
            </w:pPr>
          </w:p>
          <w:p w14:paraId="700BC4E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4E1A196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1197BF2">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465BB18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1F330BE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68B486A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65CA13E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5ACD4612">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7252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F3D626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2112802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11F449C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3F035D5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22BD003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194E921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789A5EB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508F9BD9">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112A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A8D4571">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6004396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3E87B14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3018F34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2B02454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79C470A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3D92FA3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1F652600">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03BD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6B86679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1F160D4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29B9A4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775158B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61085BA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3EF4223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12503FF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25F6C015">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6260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3D78A4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2DB0DE9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1B26E34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2D11C15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6307714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5636D72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764AC17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07435D1A">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261E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38C25E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2DCD689E">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01DC435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691DA63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4704826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0B5C426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53185FC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47CAE33A">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74A3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4F66A0A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1481C2A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E6A5E5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6AD15BC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0288720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36339B6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4884F40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5DC8C4E7">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703D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B27FB2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544AF9B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6839CAE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071CAB4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00F80D11">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4F86CC2F">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1251DF3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731092C5">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6945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8CD304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19C9F09A">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41AD68D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73D6214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6CAD55C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7BFFDE74">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5FF6B8E4">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74A4814A">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69A4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4D78D20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0FB6BABB">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59E9C85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3D9A94A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38C00089">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717461F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7BA4F08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54CFE3E7">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3B53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09A2058">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694B18E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7302F8A4">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6823C571">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4EDA2786">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61015D5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3BF89FF4">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725A9A0F">
            <w:pPr>
              <w:snapToGrid/>
              <w:spacing w:line="240" w:lineRule="auto"/>
              <w:ind w:firstLine="0" w:firstLineChars="0"/>
              <w:rPr>
                <w:rFonts w:hint="eastAsia" w:ascii="Calibri" w:hAnsi="Calibri" w:cs="Arial"/>
                <w:b w:val="0"/>
                <w:kern w:val="2"/>
                <w:sz w:val="21"/>
                <w:szCs w:val="22"/>
                <w:vertAlign w:val="baseline"/>
                <w:lang w:val="en-US" w:eastAsia="zh-CN"/>
              </w:rPr>
            </w:pPr>
          </w:p>
        </w:tc>
      </w:tr>
      <w:tr w14:paraId="22CF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06" w:type="dxa"/>
            <w:noWrap w:val="0"/>
            <w:vAlign w:val="top"/>
          </w:tcPr>
          <w:p w14:paraId="76868B9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44" w:type="dxa"/>
            <w:noWrap w:val="0"/>
            <w:vAlign w:val="top"/>
          </w:tcPr>
          <w:p w14:paraId="3321C7B7">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020" w:type="dxa"/>
            <w:noWrap w:val="0"/>
            <w:vAlign w:val="top"/>
          </w:tcPr>
          <w:p w14:paraId="61779F13">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1108" w:type="dxa"/>
            <w:noWrap w:val="0"/>
            <w:vAlign w:val="top"/>
          </w:tcPr>
          <w:p w14:paraId="34D45AAD">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556" w:type="dxa"/>
            <w:noWrap w:val="0"/>
            <w:vAlign w:val="top"/>
          </w:tcPr>
          <w:p w14:paraId="0A1C86E0">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873" w:type="dxa"/>
            <w:noWrap w:val="0"/>
            <w:vAlign w:val="top"/>
          </w:tcPr>
          <w:p w14:paraId="611D8005">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975" w:type="dxa"/>
            <w:noWrap w:val="0"/>
            <w:vAlign w:val="top"/>
          </w:tcPr>
          <w:p w14:paraId="355893DC">
            <w:pPr>
              <w:snapToGrid/>
              <w:spacing w:line="240" w:lineRule="auto"/>
              <w:ind w:firstLine="0" w:firstLineChars="0"/>
              <w:rPr>
                <w:rFonts w:hint="eastAsia" w:ascii="Calibri" w:hAnsi="Calibri" w:cs="Arial"/>
                <w:b w:val="0"/>
                <w:kern w:val="2"/>
                <w:sz w:val="21"/>
                <w:szCs w:val="22"/>
                <w:vertAlign w:val="baseline"/>
                <w:lang w:val="en-US" w:eastAsia="zh-CN"/>
              </w:rPr>
            </w:pPr>
          </w:p>
        </w:tc>
        <w:tc>
          <w:tcPr>
            <w:tcW w:w="2440" w:type="dxa"/>
            <w:noWrap w:val="0"/>
            <w:vAlign w:val="top"/>
          </w:tcPr>
          <w:p w14:paraId="666FD54B">
            <w:pPr>
              <w:snapToGrid/>
              <w:spacing w:line="240" w:lineRule="auto"/>
              <w:ind w:firstLine="0" w:firstLineChars="0"/>
              <w:rPr>
                <w:rFonts w:hint="eastAsia" w:ascii="Calibri" w:hAnsi="Calibri" w:cs="Arial"/>
                <w:b w:val="0"/>
                <w:kern w:val="2"/>
                <w:sz w:val="21"/>
                <w:szCs w:val="22"/>
                <w:vertAlign w:val="baseline"/>
                <w:lang w:val="en-US" w:eastAsia="zh-CN"/>
              </w:rPr>
            </w:pPr>
          </w:p>
        </w:tc>
      </w:tr>
    </w:tbl>
    <w:p w14:paraId="6C09F1DB">
      <w:pPr>
        <w:snapToGrid/>
        <w:spacing w:line="240" w:lineRule="auto"/>
        <w:ind w:firstLine="0" w:firstLineChars="0"/>
        <w:jc w:val="both"/>
        <w:rPr>
          <w:rFonts w:hint="eastAsia" w:ascii="Calibri" w:hAnsi="Calibri" w:cs="Arial"/>
          <w:b w:val="0"/>
          <w:kern w:val="2"/>
          <w:sz w:val="21"/>
          <w:szCs w:val="22"/>
          <w:lang w:val="en-US" w:eastAsia="zh-CN"/>
        </w:rPr>
      </w:pPr>
    </w:p>
    <w:p w14:paraId="7F3F05A3">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7556542">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D97F2DA">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7B9D16C">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20BA20F8">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1F02F793">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32A96A6">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672783CC">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343048B">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3D8D75E0">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511FA46B">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DEF079E">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64FDB21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2AB65FEF">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2F3C5B70">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78F23698">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3D697936">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5C91238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698DF8A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p>
    <w:p w14:paraId="0F055CDD">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t>附件一：</w:t>
      </w:r>
    </w:p>
    <w:p w14:paraId="28E48507">
      <w:pPr>
        <w:snapToGrid/>
        <w:spacing w:line="240" w:lineRule="auto"/>
        <w:ind w:firstLine="0" w:firstLineChars="0"/>
        <w:jc w:val="center"/>
        <w:rPr>
          <w:rFonts w:hint="eastAsia" w:ascii="Calibri" w:hAnsi="Calibri" w:cs="Arial"/>
          <w:b w:val="0"/>
          <w:kern w:val="2"/>
          <w:sz w:val="32"/>
          <w:szCs w:val="32"/>
          <w:lang w:val="en-US"/>
        </w:rPr>
      </w:pPr>
      <w:r>
        <w:rPr>
          <w:rFonts w:hint="eastAsia" w:ascii="方正小标宋简体" w:hAnsi="方正小标宋简体" w:eastAsia="方正小标宋简体" w:cs="方正小标宋简体"/>
          <w:b w:val="0"/>
          <w:kern w:val="2"/>
          <w:sz w:val="44"/>
          <w:szCs w:val="44"/>
          <w:lang w:val="en-US" w:eastAsia="zh-CN"/>
        </w:rPr>
        <w:t>昌吉回族自治州人民医院</w:t>
      </w:r>
      <w:r>
        <w:rPr>
          <w:rFonts w:hint="eastAsia" w:ascii="方正小标宋简体" w:hAnsi="方正小标宋简体" w:eastAsia="方正小标宋简体" w:cs="方正小标宋简体"/>
          <w:b w:val="0"/>
          <w:kern w:val="2"/>
          <w:sz w:val="44"/>
          <w:szCs w:val="44"/>
          <w:lang w:val="en-US"/>
        </w:rPr>
        <w:t>食堂承包管理方案</w:t>
      </w:r>
    </w:p>
    <w:p w14:paraId="6902050F">
      <w:pPr>
        <w:snapToGrid/>
        <w:spacing w:line="240" w:lineRule="auto"/>
        <w:ind w:firstLine="0" w:firstLineChars="0"/>
        <w:rPr>
          <w:rFonts w:hint="eastAsia" w:ascii="仿宋_GB2312" w:hAnsi="仿宋_GB2312" w:eastAsia="仿宋_GB2312" w:cs="仿宋_GB2312"/>
          <w:b w:val="0"/>
          <w:kern w:val="2"/>
          <w:sz w:val="32"/>
          <w:szCs w:val="32"/>
          <w:lang w:val="en-US"/>
        </w:rPr>
      </w:pPr>
    </w:p>
    <w:p w14:paraId="371B20FE">
      <w:pPr>
        <w:snapToGrid/>
        <w:spacing w:line="240" w:lineRule="auto"/>
        <w:ind w:firstLine="482" w:firstLineChars="200"/>
        <w:rPr>
          <w:rFonts w:hint="eastAsia" w:ascii="仿宋" w:hAnsi="仿宋" w:eastAsia="仿宋" w:cs="仿宋"/>
          <w:b/>
          <w:bCs/>
          <w:kern w:val="2"/>
          <w:sz w:val="24"/>
          <w:szCs w:val="24"/>
          <w:lang w:val="en-US"/>
        </w:rPr>
      </w:pPr>
      <w:r>
        <w:rPr>
          <w:rFonts w:hint="eastAsia" w:ascii="仿宋" w:hAnsi="仿宋" w:eastAsia="仿宋" w:cs="仿宋"/>
          <w:b/>
          <w:bCs/>
          <w:kern w:val="2"/>
          <w:sz w:val="24"/>
          <w:szCs w:val="24"/>
          <w:lang w:val="en-US"/>
        </w:rPr>
        <w:t>一、管理目标与原则</w:t>
      </w:r>
    </w:p>
    <w:p w14:paraId="07C15D76">
      <w:pPr>
        <w:snapToGrid/>
        <w:spacing w:line="240" w:lineRule="auto"/>
        <w:ind w:firstLine="482" w:firstLineChars="200"/>
        <w:rPr>
          <w:rFonts w:hint="eastAsia" w:ascii="仿宋" w:hAnsi="仿宋" w:eastAsia="仿宋" w:cs="仿宋"/>
          <w:b/>
          <w:bCs/>
          <w:kern w:val="2"/>
          <w:sz w:val="24"/>
          <w:szCs w:val="24"/>
          <w:lang w:val="en-US"/>
        </w:rPr>
      </w:pPr>
      <w:r>
        <w:rPr>
          <w:rFonts w:hint="eastAsia" w:ascii="仿宋" w:hAnsi="仿宋" w:eastAsia="仿宋" w:cs="仿宋"/>
          <w:b/>
          <w:bCs/>
          <w:kern w:val="2"/>
          <w:sz w:val="24"/>
          <w:szCs w:val="24"/>
          <w:lang w:val="en-US"/>
        </w:rPr>
        <w:t xml:space="preserve">目标： </w:t>
      </w:r>
    </w:p>
    <w:p w14:paraId="30A7A08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（一）</w:t>
      </w:r>
      <w:r>
        <w:rPr>
          <w:rFonts w:hint="eastAsia" w:ascii="仿宋" w:hAnsi="仿宋" w:eastAsia="仿宋" w:cs="仿宋"/>
          <w:b w:val="0"/>
          <w:kern w:val="2"/>
          <w:sz w:val="24"/>
          <w:szCs w:val="24"/>
          <w:lang w:val="en-US"/>
        </w:rPr>
        <w:t xml:space="preserve">食品安全零事故，全年无重大食品安全投诉或事件。  </w:t>
      </w:r>
    </w:p>
    <w:p w14:paraId="5805FE43">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（二）</w:t>
      </w:r>
      <w:r>
        <w:rPr>
          <w:rFonts w:hint="eastAsia" w:ascii="仿宋" w:hAnsi="仿宋" w:eastAsia="仿宋" w:cs="仿宋"/>
          <w:b w:val="0"/>
          <w:kern w:val="2"/>
          <w:sz w:val="24"/>
          <w:szCs w:val="24"/>
          <w:lang w:val="en-US"/>
        </w:rPr>
        <w:t xml:space="preserve">职工与患者就餐综合满意度≥85%，其中患者满意度单独统计。  </w:t>
      </w:r>
    </w:p>
    <w:p w14:paraId="262530D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（三）</w:t>
      </w:r>
      <w:r>
        <w:rPr>
          <w:rFonts w:hint="eastAsia" w:ascii="仿宋" w:hAnsi="仿宋" w:eastAsia="仿宋" w:cs="仿宋"/>
          <w:b w:val="0"/>
          <w:kern w:val="2"/>
          <w:sz w:val="24"/>
          <w:szCs w:val="24"/>
          <w:lang w:val="en-US"/>
        </w:rPr>
        <w:t xml:space="preserve">菜品价格低于周边市场同类餐饮价格10%-15%，且明码标价、动态公示。  </w:t>
      </w:r>
    </w:p>
    <w:p w14:paraId="4A5E79F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（四）</w:t>
      </w:r>
      <w:r>
        <w:rPr>
          <w:rFonts w:hint="eastAsia" w:ascii="仿宋" w:hAnsi="仿宋" w:eastAsia="仿宋" w:cs="仿宋"/>
          <w:b w:val="0"/>
          <w:kern w:val="2"/>
          <w:sz w:val="24"/>
          <w:szCs w:val="24"/>
          <w:lang w:val="en-US"/>
        </w:rPr>
        <w:t>实现“公益性、专业性、可持续性”的餐饮服务体系。</w:t>
      </w:r>
    </w:p>
    <w:p w14:paraId="0E310C2D">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原则：</w:t>
      </w:r>
      <w:r>
        <w:rPr>
          <w:rFonts w:hint="eastAsia" w:ascii="仿宋" w:hAnsi="仿宋" w:eastAsia="仿宋" w:cs="仿宋"/>
          <w:b w:val="0"/>
          <w:kern w:val="2"/>
          <w:sz w:val="24"/>
          <w:szCs w:val="24"/>
          <w:lang w:val="en-US"/>
        </w:rPr>
        <w:t xml:space="preserve">  </w:t>
      </w:r>
    </w:p>
    <w:p w14:paraId="1CF421A0">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坚持“监管与服务并重、考核与激励结合、公益与效益平衡”，以医院需求为导向，以承包方为主体，以制度为保障，构建“医院监管、承包方主责、全员参与”的管理格局。</w:t>
      </w:r>
    </w:p>
    <w:p w14:paraId="7099D76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二、组织架构与职责分工</w:t>
      </w:r>
    </w:p>
    <w:p w14:paraId="6F4486E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（一）医院膳食管理委员会</w:t>
      </w:r>
    </w:p>
    <w:p w14:paraId="47F78553">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组成：</w:t>
      </w:r>
      <w:r>
        <w:rPr>
          <w:rFonts w:hint="eastAsia" w:ascii="仿宋" w:hAnsi="仿宋" w:eastAsia="仿宋" w:cs="仿宋"/>
          <w:b w:val="0"/>
          <w:kern w:val="2"/>
          <w:sz w:val="24"/>
          <w:szCs w:val="24"/>
          <w:lang w:val="en-US"/>
        </w:rPr>
        <w:t>由分管副院长任主任，总务科、护理部、工会、营养科、</w:t>
      </w:r>
      <w:r>
        <w:rPr>
          <w:rFonts w:hint="eastAsia" w:ascii="仿宋" w:hAnsi="仿宋" w:eastAsia="仿宋" w:cs="仿宋"/>
          <w:b w:val="0"/>
          <w:kern w:val="2"/>
          <w:sz w:val="24"/>
          <w:szCs w:val="24"/>
          <w:lang w:val="en-US" w:eastAsia="zh-CN"/>
        </w:rPr>
        <w:t>院感办、</w:t>
      </w:r>
      <w:r>
        <w:rPr>
          <w:rFonts w:hint="eastAsia" w:ascii="仿宋" w:hAnsi="仿宋" w:eastAsia="仿宋" w:cs="仿宋"/>
          <w:b w:val="0"/>
          <w:kern w:val="2"/>
          <w:sz w:val="24"/>
          <w:szCs w:val="24"/>
          <w:lang w:val="en-US"/>
        </w:rPr>
        <w:t xml:space="preserve">审计科负责人及职工代表、患者代表（定期轮换）组成。  </w:t>
      </w:r>
    </w:p>
    <w:p w14:paraId="18C65530">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职责：</w:t>
      </w:r>
    </w:p>
    <w:p w14:paraId="4B47FA1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审核承包方年度运营计划与预算。  </w:t>
      </w:r>
    </w:p>
    <w:p w14:paraId="4FE9D3C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审定月度考核结果及奖惩措施。  </w:t>
      </w:r>
    </w:p>
    <w:p w14:paraId="2BA12DBE">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协调重大投诉、价格调整、合同变更等事项。  </w:t>
      </w:r>
    </w:p>
    <w:p w14:paraId="516559F7">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每季度召开1次全体会议，听取专题汇报。</w:t>
      </w:r>
    </w:p>
    <w:p w14:paraId="5A576C17">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（二）总务科日常监管组</w:t>
      </w:r>
    </w:p>
    <w:p w14:paraId="4BC89C54">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设专职监管员1-2名，负责：  </w:t>
      </w:r>
    </w:p>
    <w:p w14:paraId="376C8DE7">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巡查食材验收、加工、留样、消毒等环节。  </w:t>
      </w:r>
    </w:p>
    <w:p w14:paraId="17D0EBDB">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抽查台账、索证索票、从业人员健康证。  </w:t>
      </w:r>
    </w:p>
    <w:p w14:paraId="1F38C4F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受理并闭环处理职工与患者投诉（24小时内反馈）。  </w:t>
      </w:r>
    </w:p>
    <w:p w14:paraId="0980221D">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（三）承包方责任体系</w:t>
      </w:r>
    </w:p>
    <w:p w14:paraId="4ECF67CC">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设立“医院食堂专项管理团队”，包括：  </w:t>
      </w:r>
    </w:p>
    <w:p w14:paraId="2ABA5A92">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项目经理（驻场，</w:t>
      </w:r>
      <w:r>
        <w:rPr>
          <w:rFonts w:hint="eastAsia" w:ascii="仿宋" w:hAnsi="仿宋" w:eastAsia="仿宋" w:cs="仿宋"/>
          <w:b w:val="0"/>
          <w:kern w:val="2"/>
          <w:sz w:val="24"/>
          <w:szCs w:val="24"/>
          <w:lang w:val="en-US" w:eastAsia="zh-CN"/>
        </w:rPr>
        <w:t>具备</w:t>
      </w:r>
      <w:r>
        <w:rPr>
          <w:rFonts w:hint="eastAsia" w:ascii="仿宋" w:hAnsi="仿宋" w:eastAsia="仿宋" w:cs="仿宋"/>
          <w:b w:val="0"/>
          <w:kern w:val="2"/>
          <w:sz w:val="24"/>
          <w:szCs w:val="24"/>
          <w:lang w:val="en-US"/>
        </w:rPr>
        <w:t xml:space="preserve">团餐管理经验）  </w:t>
      </w:r>
    </w:p>
    <w:p w14:paraId="39D1B056">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食品安全员（每日开展晨检及过程检查）  </w:t>
      </w:r>
    </w:p>
    <w:p w14:paraId="6C5B58C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营养师（协助制定患者餐、职工餐营养结构）  </w:t>
      </w:r>
    </w:p>
    <w:p w14:paraId="56A6B2B5">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 xml:space="preserve">厨师长（负责菜品研发与质量）  </w:t>
      </w:r>
    </w:p>
    <w:p w14:paraId="6FEBB923">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（5）</w:t>
      </w:r>
      <w:r>
        <w:rPr>
          <w:rFonts w:hint="eastAsia" w:ascii="仿宋" w:hAnsi="仿宋" w:eastAsia="仿宋" w:cs="仿宋"/>
          <w:b w:val="0"/>
          <w:kern w:val="2"/>
          <w:sz w:val="24"/>
          <w:szCs w:val="24"/>
          <w:lang w:val="en-US"/>
        </w:rPr>
        <w:t xml:space="preserve">前厅主管（负责窗口服务、意见收集）  </w:t>
      </w:r>
    </w:p>
    <w:p w14:paraId="79BC16C2">
      <w:pPr>
        <w:snapToGrid/>
        <w:spacing w:line="240" w:lineRule="auto"/>
        <w:ind w:firstLine="240" w:firstLineChars="1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（6）</w:t>
      </w:r>
      <w:r>
        <w:rPr>
          <w:rFonts w:hint="eastAsia" w:ascii="仿宋" w:hAnsi="仿宋" w:eastAsia="仿宋" w:cs="仿宋"/>
          <w:b w:val="0"/>
          <w:kern w:val="2"/>
          <w:sz w:val="24"/>
          <w:szCs w:val="24"/>
          <w:lang w:val="en-US"/>
        </w:rPr>
        <w:t>签订《食品安全责任书》《安全生产责任书》《服务承诺书》，责任到人。</w:t>
      </w:r>
    </w:p>
    <w:p w14:paraId="23C496C7">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三、全流程监管机制</w:t>
      </w:r>
    </w:p>
    <w:p w14:paraId="5A1B8AD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（一）准入与退出机制</w:t>
      </w:r>
    </w:p>
    <w:p w14:paraId="3B2D9BB0">
      <w:pPr>
        <w:snapToGrid/>
        <w:spacing w:line="240" w:lineRule="auto"/>
        <w:ind w:firstLine="480" w:firstLineChars="200"/>
        <w:rPr>
          <w:rFonts w:hint="eastAsia" w:ascii="仿宋" w:hAnsi="仿宋" w:eastAsia="仿宋" w:cs="仿宋"/>
          <w:b w:val="0"/>
          <w:kern w:val="2"/>
          <w:sz w:val="24"/>
          <w:szCs w:val="24"/>
          <w:lang w:val="en-US" w:eastAsia="zh-CN"/>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准入标准</w:t>
      </w:r>
      <w:r>
        <w:rPr>
          <w:rFonts w:hint="eastAsia" w:ascii="仿宋" w:hAnsi="仿宋" w:eastAsia="仿宋" w:cs="仿宋"/>
          <w:b w:val="0"/>
          <w:kern w:val="2"/>
          <w:sz w:val="24"/>
          <w:szCs w:val="24"/>
          <w:lang w:val="en-US" w:eastAsia="zh-CN"/>
        </w:rPr>
        <w:t>符合本项目需求。</w:t>
      </w:r>
    </w:p>
    <w:p w14:paraId="49B21ED0">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退出情形：  </w:t>
      </w:r>
    </w:p>
    <w:p w14:paraId="5A5DF1B6">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发生食品安全事故（含食物中毒、致病微生物污染等）。  </w:t>
      </w:r>
    </w:p>
    <w:p w14:paraId="6A1BDBA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连续2次月度满意度＜70%，或年度累计3次＜75%。  </w:t>
      </w:r>
    </w:p>
    <w:p w14:paraId="5C068904">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 xml:space="preserve">擅自涨价超过约定幅度或未公示价格。  </w:t>
      </w:r>
    </w:p>
    <w:p w14:paraId="6D2640BB">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（4）</w:t>
      </w:r>
      <w:r>
        <w:rPr>
          <w:rFonts w:hint="eastAsia" w:ascii="仿宋" w:hAnsi="仿宋" w:eastAsia="仿宋" w:cs="仿宋"/>
          <w:b w:val="0"/>
          <w:kern w:val="2"/>
          <w:sz w:val="24"/>
          <w:szCs w:val="24"/>
          <w:lang w:val="en-US"/>
        </w:rPr>
        <w:t xml:space="preserve">发现转包、分包或使用非备案团队。  </w:t>
      </w:r>
    </w:p>
    <w:p w14:paraId="2BCA3E4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（5）</w:t>
      </w:r>
      <w:r>
        <w:rPr>
          <w:rFonts w:hint="eastAsia" w:ascii="仿宋" w:hAnsi="仿宋" w:eastAsia="仿宋" w:cs="仿宋"/>
          <w:b w:val="0"/>
          <w:kern w:val="2"/>
          <w:sz w:val="24"/>
          <w:szCs w:val="24"/>
          <w:lang w:val="en-US"/>
        </w:rPr>
        <w:t>伪造台账、采购资质、检测报告等弄虚作假行为。</w:t>
      </w:r>
    </w:p>
    <w:p w14:paraId="56FF191A">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（二）日常监管</w:t>
      </w:r>
    </w:p>
    <w:tbl>
      <w:tblPr>
        <w:tblStyle w:val="8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4391"/>
        <w:gridCol w:w="1136"/>
        <w:gridCol w:w="1618"/>
      </w:tblGrid>
      <w:tr w14:paraId="1B9E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77" w:type="dxa"/>
            <w:noWrap w:val="0"/>
            <w:vAlign w:val="center"/>
          </w:tcPr>
          <w:p w14:paraId="22C23F3B">
            <w:pPr>
              <w:snapToGrid w:val="0"/>
              <w:spacing w:line="240" w:lineRule="auto"/>
              <w:ind w:left="0" w:leftChars="0" w:right="0" w:rightChars="0" w:firstLine="0" w:firstLineChars="0"/>
              <w:jc w:val="center"/>
              <w:rPr>
                <w:rFonts w:hint="eastAsia" w:ascii="仿宋_GB2312" w:hAnsi="仿宋_GB2312" w:eastAsia="仿宋_GB2312" w:cs="仿宋_GB2312"/>
                <w:b/>
                <w:kern w:val="2"/>
                <w:sz w:val="24"/>
                <w:szCs w:val="24"/>
                <w:vertAlign w:val="baseline"/>
                <w:lang w:val="en-US"/>
              </w:rPr>
            </w:pPr>
            <w:r>
              <w:rPr>
                <w:rFonts w:hint="eastAsia" w:ascii="仿宋_GB2312" w:hAnsi="仿宋_GB2312" w:eastAsia="仿宋_GB2312" w:cs="仿宋_GB2312"/>
                <w:b/>
                <w:kern w:val="2"/>
                <w:sz w:val="24"/>
                <w:szCs w:val="24"/>
                <w:lang w:val="en-US"/>
              </w:rPr>
              <w:t>监管维度</w:t>
            </w:r>
          </w:p>
        </w:tc>
        <w:tc>
          <w:tcPr>
            <w:tcW w:w="4391" w:type="dxa"/>
            <w:noWrap w:val="0"/>
            <w:vAlign w:val="center"/>
          </w:tcPr>
          <w:p w14:paraId="71E746FA">
            <w:pPr>
              <w:snapToGrid w:val="0"/>
              <w:spacing w:line="240" w:lineRule="auto"/>
              <w:ind w:left="0" w:leftChars="0" w:right="0" w:rightChars="0" w:firstLine="0" w:firstLineChars="0"/>
              <w:jc w:val="center"/>
              <w:rPr>
                <w:rFonts w:hint="eastAsia" w:ascii="仿宋_GB2312" w:hAnsi="仿宋_GB2312" w:eastAsia="仿宋_GB2312" w:cs="仿宋_GB2312"/>
                <w:b/>
                <w:kern w:val="2"/>
                <w:sz w:val="24"/>
                <w:szCs w:val="24"/>
                <w:vertAlign w:val="baseline"/>
                <w:lang w:val="en-US"/>
              </w:rPr>
            </w:pPr>
            <w:r>
              <w:rPr>
                <w:rFonts w:hint="eastAsia" w:ascii="仿宋_GB2312" w:hAnsi="仿宋_GB2312" w:eastAsia="仿宋_GB2312" w:cs="仿宋_GB2312"/>
                <w:b/>
                <w:kern w:val="2"/>
                <w:sz w:val="24"/>
                <w:szCs w:val="24"/>
                <w:lang w:val="en-US"/>
              </w:rPr>
              <w:t>具体内容</w:t>
            </w:r>
          </w:p>
        </w:tc>
        <w:tc>
          <w:tcPr>
            <w:tcW w:w="1136" w:type="dxa"/>
            <w:noWrap w:val="0"/>
            <w:vAlign w:val="center"/>
          </w:tcPr>
          <w:p w14:paraId="183DEEDC">
            <w:pPr>
              <w:snapToGrid w:val="0"/>
              <w:spacing w:line="240" w:lineRule="auto"/>
              <w:ind w:left="0" w:leftChars="0" w:right="0" w:rightChars="0" w:firstLine="0" w:firstLineChars="0"/>
              <w:jc w:val="center"/>
              <w:rPr>
                <w:rFonts w:hint="eastAsia" w:ascii="仿宋_GB2312" w:hAnsi="仿宋_GB2312" w:eastAsia="仿宋_GB2312" w:cs="仿宋_GB2312"/>
                <w:b/>
                <w:kern w:val="2"/>
                <w:sz w:val="24"/>
                <w:szCs w:val="24"/>
                <w:vertAlign w:val="baseline"/>
                <w:lang w:val="en-US"/>
              </w:rPr>
            </w:pPr>
            <w:r>
              <w:rPr>
                <w:rFonts w:hint="eastAsia" w:ascii="仿宋_GB2312" w:hAnsi="仿宋_GB2312" w:eastAsia="仿宋_GB2312" w:cs="仿宋_GB2312"/>
                <w:b/>
                <w:kern w:val="2"/>
                <w:sz w:val="24"/>
                <w:szCs w:val="24"/>
                <w:lang w:val="en-US"/>
              </w:rPr>
              <w:t>频次</w:t>
            </w:r>
          </w:p>
        </w:tc>
        <w:tc>
          <w:tcPr>
            <w:tcW w:w="1618" w:type="dxa"/>
            <w:noWrap w:val="0"/>
            <w:vAlign w:val="center"/>
          </w:tcPr>
          <w:p w14:paraId="409AC765">
            <w:pPr>
              <w:snapToGrid w:val="0"/>
              <w:spacing w:line="240" w:lineRule="auto"/>
              <w:ind w:left="0" w:leftChars="0" w:right="0" w:rightChars="0" w:firstLine="0" w:firstLineChars="0"/>
              <w:jc w:val="center"/>
              <w:rPr>
                <w:rFonts w:hint="eastAsia" w:ascii="仿宋_GB2312" w:hAnsi="仿宋_GB2312" w:eastAsia="仿宋_GB2312" w:cs="仿宋_GB2312"/>
                <w:b/>
                <w:kern w:val="2"/>
                <w:sz w:val="24"/>
                <w:szCs w:val="24"/>
                <w:vertAlign w:val="baseline"/>
                <w:lang w:val="en-US"/>
              </w:rPr>
            </w:pPr>
            <w:r>
              <w:rPr>
                <w:rFonts w:hint="eastAsia" w:ascii="仿宋_GB2312" w:hAnsi="仿宋_GB2312" w:eastAsia="仿宋_GB2312" w:cs="仿宋_GB2312"/>
                <w:b/>
                <w:kern w:val="2"/>
                <w:sz w:val="24"/>
                <w:szCs w:val="24"/>
                <w:lang w:val="en-US"/>
              </w:rPr>
              <w:t>责任方</w:t>
            </w:r>
          </w:p>
        </w:tc>
      </w:tr>
      <w:tr w14:paraId="3E76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0A9CC3F7">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食品安全</w:t>
            </w:r>
          </w:p>
        </w:tc>
        <w:tc>
          <w:tcPr>
            <w:tcW w:w="4391" w:type="dxa"/>
            <w:noWrap w:val="0"/>
            <w:vAlign w:val="center"/>
          </w:tcPr>
          <w:p w14:paraId="4B401B2C">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食材索证索票率100%，建立电子台账</w:t>
            </w:r>
          </w:p>
        </w:tc>
        <w:tc>
          <w:tcPr>
            <w:tcW w:w="1136" w:type="dxa"/>
            <w:noWrap w:val="0"/>
            <w:vAlign w:val="center"/>
          </w:tcPr>
          <w:p w14:paraId="73060C29">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每日</w:t>
            </w:r>
          </w:p>
        </w:tc>
        <w:tc>
          <w:tcPr>
            <w:tcW w:w="1618" w:type="dxa"/>
            <w:noWrap w:val="0"/>
            <w:vAlign w:val="center"/>
          </w:tcPr>
          <w:p w14:paraId="2DA3AD65">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承包方/监管组</w:t>
            </w:r>
          </w:p>
        </w:tc>
      </w:tr>
      <w:tr w14:paraId="2C48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65C33B5E">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食品留样</w:t>
            </w:r>
          </w:p>
        </w:tc>
        <w:tc>
          <w:tcPr>
            <w:tcW w:w="4391" w:type="dxa"/>
            <w:noWrap w:val="0"/>
            <w:vAlign w:val="center"/>
          </w:tcPr>
          <w:p w14:paraId="1F8824A0">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 xml:space="preserve">每餐每品种≥125g，标注时间、品名，保存48小时 </w:t>
            </w:r>
          </w:p>
        </w:tc>
        <w:tc>
          <w:tcPr>
            <w:tcW w:w="1136" w:type="dxa"/>
            <w:noWrap w:val="0"/>
            <w:vAlign w:val="center"/>
          </w:tcPr>
          <w:p w14:paraId="67AEC242">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 xml:space="preserve">每餐 </w:t>
            </w:r>
          </w:p>
        </w:tc>
        <w:tc>
          <w:tcPr>
            <w:tcW w:w="1618" w:type="dxa"/>
            <w:noWrap w:val="0"/>
            <w:vAlign w:val="center"/>
          </w:tcPr>
          <w:p w14:paraId="494D14B4">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承包方</w:t>
            </w:r>
          </w:p>
        </w:tc>
      </w:tr>
      <w:tr w14:paraId="000D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6D65700C">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餐具消毒</w:t>
            </w:r>
          </w:p>
        </w:tc>
        <w:tc>
          <w:tcPr>
            <w:tcW w:w="4391" w:type="dxa"/>
            <w:noWrap w:val="0"/>
            <w:vAlign w:val="center"/>
          </w:tcPr>
          <w:p w14:paraId="5ED9EE38">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 xml:space="preserve">热力消毒（温度、时间记录）或化学消毒（浓度检测） </w:t>
            </w:r>
          </w:p>
        </w:tc>
        <w:tc>
          <w:tcPr>
            <w:tcW w:w="1136" w:type="dxa"/>
            <w:noWrap w:val="0"/>
            <w:vAlign w:val="center"/>
          </w:tcPr>
          <w:p w14:paraId="16A8B60A">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每批次</w:t>
            </w:r>
          </w:p>
        </w:tc>
        <w:tc>
          <w:tcPr>
            <w:tcW w:w="1618" w:type="dxa"/>
            <w:noWrap w:val="0"/>
            <w:vAlign w:val="center"/>
          </w:tcPr>
          <w:p w14:paraId="3587428E">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承包方</w:t>
            </w:r>
          </w:p>
        </w:tc>
      </w:tr>
      <w:tr w14:paraId="62A7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3A741703">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库存检查</w:t>
            </w:r>
          </w:p>
        </w:tc>
        <w:tc>
          <w:tcPr>
            <w:tcW w:w="4391" w:type="dxa"/>
            <w:noWrap w:val="0"/>
            <w:vAlign w:val="center"/>
          </w:tcPr>
          <w:p w14:paraId="30755632">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检查过期、变质、标识不清食材</w:t>
            </w:r>
          </w:p>
        </w:tc>
        <w:tc>
          <w:tcPr>
            <w:tcW w:w="1136" w:type="dxa"/>
            <w:noWrap w:val="0"/>
            <w:vAlign w:val="center"/>
          </w:tcPr>
          <w:p w14:paraId="7823F152">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每周</w:t>
            </w:r>
          </w:p>
        </w:tc>
        <w:tc>
          <w:tcPr>
            <w:tcW w:w="1618" w:type="dxa"/>
            <w:noWrap w:val="0"/>
            <w:vAlign w:val="center"/>
          </w:tcPr>
          <w:p w14:paraId="3715A533">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监管组</w:t>
            </w:r>
          </w:p>
        </w:tc>
      </w:tr>
      <w:tr w14:paraId="4628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0255D174">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专项检查</w:t>
            </w:r>
          </w:p>
        </w:tc>
        <w:tc>
          <w:tcPr>
            <w:tcW w:w="4391" w:type="dxa"/>
            <w:noWrap w:val="0"/>
            <w:vAlign w:val="center"/>
          </w:tcPr>
          <w:p w14:paraId="31A1ADA3">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覆盖添加剂、交叉污染、病媒生物等</w:t>
            </w:r>
          </w:p>
        </w:tc>
        <w:tc>
          <w:tcPr>
            <w:tcW w:w="1136" w:type="dxa"/>
            <w:noWrap w:val="0"/>
            <w:vAlign w:val="center"/>
          </w:tcPr>
          <w:p w14:paraId="715DEE24">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每月</w:t>
            </w:r>
          </w:p>
        </w:tc>
        <w:tc>
          <w:tcPr>
            <w:tcW w:w="1618" w:type="dxa"/>
            <w:noWrap w:val="0"/>
            <w:vAlign w:val="center"/>
          </w:tcPr>
          <w:p w14:paraId="5DF2C23E">
            <w:pPr>
              <w:snapToGrid w:val="0"/>
              <w:spacing w:line="240" w:lineRule="auto"/>
              <w:ind w:left="0" w:leftChars="0" w:right="0" w:rightChars="0" w:firstLine="0" w:firstLineChars="0"/>
              <w:jc w:val="center"/>
              <w:rPr>
                <w:rFonts w:hint="default" w:ascii="仿宋_GB2312" w:hAnsi="仿宋_GB2312" w:eastAsia="仿宋_GB2312" w:cs="仿宋_GB2312"/>
                <w:b w:val="0"/>
                <w:kern w:val="2"/>
                <w:sz w:val="24"/>
                <w:szCs w:val="24"/>
                <w:vertAlign w:val="baseline"/>
                <w:lang w:val="en-US" w:eastAsia="zh-CN"/>
              </w:rPr>
            </w:pPr>
            <w:r>
              <w:rPr>
                <w:rFonts w:hint="eastAsia" w:ascii="仿宋_GB2312" w:hAnsi="仿宋_GB2312" w:eastAsia="仿宋_GB2312" w:cs="仿宋_GB2312"/>
                <w:b w:val="0"/>
                <w:kern w:val="2"/>
                <w:sz w:val="24"/>
                <w:szCs w:val="24"/>
                <w:lang w:val="en-US"/>
              </w:rPr>
              <w:t>监管组</w:t>
            </w:r>
            <w:r>
              <w:rPr>
                <w:rFonts w:hint="eastAsia" w:ascii="仿宋_GB2312" w:hAnsi="仿宋_GB2312" w:eastAsia="仿宋_GB2312" w:cs="仿宋_GB2312"/>
                <w:b w:val="0"/>
                <w:kern w:val="2"/>
                <w:sz w:val="24"/>
                <w:szCs w:val="24"/>
                <w:lang w:val="en-US" w:eastAsia="zh-CN"/>
              </w:rPr>
              <w:t>、院感办</w:t>
            </w:r>
          </w:p>
        </w:tc>
      </w:tr>
      <w:tr w14:paraId="264B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43C916BD">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服务质量</w:t>
            </w:r>
          </w:p>
        </w:tc>
        <w:tc>
          <w:tcPr>
            <w:tcW w:w="4391" w:type="dxa"/>
            <w:noWrap w:val="0"/>
            <w:vAlign w:val="center"/>
          </w:tcPr>
          <w:p w14:paraId="4C41A2BB">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线上问卷+线下意见箱+窗口实时评价</w:t>
            </w:r>
          </w:p>
        </w:tc>
        <w:tc>
          <w:tcPr>
            <w:tcW w:w="1136" w:type="dxa"/>
            <w:noWrap w:val="0"/>
            <w:vAlign w:val="center"/>
          </w:tcPr>
          <w:p w14:paraId="4D7DAB39">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每月</w:t>
            </w:r>
          </w:p>
        </w:tc>
        <w:tc>
          <w:tcPr>
            <w:tcW w:w="1618" w:type="dxa"/>
            <w:noWrap w:val="0"/>
            <w:vAlign w:val="center"/>
          </w:tcPr>
          <w:p w14:paraId="7C90A6D8">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监管组统计</w:t>
            </w:r>
          </w:p>
        </w:tc>
      </w:tr>
      <w:tr w14:paraId="1FB6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7" w:type="dxa"/>
            <w:noWrap w:val="0"/>
            <w:vAlign w:val="center"/>
          </w:tcPr>
          <w:p w14:paraId="2BB63237">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价格监控</w:t>
            </w:r>
          </w:p>
        </w:tc>
        <w:tc>
          <w:tcPr>
            <w:tcW w:w="4391" w:type="dxa"/>
            <w:noWrap w:val="0"/>
            <w:vAlign w:val="center"/>
          </w:tcPr>
          <w:p w14:paraId="6DC7320F">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对比周边市场价，公示成本构成</w:t>
            </w:r>
          </w:p>
        </w:tc>
        <w:tc>
          <w:tcPr>
            <w:tcW w:w="1136" w:type="dxa"/>
            <w:noWrap w:val="0"/>
            <w:vAlign w:val="center"/>
          </w:tcPr>
          <w:p w14:paraId="1D49B5CF">
            <w:pPr>
              <w:snapToGrid w:val="0"/>
              <w:spacing w:line="240" w:lineRule="auto"/>
              <w:ind w:left="0" w:leftChars="0" w:right="0" w:rightChars="0" w:firstLine="0" w:firstLineChars="0"/>
              <w:jc w:val="left"/>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每月</w:t>
            </w:r>
          </w:p>
        </w:tc>
        <w:tc>
          <w:tcPr>
            <w:tcW w:w="1618" w:type="dxa"/>
            <w:noWrap w:val="0"/>
            <w:vAlign w:val="center"/>
          </w:tcPr>
          <w:p w14:paraId="21815013">
            <w:pPr>
              <w:snapToGrid w:val="0"/>
              <w:spacing w:line="240" w:lineRule="auto"/>
              <w:ind w:left="0" w:leftChars="0" w:right="0" w:rightChars="0" w:firstLine="0" w:firstLineChars="0"/>
              <w:jc w:val="center"/>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承包方/审计科</w:t>
            </w:r>
          </w:p>
        </w:tc>
      </w:tr>
    </w:tbl>
    <w:p w14:paraId="6B0F70BE">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（三）应急管理</w:t>
      </w:r>
    </w:p>
    <w:p w14:paraId="63F8B0A7">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 xml:space="preserve">一般事件（停水、停电＜4小时）：启动备用设备或简餐方案。  </w:t>
      </w:r>
    </w:p>
    <w:p w14:paraId="6D74AFD9">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2.</w:t>
      </w:r>
      <w:r>
        <w:rPr>
          <w:rFonts w:hint="eastAsia" w:ascii="仿宋" w:hAnsi="仿宋" w:eastAsia="仿宋" w:cs="仿宋"/>
          <w:b w:val="0"/>
          <w:kern w:val="2"/>
          <w:sz w:val="28"/>
          <w:szCs w:val="28"/>
          <w:lang w:val="en-US"/>
        </w:rPr>
        <w:t xml:space="preserve">重大事件（停气、设备故障）：协调院内其他食堂或外部供餐单位。  </w:t>
      </w:r>
    </w:p>
    <w:p w14:paraId="04357B8B">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3.</w:t>
      </w:r>
      <w:r>
        <w:rPr>
          <w:rFonts w:hint="eastAsia" w:ascii="仿宋" w:hAnsi="仿宋" w:eastAsia="仿宋" w:cs="仿宋"/>
          <w:b w:val="0"/>
          <w:kern w:val="2"/>
          <w:sz w:val="28"/>
          <w:szCs w:val="28"/>
          <w:lang w:val="en-US"/>
        </w:rPr>
        <w:t xml:space="preserve">公共卫生事件（如疫情、传染病高发期）：  </w:t>
      </w:r>
    </w:p>
    <w:p w14:paraId="51508F6F">
      <w:pPr>
        <w:snapToGrid/>
        <w:spacing w:line="240" w:lineRule="auto"/>
        <w:ind w:firstLine="0" w:firstLineChars="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 xml:space="preserve">   （1）</w:t>
      </w:r>
      <w:r>
        <w:rPr>
          <w:rFonts w:hint="eastAsia" w:ascii="仿宋" w:hAnsi="仿宋" w:eastAsia="仿宋" w:cs="仿宋"/>
          <w:b w:val="0"/>
          <w:kern w:val="2"/>
          <w:sz w:val="28"/>
          <w:szCs w:val="28"/>
          <w:lang w:val="en-US"/>
        </w:rPr>
        <w:t xml:space="preserve">24小时内启动“分餐配送”服务，取消堂食。  </w:t>
      </w:r>
    </w:p>
    <w:p w14:paraId="31CD122F">
      <w:pPr>
        <w:snapToGrid/>
        <w:spacing w:line="240" w:lineRule="auto"/>
        <w:ind w:firstLine="0" w:firstLineChars="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 xml:space="preserve">  （2）</w:t>
      </w:r>
      <w:r>
        <w:rPr>
          <w:rFonts w:hint="eastAsia" w:ascii="仿宋" w:hAnsi="仿宋" w:eastAsia="仿宋" w:cs="仿宋"/>
          <w:b w:val="0"/>
          <w:kern w:val="2"/>
          <w:sz w:val="28"/>
          <w:szCs w:val="28"/>
          <w:lang w:val="en-US"/>
        </w:rPr>
        <w:t xml:space="preserve">保障临床一线、隔离病区、发热门诊送餐。  </w:t>
      </w:r>
    </w:p>
    <w:p w14:paraId="34F059BF">
      <w:pPr>
        <w:snapToGrid/>
        <w:spacing w:line="240" w:lineRule="auto"/>
        <w:ind w:firstLine="0" w:firstLineChars="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 xml:space="preserve">  （3）</w:t>
      </w:r>
      <w:r>
        <w:rPr>
          <w:rFonts w:hint="eastAsia" w:ascii="仿宋" w:hAnsi="仿宋" w:eastAsia="仿宋" w:cs="仿宋"/>
          <w:b w:val="0"/>
          <w:kern w:val="2"/>
          <w:sz w:val="28"/>
          <w:szCs w:val="28"/>
          <w:lang w:val="en-US"/>
        </w:rPr>
        <w:t>配送人员实行闭环管理，餐盒专用消毒。</w:t>
      </w:r>
    </w:p>
    <w:p w14:paraId="54EB2F76">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（4）</w:t>
      </w:r>
      <w:r>
        <w:rPr>
          <w:rFonts w:hint="eastAsia" w:ascii="仿宋" w:hAnsi="仿宋" w:eastAsia="仿宋" w:cs="仿宋"/>
          <w:b w:val="0"/>
          <w:kern w:val="2"/>
          <w:sz w:val="28"/>
          <w:szCs w:val="28"/>
          <w:lang w:val="en-US"/>
        </w:rPr>
        <w:t>演练要求：每半年组织1次综合应急演练，覆盖食品安全、消防、供餐中断，演练记录报总务科备案。</w:t>
      </w:r>
    </w:p>
    <w:p w14:paraId="44AB88A8">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四、监督与考核</w:t>
      </w:r>
    </w:p>
    <w:p w14:paraId="54B30D2D">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（一）考核方式</w:t>
      </w:r>
    </w:p>
    <w:p w14:paraId="0508841B">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月度考核：由监管组根据《</w:t>
      </w:r>
      <w:r>
        <w:rPr>
          <w:rFonts w:hint="eastAsia" w:ascii="仿宋" w:hAnsi="仿宋" w:eastAsia="仿宋" w:cs="仿宋"/>
          <w:b w:val="0"/>
          <w:kern w:val="2"/>
          <w:sz w:val="28"/>
          <w:szCs w:val="28"/>
          <w:lang w:val="en-US" w:eastAsia="zh-CN"/>
        </w:rPr>
        <w:t>昌吉回族自治州人民医院食堂餐饮服务单位绩效考核标准</w:t>
      </w:r>
      <w:r>
        <w:rPr>
          <w:rFonts w:hint="eastAsia" w:ascii="仿宋" w:hAnsi="仿宋" w:eastAsia="仿宋" w:cs="仿宋"/>
          <w:b w:val="0"/>
          <w:kern w:val="2"/>
          <w:sz w:val="28"/>
          <w:szCs w:val="28"/>
          <w:lang w:val="en-US"/>
        </w:rPr>
        <w:t xml:space="preserve">》打分。  </w:t>
      </w:r>
    </w:p>
    <w:p w14:paraId="04AD5DA7">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2.</w:t>
      </w:r>
      <w:r>
        <w:rPr>
          <w:rFonts w:hint="eastAsia" w:ascii="仿宋" w:hAnsi="仿宋" w:eastAsia="仿宋" w:cs="仿宋"/>
          <w:b w:val="0"/>
          <w:kern w:val="2"/>
          <w:sz w:val="28"/>
          <w:szCs w:val="28"/>
          <w:lang w:val="en-US"/>
        </w:rPr>
        <w:t xml:space="preserve">满意度调查： </w:t>
      </w:r>
    </w:p>
    <w:p w14:paraId="6704BF64">
      <w:pPr>
        <w:snapToGrid/>
        <w:spacing w:line="240" w:lineRule="auto"/>
        <w:ind w:firstLine="0" w:firstLineChars="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 xml:space="preserve"> </w:t>
      </w: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 xml:space="preserve">职工：线上问卷，每月1次，样本量≥30%。  </w:t>
      </w:r>
    </w:p>
    <w:p w14:paraId="7F33BE7D">
      <w:pPr>
        <w:snapToGrid/>
        <w:spacing w:line="240" w:lineRule="auto"/>
        <w:ind w:firstLine="0" w:firstLineChars="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 xml:space="preserve"> </w:t>
      </w: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（2）</w:t>
      </w:r>
      <w:r>
        <w:rPr>
          <w:rFonts w:hint="eastAsia" w:ascii="仿宋" w:hAnsi="仿宋" w:eastAsia="仿宋" w:cs="仿宋"/>
          <w:b w:val="0"/>
          <w:kern w:val="2"/>
          <w:sz w:val="28"/>
          <w:szCs w:val="28"/>
          <w:lang w:val="en-US"/>
        </w:rPr>
        <w:t>患者及家属：线</w:t>
      </w:r>
      <w:r>
        <w:rPr>
          <w:rFonts w:hint="eastAsia" w:ascii="仿宋" w:hAnsi="仿宋" w:eastAsia="仿宋" w:cs="仿宋"/>
          <w:b w:val="0"/>
          <w:kern w:val="2"/>
          <w:sz w:val="28"/>
          <w:szCs w:val="28"/>
          <w:lang w:val="en-US" w:eastAsia="zh-CN"/>
        </w:rPr>
        <w:t>下</w:t>
      </w:r>
      <w:r>
        <w:rPr>
          <w:rFonts w:hint="eastAsia" w:ascii="仿宋" w:hAnsi="仿宋" w:eastAsia="仿宋" w:cs="仿宋"/>
          <w:b w:val="0"/>
          <w:kern w:val="2"/>
          <w:sz w:val="28"/>
          <w:szCs w:val="28"/>
          <w:lang w:val="en-US"/>
        </w:rPr>
        <w:t xml:space="preserve">问卷，每月≥200份。  </w:t>
      </w:r>
    </w:p>
    <w:p w14:paraId="7F5769DF">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3.</w:t>
      </w:r>
      <w:r>
        <w:rPr>
          <w:rFonts w:hint="eastAsia" w:ascii="仿宋" w:hAnsi="仿宋" w:eastAsia="仿宋" w:cs="仿宋"/>
          <w:b w:val="0"/>
          <w:kern w:val="2"/>
          <w:sz w:val="28"/>
          <w:szCs w:val="28"/>
          <w:lang w:val="en-US"/>
        </w:rPr>
        <w:t xml:space="preserve">现场检查：明查+暗访（每月至少2次暗访）。  </w:t>
      </w:r>
    </w:p>
    <w:p w14:paraId="7BB7225D">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（二）考核结果运用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B6E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26FDA108">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月度得分</w:t>
            </w:r>
          </w:p>
        </w:tc>
        <w:tc>
          <w:tcPr>
            <w:tcW w:w="4261" w:type="dxa"/>
            <w:noWrap w:val="0"/>
            <w:vAlign w:val="top"/>
          </w:tcPr>
          <w:p w14:paraId="0F204C58">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月度得分</w:t>
            </w:r>
          </w:p>
        </w:tc>
      </w:tr>
      <w:tr w14:paraId="000D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5EAA3FA2">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≥90分</w:t>
            </w:r>
          </w:p>
        </w:tc>
        <w:tc>
          <w:tcPr>
            <w:tcW w:w="4261" w:type="dxa"/>
            <w:noWrap w:val="0"/>
            <w:vAlign w:val="top"/>
          </w:tcPr>
          <w:p w14:paraId="18BA615F">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通报表扬，优先续约</w:t>
            </w:r>
          </w:p>
        </w:tc>
      </w:tr>
      <w:tr w14:paraId="7FF3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70CE4099">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80-89分</w:t>
            </w:r>
          </w:p>
        </w:tc>
        <w:tc>
          <w:tcPr>
            <w:tcW w:w="4261" w:type="dxa"/>
            <w:noWrap w:val="0"/>
            <w:vAlign w:val="top"/>
          </w:tcPr>
          <w:p w14:paraId="285F18E8">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正常运营，限期整改一般问题</w:t>
            </w:r>
          </w:p>
        </w:tc>
      </w:tr>
      <w:tr w14:paraId="34EB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5F09C4AB">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 xml:space="preserve">70-79分 </w:t>
            </w:r>
          </w:p>
        </w:tc>
        <w:tc>
          <w:tcPr>
            <w:tcW w:w="4261" w:type="dxa"/>
            <w:noWrap w:val="0"/>
            <w:vAlign w:val="top"/>
          </w:tcPr>
          <w:p w14:paraId="480F61E2">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约谈项目经理，提交书面整改报告</w:t>
            </w:r>
          </w:p>
        </w:tc>
      </w:tr>
      <w:tr w14:paraId="331D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0A1B2AF3">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60-69分</w:t>
            </w:r>
          </w:p>
        </w:tc>
        <w:tc>
          <w:tcPr>
            <w:tcW w:w="4261" w:type="dxa"/>
            <w:noWrap w:val="0"/>
            <w:vAlign w:val="top"/>
          </w:tcPr>
          <w:p w14:paraId="061425E7">
            <w:pPr>
              <w:snapToGrid/>
              <w:spacing w:line="240" w:lineRule="auto"/>
              <w:ind w:firstLine="0" w:firstLineChars="0"/>
              <w:rPr>
                <w:rFonts w:hint="eastAsia" w:ascii="仿宋_GB2312" w:hAnsi="仿宋_GB2312" w:eastAsia="仿宋_GB2312" w:cs="仿宋_GB2312"/>
                <w:b w:val="0"/>
                <w:kern w:val="2"/>
                <w:sz w:val="24"/>
                <w:szCs w:val="24"/>
                <w:vertAlign w:val="baseline"/>
                <w:lang w:val="en-US"/>
              </w:rPr>
            </w:pPr>
            <w:r>
              <w:rPr>
                <w:rFonts w:hint="eastAsia" w:ascii="仿宋_GB2312" w:hAnsi="仿宋_GB2312" w:eastAsia="仿宋_GB2312" w:cs="仿宋_GB2312"/>
                <w:b w:val="0"/>
                <w:kern w:val="2"/>
                <w:sz w:val="24"/>
                <w:szCs w:val="24"/>
                <w:lang w:val="en-US"/>
              </w:rPr>
              <w:t>扣减当月服务费5%-10%，全院通报</w:t>
            </w:r>
          </w:p>
        </w:tc>
      </w:tr>
      <w:tr w14:paraId="5825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2834BEC1">
            <w:pPr>
              <w:snapToGrid/>
              <w:spacing w:line="240" w:lineRule="auto"/>
              <w:ind w:firstLine="0" w:firstLineChars="0"/>
              <w:rPr>
                <w:rFonts w:hint="eastAsia" w:ascii="仿宋_GB2312" w:hAnsi="仿宋_GB2312" w:eastAsia="仿宋_GB2312" w:cs="仿宋_GB2312"/>
                <w:b w:val="0"/>
                <w:kern w:val="2"/>
                <w:sz w:val="24"/>
                <w:szCs w:val="24"/>
                <w:lang w:val="en-US"/>
              </w:rPr>
            </w:pPr>
            <w:r>
              <w:rPr>
                <w:rFonts w:hint="eastAsia" w:ascii="仿宋_GB2312" w:hAnsi="仿宋_GB2312" w:eastAsia="仿宋_GB2312" w:cs="仿宋_GB2312"/>
                <w:b w:val="0"/>
                <w:kern w:val="2"/>
                <w:sz w:val="24"/>
                <w:szCs w:val="24"/>
                <w:lang w:val="en-US"/>
              </w:rPr>
              <w:t>＜60分</w:t>
            </w:r>
          </w:p>
        </w:tc>
        <w:tc>
          <w:tcPr>
            <w:tcW w:w="4261" w:type="dxa"/>
            <w:noWrap w:val="0"/>
            <w:vAlign w:val="top"/>
          </w:tcPr>
          <w:p w14:paraId="09C43BB5">
            <w:pPr>
              <w:snapToGrid/>
              <w:spacing w:line="240" w:lineRule="auto"/>
              <w:ind w:firstLine="0" w:firstLineChars="0"/>
              <w:rPr>
                <w:rFonts w:hint="eastAsia" w:ascii="仿宋_GB2312" w:hAnsi="仿宋_GB2312" w:eastAsia="仿宋_GB2312" w:cs="仿宋_GB2312"/>
                <w:b w:val="0"/>
                <w:kern w:val="2"/>
                <w:sz w:val="24"/>
                <w:szCs w:val="24"/>
                <w:lang w:val="en-US"/>
              </w:rPr>
            </w:pPr>
            <w:r>
              <w:rPr>
                <w:rFonts w:hint="eastAsia" w:ascii="仿宋_GB2312" w:hAnsi="仿宋_GB2312" w:eastAsia="仿宋_GB2312" w:cs="仿宋_GB2312"/>
                <w:b w:val="0"/>
                <w:kern w:val="2"/>
                <w:sz w:val="24"/>
                <w:szCs w:val="24"/>
                <w:lang w:val="en-US"/>
              </w:rPr>
              <w:t>暂停新业务，医院有权启动退出程序</w:t>
            </w:r>
          </w:p>
        </w:tc>
      </w:tr>
    </w:tbl>
    <w:p w14:paraId="77F1F58B">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满意度要求：</w:t>
      </w:r>
      <w:r>
        <w:rPr>
          <w:rFonts w:hint="eastAsia" w:ascii="仿宋" w:hAnsi="仿宋" w:eastAsia="仿宋" w:cs="仿宋"/>
          <w:b w:val="0"/>
          <w:kern w:val="2"/>
          <w:sz w:val="24"/>
          <w:szCs w:val="24"/>
          <w:lang w:val="en-US"/>
        </w:rPr>
        <w:t xml:space="preserve">职工与患者分别统计，任一群体连续2月＜70%，视为考核不达标。  </w:t>
      </w:r>
    </w:p>
    <w:p w14:paraId="7524D57E">
      <w:pPr>
        <w:snapToGrid/>
        <w:spacing w:line="240" w:lineRule="auto"/>
        <w:ind w:firstLine="482" w:firstLineChars="200"/>
        <w:rPr>
          <w:rFonts w:hint="eastAsia" w:ascii="仿宋" w:hAnsi="仿宋" w:eastAsia="仿宋" w:cs="仿宋"/>
          <w:b w:val="0"/>
          <w:kern w:val="2"/>
          <w:sz w:val="24"/>
          <w:szCs w:val="24"/>
          <w:lang w:val="en-US"/>
        </w:rPr>
      </w:pPr>
      <w:r>
        <w:rPr>
          <w:rFonts w:hint="eastAsia" w:ascii="仿宋" w:hAnsi="仿宋" w:eastAsia="仿宋" w:cs="仿宋"/>
          <w:b/>
          <w:bCs/>
          <w:kern w:val="2"/>
          <w:sz w:val="24"/>
          <w:szCs w:val="24"/>
          <w:lang w:val="en-US"/>
        </w:rPr>
        <w:t>合同续签条件：</w:t>
      </w:r>
      <w:r>
        <w:rPr>
          <w:rFonts w:hint="eastAsia" w:ascii="仿宋" w:hAnsi="仿宋" w:eastAsia="仿宋" w:cs="仿宋"/>
          <w:b w:val="0"/>
          <w:kern w:val="2"/>
          <w:sz w:val="24"/>
          <w:szCs w:val="24"/>
          <w:lang w:val="en-US"/>
        </w:rPr>
        <w:t>全年月度考核平均分≥85分，且满意度≥85%，方可续签下一年合同。否则医院有权重新招标或终止合同。</w:t>
      </w:r>
    </w:p>
    <w:p w14:paraId="2D6FEFDB">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五、服务延续性保障措施</w:t>
      </w:r>
    </w:p>
    <w:p w14:paraId="1903E0E0">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（一）核心团队稳定性</w:t>
      </w:r>
    </w:p>
    <w:p w14:paraId="18359A6E">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 xml:space="preserve">    1.</w:t>
      </w:r>
      <w:r>
        <w:rPr>
          <w:rFonts w:hint="eastAsia" w:ascii="仿宋" w:hAnsi="仿宋" w:eastAsia="仿宋" w:cs="仿宋"/>
          <w:b w:val="0"/>
          <w:kern w:val="2"/>
          <w:sz w:val="24"/>
          <w:szCs w:val="24"/>
          <w:lang w:val="en-US"/>
        </w:rPr>
        <w:t xml:space="preserve">项目经理、厨师长、食品安全员需经医院面试认可。  </w:t>
      </w:r>
    </w:p>
    <w:p w14:paraId="7AEF5EAF">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 xml:space="preserve">更换上述岗位须提前15日报批，新人员需跟岗培训3天，考核合格后上岗。  </w:t>
      </w:r>
    </w:p>
    <w:p w14:paraId="7AD2CC61">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未经批准擅自更换，每次扣减月度考核5分。</w:t>
      </w:r>
    </w:p>
    <w:p w14:paraId="7D259F3F">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（二）交接过渡机制</w:t>
      </w:r>
    </w:p>
    <w:p w14:paraId="5DE6D40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合同到期前3个月，承包方提交《服务交接方案》，包括设备、库存、人员、数据移交清单。  </w:t>
      </w:r>
    </w:p>
    <w:p w14:paraId="01951325">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医院组织模拟交接演练。  </w:t>
      </w:r>
    </w:p>
    <w:p w14:paraId="75B68B42">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3.</w:t>
      </w:r>
      <w:r>
        <w:rPr>
          <w:rFonts w:hint="eastAsia" w:ascii="仿宋" w:hAnsi="仿宋" w:eastAsia="仿宋" w:cs="仿宋"/>
          <w:b w:val="0"/>
          <w:kern w:val="2"/>
          <w:sz w:val="24"/>
          <w:szCs w:val="24"/>
          <w:lang w:val="en-US"/>
        </w:rPr>
        <w:t>若因交接不当导致服务中断，承包方承担</w:t>
      </w:r>
      <w:r>
        <w:rPr>
          <w:rFonts w:hint="eastAsia" w:ascii="仿宋" w:hAnsi="仿宋" w:eastAsia="仿宋" w:cs="仿宋"/>
          <w:b w:val="0"/>
          <w:kern w:val="2"/>
          <w:sz w:val="24"/>
          <w:szCs w:val="24"/>
          <w:lang w:val="en-US" w:eastAsia="zh-CN"/>
        </w:rPr>
        <w:t>全部</w:t>
      </w:r>
      <w:r>
        <w:rPr>
          <w:rFonts w:hint="eastAsia" w:ascii="仿宋" w:hAnsi="仿宋" w:eastAsia="仿宋" w:cs="仿宋"/>
          <w:b w:val="0"/>
          <w:kern w:val="2"/>
          <w:sz w:val="24"/>
          <w:szCs w:val="24"/>
          <w:lang w:val="en-US"/>
        </w:rPr>
        <w:t>责任</w:t>
      </w:r>
      <w:r>
        <w:rPr>
          <w:rFonts w:hint="eastAsia" w:ascii="仿宋" w:hAnsi="仿宋" w:eastAsia="仿宋" w:cs="仿宋"/>
          <w:b w:val="0"/>
          <w:kern w:val="2"/>
          <w:sz w:val="24"/>
          <w:szCs w:val="24"/>
          <w:lang w:val="en-US" w:eastAsia="zh-CN"/>
        </w:rPr>
        <w:t>并赔偿医院相关损失</w:t>
      </w:r>
      <w:r>
        <w:rPr>
          <w:rFonts w:hint="eastAsia" w:ascii="仿宋" w:hAnsi="仿宋" w:eastAsia="仿宋" w:cs="仿宋"/>
          <w:b w:val="0"/>
          <w:kern w:val="2"/>
          <w:sz w:val="24"/>
          <w:szCs w:val="24"/>
          <w:lang w:val="en-US"/>
        </w:rPr>
        <w:t>。</w:t>
      </w:r>
    </w:p>
    <w:p w14:paraId="752AFD96">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（三）菜品持续更新与营养管理</w:t>
      </w:r>
    </w:p>
    <w:p w14:paraId="7E61FEB1">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菜品更新：  </w:t>
      </w:r>
    </w:p>
    <w:p w14:paraId="4B568D3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（1）</w:t>
      </w:r>
      <w:r>
        <w:rPr>
          <w:rFonts w:hint="eastAsia" w:ascii="仿宋" w:hAnsi="仿宋" w:eastAsia="仿宋" w:cs="仿宋"/>
          <w:b w:val="0"/>
          <w:kern w:val="2"/>
          <w:sz w:val="24"/>
          <w:szCs w:val="24"/>
          <w:lang w:val="en-US"/>
        </w:rPr>
        <w:t xml:space="preserve">职工餐：每月更新不少于6道菜品，每季度研发1个主题餐（如低脂季、本地特色季）。  </w:t>
      </w:r>
    </w:p>
    <w:p w14:paraId="0D0D9EF9">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 xml:space="preserve">患者餐：由营养科审核，每季度更新1-2套治疗膳食谱。  </w:t>
      </w:r>
    </w:p>
    <w:p w14:paraId="5623116B">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 xml:space="preserve">特殊患者用餐：**  </w:t>
      </w:r>
    </w:p>
    <w:p w14:paraId="7F85479C">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w:t>
      </w: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糖尿病餐、低盐低脂餐、流质/半流质、肾病餐等，由营养科开具指导单，承包方专人制作、专窗或配送。  </w:t>
      </w:r>
    </w:p>
    <w:p w14:paraId="1F0C3BF8">
      <w:pPr>
        <w:snapToGrid/>
        <w:spacing w:line="240" w:lineRule="auto"/>
        <w:ind w:firstLine="0" w:firstLineChars="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 xml:space="preserve">  </w:t>
      </w:r>
      <w:r>
        <w:rPr>
          <w:rFonts w:hint="eastAsia" w:ascii="仿宋" w:hAnsi="仿宋" w:eastAsia="仿宋" w:cs="仿宋"/>
          <w:b w:val="0"/>
          <w:kern w:val="2"/>
          <w:sz w:val="24"/>
          <w:szCs w:val="24"/>
          <w:lang w:val="en-US" w:eastAsia="zh-CN"/>
        </w:rPr>
        <w:t xml:space="preserve"> （2）</w:t>
      </w:r>
      <w:r>
        <w:rPr>
          <w:rFonts w:hint="eastAsia" w:ascii="仿宋" w:hAnsi="仿宋" w:eastAsia="仿宋" w:cs="仿宋"/>
          <w:b w:val="0"/>
          <w:kern w:val="2"/>
          <w:sz w:val="24"/>
          <w:szCs w:val="24"/>
          <w:lang w:val="en-US"/>
        </w:rPr>
        <w:t>每半年开展1次患者膳食满意度专项调查。</w:t>
      </w:r>
    </w:p>
    <w:p w14:paraId="7285FF8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六、沟通与反馈机制</w:t>
      </w:r>
    </w:p>
    <w:p w14:paraId="439C456C">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（一）定期会议</w:t>
      </w:r>
    </w:p>
    <w:p w14:paraId="30573CE9">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1.</w:t>
      </w:r>
      <w:r>
        <w:rPr>
          <w:rFonts w:hint="eastAsia" w:ascii="仿宋" w:hAnsi="仿宋" w:eastAsia="仿宋" w:cs="仿宋"/>
          <w:b w:val="0"/>
          <w:kern w:val="2"/>
          <w:sz w:val="24"/>
          <w:szCs w:val="24"/>
          <w:lang w:val="en-US"/>
        </w:rPr>
        <w:t xml:space="preserve">膳食管理例会：每季度1次，由医院主持，承包方汇报运营数据、投诉处理、整改情况。  </w:t>
      </w:r>
    </w:p>
    <w:p w14:paraId="368540AC">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eastAsia="zh-CN"/>
        </w:rPr>
        <w:t>2.</w:t>
      </w:r>
      <w:r>
        <w:rPr>
          <w:rFonts w:hint="eastAsia" w:ascii="仿宋" w:hAnsi="仿宋" w:eastAsia="仿宋" w:cs="仿宋"/>
          <w:b w:val="0"/>
          <w:kern w:val="2"/>
          <w:sz w:val="24"/>
          <w:szCs w:val="24"/>
          <w:lang w:val="en-US"/>
        </w:rPr>
        <w:t>月度沟通会：监管组与承包方项目经理、厨师长碰头，协调日常问题。</w:t>
      </w:r>
    </w:p>
    <w:p w14:paraId="6359BDF8">
      <w:pPr>
        <w:snapToGrid/>
        <w:spacing w:line="240" w:lineRule="auto"/>
        <w:ind w:firstLine="480" w:firstLineChars="200"/>
        <w:rPr>
          <w:rFonts w:hint="eastAsia" w:ascii="仿宋" w:hAnsi="仿宋" w:eastAsia="仿宋" w:cs="仿宋"/>
          <w:b w:val="0"/>
          <w:kern w:val="2"/>
          <w:sz w:val="24"/>
          <w:szCs w:val="24"/>
          <w:lang w:val="en-US"/>
        </w:rPr>
      </w:pPr>
      <w:r>
        <w:rPr>
          <w:rFonts w:hint="eastAsia" w:ascii="仿宋" w:hAnsi="仿宋" w:eastAsia="仿宋" w:cs="仿宋"/>
          <w:b w:val="0"/>
          <w:kern w:val="2"/>
          <w:sz w:val="24"/>
          <w:szCs w:val="24"/>
          <w:lang w:val="en-US"/>
        </w:rPr>
        <w:t>（二）双向反馈流程</w:t>
      </w:r>
    </w:p>
    <w:p w14:paraId="1CBA8281">
      <w:pPr>
        <w:snapToGrid/>
        <w:spacing w:line="240" w:lineRule="auto"/>
        <w:ind w:firstLine="0" w:firstLineChars="0"/>
        <w:rPr>
          <w:rFonts w:hint="eastAsia" w:ascii="仿宋_GB2312" w:hAnsi="仿宋_GB2312" w:eastAsia="仿宋_GB2312" w:cs="仿宋_GB2312"/>
          <w:b w:val="0"/>
          <w:kern w:val="2"/>
          <w:sz w:val="32"/>
          <w:szCs w:val="32"/>
          <w:lang w:val="en-US" w:eastAsia="zh-CN"/>
        </w:rPr>
      </w:pPr>
    </w:p>
    <w:p w14:paraId="524FB174">
      <w:pPr>
        <w:snapToGrid/>
        <w:spacing w:line="240" w:lineRule="auto"/>
        <w:ind w:firstLine="0" w:firstLineChars="0"/>
        <w:rPr>
          <w:rFonts w:hint="eastAsia" w:ascii="仿宋_GB2312" w:hAnsi="仿宋_GB2312" w:eastAsia="仿宋_GB2312" w:cs="仿宋_GB2312"/>
          <w:b w:val="0"/>
          <w:kern w:val="2"/>
          <w:sz w:val="32"/>
          <w:szCs w:val="32"/>
          <w:lang w:val="en-US" w:eastAsia="zh-CN"/>
        </w:rPr>
      </w:pPr>
      <w:r>
        <w:rPr>
          <w:rFonts w:hint="eastAsia" w:ascii="仿宋_GB2312" w:hAnsi="仿宋_GB2312" w:eastAsia="仿宋_GB2312" w:cs="仿宋_GB2312"/>
          <w:b w:val="0"/>
          <w:kern w:val="2"/>
          <w:sz w:val="32"/>
          <w:szCs w:val="32"/>
          <w:lang w:val="en-US" w:eastAsia="zh-CN"/>
        </w:rPr>
        <w:drawing>
          <wp:inline distT="0" distB="0" distL="114300" distR="114300">
            <wp:extent cx="5408295" cy="1435735"/>
            <wp:effectExtent l="0" t="0" r="1905" b="12065"/>
            <wp:docPr id="8" name="图片 2" descr="d987e229654d9a40575021a6db7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987e229654d9a40575021a6db70560"/>
                    <pic:cNvPicPr>
                      <a:picLocks noChangeAspect="1"/>
                    </pic:cNvPicPr>
                  </pic:nvPicPr>
                  <pic:blipFill>
                    <a:blip r:embed="rId20"/>
                    <a:stretch>
                      <a:fillRect/>
                    </a:stretch>
                  </pic:blipFill>
                  <pic:spPr>
                    <a:xfrm>
                      <a:off x="0" y="0"/>
                      <a:ext cx="5408295" cy="1435735"/>
                    </a:xfrm>
                    <a:prstGeom prst="rect">
                      <a:avLst/>
                    </a:prstGeom>
                    <a:noFill/>
                    <a:ln>
                      <a:noFill/>
                    </a:ln>
                  </pic:spPr>
                </pic:pic>
              </a:graphicData>
            </a:graphic>
          </wp:inline>
        </w:drawing>
      </w:r>
    </w:p>
    <w:p w14:paraId="0EE2F344">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 xml:space="preserve">信息公开：每季度在食堂公告栏、医院内网公布：  </w:t>
      </w:r>
    </w:p>
    <w:p w14:paraId="358DB7C3">
      <w:pPr>
        <w:snapToGrid/>
        <w:spacing w:line="240" w:lineRule="auto"/>
        <w:ind w:firstLine="0" w:firstLineChars="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成本分析（食材、人工、水电等占比）</w:t>
      </w:r>
      <w:r>
        <w:rPr>
          <w:rFonts w:hint="eastAsia" w:ascii="仿宋" w:hAnsi="仿宋" w:eastAsia="仿宋" w:cs="仿宋"/>
          <w:b w:val="0"/>
          <w:kern w:val="2"/>
          <w:sz w:val="28"/>
          <w:szCs w:val="28"/>
          <w:lang w:val="en-US" w:eastAsia="zh-CN"/>
        </w:rPr>
        <w:t>；</w:t>
      </w:r>
      <w:r>
        <w:rPr>
          <w:rFonts w:hint="eastAsia" w:ascii="仿宋" w:hAnsi="仿宋" w:eastAsia="仿宋" w:cs="仿宋"/>
          <w:b w:val="0"/>
          <w:kern w:val="2"/>
          <w:sz w:val="28"/>
          <w:szCs w:val="28"/>
          <w:lang w:val="en-US"/>
        </w:rPr>
        <w:t xml:space="preserve">  </w:t>
      </w:r>
    </w:p>
    <w:p w14:paraId="3E4244BA">
      <w:pPr>
        <w:snapToGrid/>
        <w:spacing w:line="240" w:lineRule="auto"/>
        <w:ind w:firstLine="0" w:firstLineChars="0"/>
        <w:rPr>
          <w:rFonts w:hint="eastAsia" w:ascii="仿宋" w:hAnsi="仿宋" w:eastAsia="仿宋" w:cs="仿宋"/>
          <w:b w:val="0"/>
          <w:kern w:val="2"/>
          <w:sz w:val="28"/>
          <w:szCs w:val="28"/>
          <w:lang w:val="en-US" w:eastAsia="zh-CN"/>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（2）</w:t>
      </w:r>
      <w:r>
        <w:rPr>
          <w:rFonts w:hint="eastAsia" w:ascii="仿宋" w:hAnsi="仿宋" w:eastAsia="仿宋" w:cs="仿宋"/>
          <w:b w:val="0"/>
          <w:kern w:val="2"/>
          <w:sz w:val="28"/>
          <w:szCs w:val="28"/>
          <w:lang w:val="en-US"/>
        </w:rPr>
        <w:t>满意度得分</w:t>
      </w:r>
      <w:r>
        <w:rPr>
          <w:rFonts w:hint="eastAsia" w:ascii="仿宋" w:hAnsi="仿宋" w:eastAsia="仿宋" w:cs="仿宋"/>
          <w:b w:val="0"/>
          <w:kern w:val="2"/>
          <w:sz w:val="28"/>
          <w:szCs w:val="28"/>
          <w:lang w:val="en-US" w:eastAsia="zh-CN"/>
        </w:rPr>
        <w:t>；</w:t>
      </w:r>
    </w:p>
    <w:p w14:paraId="4444F305">
      <w:pPr>
        <w:snapToGrid/>
        <w:spacing w:line="240" w:lineRule="auto"/>
        <w:ind w:firstLine="0" w:firstLineChars="0"/>
        <w:rPr>
          <w:rFonts w:hint="eastAsia" w:ascii="仿宋" w:hAnsi="仿宋" w:eastAsia="仿宋" w:cs="仿宋"/>
          <w:b w:val="0"/>
          <w:kern w:val="2"/>
          <w:sz w:val="28"/>
          <w:szCs w:val="28"/>
          <w:lang w:val="en-US" w:eastAsia="zh-CN"/>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（3）</w:t>
      </w:r>
      <w:r>
        <w:rPr>
          <w:rFonts w:hint="eastAsia" w:ascii="仿宋" w:hAnsi="仿宋" w:eastAsia="仿宋" w:cs="仿宋"/>
          <w:b w:val="0"/>
          <w:kern w:val="2"/>
          <w:sz w:val="28"/>
          <w:szCs w:val="28"/>
          <w:lang w:val="en-US"/>
        </w:rPr>
        <w:t>典型投诉及整改措施</w:t>
      </w:r>
      <w:r>
        <w:rPr>
          <w:rFonts w:hint="eastAsia" w:ascii="仿宋" w:hAnsi="仿宋" w:eastAsia="仿宋" w:cs="仿宋"/>
          <w:b w:val="0"/>
          <w:kern w:val="2"/>
          <w:sz w:val="28"/>
          <w:szCs w:val="28"/>
          <w:lang w:val="en-US" w:eastAsia="zh-CN"/>
        </w:rPr>
        <w:t>；</w:t>
      </w:r>
    </w:p>
    <w:p w14:paraId="55BD2E8E">
      <w:pPr>
        <w:snapToGrid/>
        <w:spacing w:line="240" w:lineRule="auto"/>
        <w:ind w:firstLine="0" w:firstLineChars="0"/>
        <w:rPr>
          <w:rFonts w:hint="eastAsia" w:ascii="仿宋" w:hAnsi="仿宋" w:eastAsia="仿宋" w:cs="仿宋"/>
          <w:b w:val="0"/>
          <w:kern w:val="2"/>
          <w:sz w:val="28"/>
          <w:szCs w:val="28"/>
          <w:lang w:val="en-US" w:eastAsia="zh-CN"/>
        </w:rPr>
      </w:pPr>
      <w:r>
        <w:rPr>
          <w:rFonts w:hint="eastAsia" w:ascii="仿宋" w:hAnsi="仿宋" w:eastAsia="仿宋" w:cs="仿宋"/>
          <w:b w:val="0"/>
          <w:kern w:val="2"/>
          <w:sz w:val="28"/>
          <w:szCs w:val="28"/>
          <w:lang w:val="en-US"/>
        </w:rPr>
        <w:t xml:space="preserve">  </w:t>
      </w:r>
      <w:r>
        <w:rPr>
          <w:rFonts w:hint="eastAsia" w:ascii="仿宋" w:hAnsi="仿宋" w:eastAsia="仿宋" w:cs="仿宋"/>
          <w:b w:val="0"/>
          <w:kern w:val="2"/>
          <w:sz w:val="28"/>
          <w:szCs w:val="28"/>
          <w:lang w:val="en-US" w:eastAsia="zh-CN"/>
        </w:rPr>
        <w:t>（4）</w:t>
      </w:r>
      <w:r>
        <w:rPr>
          <w:rFonts w:hint="eastAsia" w:ascii="仿宋" w:hAnsi="仿宋" w:eastAsia="仿宋" w:cs="仿宋"/>
          <w:b w:val="0"/>
          <w:kern w:val="2"/>
          <w:sz w:val="28"/>
          <w:szCs w:val="28"/>
          <w:lang w:val="en-US"/>
        </w:rPr>
        <w:t>月度考核得分</w:t>
      </w:r>
      <w:r>
        <w:rPr>
          <w:rFonts w:hint="eastAsia" w:ascii="仿宋" w:hAnsi="仿宋" w:eastAsia="仿宋" w:cs="仿宋"/>
          <w:b w:val="0"/>
          <w:kern w:val="2"/>
          <w:sz w:val="28"/>
          <w:szCs w:val="28"/>
          <w:lang w:val="en-US" w:eastAsia="zh-CN"/>
        </w:rPr>
        <w:t>。</w:t>
      </w:r>
    </w:p>
    <w:p w14:paraId="630A93F3">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七、经济与合同管理</w:t>
      </w:r>
    </w:p>
    <w:p w14:paraId="30433D28">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w:t>
      </w:r>
      <w:r>
        <w:rPr>
          <w:rFonts w:hint="eastAsia" w:ascii="仿宋" w:hAnsi="仿宋" w:eastAsia="仿宋" w:cs="仿宋"/>
          <w:b w:val="0"/>
          <w:kern w:val="2"/>
          <w:sz w:val="28"/>
          <w:szCs w:val="28"/>
          <w:lang w:val="en-US" w:eastAsia="zh-CN"/>
        </w:rPr>
        <w:t>一</w:t>
      </w:r>
      <w:r>
        <w:rPr>
          <w:rFonts w:hint="eastAsia" w:ascii="仿宋" w:hAnsi="仿宋" w:eastAsia="仿宋" w:cs="仿宋"/>
          <w:b w:val="0"/>
          <w:kern w:val="2"/>
          <w:sz w:val="28"/>
          <w:szCs w:val="28"/>
          <w:lang w:val="en-US"/>
        </w:rPr>
        <w:t>）价格管控机制</w:t>
      </w:r>
    </w:p>
    <w:p w14:paraId="0516450B">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 xml:space="preserve">菜品调价需提前30天书面申请，附成本变动依据（如食材涨幅超过20%）。  </w:t>
      </w:r>
    </w:p>
    <w:p w14:paraId="05355592">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2.</w:t>
      </w:r>
      <w:r>
        <w:rPr>
          <w:rFonts w:hint="eastAsia" w:ascii="仿宋" w:hAnsi="仿宋" w:eastAsia="仿宋" w:cs="仿宋"/>
          <w:b w:val="0"/>
          <w:kern w:val="2"/>
          <w:sz w:val="28"/>
          <w:szCs w:val="28"/>
          <w:lang w:val="en-US"/>
        </w:rPr>
        <w:t xml:space="preserve">医院审计科或第三方成本审核后，双方协商调整幅度。  </w:t>
      </w:r>
    </w:p>
    <w:p w14:paraId="2B1CC27B">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3.</w:t>
      </w:r>
      <w:r>
        <w:rPr>
          <w:rFonts w:hint="eastAsia" w:ascii="仿宋" w:hAnsi="仿宋" w:eastAsia="仿宋" w:cs="仿宋"/>
          <w:b w:val="0"/>
          <w:kern w:val="2"/>
          <w:sz w:val="28"/>
          <w:szCs w:val="28"/>
          <w:lang w:val="en-US"/>
        </w:rPr>
        <w:t>未经批准擅自涨价，每次扣减考核得分10分，并退还多收费用。</w:t>
      </w:r>
    </w:p>
    <w:p w14:paraId="71565D09">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w:t>
      </w:r>
      <w:r>
        <w:rPr>
          <w:rFonts w:hint="eastAsia" w:ascii="仿宋" w:hAnsi="仿宋" w:eastAsia="仿宋" w:cs="仿宋"/>
          <w:b w:val="0"/>
          <w:kern w:val="2"/>
          <w:sz w:val="28"/>
          <w:szCs w:val="28"/>
          <w:lang w:val="en-US" w:eastAsia="zh-CN"/>
        </w:rPr>
        <w:t>二</w:t>
      </w:r>
      <w:r>
        <w:rPr>
          <w:rFonts w:hint="eastAsia" w:ascii="仿宋" w:hAnsi="仿宋" w:eastAsia="仿宋" w:cs="仿宋"/>
          <w:b w:val="0"/>
          <w:kern w:val="2"/>
          <w:sz w:val="28"/>
          <w:szCs w:val="28"/>
          <w:lang w:val="en-US"/>
        </w:rPr>
        <w:t>）合同期限</w:t>
      </w:r>
    </w:p>
    <w:p w14:paraId="317E1C26">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1.</w:t>
      </w:r>
      <w:r>
        <w:rPr>
          <w:rFonts w:hint="eastAsia" w:ascii="仿宋" w:hAnsi="仿宋" w:eastAsia="仿宋" w:cs="仿宋"/>
          <w:b w:val="0"/>
          <w:kern w:val="2"/>
          <w:sz w:val="28"/>
          <w:szCs w:val="28"/>
          <w:lang w:val="en-US"/>
        </w:rPr>
        <w:t xml:space="preserve">首次合同签订1年，续签不超过3年。  </w:t>
      </w:r>
    </w:p>
    <w:p w14:paraId="2E5C94A9">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2.</w:t>
      </w:r>
      <w:r>
        <w:rPr>
          <w:rFonts w:hint="eastAsia" w:ascii="仿宋" w:hAnsi="仿宋" w:eastAsia="仿宋" w:cs="仿宋"/>
          <w:b w:val="0"/>
          <w:kern w:val="2"/>
          <w:sz w:val="28"/>
          <w:szCs w:val="28"/>
          <w:lang w:val="en-US"/>
        </w:rPr>
        <w:t>合同明确双方权利义务、退出条款、争议解决方式（优先协商，协商不成由医院所在地法院管辖）。</w:t>
      </w:r>
    </w:p>
    <w:p w14:paraId="7038EDC0">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rPr>
        <w:t>八、附则</w:t>
      </w:r>
    </w:p>
    <w:p w14:paraId="275729D9">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（一）</w:t>
      </w:r>
      <w:r>
        <w:rPr>
          <w:rFonts w:hint="eastAsia" w:ascii="仿宋" w:hAnsi="仿宋" w:eastAsia="仿宋" w:cs="仿宋"/>
          <w:b w:val="0"/>
          <w:kern w:val="2"/>
          <w:sz w:val="28"/>
          <w:szCs w:val="28"/>
          <w:lang w:val="en-US"/>
        </w:rPr>
        <w:t xml:space="preserve">本方案自合同签订之日起生效，医院可根据实际运营情况修订，修订前提前30日书面通知承包方。  </w:t>
      </w:r>
    </w:p>
    <w:p w14:paraId="121CB73A">
      <w:pPr>
        <w:snapToGrid/>
        <w:spacing w:line="240" w:lineRule="auto"/>
        <w:ind w:firstLine="560" w:firstLineChars="200"/>
        <w:rPr>
          <w:rFonts w:hint="eastAsia" w:ascii="仿宋" w:hAnsi="仿宋" w:eastAsia="仿宋" w:cs="仿宋"/>
          <w:b w:val="0"/>
          <w:kern w:val="2"/>
          <w:sz w:val="28"/>
          <w:szCs w:val="28"/>
          <w:lang w:val="en-US"/>
        </w:rPr>
      </w:pPr>
      <w:r>
        <w:rPr>
          <w:rFonts w:hint="eastAsia" w:ascii="仿宋" w:hAnsi="仿宋" w:eastAsia="仿宋" w:cs="仿宋"/>
          <w:b w:val="0"/>
          <w:kern w:val="2"/>
          <w:sz w:val="28"/>
          <w:szCs w:val="28"/>
          <w:lang w:val="en-US" w:eastAsia="zh-CN"/>
        </w:rPr>
        <w:t>（二）</w:t>
      </w:r>
      <w:r>
        <w:rPr>
          <w:rFonts w:hint="eastAsia" w:ascii="仿宋" w:hAnsi="仿宋" w:eastAsia="仿宋" w:cs="仿宋"/>
          <w:b w:val="0"/>
          <w:kern w:val="2"/>
          <w:sz w:val="28"/>
          <w:szCs w:val="28"/>
          <w:lang w:val="en-US"/>
        </w:rPr>
        <w:t xml:space="preserve"> 方案解释权归</w:t>
      </w:r>
      <w:r>
        <w:rPr>
          <w:rFonts w:hint="eastAsia" w:ascii="仿宋" w:hAnsi="仿宋" w:eastAsia="仿宋" w:cs="仿宋"/>
          <w:b w:val="0"/>
          <w:kern w:val="2"/>
          <w:sz w:val="28"/>
          <w:szCs w:val="28"/>
          <w:lang w:val="en-US" w:eastAsia="zh-CN"/>
        </w:rPr>
        <w:t>昌吉回族自治州人民医院</w:t>
      </w:r>
      <w:r>
        <w:rPr>
          <w:rFonts w:hint="eastAsia" w:ascii="仿宋" w:hAnsi="仿宋" w:eastAsia="仿宋" w:cs="仿宋"/>
          <w:b w:val="0"/>
          <w:kern w:val="2"/>
          <w:sz w:val="28"/>
          <w:szCs w:val="28"/>
          <w:lang w:val="en-US"/>
        </w:rPr>
        <w:t>所有。</w:t>
      </w:r>
    </w:p>
    <w:p w14:paraId="3B7A64C5">
      <w:pPr>
        <w:snapToGrid/>
        <w:spacing w:line="240" w:lineRule="auto"/>
        <w:ind w:firstLine="0" w:firstLineChars="0"/>
        <w:rPr>
          <w:rFonts w:hint="eastAsia" w:ascii="仿宋" w:hAnsi="仿宋" w:eastAsia="仿宋" w:cs="仿宋"/>
          <w:b w:val="0"/>
          <w:kern w:val="2"/>
          <w:sz w:val="28"/>
          <w:szCs w:val="28"/>
          <w:lang w:val="en-US"/>
        </w:rPr>
      </w:pPr>
    </w:p>
    <w:p w14:paraId="390CD753">
      <w:pPr>
        <w:snapToGrid/>
        <w:spacing w:line="240" w:lineRule="auto"/>
        <w:ind w:firstLine="0" w:firstLineChars="0"/>
        <w:rPr>
          <w:rFonts w:hint="eastAsia" w:ascii="仿宋_GB2312" w:hAnsi="仿宋_GB2312" w:eastAsia="仿宋_GB2312" w:cs="仿宋_GB2312"/>
          <w:b w:val="0"/>
          <w:kern w:val="2"/>
          <w:sz w:val="32"/>
          <w:szCs w:val="32"/>
          <w:lang w:val="en-US"/>
        </w:rPr>
      </w:pPr>
    </w:p>
    <w:p w14:paraId="45EE66EE">
      <w:pPr>
        <w:snapToGrid/>
        <w:spacing w:line="240" w:lineRule="auto"/>
        <w:ind w:firstLine="0" w:firstLineChars="0"/>
        <w:rPr>
          <w:rFonts w:hint="eastAsia" w:ascii="仿宋_GB2312" w:hAnsi="仿宋_GB2312" w:eastAsia="仿宋_GB2312" w:cs="仿宋_GB2312"/>
          <w:b w:val="0"/>
          <w:kern w:val="2"/>
          <w:sz w:val="32"/>
          <w:szCs w:val="32"/>
          <w:lang w:val="en-US"/>
        </w:rPr>
      </w:pPr>
    </w:p>
    <w:p w14:paraId="0AF04573">
      <w:pPr>
        <w:snapToGrid/>
        <w:spacing w:line="240" w:lineRule="auto"/>
        <w:ind w:firstLine="0" w:firstLineChars="0"/>
        <w:rPr>
          <w:rFonts w:hint="eastAsia" w:ascii="仿宋_GB2312" w:hAnsi="仿宋_GB2312" w:eastAsia="仿宋_GB2312" w:cs="仿宋_GB2312"/>
          <w:b w:val="0"/>
          <w:kern w:val="2"/>
          <w:sz w:val="32"/>
          <w:szCs w:val="32"/>
          <w:lang w:val="en-US"/>
        </w:rPr>
      </w:pPr>
      <w:r>
        <w:rPr>
          <w:rFonts w:hint="eastAsia" w:ascii="仿宋_GB2312" w:hAnsi="仿宋_GB2312" w:eastAsia="仿宋_GB2312" w:cs="仿宋_GB2312"/>
          <w:b w:val="0"/>
          <w:kern w:val="2"/>
          <w:sz w:val="32"/>
          <w:szCs w:val="32"/>
          <w:lang w:val="en-US"/>
        </w:rPr>
        <w:t>附件：</w:t>
      </w:r>
    </w:p>
    <w:p w14:paraId="5E2B81B0">
      <w:pPr>
        <w:snapToGrid/>
        <w:spacing w:line="240" w:lineRule="auto"/>
        <w:ind w:firstLine="0" w:firstLineChars="0"/>
        <w:rPr>
          <w:rFonts w:hint="eastAsia" w:ascii="仿宋_GB2312" w:hAnsi="仿宋_GB2312" w:eastAsia="仿宋_GB2312" w:cs="仿宋_GB2312"/>
          <w:b w:val="0"/>
          <w:kern w:val="2"/>
          <w:sz w:val="32"/>
          <w:szCs w:val="32"/>
          <w:lang w:val="en-US"/>
        </w:rPr>
      </w:pPr>
      <w:r>
        <w:rPr>
          <w:rFonts w:hint="eastAsia" w:ascii="仿宋_GB2312" w:hAnsi="仿宋_GB2312" w:eastAsia="仿宋_GB2312" w:cs="仿宋_GB2312"/>
          <w:b w:val="0"/>
          <w:kern w:val="2"/>
          <w:sz w:val="32"/>
          <w:szCs w:val="32"/>
          <w:lang w:val="en-US"/>
        </w:rPr>
        <w:t xml:space="preserve">1. </w:t>
      </w:r>
      <w:r>
        <w:rPr>
          <w:rFonts w:hint="eastAsia" w:ascii="仿宋_GB2312" w:hAnsi="仿宋_GB2312" w:eastAsia="仿宋_GB2312" w:cs="仿宋_GB2312"/>
          <w:b w:val="0"/>
          <w:kern w:val="2"/>
          <w:sz w:val="32"/>
          <w:szCs w:val="32"/>
          <w:lang w:val="en-US" w:eastAsia="zh-CN"/>
        </w:rPr>
        <w:t>昌吉回族自治州人民医院</w:t>
      </w:r>
      <w:r>
        <w:rPr>
          <w:rFonts w:hint="eastAsia" w:ascii="仿宋_GB2312" w:hAnsi="仿宋_GB2312" w:eastAsia="仿宋_GB2312" w:cs="仿宋_GB2312"/>
          <w:b w:val="0"/>
          <w:kern w:val="2"/>
          <w:sz w:val="32"/>
          <w:szCs w:val="32"/>
          <w:lang w:val="en-US"/>
        </w:rPr>
        <w:t xml:space="preserve">食堂餐饮服务单位绩效考核标准（附详细评分表）  </w:t>
      </w:r>
    </w:p>
    <w:p w14:paraId="7C3B99D2">
      <w:pPr>
        <w:snapToGrid/>
        <w:spacing w:line="240" w:lineRule="auto"/>
        <w:ind w:firstLine="0" w:firstLineChars="0"/>
        <w:rPr>
          <w:rFonts w:hint="eastAsia" w:ascii="仿宋_GB2312" w:hAnsi="仿宋_GB2312" w:eastAsia="仿宋_GB2312" w:cs="仿宋_GB2312"/>
          <w:b w:val="0"/>
          <w:kern w:val="2"/>
          <w:sz w:val="32"/>
          <w:szCs w:val="32"/>
          <w:lang w:val="en-US"/>
        </w:rPr>
      </w:pPr>
      <w:r>
        <w:rPr>
          <w:rFonts w:hint="eastAsia" w:ascii="仿宋_GB2312" w:hAnsi="仿宋_GB2312" w:eastAsia="仿宋_GB2312" w:cs="仿宋_GB2312"/>
          <w:b w:val="0"/>
          <w:kern w:val="2"/>
          <w:sz w:val="32"/>
          <w:szCs w:val="32"/>
          <w:lang w:val="en-US"/>
        </w:rPr>
        <w:t xml:space="preserve">2. 食堂日常检查表（日查/周查/月查）  </w:t>
      </w:r>
    </w:p>
    <w:p w14:paraId="6A46BC49">
      <w:pPr>
        <w:snapToGrid/>
        <w:spacing w:line="240" w:lineRule="auto"/>
        <w:ind w:firstLine="0" w:firstLineChars="0"/>
        <w:rPr>
          <w:rFonts w:hint="eastAsia" w:ascii="仿宋_GB2312" w:hAnsi="仿宋_GB2312" w:eastAsia="仿宋_GB2312" w:cs="仿宋_GB2312"/>
          <w:b w:val="0"/>
          <w:kern w:val="2"/>
          <w:sz w:val="32"/>
          <w:szCs w:val="32"/>
          <w:lang w:val="en-US"/>
        </w:rPr>
      </w:pPr>
    </w:p>
    <w:p w14:paraId="3B987B6A">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1B9AFC2D">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F09F582">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731B87F1">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68260E2C">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3A16D103">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65E0B244">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20D1B209">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6C89A062">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785007FF">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33BE2EEB">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bCs/>
          <w:kern w:val="2"/>
          <w:sz w:val="28"/>
          <w:szCs w:val="28"/>
          <w:highlight w:val="none"/>
          <w:shd w:val="clear" w:color="auto" w:fill="auto"/>
          <w:lang w:val="en-US" w:eastAsia="zh-CN" w:bidi="ar-SA"/>
        </w:rPr>
      </w:pPr>
    </w:p>
    <w:p w14:paraId="735FE9B9">
      <w:pPr>
        <w:adjustRightInd w:val="0"/>
        <w:snapToGrid w:val="0"/>
        <w:spacing w:before="100" w:beforeAutospacing="1" w:after="100" w:afterAutospacing="1" w:line="240" w:lineRule="auto"/>
        <w:ind w:firstLine="0" w:firstLineChars="0"/>
        <w:jc w:val="left"/>
        <w:rPr>
          <w:rFonts w:hint="eastAsia" w:ascii="仿宋_GB2312" w:hAnsi="仿宋_GB2312" w:eastAsia="仿宋_GB2312" w:cs="仿宋_GB2312"/>
          <w:b w:val="0"/>
          <w:kern w:val="0"/>
          <w:sz w:val="28"/>
          <w:szCs w:val="28"/>
          <w:highlight w:val="none"/>
          <w:shd w:val="clear" w:color="auto" w:fill="auto"/>
          <w:lang w:val="en-US" w:eastAsia="zh-CN"/>
        </w:rPr>
      </w:pPr>
      <w:r>
        <w:rPr>
          <w:rFonts w:hint="eastAsia" w:ascii="仿宋_GB2312" w:hAnsi="仿宋_GB2312" w:eastAsia="仿宋_GB2312" w:cs="仿宋_GB2312"/>
          <w:b w:val="0"/>
          <w:kern w:val="0"/>
          <w:sz w:val="28"/>
          <w:szCs w:val="28"/>
          <w:highlight w:val="none"/>
          <w:shd w:val="clear" w:color="auto" w:fill="auto"/>
          <w:lang w:val="en-US" w:eastAsia="zh-CN"/>
        </w:rPr>
        <w:t>附件1：</w:t>
      </w:r>
    </w:p>
    <w:tbl>
      <w:tblPr>
        <w:tblStyle w:val="8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0"/>
        <w:gridCol w:w="5444"/>
        <w:gridCol w:w="1267"/>
        <w:gridCol w:w="942"/>
        <w:gridCol w:w="1044"/>
      </w:tblGrid>
      <w:tr w14:paraId="75B70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000" w:type="pct"/>
            <w:gridSpan w:val="5"/>
            <w:tcBorders>
              <w:top w:val="nil"/>
              <w:left w:val="nil"/>
              <w:bottom w:val="nil"/>
              <w:right w:val="nil"/>
            </w:tcBorders>
            <w:noWrap/>
            <w:vAlign w:val="center"/>
          </w:tcPr>
          <w:p w14:paraId="06CA8B33">
            <w:pPr>
              <w:keepNext w:val="0"/>
              <w:keepLines w:val="0"/>
              <w:widowControl/>
              <w:suppressLineNumbers w:val="0"/>
              <w:snapToGrid/>
              <w:spacing w:line="240" w:lineRule="auto"/>
              <w:ind w:firstLine="0" w:firstLineChars="0"/>
              <w:jc w:val="center"/>
              <w:textAlignment w:val="center"/>
              <w:rPr>
                <w:rFonts w:ascii="微软雅黑" w:hAnsi="微软雅黑" w:eastAsia="微软雅黑" w:cs="微软雅黑"/>
                <w:b/>
                <w:bCs/>
                <w:i w:val="0"/>
                <w:iCs w:val="0"/>
                <w:color w:val="000000"/>
                <w:kern w:val="2"/>
                <w:sz w:val="36"/>
                <w:szCs w:val="36"/>
                <w:u w:val="none"/>
                <w:lang w:val="en-US"/>
              </w:rPr>
            </w:pPr>
            <w:r>
              <w:rPr>
                <w:rFonts w:hint="eastAsia" w:ascii="微软雅黑" w:hAnsi="微软雅黑" w:eastAsia="微软雅黑" w:cs="微软雅黑"/>
                <w:b/>
                <w:bCs/>
                <w:i w:val="0"/>
                <w:iCs w:val="0"/>
                <w:color w:val="000000"/>
                <w:kern w:val="0"/>
                <w:sz w:val="36"/>
                <w:szCs w:val="36"/>
                <w:u w:val="none"/>
                <w:lang w:val="en-US" w:eastAsia="zh-CN" w:bidi="ar"/>
              </w:rPr>
              <w:t>昌吉回族自治州人民医院食堂餐饮服务单位绩效考核标准</w:t>
            </w:r>
          </w:p>
        </w:tc>
      </w:tr>
      <w:tr w14:paraId="02566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7B8485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8"/>
                <w:szCs w:val="28"/>
                <w:u w:val="none"/>
                <w:lang w:val="en-US"/>
              </w:rPr>
            </w:pPr>
            <w:r>
              <w:rPr>
                <w:rFonts w:hint="eastAsia" w:ascii="微软雅黑" w:hAnsi="微软雅黑" w:eastAsia="微软雅黑" w:cs="微软雅黑"/>
                <w:b/>
                <w:bCs/>
                <w:i w:val="0"/>
                <w:iCs w:val="0"/>
                <w:color w:val="000000"/>
                <w:kern w:val="0"/>
                <w:sz w:val="28"/>
                <w:szCs w:val="28"/>
                <w:u w:val="none"/>
                <w:lang w:val="en-US" w:eastAsia="zh-CN" w:bidi="ar"/>
              </w:rPr>
              <w:t>食堂月度绩效考核表</w:t>
            </w:r>
          </w:p>
        </w:tc>
      </w:tr>
      <w:tr w14:paraId="001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49" w:type="pct"/>
            <w:gridSpan w:val="2"/>
            <w:tcBorders>
              <w:top w:val="single" w:color="000000" w:sz="4" w:space="0"/>
              <w:left w:val="single" w:color="000000" w:sz="4" w:space="0"/>
              <w:bottom w:val="single" w:color="000000" w:sz="4" w:space="0"/>
              <w:right w:val="single" w:color="000000" w:sz="4" w:space="0"/>
            </w:tcBorders>
            <w:noWrap/>
            <w:vAlign w:val="center"/>
          </w:tcPr>
          <w:p w14:paraId="4FBBCD4E">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考核单位:</w:t>
            </w:r>
          </w:p>
        </w:tc>
        <w:tc>
          <w:tcPr>
            <w:tcW w:w="1750" w:type="pct"/>
            <w:gridSpan w:val="3"/>
            <w:tcBorders>
              <w:top w:val="single" w:color="000000" w:sz="4" w:space="0"/>
              <w:left w:val="single" w:color="000000" w:sz="4" w:space="0"/>
              <w:bottom w:val="single" w:color="000000" w:sz="4" w:space="0"/>
              <w:right w:val="single" w:color="000000" w:sz="4" w:space="0"/>
            </w:tcBorders>
            <w:noWrap/>
            <w:vAlign w:val="center"/>
          </w:tcPr>
          <w:p w14:paraId="02C33F4B">
            <w:pPr>
              <w:keepNext w:val="0"/>
              <w:keepLines w:val="0"/>
              <w:widowControl/>
              <w:suppressLineNumbers w:val="0"/>
              <w:snapToGrid/>
              <w:spacing w:line="240" w:lineRule="auto"/>
              <w:ind w:firstLine="0" w:firstLineChars="0"/>
              <w:jc w:val="both"/>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考核时间:</w:t>
            </w:r>
          </w:p>
        </w:tc>
      </w:tr>
      <w:tr w14:paraId="25EB8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8" w:type="pct"/>
            <w:tcBorders>
              <w:top w:val="single" w:color="000000" w:sz="4" w:space="0"/>
              <w:left w:val="single" w:color="000000" w:sz="4" w:space="0"/>
              <w:bottom w:val="single" w:color="000000" w:sz="4" w:space="0"/>
              <w:right w:val="single" w:color="000000" w:sz="4" w:space="0"/>
            </w:tcBorders>
            <w:noWrap/>
            <w:vAlign w:val="center"/>
          </w:tcPr>
          <w:p w14:paraId="4AF9DE41">
            <w:pPr>
              <w:snapToGrid/>
              <w:spacing w:line="240" w:lineRule="auto"/>
              <w:ind w:firstLine="0" w:firstLineChars="0"/>
              <w:jc w:val="center"/>
              <w:rPr>
                <w:rFonts w:hint="eastAsia" w:ascii="微软雅黑" w:hAnsi="微软雅黑" w:eastAsia="微软雅黑" w:cs="微软雅黑"/>
                <w:b/>
                <w:bCs/>
                <w:i w:val="0"/>
                <w:iCs w:val="0"/>
                <w:color w:val="000000"/>
                <w:kern w:val="2"/>
                <w:sz w:val="24"/>
                <w:szCs w:val="24"/>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3D1D14A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标准内容</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E21060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规定分</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值</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FEB71D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扣分</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细则</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14:paraId="3AB66EF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累计</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扣分值</w:t>
            </w:r>
          </w:p>
        </w:tc>
      </w:tr>
      <w:tr w14:paraId="4D0FD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25459BCC">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一</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41C30D8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严格执行食堂卫生管理制度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F1F2CD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3A42FD8">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359F901">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F5F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FB924BD">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1FA19F0A">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必须做到“制度”上墙，对有关内容做到人人应知应会，并且逐条落实，杜绝发生食物中毒。</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6B0C01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DC5519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30A1EB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DB9E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69C67CA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二</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36FEB5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严格执行食堂安全管理制度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2B564E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F58F0B3">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2F71D3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D83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022455E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5949E4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1、操作间配足规定数量的灭火器。工作人员会正确使用灭火器材。</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2EC27F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303069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CDBA27D">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740CE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32568890">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C35452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2、电器设备接地良好，有漏电保护，线路无老化、裸露。</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FC9F18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CC42454">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76A44B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3CFC1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145BE008">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65E5E35E">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3、正确使用电器设备，按标准的操作规程进行操作。</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759AC18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874BF5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313D705">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4058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219F193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三</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3F257DF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全部从业人员必须持健康证上岗</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9D5069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C023E4D">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22DF2A06">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B71C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3B7A8B79">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45E2308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1、全体从业人员必须持有当年卫生监督机构签发的健康证。</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08ADF9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4D8807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D337E5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52C2B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69DB8A11">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156A7D46">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2、有危害食品卫生疾病的人员不能上岗。</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E7A9102">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87ADF71">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76C206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0462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51E4873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四</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698B4B4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原料和成品实行“留样”和“四不”制度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DF4553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6A1FF6D">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527A6B0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0B55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1CC54A39">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B984093">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1、不购买腐烂变质的原料和超过保质期的成品。</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F323D8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71192B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C9360E6">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6586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00A9B691">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4E0C897E">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2、不存放腐烂变质的原料和超过保质期的成品。</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814A3E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477607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079DE34">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3C575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13031A5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3CDB0293">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3、不使用腐烂变质的原料和超过保质期的成品。</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5CCDC5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22CA61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297BEA8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2BA5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1B54AB2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B9CE68D">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4、不供应剩饭、剩菜及其他变质的食品。</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E543E7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C045D6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8EEFD71">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1EF8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333DA4CB">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2612F8C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5、成品要严格遵守留样制度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8DD176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F273EA0">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1AAA0EE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064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7BC613C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五</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308021F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食品存放实行“三隔离”制度(包括区域、容器、用具、冷藏设备)</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DB90B2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38E6B43">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0EE2F18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58BD1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4A9FBB30">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576B8397">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1、生食、熟食必须隔离，分开存放。</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9E3B2B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1B5E43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30FA4B2F">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48B1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5E03D999">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34B9B96">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2、成品，半成品必须隔离(毛料与净料隔离)防止交叉污染。</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F5F6273">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6DAEC2C">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01254A7">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0E481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5AD1055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209A0C93">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3、食物与杂物、洗涤用品隔离。</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7C30AEE">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896B6D5">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211F92D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54C0C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4E2D2CD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六</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1035F3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餐具、用具管理实行“四过关”制度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6F562B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D42456D">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83776F9">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0B831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62951C8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D731CA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1、设专人负责清洗消毒，保证餐具、用具洁净，无残留物；</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7047CB8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5C2CAE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3D105674">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0A354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11B3354">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52B64003">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2、有消毒设施和消毒材料;</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744D3EF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58D4BDE">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2A559BC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1F1DF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7D3FEC2">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A768A70">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3、有原始消毒记录;</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46829FB">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D2127C4">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66878CB">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5BF2C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F6489C2">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4764F8B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4、餐具消毒后必须放入全封闭餐具柜;防止二次污染。长时间未使用的餐具在使用前要重新消毒。</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C1DC17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EA6AE31">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06625378">
            <w:pPr>
              <w:snapToGrid/>
              <w:spacing w:line="240" w:lineRule="auto"/>
              <w:ind w:firstLine="0" w:firstLineChars="0"/>
              <w:jc w:val="left"/>
              <w:rPr>
                <w:rFonts w:hint="eastAsia" w:ascii="微软雅黑" w:hAnsi="微软雅黑" w:eastAsia="微软雅黑" w:cs="微软雅黑"/>
                <w:b w:val="0"/>
                <w:i w:val="0"/>
                <w:iCs w:val="0"/>
                <w:color w:val="000000"/>
                <w:kern w:val="2"/>
                <w:sz w:val="22"/>
                <w:szCs w:val="22"/>
                <w:u w:val="none"/>
                <w:lang w:val="en-US"/>
              </w:rPr>
            </w:pPr>
          </w:p>
        </w:tc>
      </w:tr>
      <w:tr w14:paraId="3B6A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5208010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七</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45E98D9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环境卫生管理制度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B58B8C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15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A4F2684">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08B981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0A9A0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7C03A114">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2CD20FF8">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1、卫生区划分必须责任明确;</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E4ED321">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E0C0779">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5D8957F4">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582A8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09A2304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56DDBB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2、餐厅内空气清新，无刺激性异味;</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7884E824">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504B3B9">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2D00433">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6A4F6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3A2FEC52">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BD3883E">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3、门窗无灰尘，无油渍，桌椅摆放整齐美观;</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17E141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2723364">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36D7C866">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7357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59A5B4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9EF677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4、桌面台面无灰尘、碎菜、废料、油渍、汤汁等杂物;</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7A83D0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87ABD48">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5E81275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71724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52E8CE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2C56CC22">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5、食品加工机械内外保持清洁，无残留物，无异味;</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6E69BC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D52EAD6">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192996F5">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0316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01219F7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DA3F9B2">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6、地面无积水、碎菜、油污，地沟无异味;</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14628F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8B9A21E">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55333EE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008A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14BE94D4">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6DCA9A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7、仓库或储物架物品摆放整齐，地面保持清洁;</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104676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6B5C8C5">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AAC3546">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3569B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563CE359">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37A081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8、仓库及操作间有灭鼠、灭蝇、灭蟑螂措施。</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2B3B57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8F886CF">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503F34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60C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03BE5767">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八</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6C10AC3F">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个人卫生实行“四勤”制度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7CE036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5B38C0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3EFDB5B">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48647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30B2A57">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6DFF237">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1、工作时必须衣帽整齐，进出操作间必须更换工作服;</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2391DE8">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E6CE19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1BD337F">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B58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515C386A">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24179AC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2、冷菜切配必须戴口罩，工作服、工作帽必须清洁、无异味:</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FAB727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CFD90D1">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6DF0811">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0AB4E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6A9708E4">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67601A0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3、头发必须盘入工作帽内，手和指甲必须干净，工作时不许戴戒指、手镯、手表，更不许涂指甲油，男士不许留胡须</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613ED4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B7D66BB">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5DC4D5B3">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7DFBA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5122433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九</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6D55514D">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饭菜质量与品种</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9A1D25C">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20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17786F0">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10D043A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4F13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3BC5219E">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16231F5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菜品色泽新鲜、清亮着色合适，视觉感官舒适;2、味道鲜美，调味恰到好处，能体现菜品特色;3、菜品营养搭配合理，富含多种营养元素，能满足人体需求;4、食材新鲜，无变质、无异味，符合卫生标准;5、每餐菜品种类丰富，有多种荤素搭配，能满足不同人群的口味需求;</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9C8001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A76B9C3">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7D7C8C4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6D99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9834856">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75EDDBA4">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2、每餐提供四荤两素一汤菜品，其中一个大荤菜，能满足不同职工的口味需求;2、提供2种主食选择;3、严格执行每周食谱制度;4、定期推出新菜品，能给就餐者带来新鲜感:</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6D27FEA">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10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696B22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4C683208">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1AE2A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restart"/>
            <w:tcBorders>
              <w:top w:val="single" w:color="000000" w:sz="4" w:space="0"/>
              <w:left w:val="single" w:color="000000" w:sz="4" w:space="0"/>
              <w:bottom w:val="single" w:color="000000" w:sz="4" w:space="0"/>
              <w:right w:val="single" w:color="000000" w:sz="4" w:space="0"/>
            </w:tcBorders>
            <w:noWrap/>
            <w:vAlign w:val="center"/>
          </w:tcPr>
          <w:p w14:paraId="1CBE71E6">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十</w:t>
            </w: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0DDD0405">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卫生教育制度</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E30AF99">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bCs/>
                <w:i w:val="0"/>
                <w:iCs w:val="0"/>
                <w:color w:val="000000"/>
                <w:kern w:val="2"/>
                <w:sz w:val="22"/>
                <w:szCs w:val="22"/>
                <w:u w:val="none"/>
                <w:lang w:val="en-US"/>
              </w:rPr>
            </w:pPr>
            <w:r>
              <w:rPr>
                <w:rFonts w:hint="eastAsia" w:ascii="微软雅黑" w:hAnsi="微软雅黑" w:eastAsia="微软雅黑" w:cs="微软雅黑"/>
                <w:b/>
                <w:bCs/>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80C919D">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04FBC6D1">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2A8F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8" w:type="pct"/>
            <w:vMerge w:val="continue"/>
            <w:tcBorders>
              <w:top w:val="single" w:color="000000" w:sz="4" w:space="0"/>
              <w:left w:val="single" w:color="000000" w:sz="4" w:space="0"/>
              <w:bottom w:val="single" w:color="000000" w:sz="4" w:space="0"/>
              <w:right w:val="single" w:color="000000" w:sz="4" w:space="0"/>
            </w:tcBorders>
            <w:noWrap/>
            <w:vAlign w:val="center"/>
          </w:tcPr>
          <w:p w14:paraId="23F0FEE5">
            <w:pPr>
              <w:snapToGrid/>
              <w:spacing w:line="240" w:lineRule="auto"/>
              <w:ind w:firstLine="0" w:firstLineChars="0"/>
              <w:jc w:val="center"/>
              <w:rPr>
                <w:rFonts w:hint="eastAsia" w:ascii="微软雅黑" w:hAnsi="微软雅黑" w:eastAsia="微软雅黑" w:cs="微软雅黑"/>
                <w:b w:val="0"/>
                <w:i w:val="0"/>
                <w:iCs w:val="0"/>
                <w:color w:val="000000"/>
                <w:kern w:val="2"/>
                <w:sz w:val="22"/>
                <w:szCs w:val="22"/>
                <w:u w:val="none"/>
                <w:lang w:val="en-US"/>
              </w:rPr>
            </w:pPr>
          </w:p>
        </w:tc>
        <w:tc>
          <w:tcPr>
            <w:tcW w:w="2931" w:type="pct"/>
            <w:tcBorders>
              <w:top w:val="single" w:color="000000" w:sz="4" w:space="0"/>
              <w:left w:val="single" w:color="000000" w:sz="4" w:space="0"/>
              <w:bottom w:val="single" w:color="000000" w:sz="4" w:space="0"/>
              <w:right w:val="single" w:color="000000" w:sz="4" w:space="0"/>
            </w:tcBorders>
            <w:noWrap w:val="0"/>
            <w:vAlign w:val="center"/>
          </w:tcPr>
          <w:p w14:paraId="51B6E361">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从业人员必须掌握饮食卫生知识，有关的考试考核必须合格</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22A12E0">
            <w:pPr>
              <w:keepNext w:val="0"/>
              <w:keepLines w:val="0"/>
              <w:widowControl/>
              <w:suppressLineNumbers w:val="0"/>
              <w:snapToGrid/>
              <w:spacing w:line="240" w:lineRule="auto"/>
              <w:ind w:firstLine="0" w:firstLineChars="0"/>
              <w:jc w:val="center"/>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2ED5AE7">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c>
          <w:tcPr>
            <w:tcW w:w="560" w:type="pct"/>
            <w:tcBorders>
              <w:top w:val="single" w:color="000000" w:sz="4" w:space="0"/>
              <w:left w:val="single" w:color="000000" w:sz="4" w:space="0"/>
              <w:bottom w:val="single" w:color="000000" w:sz="4" w:space="0"/>
              <w:right w:val="single" w:color="000000" w:sz="4" w:space="0"/>
            </w:tcBorders>
            <w:noWrap/>
            <w:vAlign w:val="center"/>
          </w:tcPr>
          <w:p w14:paraId="6F0E2E2C">
            <w:pPr>
              <w:snapToGrid/>
              <w:spacing w:line="240" w:lineRule="auto"/>
              <w:ind w:firstLine="0" w:firstLineChars="0"/>
              <w:rPr>
                <w:rFonts w:hint="eastAsia" w:ascii="微软雅黑" w:hAnsi="微软雅黑" w:eastAsia="微软雅黑" w:cs="微软雅黑"/>
                <w:b w:val="0"/>
                <w:i w:val="0"/>
                <w:iCs w:val="0"/>
                <w:color w:val="000000"/>
                <w:kern w:val="2"/>
                <w:sz w:val="22"/>
                <w:szCs w:val="22"/>
                <w:u w:val="none"/>
                <w:lang w:val="en-US"/>
              </w:rPr>
            </w:pPr>
          </w:p>
        </w:tc>
      </w:tr>
      <w:tr w14:paraId="45DDC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249" w:type="pct"/>
            <w:gridSpan w:val="2"/>
            <w:tcBorders>
              <w:top w:val="single" w:color="000000" w:sz="4" w:space="0"/>
              <w:left w:val="single" w:color="000000" w:sz="4" w:space="0"/>
              <w:bottom w:val="single" w:color="000000" w:sz="4" w:space="0"/>
              <w:right w:val="single" w:color="000000" w:sz="4" w:space="0"/>
            </w:tcBorders>
            <w:noWrap/>
            <w:vAlign w:val="center"/>
          </w:tcPr>
          <w:p w14:paraId="16E0858A">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考核人员签字：</w:t>
            </w:r>
          </w:p>
        </w:tc>
        <w:tc>
          <w:tcPr>
            <w:tcW w:w="1750" w:type="pct"/>
            <w:gridSpan w:val="3"/>
            <w:tcBorders>
              <w:top w:val="single" w:color="000000" w:sz="4" w:space="0"/>
              <w:left w:val="single" w:color="000000" w:sz="4" w:space="0"/>
              <w:bottom w:val="single" w:color="000000" w:sz="4" w:space="0"/>
              <w:right w:val="single" w:color="000000" w:sz="4" w:space="0"/>
            </w:tcBorders>
            <w:noWrap/>
            <w:vAlign w:val="center"/>
          </w:tcPr>
          <w:p w14:paraId="03FC7C3B">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合计得分：</w:t>
            </w:r>
          </w:p>
        </w:tc>
      </w:tr>
      <w:tr w14:paraId="05005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25FA9E9">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2"/>
                <w:sz w:val="22"/>
                <w:szCs w:val="22"/>
                <w:u w:val="none"/>
                <w:lang w:val="en-US"/>
              </w:rPr>
            </w:pPr>
            <w:r>
              <w:rPr>
                <w:rFonts w:hint="eastAsia" w:ascii="微软雅黑" w:hAnsi="微软雅黑" w:eastAsia="微软雅黑" w:cs="微软雅黑"/>
                <w:b w:val="0"/>
                <w:i w:val="0"/>
                <w:iCs w:val="0"/>
                <w:color w:val="000000"/>
                <w:kern w:val="0"/>
                <w:sz w:val="22"/>
                <w:szCs w:val="22"/>
                <w:u w:val="none"/>
                <w:lang w:val="en-US" w:eastAsia="zh-CN" w:bidi="ar"/>
              </w:rPr>
              <w:t>被考核单位人员签字：</w:t>
            </w:r>
          </w:p>
        </w:tc>
      </w:tr>
    </w:tbl>
    <w:p w14:paraId="13C43695">
      <w:pPr>
        <w:keepNext w:val="0"/>
        <w:keepLines w:val="0"/>
        <w:widowControl/>
        <w:suppressLineNumbers w:val="0"/>
        <w:snapToGrid/>
        <w:spacing w:line="240" w:lineRule="auto"/>
        <w:ind w:firstLine="0" w:firstLineChars="0"/>
        <w:jc w:val="left"/>
        <w:textAlignment w:val="center"/>
        <w:rPr>
          <w:rFonts w:hint="eastAsia" w:ascii="微软雅黑" w:hAnsi="微软雅黑" w:eastAsia="微软雅黑" w:cs="微软雅黑"/>
          <w:b w:val="0"/>
          <w:i w:val="0"/>
          <w:iCs w:val="0"/>
          <w:color w:val="000000"/>
          <w:kern w:val="0"/>
          <w:sz w:val="22"/>
          <w:szCs w:val="22"/>
          <w:u w:val="none"/>
          <w:lang w:val="en-US" w:eastAsia="zh-CN" w:bidi="ar"/>
        </w:rPr>
      </w:pPr>
      <w:r>
        <w:rPr>
          <w:rFonts w:hint="eastAsia" w:ascii="微软雅黑" w:hAnsi="微软雅黑" w:eastAsia="微软雅黑" w:cs="微软雅黑"/>
          <w:b w:val="0"/>
          <w:i w:val="0"/>
          <w:iCs w:val="0"/>
          <w:color w:val="000000"/>
          <w:kern w:val="0"/>
          <w:sz w:val="22"/>
          <w:szCs w:val="22"/>
          <w:u w:val="none"/>
          <w:lang w:val="en-US" w:eastAsia="zh-CN" w:bidi="ar"/>
        </w:rPr>
        <w:t>考核等级：</w:t>
      </w:r>
    </w:p>
    <w:p w14:paraId="24FD1AD0">
      <w:pPr>
        <w:ind w:left="0" w:leftChars="0" w:firstLine="0" w:firstLineChars="0"/>
        <w:jc w:val="both"/>
        <w:sectPr>
          <w:pgSz w:w="11906" w:h="16838"/>
          <w:pgMar w:top="1418" w:right="1134" w:bottom="1418" w:left="1701" w:header="850" w:footer="567" w:gutter="0"/>
          <w:cols w:space="720" w:num="1"/>
          <w:titlePg/>
          <w:docGrid w:type="lines" w:linePitch="437" w:charSpace="0"/>
        </w:sectPr>
      </w:pPr>
    </w:p>
    <w:p w14:paraId="60CA20D9">
      <w:pPr>
        <w:ind w:left="0" w:firstLine="0" w:firstLineChars="0"/>
        <w:rPr>
          <w:rFonts w:ascii="仿宋" w:eastAsia="仿宋"/>
          <w:b w:val="0"/>
          <w:color w:val="auto"/>
          <w:sz w:val="24"/>
          <w:szCs w:val="24"/>
          <w:highlight w:val="none"/>
        </w:rPr>
      </w:pPr>
    </w:p>
    <w:p w14:paraId="477D6FA5">
      <w:pPr>
        <w:ind w:left="0" w:firstLine="0" w:firstLineChars="0"/>
        <w:rPr>
          <w:rFonts w:ascii="仿宋" w:eastAsia="仿宋"/>
          <w:b w:val="0"/>
          <w:color w:val="auto"/>
          <w:sz w:val="24"/>
          <w:szCs w:val="24"/>
          <w:highlight w:val="none"/>
        </w:rPr>
      </w:pPr>
    </w:p>
    <w:bookmarkEnd w:id="290"/>
    <w:p w14:paraId="574ED0CC">
      <w:pPr>
        <w:pStyle w:val="2"/>
        <w:keepNext/>
        <w:keepLines/>
        <w:pageBreakBefore w:val="0"/>
        <w:widowControl w:val="0"/>
        <w:numPr>
          <w:ilvl w:val="0"/>
          <w:numId w:val="22"/>
        </w:numPr>
        <w:kinsoku/>
        <w:wordWrap/>
        <w:overflowPunct/>
        <w:topLinePunct w:val="0"/>
        <w:bidi w:val="0"/>
        <w:adjustRightInd w:val="0"/>
        <w:snapToGrid w:val="0"/>
        <w:spacing w:before="0" w:beforeAutospacing="0" w:after="0" w:afterAutospacing="0" w:line="360" w:lineRule="auto"/>
        <w:ind w:left="709" w:right="0" w:hanging="425"/>
        <w:rPr>
          <w:rFonts w:ascii="仿宋" w:eastAsia="仿宋"/>
          <w:b/>
          <w:color w:val="auto"/>
          <w:highlight w:val="none"/>
        </w:rPr>
      </w:pPr>
      <w:r>
        <w:rPr>
          <w:rFonts w:hint="eastAsia" w:ascii="仿宋" w:eastAsia="仿宋"/>
          <w:b/>
          <w:color w:val="auto"/>
          <w:highlight w:val="none"/>
          <w:lang w:val="en-US" w:eastAsia="zh-CN"/>
        </w:rPr>
        <w:t xml:space="preserve"> </w:t>
      </w:r>
      <w:bookmarkStart w:id="308" w:name="_Toc5180"/>
      <w:r>
        <w:rPr>
          <w:rFonts w:ascii="仿宋" w:eastAsia="仿宋"/>
          <w:b/>
          <w:color w:val="auto"/>
        </w:rPr>
        <w:t>投标文件格式</w:t>
      </w:r>
      <w:bookmarkEnd w:id="308"/>
    </w:p>
    <w:p w14:paraId="54325245">
      <w:pPr>
        <w:snapToGrid/>
        <w:rPr>
          <w:rFonts w:ascii="仿宋" w:eastAsia="仿宋"/>
          <w:b w:val="0"/>
          <w:color w:val="auto"/>
          <w:kern w:val="2"/>
          <w:sz w:val="28"/>
          <w:szCs w:val="28"/>
          <w:highlight w:val="none"/>
          <w:lang w:val="en-US"/>
        </w:rPr>
      </w:pPr>
    </w:p>
    <w:p w14:paraId="762AC100">
      <w:pPr>
        <w:snapToGrid/>
        <w:rPr>
          <w:rFonts w:ascii="仿宋" w:eastAsia="仿宋"/>
          <w:b w:val="0"/>
          <w:color w:val="auto"/>
          <w:kern w:val="2"/>
          <w:sz w:val="28"/>
          <w:szCs w:val="28"/>
          <w:highlight w:val="none"/>
          <w:lang w:val="en-US"/>
        </w:rPr>
      </w:pPr>
      <w:r>
        <w:rPr>
          <w:rFonts w:ascii="仿宋" w:eastAsia="仿宋"/>
          <w:b w:val="0"/>
          <w:color w:val="auto"/>
          <w:kern w:val="2"/>
          <w:sz w:val="28"/>
          <w:szCs w:val="28"/>
          <w:highlight w:val="none"/>
          <w:lang w:val="en-US"/>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采购人核对发现有不一致或</w:t>
      </w:r>
      <w:r>
        <w:rPr>
          <w:rFonts w:hint="eastAsia" w:ascii="仿宋" w:eastAsia="仿宋"/>
          <w:b w:val="0"/>
          <w:color w:val="auto"/>
          <w:kern w:val="2"/>
          <w:sz w:val="28"/>
          <w:szCs w:val="28"/>
          <w:highlight w:val="none"/>
          <w:lang w:val="en-US" w:eastAsia="zh-CN"/>
        </w:rPr>
        <w:t>投标人</w:t>
      </w:r>
      <w:r>
        <w:rPr>
          <w:rFonts w:ascii="仿宋" w:eastAsia="仿宋"/>
          <w:b w:val="0"/>
          <w:color w:val="auto"/>
          <w:kern w:val="2"/>
          <w:sz w:val="28"/>
          <w:szCs w:val="28"/>
          <w:highlight w:val="none"/>
          <w:lang w:val="en-US"/>
        </w:rPr>
        <w:t>无正当理由不按时提供原件的，应当书面知会代理机构，并书面报告本级人民政府财政部门</w:t>
      </w:r>
      <w:r>
        <w:rPr>
          <w:rFonts w:hint="eastAsia" w:ascii="仿宋" w:eastAsia="仿宋"/>
          <w:b w:val="0"/>
          <w:color w:val="auto"/>
          <w:kern w:val="2"/>
          <w:sz w:val="28"/>
          <w:szCs w:val="28"/>
          <w:highlight w:val="none"/>
          <w:lang w:val="en-US" w:eastAsia="zh-CN"/>
        </w:rPr>
        <w:t>，由此造成的一切风险由投标人自行承担</w:t>
      </w:r>
      <w:r>
        <w:rPr>
          <w:rFonts w:ascii="仿宋" w:eastAsia="仿宋"/>
          <w:b w:val="0"/>
          <w:color w:val="auto"/>
          <w:kern w:val="2"/>
          <w:sz w:val="28"/>
          <w:szCs w:val="28"/>
          <w:highlight w:val="none"/>
          <w:lang w:val="en-US"/>
        </w:rPr>
        <w:t>。</w:t>
      </w:r>
    </w:p>
    <w:p w14:paraId="79A61C03">
      <w:pPr>
        <w:rPr>
          <w:rFonts w:ascii="仿宋" w:eastAsia="仿宋"/>
          <w:color w:val="auto"/>
          <w:highlight w:val="none"/>
        </w:rPr>
      </w:pPr>
    </w:p>
    <w:p w14:paraId="7EBF1FA5">
      <w:pPr>
        <w:pStyle w:val="101"/>
        <w:rPr>
          <w:lang w:val="en-US"/>
        </w:rPr>
      </w:pPr>
    </w:p>
    <w:p w14:paraId="1F1DBC42">
      <w:pPr>
        <w:pageBreakBefore w:val="0"/>
        <w:widowControl w:val="0"/>
        <w:kinsoku/>
        <w:wordWrap/>
        <w:overflowPunct/>
        <w:topLinePunct w:val="0"/>
        <w:bidi w:val="0"/>
        <w:spacing w:beforeAutospacing="0" w:afterAutospacing="0" w:line="360" w:lineRule="auto"/>
        <w:ind w:left="0" w:right="0"/>
        <w:rPr>
          <w:rFonts w:ascii="仿宋" w:eastAsia="仿宋"/>
          <w:color w:val="auto"/>
        </w:rPr>
      </w:pPr>
    </w:p>
    <w:p w14:paraId="179FF3D1">
      <w:pPr>
        <w:pageBreakBefore w:val="0"/>
        <w:widowControl w:val="0"/>
        <w:kinsoku/>
        <w:wordWrap/>
        <w:overflowPunct/>
        <w:topLinePunct w:val="0"/>
        <w:bidi w:val="0"/>
        <w:spacing w:beforeAutospacing="0" w:afterAutospacing="0" w:line="360" w:lineRule="auto"/>
        <w:ind w:left="0" w:right="0"/>
        <w:rPr>
          <w:rFonts w:ascii="仿宋" w:eastAsia="仿宋"/>
          <w:color w:val="auto"/>
        </w:rPr>
      </w:pPr>
    </w:p>
    <w:p w14:paraId="4D2122AA">
      <w:pPr>
        <w:pageBreakBefore w:val="0"/>
        <w:widowControl w:val="0"/>
        <w:kinsoku/>
        <w:wordWrap/>
        <w:overflowPunct/>
        <w:topLinePunct w:val="0"/>
        <w:bidi w:val="0"/>
        <w:spacing w:beforeAutospacing="0" w:afterAutospacing="0" w:line="360" w:lineRule="auto"/>
        <w:ind w:left="0" w:right="0"/>
        <w:rPr>
          <w:rFonts w:ascii="仿宋" w:eastAsia="仿宋"/>
          <w:color w:val="auto"/>
        </w:rPr>
      </w:pPr>
    </w:p>
    <w:p w14:paraId="07FA3908">
      <w:pPr>
        <w:jc w:val="center"/>
        <w:rPr>
          <w:rFonts w:ascii="仿宋" w:eastAsia="仿宋"/>
          <w:color w:val="auto"/>
        </w:rPr>
      </w:pPr>
      <w:r>
        <w:rPr>
          <w:rFonts w:ascii="仿宋" w:eastAsia="仿宋"/>
          <w:color w:val="auto"/>
        </w:rPr>
        <w:br w:type="page"/>
      </w:r>
    </w:p>
    <w:p w14:paraId="1F2A262A">
      <w:pPr>
        <w:jc w:val="center"/>
        <w:rPr>
          <w:rFonts w:ascii="仿宋" w:eastAsia="仿宋"/>
          <w:color w:val="auto"/>
        </w:rPr>
      </w:pPr>
    </w:p>
    <w:p w14:paraId="20C4C2C0">
      <w:pPr>
        <w:ind w:left="0" w:firstLine="0" w:firstLineChars="0"/>
        <w:jc w:val="center"/>
        <w:rPr>
          <w:rFonts w:hint="eastAsia" w:ascii="仿宋" w:eastAsia="仿宋" w:cs="仿宋"/>
          <w:b/>
          <w:sz w:val="72"/>
        </w:rPr>
      </w:pPr>
    </w:p>
    <w:p w14:paraId="6821210D">
      <w:pPr>
        <w:ind w:left="0" w:firstLine="0" w:firstLineChars="0"/>
        <w:jc w:val="center"/>
        <w:rPr>
          <w:rFonts w:hint="eastAsia" w:ascii="仿宋" w:eastAsia="仿宋" w:cs="仿宋"/>
          <w:b/>
          <w:bCs w:val="0"/>
          <w:sz w:val="72"/>
        </w:rPr>
      </w:pPr>
      <w:r>
        <w:rPr>
          <w:rFonts w:hint="eastAsia" w:ascii="仿宋" w:eastAsia="仿宋" w:cs="仿宋"/>
          <w:b/>
          <w:bCs w:val="0"/>
          <w:sz w:val="72"/>
        </w:rPr>
        <w:t>投  标  文  件</w:t>
      </w:r>
    </w:p>
    <w:p w14:paraId="46C487CF">
      <w:pPr>
        <w:jc w:val="center"/>
        <w:rPr>
          <w:rFonts w:hint="eastAsia" w:ascii="仿宋" w:eastAsia="仿宋" w:cs="仿宋"/>
          <w:b/>
          <w:sz w:val="72"/>
        </w:rPr>
      </w:pPr>
    </w:p>
    <w:p w14:paraId="6AD78D79">
      <w:pPr>
        <w:jc w:val="center"/>
        <w:rPr>
          <w:rFonts w:hint="eastAsia" w:ascii="仿宋" w:eastAsia="仿宋" w:cs="仿宋"/>
          <w:b/>
          <w:sz w:val="72"/>
        </w:rPr>
      </w:pPr>
    </w:p>
    <w:p w14:paraId="43C888E0">
      <w:pPr>
        <w:jc w:val="center"/>
        <w:rPr>
          <w:rFonts w:hint="eastAsia" w:ascii="仿宋" w:eastAsia="仿宋" w:cs="仿宋"/>
          <w:b/>
          <w:sz w:val="36"/>
        </w:rPr>
      </w:pPr>
    </w:p>
    <w:p w14:paraId="522B8E19">
      <w:pPr>
        <w:jc w:val="center"/>
        <w:rPr>
          <w:rFonts w:hint="eastAsia" w:ascii="仿宋" w:eastAsia="仿宋" w:cs="仿宋"/>
          <w:b/>
          <w:sz w:val="36"/>
        </w:rPr>
      </w:pPr>
    </w:p>
    <w:p w14:paraId="2A6D5ABA">
      <w:pPr>
        <w:jc w:val="center"/>
        <w:rPr>
          <w:rFonts w:hint="eastAsia" w:ascii="仿宋" w:eastAsia="仿宋" w:cs="仿宋"/>
          <w:b/>
          <w:sz w:val="36"/>
          <w:szCs w:val="36"/>
        </w:rPr>
      </w:pPr>
    </w:p>
    <w:p w14:paraId="1E622E98">
      <w:pPr>
        <w:ind w:firstLine="1084" w:firstLineChars="300"/>
        <w:rPr>
          <w:rFonts w:hint="eastAsia" w:ascii="仿宋" w:eastAsia="仿宋" w:cs="仿宋"/>
          <w:b/>
          <w:sz w:val="36"/>
          <w:szCs w:val="36"/>
        </w:rPr>
      </w:pPr>
      <w:r>
        <w:rPr>
          <w:rFonts w:hint="eastAsia" w:ascii="仿宋" w:eastAsia="仿宋" w:cs="仿宋"/>
          <w:b/>
          <w:sz w:val="36"/>
          <w:szCs w:val="36"/>
        </w:rPr>
        <w:t>项 目 名 称：</w:t>
      </w:r>
      <w:r>
        <w:rPr>
          <w:rFonts w:hint="eastAsia" w:ascii="仿宋" w:eastAsia="仿宋" w:cs="仿宋"/>
          <w:b/>
          <w:sz w:val="36"/>
          <w:szCs w:val="36"/>
          <w:u w:val="single"/>
        </w:rPr>
        <w:t xml:space="preserve">           </w:t>
      </w:r>
      <w:r>
        <w:rPr>
          <w:rFonts w:hint="eastAsia" w:ascii="仿宋" w:eastAsia="仿宋" w:cs="仿宋"/>
          <w:b/>
          <w:sz w:val="36"/>
          <w:szCs w:val="36"/>
          <w:u w:val="single"/>
          <w:lang w:val="en-US" w:eastAsia="zh-CN"/>
        </w:rPr>
        <w:t xml:space="preserve">         </w:t>
      </w:r>
      <w:r>
        <w:rPr>
          <w:rFonts w:hint="eastAsia" w:ascii="仿宋" w:eastAsia="仿宋" w:cs="仿宋"/>
          <w:b/>
          <w:sz w:val="36"/>
          <w:szCs w:val="36"/>
          <w:u w:val="single"/>
        </w:rPr>
        <w:t xml:space="preserve">    </w:t>
      </w:r>
    </w:p>
    <w:p w14:paraId="0AF20C9E">
      <w:pPr>
        <w:ind w:firstLine="1084" w:firstLineChars="300"/>
        <w:rPr>
          <w:rFonts w:hint="eastAsia" w:ascii="仿宋" w:eastAsia="仿宋" w:cs="仿宋"/>
          <w:b/>
          <w:sz w:val="36"/>
          <w:szCs w:val="36"/>
          <w:u w:val="single"/>
        </w:rPr>
      </w:pPr>
      <w:r>
        <w:rPr>
          <w:rFonts w:hint="eastAsia" w:ascii="仿宋" w:eastAsia="仿宋" w:cs="仿宋"/>
          <w:b/>
          <w:sz w:val="36"/>
          <w:szCs w:val="36"/>
          <w:lang w:val="en-US" w:eastAsia="zh-CN"/>
        </w:rPr>
        <w:t>项 目</w:t>
      </w:r>
      <w:r>
        <w:rPr>
          <w:rFonts w:hint="eastAsia" w:ascii="仿宋" w:eastAsia="仿宋" w:cs="仿宋"/>
          <w:b/>
          <w:sz w:val="36"/>
          <w:szCs w:val="36"/>
        </w:rPr>
        <w:t xml:space="preserve"> 编 号：</w:t>
      </w:r>
      <w:r>
        <w:rPr>
          <w:rFonts w:hint="eastAsia" w:ascii="仿宋" w:eastAsia="仿宋" w:cs="仿宋"/>
          <w:b/>
          <w:sz w:val="36"/>
          <w:szCs w:val="36"/>
          <w:u w:val="single"/>
        </w:rPr>
        <w:t xml:space="preserve">         </w:t>
      </w:r>
      <w:r>
        <w:rPr>
          <w:rFonts w:hint="eastAsia" w:ascii="仿宋" w:eastAsia="仿宋" w:cs="仿宋"/>
          <w:b/>
          <w:sz w:val="36"/>
          <w:szCs w:val="36"/>
          <w:u w:val="single"/>
          <w:lang w:val="en-US" w:eastAsia="zh-CN"/>
        </w:rPr>
        <w:t xml:space="preserve">            </w:t>
      </w:r>
      <w:r>
        <w:rPr>
          <w:rFonts w:hint="eastAsia" w:ascii="仿宋" w:eastAsia="仿宋" w:cs="仿宋"/>
          <w:b/>
          <w:sz w:val="36"/>
          <w:szCs w:val="36"/>
          <w:u w:val="single"/>
        </w:rPr>
        <w:t xml:space="preserve">   </w:t>
      </w:r>
    </w:p>
    <w:p w14:paraId="74389B9C">
      <w:pPr>
        <w:rPr>
          <w:rFonts w:hint="eastAsia" w:ascii="仿宋" w:eastAsia="仿宋" w:cs="仿宋"/>
          <w:b/>
          <w:sz w:val="36"/>
          <w:szCs w:val="36"/>
          <w:u w:val="single"/>
        </w:rPr>
      </w:pPr>
      <w:r>
        <w:rPr>
          <w:rFonts w:hint="eastAsia" w:ascii="仿宋" w:eastAsia="仿宋" w:cs="仿宋"/>
          <w:b/>
          <w:sz w:val="36"/>
          <w:szCs w:val="36"/>
        </w:rPr>
        <w:t xml:space="preserve">  </w:t>
      </w:r>
      <w:r>
        <w:rPr>
          <w:rFonts w:hint="eastAsia" w:ascii="仿宋" w:eastAsia="仿宋" w:cs="仿宋"/>
          <w:b/>
          <w:sz w:val="36"/>
          <w:szCs w:val="36"/>
          <w:lang w:val="en-US" w:eastAsia="zh-CN"/>
        </w:rPr>
        <w:t>投标人</w:t>
      </w:r>
      <w:r>
        <w:rPr>
          <w:rFonts w:hint="eastAsia" w:ascii="仿宋" w:eastAsia="仿宋" w:cs="仿宋"/>
          <w:b/>
          <w:sz w:val="36"/>
          <w:szCs w:val="36"/>
        </w:rPr>
        <w:t>名称 ：</w:t>
      </w:r>
      <w:r>
        <w:rPr>
          <w:rFonts w:hint="eastAsia" w:ascii="仿宋" w:eastAsia="仿宋" w:cs="仿宋"/>
          <w:b/>
          <w:sz w:val="36"/>
          <w:szCs w:val="36"/>
          <w:u w:val="single"/>
          <w:lang w:val="en-US" w:eastAsia="zh-CN"/>
        </w:rPr>
        <w:t xml:space="preserve">      </w:t>
      </w:r>
      <w:r>
        <w:rPr>
          <w:rFonts w:hint="eastAsia" w:ascii="仿宋" w:eastAsia="仿宋" w:cs="仿宋"/>
          <w:b/>
          <w:color w:val="auto"/>
          <w:sz w:val="36"/>
          <w:szCs w:val="36"/>
          <w:u w:val="single"/>
        </w:rPr>
        <w:t>（电子签章）</w:t>
      </w:r>
      <w:r>
        <w:rPr>
          <w:rFonts w:hint="eastAsia" w:ascii="仿宋" w:eastAsia="仿宋" w:cs="仿宋"/>
          <w:b/>
          <w:color w:val="auto"/>
          <w:sz w:val="36"/>
          <w:szCs w:val="36"/>
          <w:u w:val="single"/>
          <w:lang w:val="en-US" w:eastAsia="zh-CN"/>
        </w:rPr>
        <w:t xml:space="preserve">  </w:t>
      </w:r>
      <w:r>
        <w:rPr>
          <w:rFonts w:hint="eastAsia" w:ascii="仿宋" w:eastAsia="仿宋" w:cs="仿宋"/>
          <w:b/>
          <w:color w:val="auto"/>
          <w:sz w:val="36"/>
          <w:szCs w:val="36"/>
          <w:u w:val="single"/>
        </w:rPr>
        <w:t xml:space="preserve"> </w:t>
      </w:r>
      <w:r>
        <w:rPr>
          <w:rFonts w:hint="eastAsia" w:ascii="仿宋" w:eastAsia="仿宋" w:cs="仿宋"/>
          <w:b/>
          <w:color w:val="auto"/>
          <w:sz w:val="36"/>
          <w:szCs w:val="36"/>
          <w:u w:val="single"/>
          <w:lang w:val="en-US" w:eastAsia="zh-CN"/>
        </w:rPr>
        <w:t xml:space="preserve"> </w:t>
      </w:r>
      <w:r>
        <w:rPr>
          <w:rFonts w:hint="eastAsia" w:ascii="仿宋" w:eastAsia="仿宋" w:cs="仿宋"/>
          <w:b/>
          <w:color w:val="auto"/>
          <w:sz w:val="36"/>
          <w:szCs w:val="36"/>
          <w:u w:val="single"/>
        </w:rPr>
        <w:t xml:space="preserve"> </w:t>
      </w:r>
      <w:r>
        <w:rPr>
          <w:rFonts w:hint="eastAsia" w:ascii="仿宋" w:eastAsia="仿宋" w:cs="仿宋"/>
          <w:b/>
          <w:sz w:val="36"/>
          <w:szCs w:val="36"/>
          <w:u w:val="single"/>
        </w:rPr>
        <w:t xml:space="preserve"> </w:t>
      </w:r>
    </w:p>
    <w:p w14:paraId="0AF20491">
      <w:pPr>
        <w:ind w:firstLine="1084" w:firstLineChars="300"/>
        <w:rPr>
          <w:rFonts w:hint="eastAsia" w:ascii="仿宋" w:eastAsia="仿宋" w:cs="仿宋"/>
          <w:b/>
          <w:sz w:val="36"/>
          <w:szCs w:val="36"/>
        </w:rPr>
      </w:pPr>
      <w:r>
        <w:rPr>
          <w:rFonts w:hint="eastAsia" w:ascii="仿宋" w:eastAsia="仿宋" w:cs="仿宋"/>
          <w:b/>
          <w:sz w:val="36"/>
          <w:szCs w:val="36"/>
        </w:rPr>
        <w:t>日      期 ：</w:t>
      </w:r>
      <w:r>
        <w:rPr>
          <w:rFonts w:hint="eastAsia" w:ascii="仿宋" w:eastAsia="仿宋" w:cs="仿宋"/>
          <w:b/>
          <w:sz w:val="36"/>
          <w:szCs w:val="36"/>
          <w:u w:val="single"/>
        </w:rPr>
        <w:t xml:space="preserve">        </w:t>
      </w:r>
      <w:r>
        <w:rPr>
          <w:rFonts w:hint="eastAsia" w:ascii="仿宋" w:eastAsia="仿宋" w:cs="仿宋"/>
          <w:b/>
          <w:sz w:val="36"/>
          <w:szCs w:val="36"/>
          <w:u w:val="single"/>
          <w:lang w:val="en-US" w:eastAsia="zh-CN"/>
        </w:rPr>
        <w:t xml:space="preserve">          </w:t>
      </w:r>
      <w:r>
        <w:rPr>
          <w:rFonts w:hint="eastAsia" w:ascii="仿宋" w:eastAsia="仿宋" w:cs="仿宋"/>
          <w:b/>
          <w:sz w:val="36"/>
          <w:szCs w:val="36"/>
          <w:u w:val="single"/>
        </w:rPr>
        <w:t xml:space="preserve">      </w:t>
      </w:r>
    </w:p>
    <w:p w14:paraId="11AA0638">
      <w:pPr>
        <w:spacing w:line="440" w:lineRule="exact"/>
        <w:jc w:val="center"/>
        <w:rPr>
          <w:rFonts w:hint="eastAsia" w:ascii="宋体" w:eastAsia="宋体" w:cs="宋体"/>
          <w:b/>
          <w:bCs/>
          <w:sz w:val="32"/>
          <w:szCs w:val="32"/>
        </w:rPr>
      </w:pPr>
    </w:p>
    <w:p w14:paraId="72BCA4A2">
      <w:pPr>
        <w:jc w:val="center"/>
        <w:rPr>
          <w:rFonts w:hint="eastAsia" w:ascii="宋体" w:eastAsia="宋体" w:cs="宋体"/>
          <w:sz w:val="24"/>
        </w:rPr>
      </w:pPr>
      <w:r>
        <w:rPr>
          <w:rFonts w:hint="eastAsia" w:ascii="宋体" w:eastAsia="宋体" w:cs="宋体"/>
          <w:sz w:val="24"/>
        </w:rPr>
        <w:br w:type="page"/>
      </w:r>
      <w:bookmarkStart w:id="309" w:name="_Toc13547"/>
      <w:bookmarkStart w:id="310" w:name="_Toc4873"/>
      <w:bookmarkStart w:id="311" w:name="_Toc2251"/>
      <w:bookmarkStart w:id="312" w:name="_Toc20697"/>
      <w:bookmarkStart w:id="313" w:name="_Toc3651"/>
      <w:bookmarkStart w:id="314" w:name="_Toc32766"/>
    </w:p>
    <w:p w14:paraId="72A0B314">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eastAsia="仿宋" w:cs="仿宋"/>
          <w:b/>
          <w:bCs/>
          <w:kern w:val="2"/>
          <w:sz w:val="40"/>
          <w:szCs w:val="40"/>
          <w:highlight w:val="none"/>
        </w:rPr>
      </w:pPr>
      <w:r>
        <w:rPr>
          <w:rFonts w:hint="eastAsia" w:ascii="仿宋" w:eastAsia="仿宋" w:cs="仿宋"/>
          <w:b/>
          <w:bCs/>
          <w:kern w:val="2"/>
          <w:sz w:val="40"/>
          <w:szCs w:val="40"/>
          <w:highlight w:val="none"/>
        </w:rPr>
        <w:t>评分索引表</w:t>
      </w:r>
    </w:p>
    <w:tbl>
      <w:tblPr>
        <w:tblStyle w:val="80"/>
        <w:tblW w:w="89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8"/>
        <w:gridCol w:w="3578"/>
      </w:tblGrid>
      <w:tr w14:paraId="6AB8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trPr>
        <w:tc>
          <w:tcPr>
            <w:tcW w:w="5398" w:type="dxa"/>
            <w:tcBorders>
              <w:tl2br w:val="nil"/>
              <w:tr2bl w:val="nil"/>
            </w:tcBorders>
            <w:vAlign w:val="center"/>
          </w:tcPr>
          <w:p w14:paraId="672112D7">
            <w:pPr>
              <w:pStyle w:val="231"/>
              <w:shd w:val="clear" w:color="auto" w:fill="FFFFFF"/>
              <w:spacing w:line="265" w:lineRule="atLeast"/>
              <w:ind w:left="0" w:firstLine="0" w:firstLineChars="0"/>
              <w:jc w:val="center"/>
              <w:rPr>
                <w:rFonts w:hint="eastAsia" w:ascii="仿宋" w:eastAsia="仿宋" w:cs="仿宋"/>
                <w:b/>
                <w:bCs w:val="0"/>
                <w:sz w:val="24"/>
                <w:szCs w:val="24"/>
                <w:lang w:val="en-US" w:eastAsia="zh-CN"/>
              </w:rPr>
            </w:pPr>
            <w:r>
              <w:rPr>
                <w:rFonts w:hint="eastAsia" w:ascii="仿宋" w:eastAsia="仿宋" w:cs="仿宋"/>
                <w:b/>
                <w:bCs w:val="0"/>
                <w:sz w:val="24"/>
                <w:szCs w:val="24"/>
                <w:lang w:val="en-US"/>
              </w:rPr>
              <w:t>评分项目</w:t>
            </w:r>
          </w:p>
        </w:tc>
        <w:tc>
          <w:tcPr>
            <w:tcW w:w="3578" w:type="dxa"/>
            <w:tcBorders>
              <w:tl2br w:val="nil"/>
              <w:tr2bl w:val="nil"/>
            </w:tcBorders>
            <w:vAlign w:val="center"/>
          </w:tcPr>
          <w:p w14:paraId="7FF7BEAD">
            <w:pPr>
              <w:ind w:left="0" w:firstLine="0" w:firstLineChars="0"/>
              <w:jc w:val="center"/>
              <w:rPr>
                <w:rFonts w:hint="eastAsia" w:ascii="仿宋" w:eastAsia="仿宋" w:cs="仿宋"/>
                <w:b/>
                <w:bCs w:val="0"/>
                <w:sz w:val="24"/>
                <w:szCs w:val="24"/>
              </w:rPr>
            </w:pPr>
            <w:r>
              <w:rPr>
                <w:rFonts w:hint="eastAsia" w:ascii="仿宋" w:eastAsia="仿宋" w:cs="仿宋"/>
                <w:b/>
                <w:bCs w:val="0"/>
                <w:kern w:val="0"/>
                <w:sz w:val="24"/>
                <w:szCs w:val="24"/>
                <w:lang w:bidi="en-US"/>
              </w:rPr>
              <w:t>在投标文件中的页码位置（注明在**节点下第**页，如“</w:t>
            </w:r>
            <w:r>
              <w:rPr>
                <w:rFonts w:hint="eastAsia" w:ascii="仿宋" w:eastAsia="仿宋" w:cs="仿宋"/>
                <w:b/>
                <w:bCs w:val="0"/>
                <w:kern w:val="0"/>
                <w:sz w:val="24"/>
                <w:szCs w:val="24"/>
                <w:lang w:val="en-US" w:eastAsia="zh-CN" w:bidi="en-US"/>
              </w:rPr>
              <w:t>商务</w:t>
            </w:r>
            <w:r>
              <w:rPr>
                <w:rFonts w:hint="eastAsia" w:ascii="仿宋" w:eastAsia="仿宋" w:cs="仿宋"/>
                <w:b/>
                <w:bCs w:val="0"/>
                <w:kern w:val="0"/>
                <w:sz w:val="24"/>
                <w:szCs w:val="24"/>
                <w:lang w:bidi="en-US"/>
              </w:rPr>
              <w:t>偏离表”第**页）</w:t>
            </w:r>
          </w:p>
        </w:tc>
      </w:tr>
      <w:tr w14:paraId="745C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503B36D7">
            <w:pPr>
              <w:pStyle w:val="231"/>
              <w:shd w:val="clear" w:color="auto" w:fill="FFFFFF"/>
              <w:spacing w:line="265" w:lineRule="atLeast"/>
              <w:ind w:left="420"/>
              <w:jc w:val="both"/>
              <w:rPr>
                <w:rFonts w:hint="eastAsia" w:ascii="仿宋" w:eastAsia="仿宋" w:cs="仿宋"/>
                <w:b w:val="0"/>
                <w:bCs/>
                <w:lang w:val="en-US" w:eastAsia="zh-CN"/>
              </w:rPr>
            </w:pPr>
          </w:p>
        </w:tc>
        <w:tc>
          <w:tcPr>
            <w:tcW w:w="3578" w:type="dxa"/>
            <w:tcBorders>
              <w:tl2br w:val="nil"/>
              <w:tr2bl w:val="nil"/>
            </w:tcBorders>
          </w:tcPr>
          <w:p w14:paraId="1D43AEC3">
            <w:pPr>
              <w:rPr>
                <w:rFonts w:hint="eastAsia" w:ascii="仿宋" w:eastAsia="仿宋" w:cs="仿宋"/>
                <w:b w:val="0"/>
                <w:bCs/>
                <w:kern w:val="0"/>
                <w:sz w:val="24"/>
                <w:lang w:bidi="en-US"/>
              </w:rPr>
            </w:pPr>
          </w:p>
        </w:tc>
      </w:tr>
      <w:tr w14:paraId="0B99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769477EE">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62D3FA9E">
            <w:pPr>
              <w:rPr>
                <w:rFonts w:hint="eastAsia" w:ascii="仿宋" w:eastAsia="仿宋" w:cs="仿宋"/>
                <w:b w:val="0"/>
                <w:bCs/>
              </w:rPr>
            </w:pPr>
          </w:p>
        </w:tc>
      </w:tr>
      <w:tr w14:paraId="1AC9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56E676F0">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17F56B4B">
            <w:pPr>
              <w:rPr>
                <w:rFonts w:hint="eastAsia" w:ascii="仿宋" w:eastAsia="仿宋" w:cs="仿宋"/>
                <w:b w:val="0"/>
                <w:bCs/>
              </w:rPr>
            </w:pPr>
          </w:p>
        </w:tc>
      </w:tr>
      <w:tr w14:paraId="1728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1BC93A23">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0A0FF3EC">
            <w:pPr>
              <w:rPr>
                <w:rFonts w:hint="eastAsia" w:ascii="仿宋" w:eastAsia="仿宋" w:cs="仿宋"/>
                <w:b w:val="0"/>
                <w:bCs/>
              </w:rPr>
            </w:pPr>
          </w:p>
        </w:tc>
      </w:tr>
      <w:tr w14:paraId="2743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2380F161">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613E359D">
            <w:pPr>
              <w:rPr>
                <w:rFonts w:hint="eastAsia" w:ascii="仿宋" w:eastAsia="仿宋" w:cs="仿宋"/>
                <w:b w:val="0"/>
                <w:bCs/>
              </w:rPr>
            </w:pPr>
          </w:p>
        </w:tc>
      </w:tr>
      <w:tr w14:paraId="29F0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79F99F75">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47B8CF69">
            <w:pPr>
              <w:rPr>
                <w:rFonts w:hint="eastAsia" w:ascii="仿宋" w:eastAsia="仿宋" w:cs="仿宋"/>
                <w:b w:val="0"/>
                <w:bCs/>
              </w:rPr>
            </w:pPr>
          </w:p>
        </w:tc>
      </w:tr>
      <w:tr w14:paraId="4D7D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0073AEEE">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457AD848">
            <w:pPr>
              <w:rPr>
                <w:rFonts w:hint="eastAsia" w:ascii="仿宋" w:eastAsia="仿宋" w:cs="仿宋"/>
                <w:b w:val="0"/>
                <w:bCs/>
              </w:rPr>
            </w:pPr>
          </w:p>
        </w:tc>
      </w:tr>
      <w:tr w14:paraId="179D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60790FE3">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73254128">
            <w:pPr>
              <w:rPr>
                <w:rFonts w:hint="eastAsia" w:ascii="仿宋" w:eastAsia="仿宋" w:cs="仿宋"/>
                <w:b w:val="0"/>
                <w:bCs/>
              </w:rPr>
            </w:pPr>
          </w:p>
        </w:tc>
      </w:tr>
      <w:tr w14:paraId="4EBE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0D477E07">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3CF79A25">
            <w:pPr>
              <w:rPr>
                <w:rFonts w:hint="eastAsia" w:ascii="仿宋" w:eastAsia="仿宋" w:cs="仿宋"/>
                <w:b w:val="0"/>
                <w:bCs/>
              </w:rPr>
            </w:pPr>
          </w:p>
        </w:tc>
      </w:tr>
      <w:tr w14:paraId="5E7F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41A72B6A">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64045DB7">
            <w:pPr>
              <w:rPr>
                <w:rFonts w:hint="eastAsia" w:ascii="仿宋" w:eastAsia="仿宋" w:cs="仿宋"/>
                <w:b w:val="0"/>
                <w:bCs/>
              </w:rPr>
            </w:pPr>
          </w:p>
        </w:tc>
      </w:tr>
      <w:tr w14:paraId="53CB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7A311D8F">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7F382221">
            <w:pPr>
              <w:rPr>
                <w:rFonts w:hint="eastAsia" w:ascii="仿宋" w:eastAsia="仿宋" w:cs="仿宋"/>
                <w:b w:val="0"/>
                <w:bCs/>
              </w:rPr>
            </w:pPr>
          </w:p>
        </w:tc>
      </w:tr>
      <w:tr w14:paraId="4755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1EEE8618">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4ED8FC72">
            <w:pPr>
              <w:rPr>
                <w:rFonts w:hint="eastAsia" w:ascii="仿宋" w:eastAsia="仿宋" w:cs="仿宋"/>
                <w:b w:val="0"/>
                <w:bCs/>
              </w:rPr>
            </w:pPr>
          </w:p>
        </w:tc>
      </w:tr>
      <w:tr w14:paraId="51DE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98" w:type="dxa"/>
            <w:tcBorders>
              <w:tl2br w:val="nil"/>
              <w:tr2bl w:val="nil"/>
            </w:tcBorders>
          </w:tcPr>
          <w:p w14:paraId="0973F505">
            <w:pPr>
              <w:pStyle w:val="231"/>
              <w:shd w:val="clear" w:color="auto" w:fill="FFFFFF"/>
              <w:spacing w:line="265" w:lineRule="atLeast"/>
              <w:ind w:left="420"/>
              <w:rPr>
                <w:rFonts w:hint="eastAsia" w:ascii="仿宋" w:eastAsia="仿宋" w:cs="仿宋"/>
                <w:b w:val="0"/>
                <w:bCs/>
                <w:lang w:val="en-US" w:eastAsia="zh-CN"/>
              </w:rPr>
            </w:pPr>
          </w:p>
        </w:tc>
        <w:tc>
          <w:tcPr>
            <w:tcW w:w="3578" w:type="dxa"/>
            <w:tcBorders>
              <w:tl2br w:val="nil"/>
              <w:tr2bl w:val="nil"/>
            </w:tcBorders>
          </w:tcPr>
          <w:p w14:paraId="7DD8E426">
            <w:pPr>
              <w:rPr>
                <w:rFonts w:hint="eastAsia" w:ascii="仿宋" w:eastAsia="仿宋" w:cs="仿宋"/>
                <w:b w:val="0"/>
                <w:bCs/>
              </w:rPr>
            </w:pPr>
          </w:p>
        </w:tc>
      </w:tr>
    </w:tbl>
    <w:p w14:paraId="43D8D814">
      <w:pPr>
        <w:adjustRightInd w:val="0"/>
        <w:snapToGrid w:val="0"/>
        <w:spacing w:line="400" w:lineRule="exact"/>
        <w:ind w:firstLine="0" w:firstLineChars="0"/>
        <w:jc w:val="center"/>
        <w:rPr>
          <w:rFonts w:hint="eastAsia" w:ascii="宋体" w:eastAsia="宋体" w:cs="宋体"/>
          <w:sz w:val="24"/>
        </w:rPr>
      </w:pPr>
    </w:p>
    <w:p w14:paraId="378BAE33">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eastAsia="仿宋" w:cs="仿宋"/>
          <w:b/>
          <w:bCs/>
          <w:kern w:val="2"/>
          <w:sz w:val="40"/>
          <w:szCs w:val="40"/>
          <w:highlight w:val="none"/>
        </w:rPr>
      </w:pPr>
      <w:r>
        <w:rPr>
          <w:rFonts w:hint="eastAsia" w:ascii="仿宋" w:eastAsia="仿宋" w:cs="仿宋"/>
          <w:b/>
          <w:bCs/>
          <w:kern w:val="2"/>
          <w:sz w:val="40"/>
          <w:szCs w:val="40"/>
          <w:highlight w:val="none"/>
        </w:rPr>
        <w:br w:type="page"/>
      </w:r>
    </w:p>
    <w:p w14:paraId="29BD7264">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eastAsia="仿宋" w:cs="仿宋"/>
          <w:b/>
          <w:bCs/>
          <w:kern w:val="2"/>
          <w:sz w:val="40"/>
          <w:szCs w:val="40"/>
          <w:highlight w:val="none"/>
        </w:rPr>
      </w:pPr>
      <w:r>
        <w:rPr>
          <w:rFonts w:hint="eastAsia" w:ascii="仿宋" w:eastAsia="仿宋" w:cs="仿宋"/>
          <w:b/>
          <w:bCs/>
          <w:kern w:val="2"/>
          <w:sz w:val="40"/>
          <w:szCs w:val="40"/>
          <w:highlight w:val="none"/>
        </w:rPr>
        <w:t>目录</w:t>
      </w:r>
      <w:bookmarkEnd w:id="309"/>
      <w:bookmarkEnd w:id="310"/>
      <w:bookmarkEnd w:id="311"/>
      <w:bookmarkEnd w:id="312"/>
      <w:bookmarkEnd w:id="313"/>
      <w:bookmarkEnd w:id="314"/>
    </w:p>
    <w:p w14:paraId="6109DE81">
      <w:pPr>
        <w:pageBreakBefore w:val="0"/>
        <w:widowControl w:val="0"/>
        <w:kinsoku/>
        <w:wordWrap/>
        <w:overflowPunct/>
        <w:topLinePunct w:val="0"/>
        <w:autoSpaceDE/>
        <w:autoSpaceDN/>
        <w:bidi w:val="0"/>
        <w:snapToGrid w:val="0"/>
        <w:spacing w:line="360" w:lineRule="auto"/>
        <w:ind w:left="0" w:firstLine="0" w:firstLineChars="0"/>
        <w:jc w:val="center"/>
        <w:textAlignment w:val="auto"/>
        <w:rPr>
          <w:rFonts w:hint="eastAsia" w:ascii="仿宋" w:eastAsia="仿宋" w:cs="仿宋"/>
          <w:color w:val="auto"/>
          <w:sz w:val="28"/>
          <w:szCs w:val="21"/>
          <w:highlight w:val="none"/>
          <w:lang w:val="en-US" w:eastAsia="zh-CN"/>
        </w:rPr>
      </w:pPr>
    </w:p>
    <w:p w14:paraId="70DC4A8B">
      <w:pPr>
        <w:pageBreakBefore w:val="0"/>
        <w:widowControl w:val="0"/>
        <w:numPr>
          <w:ilvl w:val="0"/>
          <w:numId w:val="79"/>
        </w:numPr>
        <w:kinsoku/>
        <w:wordWrap/>
        <w:overflowPunct/>
        <w:topLinePunct w:val="0"/>
        <w:autoSpaceDE/>
        <w:autoSpaceDN/>
        <w:bidi w:val="0"/>
        <w:snapToGrid w:val="0"/>
        <w:spacing w:line="360" w:lineRule="auto"/>
        <w:ind w:left="0" w:firstLine="0" w:firstLineChars="0"/>
        <w:jc w:val="both"/>
        <w:textAlignment w:val="auto"/>
        <w:rPr>
          <w:rFonts w:hint="eastAsia" w:ascii="仿宋" w:eastAsia="仿宋" w:cs="仿宋"/>
          <w:color w:val="auto"/>
          <w:sz w:val="24"/>
          <w:szCs w:val="24"/>
          <w:highlight w:val="none"/>
          <w:lang w:val="en-US" w:eastAsia="zh-CN"/>
        </w:rPr>
      </w:pPr>
      <w:r>
        <w:rPr>
          <w:rFonts w:hint="eastAsia" w:ascii="仿宋" w:eastAsia="仿宋" w:cs="仿宋"/>
          <w:color w:val="auto"/>
          <w:sz w:val="24"/>
          <w:szCs w:val="24"/>
          <w:highlight w:val="none"/>
          <w:lang w:val="en-US" w:eastAsia="zh-CN"/>
        </w:rPr>
        <w:t>资格证明文件</w:t>
      </w:r>
    </w:p>
    <w:p w14:paraId="4B140BAD">
      <w:pPr>
        <w:keepNext/>
        <w:keepLines/>
        <w:pageBreakBefore w:val="0"/>
        <w:widowControl w:val="0"/>
        <w:kinsoku/>
        <w:wordWrap/>
        <w:overflowPunct/>
        <w:topLinePunct w:val="0"/>
        <w:autoSpaceDE/>
        <w:autoSpaceDN/>
        <w:bidi w:val="0"/>
        <w:adjustRightInd/>
        <w:snapToGrid w:val="0"/>
        <w:spacing w:before="0" w:after="0" w:line="360" w:lineRule="auto"/>
        <w:ind w:left="0" w:firstLine="482" w:firstLineChars="200"/>
        <w:textAlignment w:val="auto"/>
        <w:outlineLvl w:val="9"/>
        <w:rPr>
          <w:rFonts w:hint="eastAsia" w:eastAsia="宋体"/>
          <w:sz w:val="24"/>
          <w:szCs w:val="24"/>
          <w:lang w:val="en-US" w:eastAsia="zh-CN"/>
        </w:rPr>
      </w:pPr>
      <w:r>
        <w:rPr>
          <w:rFonts w:hint="eastAsia"/>
          <w:sz w:val="24"/>
          <w:szCs w:val="24"/>
          <w:lang w:val="en-US" w:eastAsia="zh-CN"/>
        </w:rPr>
        <w:t>……</w:t>
      </w:r>
    </w:p>
    <w:p w14:paraId="30A9E270">
      <w:pPr>
        <w:pageBreakBefore w:val="0"/>
        <w:widowControl w:val="0"/>
        <w:numPr>
          <w:ilvl w:val="0"/>
          <w:numId w:val="79"/>
        </w:numPr>
        <w:kinsoku/>
        <w:wordWrap/>
        <w:overflowPunct/>
        <w:topLinePunct w:val="0"/>
        <w:autoSpaceDE/>
        <w:autoSpaceDN/>
        <w:bidi w:val="0"/>
        <w:snapToGrid w:val="0"/>
        <w:spacing w:line="360" w:lineRule="auto"/>
        <w:ind w:left="0" w:firstLine="0" w:firstLineChars="0"/>
        <w:jc w:val="both"/>
        <w:textAlignment w:val="auto"/>
        <w:outlineLvl w:val="9"/>
        <w:rPr>
          <w:rFonts w:hint="eastAsia" w:ascii="仿宋" w:eastAsia="仿宋" w:cs="仿宋"/>
          <w:color w:val="auto"/>
          <w:sz w:val="24"/>
          <w:szCs w:val="24"/>
          <w:highlight w:val="none"/>
          <w:lang w:val="en-US" w:eastAsia="zh-CN"/>
        </w:rPr>
      </w:pPr>
      <w:r>
        <w:rPr>
          <w:rFonts w:hint="eastAsia" w:ascii="仿宋" w:eastAsia="仿宋" w:cs="仿宋"/>
          <w:color w:val="auto"/>
          <w:sz w:val="24"/>
          <w:szCs w:val="24"/>
          <w:highlight w:val="none"/>
          <w:lang w:val="en-US" w:eastAsia="zh-CN"/>
        </w:rPr>
        <w:t>报价文件</w:t>
      </w:r>
    </w:p>
    <w:p w14:paraId="56EFAA3F">
      <w:pPr>
        <w:pageBreakBefore w:val="0"/>
        <w:widowControl w:val="0"/>
        <w:numPr>
          <w:ilvl w:val="0"/>
          <w:numId w:val="80"/>
        </w:numPr>
        <w:kinsoku/>
        <w:wordWrap/>
        <w:overflowPunct/>
        <w:topLinePunct w:val="0"/>
        <w:autoSpaceDE/>
        <w:autoSpaceDN/>
        <w:bidi w:val="0"/>
        <w:snapToGrid w:val="0"/>
        <w:spacing w:line="360" w:lineRule="auto"/>
        <w:ind w:left="0" w:firstLine="400" w:firstLineChars="0"/>
        <w:jc w:val="both"/>
        <w:textAlignment w:val="auto"/>
        <w:outlineLvl w:val="9"/>
        <w:rPr>
          <w:rFonts w:hint="eastAsia" w:ascii="仿宋" w:eastAsia="仿宋"/>
          <w:b w:val="0"/>
          <w:color w:val="auto"/>
          <w:kern w:val="2"/>
          <w:sz w:val="24"/>
          <w:szCs w:val="24"/>
          <w:lang w:val="en-US" w:eastAsia="zh-CN"/>
        </w:rPr>
      </w:pPr>
      <w:r>
        <w:rPr>
          <w:rFonts w:hint="eastAsia" w:ascii="仿宋" w:eastAsia="仿宋"/>
          <w:b w:val="0"/>
          <w:color w:val="auto"/>
          <w:kern w:val="2"/>
          <w:sz w:val="24"/>
          <w:szCs w:val="24"/>
          <w:lang w:val="en-US" w:eastAsia="zh-CN"/>
        </w:rPr>
        <w:t>报价一览表</w:t>
      </w:r>
    </w:p>
    <w:p w14:paraId="7D045FCB">
      <w:pPr>
        <w:pageBreakBefore w:val="0"/>
        <w:widowControl w:val="0"/>
        <w:numPr>
          <w:ilvl w:val="0"/>
          <w:numId w:val="80"/>
        </w:numPr>
        <w:kinsoku/>
        <w:wordWrap/>
        <w:overflowPunct/>
        <w:topLinePunct w:val="0"/>
        <w:autoSpaceDE/>
        <w:autoSpaceDN/>
        <w:bidi w:val="0"/>
        <w:snapToGrid w:val="0"/>
        <w:spacing w:line="360" w:lineRule="auto"/>
        <w:ind w:left="0" w:firstLine="400" w:firstLineChars="0"/>
        <w:jc w:val="both"/>
        <w:textAlignment w:val="auto"/>
        <w:outlineLvl w:val="9"/>
        <w:rPr>
          <w:rFonts w:ascii="仿宋" w:eastAsia="仿宋" w:cs="仿宋"/>
          <w:color w:val="auto"/>
          <w:sz w:val="24"/>
          <w:szCs w:val="24"/>
          <w:highlight w:val="none"/>
          <w:lang w:val="en-US" w:eastAsia="zh-CN"/>
        </w:rPr>
      </w:pPr>
      <w:r>
        <w:rPr>
          <w:rFonts w:hint="eastAsia" w:ascii="仿宋" w:eastAsia="仿宋"/>
          <w:b w:val="0"/>
          <w:color w:val="auto"/>
          <w:kern w:val="2"/>
          <w:sz w:val="24"/>
          <w:szCs w:val="24"/>
          <w:lang w:val="en-US" w:eastAsia="zh-CN"/>
        </w:rPr>
        <w:t>分项报价表（如有）</w:t>
      </w:r>
    </w:p>
    <w:p w14:paraId="682AB832">
      <w:pPr>
        <w:pageBreakBefore w:val="0"/>
        <w:widowControl w:val="0"/>
        <w:kinsoku/>
        <w:wordWrap/>
        <w:overflowPunct/>
        <w:topLinePunct w:val="0"/>
        <w:autoSpaceDE/>
        <w:autoSpaceDN/>
        <w:bidi w:val="0"/>
        <w:snapToGrid w:val="0"/>
        <w:spacing w:line="360" w:lineRule="auto"/>
        <w:ind w:left="0" w:firstLine="0" w:firstLineChars="0"/>
        <w:jc w:val="both"/>
        <w:textAlignment w:val="auto"/>
        <w:outlineLvl w:val="9"/>
        <w:rPr>
          <w:rFonts w:hint="eastAsia"/>
          <w:sz w:val="24"/>
          <w:szCs w:val="24"/>
          <w:highlight w:val="none"/>
        </w:rPr>
      </w:pPr>
      <w:r>
        <w:rPr>
          <w:rFonts w:hint="eastAsia" w:ascii="仿宋" w:eastAsia="仿宋" w:cs="仿宋"/>
          <w:color w:val="auto"/>
          <w:sz w:val="24"/>
          <w:szCs w:val="24"/>
          <w:highlight w:val="none"/>
          <w:lang w:val="en-US" w:eastAsia="zh-CN"/>
        </w:rPr>
        <w:t>三、商务技术文件</w:t>
      </w:r>
    </w:p>
    <w:p w14:paraId="61D13B9B">
      <w:pPr>
        <w:pageBreakBefore w:val="0"/>
        <w:widowControl w:val="0"/>
        <w:numPr>
          <w:ilvl w:val="0"/>
          <w:numId w:val="81"/>
        </w:numPr>
        <w:tabs>
          <w:tab w:val="left" w:pos="640"/>
        </w:tabs>
        <w:kinsoku/>
        <w:wordWrap/>
        <w:overflowPunct/>
        <w:topLinePunct w:val="0"/>
        <w:autoSpaceDE/>
        <w:autoSpaceDN/>
        <w:bidi w:val="0"/>
        <w:snapToGrid w:val="0"/>
        <w:spacing w:beforeAutospacing="0" w:afterAutospacing="0" w:line="360" w:lineRule="auto"/>
        <w:ind w:left="640" w:right="0" w:hanging="199"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eastAsia="zh-CN"/>
        </w:rPr>
        <w:t>法定代表人（主要负责人/经营者）</w:t>
      </w:r>
      <w:r>
        <w:rPr>
          <w:rFonts w:hint="eastAsia" w:ascii="仿宋" w:eastAsia="仿宋"/>
          <w:b w:val="0"/>
          <w:color w:val="auto"/>
          <w:kern w:val="2"/>
          <w:sz w:val="24"/>
          <w:szCs w:val="24"/>
          <w:lang w:val="en-US" w:eastAsia="zh-CN"/>
        </w:rPr>
        <w:t>身份</w:t>
      </w:r>
      <w:r>
        <w:rPr>
          <w:rFonts w:ascii="仿宋" w:eastAsia="仿宋"/>
          <w:b w:val="0"/>
          <w:color w:val="auto"/>
          <w:kern w:val="2"/>
          <w:sz w:val="24"/>
          <w:szCs w:val="24"/>
          <w:lang w:val="en-US" w:eastAsia="zh-CN"/>
        </w:rPr>
        <w:t>证明书</w:t>
      </w:r>
    </w:p>
    <w:p w14:paraId="6B7D1810">
      <w:pPr>
        <w:pageBreakBefore w:val="0"/>
        <w:widowControl w:val="0"/>
        <w:numPr>
          <w:ilvl w:val="0"/>
          <w:numId w:val="81"/>
        </w:numPr>
        <w:tabs>
          <w:tab w:val="left" w:pos="640"/>
        </w:tabs>
        <w:kinsoku/>
        <w:wordWrap/>
        <w:overflowPunct/>
        <w:topLinePunct w:val="0"/>
        <w:autoSpaceDE/>
        <w:autoSpaceDN/>
        <w:bidi w:val="0"/>
        <w:snapToGrid w:val="0"/>
        <w:spacing w:beforeAutospacing="0" w:afterAutospacing="0" w:line="360" w:lineRule="auto"/>
        <w:ind w:left="640" w:right="0" w:hanging="199"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eastAsia="zh-CN"/>
        </w:rPr>
        <w:t>法定代表人（主要负责人/经营者）授权委托书</w:t>
      </w:r>
    </w:p>
    <w:p w14:paraId="4495859F">
      <w:pPr>
        <w:pageBreakBefore w:val="0"/>
        <w:widowControl w:val="0"/>
        <w:numPr>
          <w:ilvl w:val="0"/>
          <w:numId w:val="81"/>
        </w:numPr>
        <w:tabs>
          <w:tab w:val="left" w:pos="640"/>
        </w:tabs>
        <w:kinsoku/>
        <w:wordWrap/>
        <w:overflowPunct/>
        <w:topLinePunct w:val="0"/>
        <w:autoSpaceDE/>
        <w:autoSpaceDN/>
        <w:bidi w:val="0"/>
        <w:snapToGrid w:val="0"/>
        <w:spacing w:beforeAutospacing="0" w:afterAutospacing="0" w:line="360" w:lineRule="auto"/>
        <w:ind w:left="640" w:right="0" w:hanging="199"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投标函</w:t>
      </w:r>
    </w:p>
    <w:p w14:paraId="1ADFBD81">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hint="eastAsia" w:ascii="仿宋" w:eastAsia="仿宋"/>
          <w:b w:val="0"/>
          <w:color w:val="auto"/>
          <w:kern w:val="2"/>
          <w:sz w:val="24"/>
          <w:szCs w:val="24"/>
          <w:lang w:val="en-US" w:eastAsia="zh-CN"/>
        </w:rPr>
        <w:t>服务</w:t>
      </w:r>
      <w:r>
        <w:rPr>
          <w:rFonts w:ascii="仿宋" w:eastAsia="仿宋"/>
          <w:b w:val="0"/>
          <w:color w:val="auto"/>
          <w:kern w:val="2"/>
          <w:sz w:val="24"/>
          <w:szCs w:val="24"/>
          <w:lang w:val="en-US"/>
        </w:rPr>
        <w:t>偏离表</w:t>
      </w:r>
    </w:p>
    <w:p w14:paraId="259EA719">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商务</w:t>
      </w:r>
      <w:r>
        <w:rPr>
          <w:rFonts w:hint="eastAsia" w:ascii="仿宋" w:eastAsia="仿宋"/>
          <w:b w:val="0"/>
          <w:color w:val="auto"/>
          <w:kern w:val="2"/>
          <w:sz w:val="24"/>
          <w:szCs w:val="24"/>
          <w:lang w:val="en-US" w:eastAsia="zh-CN"/>
        </w:rPr>
        <w:t>偏离</w:t>
      </w:r>
      <w:r>
        <w:rPr>
          <w:rFonts w:ascii="仿宋" w:eastAsia="仿宋"/>
          <w:b w:val="0"/>
          <w:color w:val="auto"/>
          <w:kern w:val="2"/>
          <w:sz w:val="24"/>
          <w:szCs w:val="24"/>
          <w:lang w:val="en-US"/>
        </w:rPr>
        <w:t>表</w:t>
      </w:r>
    </w:p>
    <w:p w14:paraId="53E9DC3F">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投标人基本情况表</w:t>
      </w:r>
    </w:p>
    <w:p w14:paraId="6231A057">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实施本项目的主要人员情况表</w:t>
      </w:r>
    </w:p>
    <w:p w14:paraId="5FF85944">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cs="Times New Roman"/>
          <w:b w:val="0"/>
          <w:bCs/>
          <w:color w:val="auto"/>
          <w:kern w:val="2"/>
          <w:sz w:val="24"/>
          <w:szCs w:val="24"/>
          <w:lang w:val="en-US"/>
        </w:rPr>
      </w:pPr>
      <w:r>
        <w:rPr>
          <w:rFonts w:hint="eastAsia" w:ascii="仿宋" w:eastAsia="仿宋" w:cs="Times New Roman"/>
          <w:b w:val="0"/>
          <w:bCs/>
          <w:color w:val="auto"/>
          <w:kern w:val="2"/>
          <w:sz w:val="24"/>
          <w:szCs w:val="24"/>
          <w:lang w:val="en-US"/>
        </w:rPr>
        <w:t>投标人</w:t>
      </w:r>
      <w:r>
        <w:rPr>
          <w:rFonts w:ascii="仿宋" w:eastAsia="仿宋" w:cs="Times New Roman"/>
          <w:b w:val="0"/>
          <w:bCs/>
          <w:color w:val="auto"/>
          <w:kern w:val="2"/>
          <w:sz w:val="24"/>
          <w:szCs w:val="24"/>
          <w:lang w:val="en-US"/>
        </w:rPr>
        <w:t>类似项目业绩一览表</w:t>
      </w:r>
    </w:p>
    <w:p w14:paraId="19915606">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项目实施方案</w:t>
      </w:r>
    </w:p>
    <w:p w14:paraId="413CDE26">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知识产权承诺函</w:t>
      </w:r>
    </w:p>
    <w:p w14:paraId="111E5998">
      <w:pPr>
        <w:pageBreakBefore w:val="0"/>
        <w:widowControl w:val="0"/>
        <w:numPr>
          <w:ilvl w:val="0"/>
          <w:numId w:val="81"/>
        </w:numPr>
        <w:tabs>
          <w:tab w:val="left" w:pos="851"/>
        </w:tabs>
        <w:kinsoku/>
        <w:wordWrap/>
        <w:overflowPunct/>
        <w:topLinePunct w:val="0"/>
        <w:autoSpaceDE/>
        <w:autoSpaceDN/>
        <w:bidi w:val="0"/>
        <w:snapToGrid w:val="0"/>
        <w:spacing w:beforeAutospacing="0" w:afterAutospacing="0" w:line="360" w:lineRule="auto"/>
        <w:ind w:left="839" w:right="0" w:hanging="403" w:firstLineChars="0"/>
        <w:textAlignment w:val="auto"/>
        <w:rPr>
          <w:rFonts w:ascii="仿宋" w:eastAsia="仿宋"/>
          <w:b w:val="0"/>
          <w:color w:val="auto"/>
          <w:kern w:val="2"/>
          <w:sz w:val="24"/>
          <w:szCs w:val="24"/>
          <w:lang w:val="en-US"/>
        </w:rPr>
      </w:pPr>
      <w:r>
        <w:rPr>
          <w:rFonts w:ascii="仿宋" w:eastAsia="仿宋"/>
          <w:b w:val="0"/>
          <w:color w:val="auto"/>
          <w:kern w:val="2"/>
          <w:sz w:val="24"/>
          <w:szCs w:val="24"/>
          <w:lang w:val="en-US"/>
        </w:rPr>
        <w:t>投标人认为需要提供的其他文件和资料</w:t>
      </w:r>
    </w:p>
    <w:p w14:paraId="313E4CD8">
      <w:pPr>
        <w:pageBreakBefore w:val="0"/>
        <w:widowControl w:val="0"/>
        <w:kinsoku/>
        <w:wordWrap/>
        <w:overflowPunct/>
        <w:topLinePunct w:val="0"/>
        <w:autoSpaceDE/>
        <w:autoSpaceDN/>
        <w:bidi w:val="0"/>
        <w:snapToGrid w:val="0"/>
        <w:spacing w:line="360" w:lineRule="auto"/>
        <w:ind w:left="0" w:firstLine="0" w:firstLineChars="0"/>
        <w:textAlignment w:val="auto"/>
        <w:rPr>
          <w:rFonts w:hint="eastAsia"/>
        </w:rPr>
      </w:pPr>
    </w:p>
    <w:p w14:paraId="4F731598">
      <w:pPr>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eastAsia="仿宋" w:cs="仿宋"/>
          <w:color w:val="auto"/>
          <w:sz w:val="24"/>
        </w:rPr>
      </w:pPr>
      <w:r>
        <w:rPr>
          <w:rFonts w:hint="eastAsia" w:ascii="仿宋" w:eastAsia="仿宋" w:cs="仿宋"/>
          <w:color w:val="auto"/>
          <w:sz w:val="24"/>
          <w:szCs w:val="24"/>
          <w:u w:val="single"/>
          <w:lang w:val="en-US"/>
        </w:rPr>
        <w:t>请</w:t>
      </w:r>
      <w:r>
        <w:rPr>
          <w:rFonts w:hint="eastAsia" w:ascii="仿宋" w:eastAsia="仿宋" w:cs="仿宋"/>
          <w:color w:val="auto"/>
          <w:sz w:val="24"/>
          <w:szCs w:val="24"/>
          <w:u w:val="single"/>
          <w:lang w:val="en-US" w:eastAsia="zh-CN"/>
        </w:rPr>
        <w:t>投标人</w:t>
      </w:r>
      <w:r>
        <w:rPr>
          <w:rFonts w:hint="eastAsia" w:ascii="仿宋" w:eastAsia="仿宋" w:cs="仿宋"/>
          <w:color w:val="auto"/>
          <w:sz w:val="24"/>
          <w:szCs w:val="24"/>
          <w:u w:val="single"/>
          <w:lang w:val="en-US"/>
        </w:rPr>
        <w:t>按照以</w:t>
      </w:r>
      <w:r>
        <w:rPr>
          <w:rFonts w:hint="eastAsia" w:ascii="仿宋" w:eastAsia="仿宋" w:cs="仿宋"/>
          <w:color w:val="auto"/>
          <w:sz w:val="24"/>
          <w:szCs w:val="24"/>
          <w:u w:val="single"/>
          <w:lang w:val="en-US" w:eastAsia="zh-CN"/>
        </w:rPr>
        <w:t>上</w:t>
      </w:r>
      <w:r>
        <w:rPr>
          <w:rFonts w:hint="eastAsia" w:ascii="仿宋" w:eastAsia="仿宋" w:cs="仿宋"/>
          <w:color w:val="auto"/>
          <w:sz w:val="24"/>
          <w:szCs w:val="24"/>
          <w:u w:val="single"/>
          <w:lang w:val="en-US"/>
        </w:rPr>
        <w:t>的要求格式、内容，顺序制作</w:t>
      </w:r>
      <w:r>
        <w:rPr>
          <w:rFonts w:hint="eastAsia" w:ascii="仿宋" w:eastAsia="仿宋" w:cs="仿宋"/>
          <w:color w:val="auto"/>
          <w:sz w:val="24"/>
          <w:szCs w:val="24"/>
          <w:u w:val="single"/>
          <w:lang w:val="en-US" w:eastAsia="zh-CN"/>
        </w:rPr>
        <w:t>投标</w:t>
      </w:r>
      <w:r>
        <w:rPr>
          <w:rFonts w:hint="eastAsia" w:ascii="仿宋" w:eastAsia="仿宋" w:cs="仿宋"/>
          <w:color w:val="auto"/>
          <w:sz w:val="24"/>
          <w:szCs w:val="24"/>
          <w:u w:val="single"/>
          <w:lang w:val="en-US"/>
        </w:rPr>
        <w:t>文件，并请编制目录及页码</w:t>
      </w:r>
      <w:r>
        <w:rPr>
          <w:rFonts w:hint="eastAsia" w:ascii="仿宋" w:eastAsia="仿宋" w:cs="仿宋"/>
          <w:color w:val="auto"/>
          <w:sz w:val="24"/>
          <w:szCs w:val="24"/>
          <w:u w:val="single"/>
          <w:lang w:val="en-US" w:eastAsia="zh-CN"/>
        </w:rPr>
        <w:t>；上传的相关证件、证书、证明材料等必须真实、清晰可辩，</w:t>
      </w:r>
      <w:r>
        <w:rPr>
          <w:rFonts w:hint="eastAsia" w:ascii="仿宋" w:eastAsia="仿宋" w:cs="仿宋"/>
          <w:color w:val="auto"/>
          <w:sz w:val="24"/>
          <w:szCs w:val="24"/>
          <w:u w:val="single"/>
          <w:lang w:val="en-US"/>
        </w:rPr>
        <w:t>否则可能将影响对</w:t>
      </w:r>
      <w:r>
        <w:rPr>
          <w:rFonts w:hint="eastAsia" w:ascii="仿宋" w:eastAsia="仿宋" w:cs="仿宋"/>
          <w:color w:val="auto"/>
          <w:sz w:val="24"/>
          <w:szCs w:val="24"/>
          <w:u w:val="single"/>
          <w:lang w:val="en-US" w:eastAsia="zh-CN"/>
        </w:rPr>
        <w:t>投标</w:t>
      </w:r>
      <w:r>
        <w:rPr>
          <w:rFonts w:hint="eastAsia" w:ascii="仿宋" w:eastAsia="仿宋" w:cs="仿宋"/>
          <w:color w:val="auto"/>
          <w:sz w:val="24"/>
          <w:szCs w:val="24"/>
          <w:u w:val="single"/>
          <w:lang w:val="en-US"/>
        </w:rPr>
        <w:t>文件的评价。</w:t>
      </w:r>
    </w:p>
    <w:p w14:paraId="47D207D7">
      <w:pPr>
        <w:pageBreakBefore w:val="0"/>
        <w:widowControl w:val="0"/>
        <w:kinsoku/>
        <w:wordWrap/>
        <w:overflowPunct/>
        <w:topLinePunct w:val="0"/>
        <w:bidi w:val="0"/>
        <w:spacing w:beforeAutospacing="0" w:afterAutospacing="0" w:line="360" w:lineRule="auto"/>
        <w:ind w:left="0" w:right="0" w:firstLine="0" w:firstLineChars="0"/>
        <w:rPr>
          <w:rFonts w:ascii="仿宋" w:eastAsia="仿宋"/>
          <w:color w:val="auto"/>
        </w:rPr>
      </w:pPr>
      <w:r>
        <w:rPr>
          <w:rFonts w:hint="eastAsia" w:ascii="宋体" w:eastAsia="宋体" w:cs="宋体"/>
          <w:sz w:val="24"/>
        </w:rPr>
        <w:br w:type="page"/>
      </w:r>
    </w:p>
    <w:p w14:paraId="45E1E373">
      <w:pPr>
        <w:pageBreakBefore w:val="0"/>
        <w:widowControl w:val="0"/>
        <w:kinsoku/>
        <w:wordWrap/>
        <w:overflowPunct/>
        <w:topLinePunct w:val="0"/>
        <w:bidi w:val="0"/>
        <w:spacing w:beforeAutospacing="0" w:afterAutospacing="0" w:line="360" w:lineRule="auto"/>
        <w:ind w:left="0" w:right="0"/>
        <w:rPr>
          <w:rFonts w:ascii="仿宋" w:eastAsia="仿宋"/>
          <w:color w:val="auto"/>
        </w:rPr>
      </w:pPr>
    </w:p>
    <w:p w14:paraId="1A8F2965">
      <w:pPr>
        <w:pageBreakBefore w:val="0"/>
        <w:widowControl w:val="0"/>
        <w:kinsoku/>
        <w:wordWrap/>
        <w:overflowPunct/>
        <w:topLinePunct w:val="0"/>
        <w:bidi w:val="0"/>
        <w:spacing w:beforeAutospacing="0" w:afterAutospacing="0" w:line="360" w:lineRule="auto"/>
        <w:ind w:left="0" w:right="0"/>
        <w:rPr>
          <w:rFonts w:hint="eastAsia" w:ascii="仿宋" w:eastAsia="仿宋"/>
          <w:color w:val="auto"/>
        </w:rPr>
      </w:pPr>
    </w:p>
    <w:p w14:paraId="6F3B33B3">
      <w:pPr>
        <w:pageBreakBefore w:val="0"/>
        <w:widowControl w:val="0"/>
        <w:kinsoku/>
        <w:wordWrap/>
        <w:overflowPunct/>
        <w:topLinePunct w:val="0"/>
        <w:bidi w:val="0"/>
        <w:spacing w:beforeAutospacing="0" w:afterAutospacing="0" w:line="360" w:lineRule="auto"/>
        <w:ind w:left="0" w:right="0"/>
        <w:rPr>
          <w:rFonts w:hint="eastAsia" w:ascii="仿宋" w:eastAsia="仿宋"/>
          <w:color w:val="auto"/>
        </w:rPr>
      </w:pPr>
    </w:p>
    <w:p w14:paraId="3EAC9846">
      <w:pPr>
        <w:pStyle w:val="101"/>
        <w:rPr>
          <w:rFonts w:hint="eastAsia" w:ascii="仿宋" w:eastAsia="仿宋"/>
          <w:color w:val="auto"/>
        </w:rPr>
      </w:pPr>
    </w:p>
    <w:p w14:paraId="04A8821E">
      <w:pPr>
        <w:keepNext/>
        <w:pageBreakBefore w:val="0"/>
        <w:widowControl w:val="0"/>
        <w:tabs>
          <w:tab w:val="left" w:pos="360"/>
        </w:tabs>
        <w:kinsoku/>
        <w:wordWrap/>
        <w:overflowPunct/>
        <w:topLinePunct w:val="0"/>
        <w:bidi w:val="0"/>
        <w:spacing w:beforeAutospacing="0" w:afterAutospacing="0" w:line="360" w:lineRule="auto"/>
        <w:ind w:left="0" w:leftChars="0" w:right="0" w:firstLine="0" w:firstLineChars="0"/>
        <w:jc w:val="center"/>
        <w:outlineLvl w:val="1"/>
        <w:rPr>
          <w:rFonts w:ascii="仿宋" w:eastAsia="仿宋"/>
          <w:bCs/>
          <w:color w:val="auto"/>
          <w:kern w:val="2"/>
          <w:sz w:val="48"/>
          <w:szCs w:val="48"/>
          <w:highlight w:val="none"/>
          <w:lang w:val="en-US"/>
        </w:rPr>
      </w:pPr>
      <w:bookmarkStart w:id="315" w:name="_Toc318203498"/>
      <w:bookmarkEnd w:id="315"/>
      <w:bookmarkStart w:id="316" w:name="_Toc496605634"/>
      <w:bookmarkStart w:id="317" w:name="_Toc494198601"/>
      <w:bookmarkStart w:id="318" w:name="_Toc36134569"/>
      <w:bookmarkStart w:id="319" w:name="_Toc40704283"/>
      <w:bookmarkStart w:id="320" w:name="_Toc494198927"/>
      <w:bookmarkStart w:id="321" w:name="_Toc466895947"/>
      <w:bookmarkStart w:id="322" w:name="_Toc500492730"/>
      <w:bookmarkStart w:id="323" w:name="_Toc36215959"/>
      <w:bookmarkStart w:id="324" w:name="_Toc31505"/>
      <w:bookmarkStart w:id="325" w:name="_Toc95295156"/>
      <w:bookmarkStart w:id="326" w:name="_Toc76132174"/>
      <w:bookmarkStart w:id="327" w:name="_Toc76132887"/>
      <w:bookmarkStart w:id="328" w:name="_Toc532292533"/>
      <w:bookmarkStart w:id="329" w:name="_Toc532292615"/>
      <w:bookmarkStart w:id="330" w:name="_Toc531661861"/>
      <w:bookmarkStart w:id="331" w:name="_Toc532877864"/>
      <w:bookmarkStart w:id="332" w:name="_Toc46394754"/>
      <w:bookmarkStart w:id="333" w:name="_Toc532292813"/>
      <w:bookmarkStart w:id="334" w:name="_Toc531666042"/>
      <w:bookmarkStart w:id="335" w:name="_Toc531764933"/>
      <w:bookmarkStart w:id="336" w:name="_Toc256175344"/>
      <w:bookmarkStart w:id="337" w:name="_Toc263753599"/>
      <w:bookmarkStart w:id="338" w:name="_Toc351016487"/>
      <w:bookmarkStart w:id="339" w:name="_Toc295978803"/>
      <w:bookmarkStart w:id="340" w:name="_Toc263768863"/>
      <w:bookmarkStart w:id="341" w:name="_Toc174767228"/>
      <w:r>
        <w:rPr>
          <w:rFonts w:hint="eastAsia" w:ascii="仿宋" w:eastAsia="仿宋"/>
          <w:bCs/>
          <w:color w:val="auto"/>
          <w:kern w:val="2"/>
          <w:sz w:val="48"/>
          <w:szCs w:val="48"/>
          <w:lang w:val="en-US" w:eastAsia="zh-CN"/>
        </w:rPr>
        <w:t>一、</w:t>
      </w:r>
      <w:r>
        <w:rPr>
          <w:rFonts w:ascii="仿宋" w:eastAsia="仿宋"/>
          <w:bCs/>
          <w:color w:val="auto"/>
          <w:kern w:val="2"/>
          <w:sz w:val="48"/>
          <w:szCs w:val="48"/>
          <w:lang w:val="en-US"/>
        </w:rPr>
        <w:t>资格</w:t>
      </w:r>
      <w:r>
        <w:rPr>
          <w:rFonts w:hint="eastAsia" w:ascii="仿宋" w:eastAsia="仿宋"/>
          <w:bCs/>
          <w:color w:val="auto"/>
          <w:kern w:val="2"/>
          <w:sz w:val="48"/>
          <w:szCs w:val="48"/>
          <w:lang w:val="en-US" w:eastAsia="zh-CN"/>
        </w:rPr>
        <w:t>证明</w:t>
      </w:r>
      <w:r>
        <w:rPr>
          <w:rFonts w:ascii="仿宋" w:eastAsia="仿宋"/>
          <w:bCs/>
          <w:color w:val="auto"/>
          <w:kern w:val="2"/>
          <w:sz w:val="48"/>
          <w:szCs w:val="48"/>
          <w:lang w:val="en-US"/>
        </w:rPr>
        <w:t>文件</w:t>
      </w:r>
      <w:bookmarkEnd w:id="316"/>
      <w:bookmarkEnd w:id="317"/>
      <w:bookmarkEnd w:id="318"/>
      <w:bookmarkEnd w:id="319"/>
      <w:bookmarkEnd w:id="320"/>
      <w:bookmarkEnd w:id="321"/>
      <w:bookmarkEnd w:id="322"/>
      <w:bookmarkEnd w:id="323"/>
      <w:bookmarkEnd w:id="324"/>
    </w:p>
    <w:p w14:paraId="00F3D168">
      <w:pPr>
        <w:pStyle w:val="34"/>
        <w:pageBreakBefore w:val="0"/>
        <w:widowControl w:val="0"/>
        <w:kinsoku/>
        <w:wordWrap/>
        <w:overflowPunct/>
        <w:topLinePunct w:val="0"/>
        <w:bidi w:val="0"/>
        <w:spacing w:beforeAutospacing="0" w:after="0" w:afterAutospacing="0" w:line="360" w:lineRule="auto"/>
        <w:ind w:left="0" w:leftChars="0" w:right="0" w:firstLine="0" w:firstLineChars="0"/>
        <w:rPr>
          <w:rFonts w:hint="eastAsia" w:ascii="仿宋" w:eastAsia="仿宋" w:cs="Times New Roman"/>
          <w:b/>
          <w:bCs/>
          <w:color w:val="auto"/>
          <w:kern w:val="2"/>
          <w:sz w:val="28"/>
          <w:szCs w:val="28"/>
          <w:highlight w:val="none"/>
          <w:lang w:val="en-US" w:eastAsia="zh-CN" w:bidi="ar-SA"/>
        </w:rPr>
      </w:pPr>
    </w:p>
    <w:p w14:paraId="68083A5B">
      <w:pPr>
        <w:pStyle w:val="34"/>
        <w:pageBreakBefore w:val="0"/>
        <w:widowControl w:val="0"/>
        <w:kinsoku/>
        <w:wordWrap/>
        <w:overflowPunct/>
        <w:topLinePunct w:val="0"/>
        <w:bidi w:val="0"/>
        <w:spacing w:beforeAutospacing="0" w:after="0" w:afterAutospacing="0" w:line="360" w:lineRule="auto"/>
        <w:ind w:left="0" w:leftChars="0" w:right="0" w:firstLine="562" w:firstLineChars="200"/>
        <w:jc w:val="left"/>
        <w:rPr>
          <w:rFonts w:eastAsia="宋体"/>
          <w:lang w:val="en-US" w:eastAsia="zh-CN"/>
        </w:rPr>
      </w:pPr>
      <w:r>
        <w:rPr>
          <w:rFonts w:hint="eastAsia" w:ascii="仿宋" w:eastAsia="仿宋" w:cs="Times New Roman"/>
          <w:b/>
          <w:bCs/>
          <w:color w:val="auto"/>
          <w:kern w:val="2"/>
          <w:sz w:val="28"/>
          <w:szCs w:val="28"/>
          <w:highlight w:val="none"/>
          <w:lang w:val="en-US" w:eastAsia="zh-CN" w:bidi="ar-SA"/>
        </w:rPr>
        <w:t>资格证明文件由投标人按照招标文件“第3章 投标人应当提供的资格、资质性及其他具有类似效力的要求的相关证明材料”进行编制。后附部分格式，未附格式的，由投标人自行编写。</w:t>
      </w:r>
      <w:r>
        <w:rPr>
          <w:rFonts w:hint="eastAsia" w:ascii="仿宋" w:eastAsia="仿宋" w:cs="Times New Roman"/>
          <w:b/>
          <w:bCs/>
          <w:color w:val="auto"/>
          <w:kern w:val="2"/>
          <w:sz w:val="28"/>
          <w:szCs w:val="28"/>
          <w:highlight w:val="none"/>
          <w:lang w:val="en-US" w:eastAsia="zh-CN" w:bidi="ar-SA"/>
        </w:rPr>
        <w:br w:type="page"/>
      </w:r>
      <w:r>
        <w:rPr>
          <w:rFonts w:hint="eastAsia" w:eastAsia="宋体" w:cs="Times New Roman"/>
          <w:b/>
          <w:bCs/>
          <w:sz w:val="28"/>
          <w:szCs w:val="28"/>
          <w:lang w:val="en-US" w:eastAsia="zh-CN"/>
        </w:rPr>
        <w:t>格式一：</w:t>
      </w:r>
    </w:p>
    <w:p w14:paraId="3F87F360">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kern w:val="2"/>
          <w:sz w:val="28"/>
          <w:szCs w:val="28"/>
          <w:highlight w:val="none"/>
          <w:lang w:val="en-US"/>
        </w:rPr>
      </w:pPr>
      <w:r>
        <w:rPr>
          <w:rFonts w:ascii="仿宋" w:eastAsia="仿宋"/>
          <w:color w:val="auto"/>
          <w:kern w:val="2"/>
          <w:sz w:val="28"/>
          <w:szCs w:val="28"/>
          <w:highlight w:val="none"/>
          <w:lang w:val="en-US"/>
        </w:rPr>
        <w:t>相关资格承诺函</w:t>
      </w:r>
    </w:p>
    <w:p w14:paraId="0116CCB6">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采购项目名称：</w:t>
      </w:r>
    </w:p>
    <w:p w14:paraId="4948CA4A">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采购项目编号：</w:t>
      </w:r>
    </w:p>
    <w:p w14:paraId="496DC2B9">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firstLine="0" w:firstLineChars="0"/>
        <w:textAlignment w:val="auto"/>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eastAsia="zh-CN"/>
        </w:rPr>
        <w:t>新疆驰珑信诚招标代理有限公司</w:t>
      </w:r>
      <w:r>
        <w:rPr>
          <w:rFonts w:ascii="仿宋" w:eastAsia="仿宋"/>
          <w:b w:val="0"/>
          <w:color w:val="auto"/>
          <w:kern w:val="2"/>
          <w:sz w:val="24"/>
          <w:szCs w:val="24"/>
          <w:highlight w:val="none"/>
          <w:lang w:val="en-US"/>
        </w:rPr>
        <w:t>：</w:t>
      </w:r>
    </w:p>
    <w:p w14:paraId="639FD4B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ascii="仿宋" w:eastAsia="仿宋" w:cs="仿宋"/>
          <w:b w:val="0"/>
          <w:color w:val="auto"/>
          <w:kern w:val="0"/>
          <w:sz w:val="24"/>
          <w:szCs w:val="24"/>
          <w:lang w:val="en-US" w:eastAsia="zh-CN" w:bidi="ar-SA"/>
        </w:rPr>
        <w:t>我方作为本次采购项目的</w:t>
      </w:r>
      <w:r>
        <w:rPr>
          <w:rFonts w:hint="eastAsia" w:ascii="仿宋" w:eastAsia="仿宋" w:cs="仿宋"/>
          <w:b w:val="0"/>
          <w:color w:val="auto"/>
          <w:kern w:val="0"/>
          <w:sz w:val="24"/>
          <w:szCs w:val="24"/>
          <w:lang w:val="en-US" w:eastAsia="zh-CN" w:bidi="ar-SA"/>
        </w:rPr>
        <w:t>投标人</w:t>
      </w:r>
      <w:r>
        <w:rPr>
          <w:rFonts w:ascii="仿宋" w:eastAsia="仿宋" w:cs="仿宋"/>
          <w:b w:val="0"/>
          <w:color w:val="auto"/>
          <w:kern w:val="0"/>
          <w:sz w:val="24"/>
          <w:szCs w:val="24"/>
          <w:lang w:val="en-US" w:eastAsia="zh-CN" w:bidi="ar-SA"/>
        </w:rPr>
        <w:t>，根据</w:t>
      </w:r>
      <w:r>
        <w:rPr>
          <w:rFonts w:hint="eastAsia" w:ascii="仿宋" w:eastAsia="仿宋" w:cs="仿宋"/>
          <w:b w:val="0"/>
          <w:color w:val="auto"/>
          <w:kern w:val="0"/>
          <w:sz w:val="24"/>
          <w:szCs w:val="24"/>
          <w:lang w:val="en-US" w:eastAsia="zh-CN" w:bidi="ar-SA"/>
        </w:rPr>
        <w:t>招标</w:t>
      </w:r>
      <w:r>
        <w:rPr>
          <w:rFonts w:ascii="仿宋" w:eastAsia="仿宋" w:cs="仿宋"/>
          <w:b w:val="0"/>
          <w:color w:val="auto"/>
          <w:kern w:val="0"/>
          <w:sz w:val="24"/>
          <w:szCs w:val="24"/>
          <w:lang w:val="en-US" w:eastAsia="zh-CN" w:bidi="ar-SA"/>
        </w:rPr>
        <w:t xml:space="preserve">文件要求，现郑重承诺如下： </w:t>
      </w:r>
    </w:p>
    <w:p w14:paraId="75B1444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一、具备《中华人民共和国政府采购法》第二十二条第一款规定中的下列条件： </w:t>
      </w:r>
    </w:p>
    <w:p w14:paraId="6E9BE51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（一）具有独立承担民事责任的能力； </w:t>
      </w:r>
    </w:p>
    <w:p w14:paraId="27D83F3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（二）具有良好的商业信誉和健全的财务会计制度； </w:t>
      </w:r>
    </w:p>
    <w:p w14:paraId="23AF34F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（三）具有履行合同所必需的设备和专业技术能力； </w:t>
      </w:r>
    </w:p>
    <w:p w14:paraId="46841C0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（四）有依法缴纳税收和社会保障资金的良好记录； </w:t>
      </w:r>
    </w:p>
    <w:p w14:paraId="0F31B45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（五）参加政府采购活动前三年内，在经营活动中没有重大违法记录； </w:t>
      </w:r>
    </w:p>
    <w:p w14:paraId="54AF47D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 xml:space="preserve">（六）法律、行政法规规定的其他条件。 </w:t>
      </w:r>
    </w:p>
    <w:p w14:paraId="2AA5CC6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cs="仿宋"/>
          <w:b w:val="0"/>
          <w:color w:val="auto"/>
          <w:kern w:val="0"/>
          <w:sz w:val="24"/>
          <w:szCs w:val="24"/>
          <w:lang w:val="en-US" w:eastAsia="zh-CN" w:bidi="ar-SA"/>
        </w:rPr>
      </w:pPr>
    </w:p>
    <w:p w14:paraId="6FE8C86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auto"/>
        <w:rPr>
          <w:color w:val="auto"/>
        </w:rPr>
      </w:pPr>
      <w:r>
        <w:rPr>
          <w:rFonts w:hint="eastAsia" w:ascii="仿宋" w:eastAsia="仿宋" w:cs="仿宋"/>
          <w:b w:val="0"/>
          <w:color w:val="auto"/>
          <w:kern w:val="0"/>
          <w:sz w:val="24"/>
          <w:szCs w:val="24"/>
          <w:lang w:val="en-US" w:eastAsia="zh-CN" w:bidi="ar-SA"/>
        </w:rPr>
        <w:t xml:space="preserve">我方对上述承诺的内容事项真实性负责。如经查实上述承诺的内容事项存在虚假，愿意接受以提供虚假材料谋取成交的法律责任。 </w:t>
      </w:r>
    </w:p>
    <w:p w14:paraId="4441913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cs="仿宋"/>
          <w:b w:val="0"/>
          <w:color w:val="auto"/>
          <w:kern w:val="0"/>
          <w:sz w:val="24"/>
          <w:szCs w:val="24"/>
          <w:lang w:val="en-US" w:eastAsia="zh-CN" w:bidi="ar-SA"/>
        </w:rPr>
      </w:pPr>
    </w:p>
    <w:p w14:paraId="62622FA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u w:val="single"/>
        </w:rPr>
      </w:pPr>
      <w:r>
        <w:rPr>
          <w:rFonts w:hint="eastAsia" w:ascii="仿宋" w:eastAsia="仿宋" w:cs="仿宋"/>
          <w:b w:val="0"/>
          <w:color w:val="auto"/>
          <w:kern w:val="0"/>
          <w:sz w:val="24"/>
          <w:szCs w:val="24"/>
          <w:lang w:val="en-US" w:eastAsia="zh-CN" w:bidi="ar-SA"/>
        </w:rPr>
        <w:t>投标人名称：</w:t>
      </w:r>
      <w:r>
        <w:rPr>
          <w:rFonts w:hint="eastAsia" w:ascii="仿宋" w:eastAsia="仿宋" w:cs="仿宋"/>
          <w:b w:val="0"/>
          <w:color w:val="auto"/>
          <w:kern w:val="0"/>
          <w:sz w:val="24"/>
          <w:szCs w:val="24"/>
          <w:u w:val="single"/>
          <w:lang w:val="en-US" w:eastAsia="zh-CN" w:bidi="ar-SA"/>
        </w:rPr>
        <w:t xml:space="preserve">                            </w:t>
      </w:r>
      <w:r>
        <w:rPr>
          <w:rFonts w:hint="eastAsia" w:ascii="仿宋" w:eastAsia="仿宋" w:cs="仿宋"/>
          <w:b w:val="0"/>
          <w:color w:val="auto"/>
          <w:kern w:val="0"/>
          <w:sz w:val="24"/>
          <w:szCs w:val="24"/>
          <w:u w:val="none"/>
          <w:lang w:val="en-US" w:eastAsia="zh-CN" w:bidi="ar-SA"/>
        </w:rPr>
        <w:t xml:space="preserve">（盖单位公章） </w:t>
      </w:r>
    </w:p>
    <w:p w14:paraId="00F60DE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color w:val="auto"/>
        </w:rPr>
      </w:pPr>
      <w:r>
        <w:rPr>
          <w:rFonts w:hint="eastAsia" w:ascii="仿宋" w:eastAsia="仿宋" w:cs="仿宋"/>
          <w:b w:val="0"/>
          <w:color w:val="auto"/>
          <w:kern w:val="0"/>
          <w:sz w:val="24"/>
          <w:szCs w:val="24"/>
          <w:lang w:val="en-US" w:eastAsia="zh-CN" w:bidi="ar-SA"/>
        </w:rPr>
        <w:t>法定代表人（主要负责人/经营者）或授权代表：</w:t>
      </w:r>
      <w:r>
        <w:rPr>
          <w:rFonts w:hint="eastAsia" w:ascii="仿宋" w:eastAsia="仿宋" w:cs="仿宋"/>
          <w:b w:val="0"/>
          <w:color w:val="auto"/>
          <w:kern w:val="0"/>
          <w:sz w:val="24"/>
          <w:szCs w:val="24"/>
          <w:u w:val="single"/>
          <w:lang w:val="en-US" w:eastAsia="zh-CN" w:bidi="ar-SA"/>
        </w:rPr>
        <w:t xml:space="preserve">           </w:t>
      </w:r>
      <w:r>
        <w:rPr>
          <w:rFonts w:hint="eastAsia" w:ascii="仿宋" w:eastAsia="仿宋" w:cs="仿宋"/>
          <w:b w:val="0"/>
          <w:color w:val="auto"/>
          <w:kern w:val="0"/>
          <w:sz w:val="24"/>
          <w:szCs w:val="24"/>
          <w:lang w:val="en-US" w:eastAsia="zh-CN" w:bidi="ar-SA"/>
        </w:rPr>
        <w:t xml:space="preserve">（签字或加盖印章） </w:t>
      </w:r>
    </w:p>
    <w:p w14:paraId="655EBA1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cs="仿宋"/>
          <w:b w:val="0"/>
          <w:color w:val="auto"/>
          <w:kern w:val="0"/>
          <w:sz w:val="24"/>
          <w:szCs w:val="24"/>
          <w:lang w:val="en-US" w:eastAsia="zh-CN" w:bidi="ar-SA"/>
        </w:rPr>
      </w:pPr>
      <w:r>
        <w:rPr>
          <w:rFonts w:hint="eastAsia" w:ascii="仿宋" w:eastAsia="仿宋" w:cs="仿宋"/>
          <w:b w:val="0"/>
          <w:color w:val="auto"/>
          <w:kern w:val="0"/>
          <w:sz w:val="24"/>
          <w:szCs w:val="24"/>
          <w:lang w:val="en-US" w:eastAsia="zh-CN" w:bidi="ar-SA"/>
        </w:rPr>
        <w:t>日 期：</w:t>
      </w:r>
      <w:r>
        <w:rPr>
          <w:rFonts w:hint="eastAsia" w:ascii="仿宋" w:eastAsia="仿宋" w:cs="仿宋"/>
          <w:b w:val="0"/>
          <w:color w:val="auto"/>
          <w:kern w:val="0"/>
          <w:sz w:val="24"/>
          <w:szCs w:val="24"/>
          <w:u w:val="single"/>
          <w:lang w:val="en-US" w:eastAsia="zh-CN" w:bidi="ar-SA"/>
        </w:rPr>
        <w:t xml:space="preserve">                       </w:t>
      </w:r>
    </w:p>
    <w:p w14:paraId="38C80BE4">
      <w:pPr>
        <w:pStyle w:val="34"/>
        <w:pageBreakBefore w:val="0"/>
        <w:widowControl w:val="0"/>
        <w:kinsoku/>
        <w:wordWrap/>
        <w:overflowPunct/>
        <w:topLinePunct w:val="0"/>
        <w:bidi w:val="0"/>
        <w:spacing w:beforeAutospacing="0" w:after="0" w:afterAutospacing="0" w:line="360" w:lineRule="auto"/>
        <w:ind w:left="0" w:leftChars="0" w:right="0" w:firstLine="0" w:firstLineChars="0"/>
        <w:jc w:val="left"/>
        <w:outlineLvl w:val="9"/>
        <w:rPr>
          <w:rFonts w:hint="eastAsia" w:ascii="仿宋" w:eastAsia="仿宋"/>
          <w:b/>
          <w:color w:val="auto"/>
          <w:sz w:val="21"/>
          <w:szCs w:val="21"/>
          <w:highlight w:val="none"/>
          <w:lang w:val="en-US"/>
        </w:rPr>
      </w:pPr>
      <w:r>
        <w:rPr>
          <w:rFonts w:hint="eastAsia" w:ascii="仿宋" w:eastAsia="仿宋"/>
          <w:b/>
          <w:color w:val="auto"/>
          <w:sz w:val="21"/>
          <w:szCs w:val="21"/>
          <w:highlight w:val="none"/>
          <w:lang w:val="en-US"/>
        </w:rPr>
        <w:br w:type="page"/>
      </w:r>
      <w:r>
        <w:rPr>
          <w:rFonts w:hint="eastAsia" w:eastAsia="宋体" w:cs="Times New Roman"/>
          <w:b/>
          <w:bCs/>
          <w:sz w:val="28"/>
          <w:szCs w:val="28"/>
          <w:lang w:val="en-US" w:eastAsia="zh-CN"/>
        </w:rPr>
        <w:t>格式二：</w:t>
      </w:r>
    </w:p>
    <w:p w14:paraId="7C917314">
      <w:pPr>
        <w:pStyle w:val="34"/>
        <w:pageBreakBefore w:val="0"/>
        <w:widowControl w:val="0"/>
        <w:kinsoku/>
        <w:wordWrap/>
        <w:overflowPunct/>
        <w:topLinePunct w:val="0"/>
        <w:bidi w:val="0"/>
        <w:spacing w:beforeAutospacing="0" w:after="0" w:afterAutospacing="0" w:line="360" w:lineRule="auto"/>
        <w:ind w:left="0" w:leftChars="0" w:right="0" w:firstLine="0" w:firstLineChars="0"/>
        <w:jc w:val="center"/>
        <w:outlineLvl w:val="9"/>
        <w:rPr>
          <w:rFonts w:hint="eastAsia" w:ascii="仿宋" w:eastAsia="仿宋"/>
          <w:b/>
          <w:color w:val="auto"/>
          <w:sz w:val="21"/>
          <w:szCs w:val="21"/>
          <w:highlight w:val="none"/>
          <w:lang w:val="en-US"/>
        </w:rPr>
      </w:pPr>
    </w:p>
    <w:p w14:paraId="73ED4C6D">
      <w:pPr>
        <w:pStyle w:val="34"/>
        <w:pageBreakBefore w:val="0"/>
        <w:widowControl w:val="0"/>
        <w:kinsoku/>
        <w:wordWrap/>
        <w:overflowPunct/>
        <w:topLinePunct w:val="0"/>
        <w:bidi w:val="0"/>
        <w:spacing w:beforeAutospacing="0" w:after="0" w:afterAutospacing="0" w:line="360" w:lineRule="auto"/>
        <w:ind w:left="0" w:leftChars="0" w:right="0" w:firstLine="0" w:firstLineChars="0"/>
        <w:jc w:val="center"/>
        <w:outlineLvl w:val="9"/>
      </w:pPr>
      <w:r>
        <w:rPr>
          <w:rFonts w:hint="eastAsia" w:ascii="仿宋" w:eastAsia="仿宋" w:cs="Times New Roman"/>
          <w:b/>
          <w:color w:val="auto"/>
          <w:kern w:val="2"/>
          <w:sz w:val="28"/>
          <w:szCs w:val="28"/>
          <w:highlight w:val="none"/>
          <w:lang w:val="en-US" w:eastAsia="zh-CN" w:bidi="ar-SA"/>
        </w:rPr>
        <w:t>1.</w:t>
      </w:r>
      <w:r>
        <w:rPr>
          <w:rFonts w:ascii="仿宋" w:eastAsia="仿宋" w:cs="Times New Roman"/>
          <w:b/>
          <w:color w:val="auto"/>
          <w:kern w:val="2"/>
          <w:sz w:val="28"/>
          <w:szCs w:val="28"/>
          <w:highlight w:val="none"/>
          <w:lang w:val="en-US" w:eastAsia="zh-CN" w:bidi="ar-SA"/>
        </w:rPr>
        <w:t>法定代表人（主要负责人/经营者）</w:t>
      </w:r>
      <w:r>
        <w:rPr>
          <w:rFonts w:hint="eastAsia" w:ascii="仿宋" w:eastAsia="仿宋" w:cs="Times New Roman"/>
          <w:b/>
          <w:color w:val="auto"/>
          <w:kern w:val="2"/>
          <w:sz w:val="28"/>
          <w:szCs w:val="28"/>
          <w:highlight w:val="none"/>
          <w:lang w:val="en-US" w:eastAsia="zh-CN" w:bidi="ar-SA"/>
        </w:rPr>
        <w:t>身份</w:t>
      </w:r>
      <w:r>
        <w:rPr>
          <w:rFonts w:ascii="仿宋" w:eastAsia="仿宋" w:cs="Times New Roman"/>
          <w:b/>
          <w:color w:val="auto"/>
          <w:kern w:val="2"/>
          <w:sz w:val="28"/>
          <w:szCs w:val="28"/>
          <w:highlight w:val="none"/>
          <w:lang w:val="en-US" w:eastAsia="zh-CN" w:bidi="ar-SA"/>
        </w:rPr>
        <w:t>证明书</w:t>
      </w:r>
    </w:p>
    <w:p w14:paraId="6B489974">
      <w:pPr>
        <w:pStyle w:val="564"/>
        <w:ind w:firstLine="480"/>
        <w:rPr>
          <w:rFonts w:ascii="仿宋" w:eastAsia="仿宋" w:cs="仿宋"/>
          <w:b w:val="0"/>
          <w:color w:val="auto"/>
          <w:kern w:val="0"/>
          <w:sz w:val="24"/>
          <w:szCs w:val="24"/>
          <w:lang w:val="en-US" w:eastAsia="zh-CN" w:bidi="ar-SA"/>
        </w:rPr>
      </w:pPr>
    </w:p>
    <w:p w14:paraId="7FC9135A">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r>
        <w:rPr>
          <w:rFonts w:hint="eastAsia" w:ascii="仿宋" w:eastAsia="仿宋" w:cs="仿宋"/>
          <w:b w:val="0"/>
          <w:bCs w:val="0"/>
          <w:color w:val="auto"/>
          <w:kern w:val="0"/>
          <w:sz w:val="24"/>
          <w:szCs w:val="24"/>
        </w:rPr>
        <w:t>（</w:t>
      </w:r>
      <w:r>
        <w:rPr>
          <w:rFonts w:hint="eastAsia" w:ascii="仿宋" w:eastAsia="仿宋" w:cs="仿宋"/>
          <w:b w:val="0"/>
          <w:bCs w:val="0"/>
          <w:color w:val="auto"/>
          <w:kern w:val="0"/>
          <w:sz w:val="24"/>
          <w:szCs w:val="24"/>
          <w:lang w:val="en-US" w:eastAsia="zh-CN"/>
        </w:rPr>
        <w:t>投标人</w:t>
      </w:r>
      <w:r>
        <w:rPr>
          <w:rFonts w:hint="eastAsia" w:ascii="仿宋" w:eastAsia="仿宋" w:cs="仿宋"/>
          <w:b w:val="0"/>
          <w:bCs w:val="0"/>
          <w:color w:val="auto"/>
          <w:kern w:val="0"/>
          <w:sz w:val="24"/>
          <w:szCs w:val="24"/>
        </w:rPr>
        <w:t>名称）：</w:t>
      </w:r>
      <w:r>
        <w:rPr>
          <w:rFonts w:hint="eastAsia" w:ascii="仿宋" w:eastAsia="仿宋" w:cs="仿宋"/>
          <w:b w:val="0"/>
          <w:bCs w:val="0"/>
          <w:color w:val="auto"/>
          <w:kern w:val="0"/>
          <w:sz w:val="24"/>
          <w:szCs w:val="24"/>
          <w:u w:val="single"/>
        </w:rPr>
        <w:t>　　　　　　　　　　　　</w:t>
      </w:r>
    </w:p>
    <w:p w14:paraId="06D4514E">
      <w:pPr>
        <w:widowControl/>
        <w:wordWrap w:val="0"/>
        <w:overflowPunct w:val="0"/>
        <w:spacing w:before="0" w:after="0" w:line="360" w:lineRule="auto"/>
        <w:ind w:firstLine="480" w:firstLineChars="200"/>
        <w:jc w:val="left"/>
        <w:rPr>
          <w:rFonts w:ascii="仿宋" w:eastAsia="仿宋" w:cs="仿宋"/>
          <w:b w:val="0"/>
          <w:bCs w:val="0"/>
          <w:color w:val="auto"/>
          <w:kern w:val="0"/>
          <w:sz w:val="24"/>
          <w:szCs w:val="24"/>
          <w:lang w:val="en-US" w:eastAsia="zh-CN"/>
        </w:rPr>
      </w:pPr>
      <w:r>
        <w:rPr>
          <w:rFonts w:hint="eastAsia" w:ascii="仿宋" w:eastAsia="仿宋" w:cs="仿宋"/>
          <w:b w:val="0"/>
          <w:bCs w:val="0"/>
          <w:color w:val="auto"/>
          <w:kern w:val="0"/>
          <w:sz w:val="24"/>
          <w:szCs w:val="24"/>
        </w:rPr>
        <w:t>姓名：</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rPr>
        <w:t>性别：</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r>
        <w:rPr>
          <w:rFonts w:hint="eastAsia" w:ascii="仿宋" w:eastAsia="仿宋" w:cs="仿宋"/>
          <w:b w:val="0"/>
          <w:bCs w:val="0"/>
          <w:color w:val="auto"/>
          <w:kern w:val="0"/>
          <w:sz w:val="24"/>
          <w:szCs w:val="24"/>
        </w:rPr>
        <w:t>年龄：</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r>
        <w:rPr>
          <w:rFonts w:hint="eastAsia" w:ascii="仿宋" w:eastAsia="仿宋" w:cs="仿宋"/>
          <w:b w:val="0"/>
          <w:bCs w:val="0"/>
          <w:color w:val="auto"/>
          <w:kern w:val="0"/>
          <w:sz w:val="24"/>
          <w:szCs w:val="24"/>
        </w:rPr>
        <w:t>职务：</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p>
    <w:p w14:paraId="352F3C74">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r>
        <w:rPr>
          <w:rFonts w:hint="eastAsia" w:ascii="仿宋" w:eastAsia="仿宋" w:cs="仿宋"/>
          <w:b w:val="0"/>
          <w:bCs w:val="0"/>
          <w:color w:val="auto"/>
          <w:kern w:val="0"/>
          <w:sz w:val="24"/>
          <w:szCs w:val="24"/>
        </w:rPr>
        <w:t>系</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rPr>
        <w:t>（</w:t>
      </w:r>
      <w:r>
        <w:rPr>
          <w:rFonts w:hint="eastAsia" w:ascii="仿宋" w:eastAsia="仿宋" w:cs="仿宋"/>
          <w:b w:val="0"/>
          <w:bCs w:val="0"/>
          <w:color w:val="auto"/>
          <w:kern w:val="0"/>
          <w:sz w:val="24"/>
          <w:szCs w:val="24"/>
          <w:lang w:val="en-US" w:eastAsia="zh-CN"/>
        </w:rPr>
        <w:t>投标人</w:t>
      </w:r>
      <w:r>
        <w:rPr>
          <w:rFonts w:hint="eastAsia" w:ascii="仿宋" w:eastAsia="仿宋" w:cs="仿宋"/>
          <w:b w:val="0"/>
          <w:bCs w:val="0"/>
          <w:color w:val="auto"/>
          <w:kern w:val="0"/>
          <w:sz w:val="24"/>
          <w:szCs w:val="24"/>
        </w:rPr>
        <w:t>名称）的法定代表人（单位负责人）。</w:t>
      </w:r>
    </w:p>
    <w:p w14:paraId="2E4849A6">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r>
        <w:rPr>
          <w:rFonts w:hint="eastAsia" w:ascii="仿宋" w:eastAsia="仿宋" w:cs="仿宋"/>
          <w:b w:val="0"/>
          <w:bCs w:val="0"/>
          <w:color w:val="auto"/>
          <w:kern w:val="0"/>
          <w:sz w:val="24"/>
          <w:szCs w:val="24"/>
        </w:rPr>
        <w:t>特此证明。</w:t>
      </w:r>
    </w:p>
    <w:p w14:paraId="3A6B2627">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p>
    <w:p w14:paraId="6E8CD056">
      <w:pPr>
        <w:widowControl/>
        <w:wordWrap w:val="0"/>
        <w:overflowPunct w:val="0"/>
        <w:spacing w:before="0" w:after="0" w:line="360" w:lineRule="auto"/>
        <w:ind w:firstLine="482" w:firstLineChars="200"/>
        <w:jc w:val="left"/>
        <w:rPr>
          <w:rFonts w:hint="eastAsia" w:ascii="仿宋" w:eastAsia="仿宋" w:cs="仿宋"/>
          <w:b/>
          <w:bCs/>
          <w:color w:val="auto"/>
          <w:kern w:val="0"/>
          <w:sz w:val="24"/>
          <w:szCs w:val="24"/>
        </w:rPr>
      </w:pPr>
      <w:r>
        <w:rPr>
          <w:rFonts w:hint="eastAsia" w:ascii="仿宋" w:eastAsia="仿宋" w:cs="仿宋"/>
          <w:b/>
          <w:bCs/>
          <w:color w:val="auto"/>
          <w:kern w:val="0"/>
          <w:sz w:val="24"/>
          <w:szCs w:val="24"/>
          <w:u w:val="double"/>
        </w:rPr>
        <w:t>附：法定代表人</w:t>
      </w:r>
      <w:r>
        <w:rPr>
          <w:rFonts w:hint="eastAsia" w:ascii="仿宋" w:eastAsia="仿宋" w:cs="仿宋"/>
          <w:b/>
          <w:bCs/>
          <w:color w:val="auto"/>
          <w:kern w:val="0"/>
          <w:sz w:val="24"/>
          <w:szCs w:val="24"/>
          <w:u w:val="double"/>
          <w:lang w:val="en-US" w:eastAsia="zh-CN"/>
        </w:rPr>
        <w:t>（主要负责人/经营者）</w:t>
      </w:r>
      <w:r>
        <w:rPr>
          <w:rFonts w:hint="eastAsia" w:ascii="仿宋" w:eastAsia="仿宋" w:cs="仿宋"/>
          <w:b/>
          <w:bCs/>
          <w:color w:val="auto"/>
          <w:kern w:val="0"/>
          <w:sz w:val="24"/>
          <w:szCs w:val="24"/>
          <w:u w:val="double"/>
        </w:rPr>
        <w:t>身份证复印件（正反面）</w:t>
      </w:r>
      <w:r>
        <w:rPr>
          <w:rFonts w:hint="eastAsia" w:ascii="仿宋" w:eastAsia="仿宋" w:cs="仿宋"/>
          <w:b/>
          <w:bCs/>
          <w:color w:val="auto"/>
          <w:kern w:val="0"/>
          <w:sz w:val="24"/>
          <w:szCs w:val="24"/>
        </w:rPr>
        <w:t>。</w:t>
      </w:r>
    </w:p>
    <w:p w14:paraId="2A6AB9BA">
      <w:pPr>
        <w:widowControl/>
        <w:wordWrap w:val="0"/>
        <w:overflowPunct w:val="0"/>
        <w:spacing w:before="120" w:after="120" w:line="360" w:lineRule="auto"/>
        <w:ind w:firstLine="480" w:firstLineChars="200"/>
        <w:jc w:val="right"/>
        <w:rPr>
          <w:rFonts w:hint="eastAsia" w:ascii="仿宋" w:eastAsia="仿宋" w:cs="仿宋"/>
          <w:b w:val="0"/>
          <w:bCs w:val="0"/>
          <w:color w:val="auto"/>
          <w:kern w:val="0"/>
          <w:sz w:val="24"/>
          <w:szCs w:val="24"/>
        </w:rPr>
      </w:pPr>
    </w:p>
    <w:p w14:paraId="00EFD31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cs="仿宋"/>
          <w:b w:val="0"/>
          <w:color w:val="auto"/>
          <w:kern w:val="0"/>
          <w:sz w:val="24"/>
          <w:szCs w:val="24"/>
          <w:lang w:val="en-US" w:eastAsia="zh-CN" w:bidi="ar-SA"/>
        </w:rPr>
      </w:pPr>
    </w:p>
    <w:p w14:paraId="28C0A4E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left"/>
        <w:textAlignment w:val="auto"/>
        <w:rPr>
          <w:color w:val="auto"/>
          <w:u w:val="single"/>
        </w:rPr>
      </w:pPr>
      <w:r>
        <w:rPr>
          <w:rFonts w:hint="eastAsia" w:ascii="仿宋" w:eastAsia="仿宋" w:cs="仿宋"/>
          <w:b w:val="0"/>
          <w:color w:val="auto"/>
          <w:kern w:val="0"/>
          <w:sz w:val="24"/>
          <w:szCs w:val="24"/>
          <w:lang w:val="en-US" w:eastAsia="zh-CN" w:bidi="ar-SA"/>
        </w:rPr>
        <w:t>投标人名称：</w:t>
      </w:r>
      <w:r>
        <w:rPr>
          <w:rFonts w:hint="eastAsia" w:ascii="仿宋" w:eastAsia="仿宋" w:cs="仿宋"/>
          <w:b w:val="0"/>
          <w:color w:val="auto"/>
          <w:kern w:val="0"/>
          <w:sz w:val="24"/>
          <w:szCs w:val="24"/>
          <w:u w:val="single"/>
          <w:lang w:val="en-US" w:eastAsia="zh-CN" w:bidi="ar-SA"/>
        </w:rPr>
        <w:t xml:space="preserve">                 </w:t>
      </w:r>
      <w:r>
        <w:rPr>
          <w:rFonts w:hint="eastAsia" w:ascii="仿宋" w:eastAsia="仿宋" w:cs="仿宋"/>
          <w:b w:val="0"/>
          <w:color w:val="auto"/>
          <w:kern w:val="0"/>
          <w:sz w:val="24"/>
          <w:szCs w:val="24"/>
          <w:u w:val="none"/>
          <w:lang w:val="en-US" w:eastAsia="zh-CN" w:bidi="ar-SA"/>
        </w:rPr>
        <w:t>（盖单位公章）</w:t>
      </w:r>
    </w:p>
    <w:p w14:paraId="077A2A74">
      <w:pPr>
        <w:widowControl/>
        <w:wordWrap/>
        <w:overflowPunct w:val="0"/>
        <w:spacing w:before="120" w:after="120" w:line="240" w:lineRule="auto"/>
        <w:ind w:firstLine="480" w:firstLineChars="200"/>
        <w:jc w:val="left"/>
        <w:rPr>
          <w:rFonts w:ascii="宋体" w:eastAsia="宋体"/>
          <w:kern w:val="0"/>
          <w:sz w:val="24"/>
          <w:szCs w:val="24"/>
        </w:rPr>
      </w:pPr>
      <w:r>
        <w:rPr>
          <w:rFonts w:hint="eastAsia" w:ascii="仿宋" w:eastAsia="仿宋" w:cs="仿宋"/>
          <w:b w:val="0"/>
          <w:color w:val="auto"/>
          <w:kern w:val="0"/>
          <w:sz w:val="24"/>
          <w:szCs w:val="24"/>
          <w:lang w:val="en-US" w:eastAsia="zh-CN" w:bidi="ar-SA"/>
        </w:rPr>
        <w:t>日 期：</w:t>
      </w:r>
      <w:r>
        <w:rPr>
          <w:rFonts w:hint="eastAsia" w:ascii="仿宋" w:eastAsia="仿宋" w:cs="仿宋"/>
          <w:b w:val="0"/>
          <w:color w:val="auto"/>
          <w:kern w:val="0"/>
          <w:sz w:val="24"/>
          <w:szCs w:val="24"/>
          <w:u w:val="single"/>
          <w:lang w:val="en-US" w:eastAsia="zh-CN" w:bidi="ar-SA"/>
        </w:rPr>
        <w:t xml:space="preserve">                                   </w:t>
      </w:r>
    </w:p>
    <w:p w14:paraId="6F285DF7">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left"/>
        <w:outlineLvl w:val="9"/>
        <w:rPr>
          <w:rFonts w:ascii="仿宋" w:eastAsia="仿宋" w:cs="仿宋"/>
          <w:b/>
          <w:bCs/>
          <w:color w:val="000000"/>
          <w:kern w:val="0"/>
          <w:sz w:val="31"/>
          <w:szCs w:val="31"/>
          <w:lang w:val="en-US" w:eastAsia="zh-CN" w:bidi="ar-SA"/>
        </w:rPr>
      </w:pPr>
      <w:r>
        <w:rPr>
          <w:rFonts w:ascii="仿宋" w:eastAsia="仿宋" w:cs="仿宋"/>
          <w:b/>
          <w:bCs/>
          <w:color w:val="000000"/>
          <w:kern w:val="0"/>
          <w:sz w:val="31"/>
          <w:szCs w:val="31"/>
          <w:lang w:val="en-US" w:eastAsia="zh-CN" w:bidi="ar-SA"/>
        </w:rPr>
        <w:br w:type="page"/>
      </w:r>
      <w:r>
        <w:rPr>
          <w:rFonts w:hint="eastAsia" w:eastAsia="宋体" w:cs="Times New Roman"/>
          <w:b/>
          <w:bCs/>
          <w:sz w:val="28"/>
          <w:szCs w:val="28"/>
          <w:lang w:val="en-US" w:eastAsia="zh-CN"/>
        </w:rPr>
        <w:t>格式三：</w:t>
      </w:r>
    </w:p>
    <w:p w14:paraId="036C2222">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center"/>
        <w:outlineLvl w:val="9"/>
        <w:rPr>
          <w:rFonts w:ascii="仿宋" w:eastAsia="仿宋" w:cs="仿宋"/>
          <w:b/>
          <w:bCs/>
          <w:color w:val="000000"/>
          <w:kern w:val="0"/>
          <w:sz w:val="31"/>
          <w:szCs w:val="31"/>
          <w:lang w:val="en-US" w:eastAsia="zh-CN" w:bidi="ar-SA"/>
        </w:rPr>
      </w:pPr>
    </w:p>
    <w:p w14:paraId="7AEFF66F">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center"/>
        <w:outlineLvl w:val="9"/>
        <w:rPr>
          <w:rFonts w:ascii="仿宋" w:eastAsia="仿宋" w:cs="Times New Roman"/>
          <w:b/>
          <w:color w:val="auto"/>
          <w:kern w:val="2"/>
          <w:sz w:val="28"/>
          <w:szCs w:val="28"/>
          <w:highlight w:val="none"/>
          <w:lang w:val="en-US" w:eastAsia="zh-CN" w:bidi="ar-SA"/>
        </w:rPr>
      </w:pPr>
      <w:r>
        <w:rPr>
          <w:rFonts w:hint="eastAsia" w:ascii="仿宋" w:eastAsia="仿宋" w:cs="Times New Roman"/>
          <w:b/>
          <w:color w:val="auto"/>
          <w:kern w:val="2"/>
          <w:sz w:val="28"/>
          <w:szCs w:val="28"/>
          <w:highlight w:val="none"/>
          <w:lang w:val="en-US" w:eastAsia="zh-CN" w:bidi="ar-SA"/>
        </w:rPr>
        <w:t>2.</w:t>
      </w:r>
      <w:r>
        <w:rPr>
          <w:rFonts w:ascii="仿宋" w:eastAsia="仿宋" w:cs="Times New Roman"/>
          <w:b/>
          <w:color w:val="auto"/>
          <w:kern w:val="2"/>
          <w:sz w:val="28"/>
          <w:szCs w:val="28"/>
          <w:highlight w:val="none"/>
          <w:lang w:val="en-US" w:eastAsia="zh-CN" w:bidi="ar-SA"/>
        </w:rPr>
        <w:t>法定代表人（主要负责人/经营者）授权委托书</w:t>
      </w:r>
    </w:p>
    <w:p w14:paraId="7868DF54">
      <w:pPr>
        <w:keepNext w:val="0"/>
        <w:keepLines w:val="0"/>
        <w:pageBreakBefore w:val="0"/>
        <w:widowControl/>
        <w:suppressLineNumbers w:val="0"/>
        <w:kinsoku/>
        <w:wordWrap/>
        <w:overflowPunct/>
        <w:topLinePunct w:val="0"/>
        <w:bidi w:val="0"/>
        <w:spacing w:beforeAutospacing="0" w:afterAutospacing="0" w:line="360" w:lineRule="auto"/>
        <w:ind w:left="0" w:right="0"/>
        <w:jc w:val="center"/>
        <w:rPr>
          <w:rFonts w:hint="eastAsia" w:ascii="仿宋" w:eastAsia="仿宋"/>
          <w:b w:val="0"/>
          <w:bCs/>
          <w:color w:val="auto"/>
          <w:sz w:val="24"/>
          <w:szCs w:val="24"/>
          <w:highlight w:val="none"/>
          <w:lang w:eastAsia="zh-CN"/>
        </w:rPr>
      </w:pPr>
      <w:r>
        <w:rPr>
          <w:rFonts w:hint="eastAsia" w:ascii="仿宋" w:eastAsia="仿宋" w:cs="Times New Roman"/>
          <w:b/>
          <w:color w:val="auto"/>
          <w:kern w:val="2"/>
          <w:sz w:val="28"/>
          <w:szCs w:val="28"/>
          <w:highlight w:val="none"/>
          <w:lang w:val="en-US" w:eastAsia="zh-CN" w:bidi="ar-SA"/>
        </w:rPr>
        <w:t>（适用于有委托代理人的情况）</w:t>
      </w:r>
    </w:p>
    <w:p w14:paraId="496C6482">
      <w:pPr>
        <w:pageBreakBefore w:val="0"/>
        <w:widowControl w:val="0"/>
        <w:kinsoku/>
        <w:wordWrap/>
        <w:overflowPunct/>
        <w:topLinePunct w:val="0"/>
        <w:bidi w:val="0"/>
        <w:spacing w:beforeAutospacing="0" w:afterAutospacing="0" w:line="360" w:lineRule="auto"/>
        <w:ind w:left="0" w:right="0" w:firstLine="0" w:firstLineChars="0"/>
        <w:jc w:val="left"/>
        <w:rPr>
          <w:rFonts w:hint="eastAsia" w:ascii="仿宋" w:eastAsia="仿宋"/>
          <w:b w:val="0"/>
          <w:bCs/>
          <w:color w:val="auto"/>
          <w:sz w:val="24"/>
          <w:szCs w:val="24"/>
          <w:highlight w:val="none"/>
          <w:lang w:eastAsia="zh-CN"/>
        </w:rPr>
      </w:pPr>
    </w:p>
    <w:p w14:paraId="353B5558">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本人</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（姓名）系</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w:t>
      </w:r>
      <w:r>
        <w:rPr>
          <w:rFonts w:hint="eastAsia" w:ascii="仿宋" w:eastAsia="仿宋" w:cs="仿宋"/>
          <w:b w:val="0"/>
          <w:bCs/>
          <w:color w:val="auto"/>
          <w:kern w:val="0"/>
          <w:sz w:val="24"/>
          <w:szCs w:val="24"/>
          <w:lang w:val="en-US" w:eastAsia="zh-CN"/>
        </w:rPr>
        <w:t>投标人</w:t>
      </w:r>
      <w:r>
        <w:rPr>
          <w:rFonts w:hint="eastAsia" w:ascii="仿宋" w:eastAsia="仿宋" w:cs="仿宋"/>
          <w:b w:val="0"/>
          <w:bCs/>
          <w:color w:val="auto"/>
          <w:kern w:val="0"/>
          <w:sz w:val="24"/>
          <w:szCs w:val="24"/>
        </w:rPr>
        <w:t>名称）的法定代表人</w:t>
      </w:r>
      <w:r>
        <w:rPr>
          <w:rFonts w:hint="eastAsia" w:ascii="仿宋" w:eastAsia="仿宋" w:cs="仿宋"/>
          <w:b w:val="0"/>
          <w:color w:val="auto"/>
          <w:kern w:val="0"/>
          <w:sz w:val="24"/>
          <w:szCs w:val="24"/>
          <w:lang w:val="en-US" w:eastAsia="zh-CN" w:bidi="ar-SA"/>
        </w:rPr>
        <w:t>（主要负责人/经营者）</w:t>
      </w:r>
      <w:r>
        <w:rPr>
          <w:rFonts w:hint="eastAsia" w:ascii="仿宋" w:eastAsia="仿宋" w:cs="仿宋"/>
          <w:b w:val="0"/>
          <w:bCs/>
          <w:color w:val="auto"/>
          <w:kern w:val="0"/>
          <w:sz w:val="24"/>
          <w:szCs w:val="24"/>
        </w:rPr>
        <w:t>，现委托</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（姓名）为我方代理人。代理人根据授权，以我方名义签署、澄清确认、递交、撤回、修改</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（项目名称）</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none"/>
          <w:lang w:val="en-US" w:eastAsia="zh-CN"/>
        </w:rPr>
        <w:t>（项目编号）</w:t>
      </w:r>
      <w:r>
        <w:rPr>
          <w:rFonts w:hint="eastAsia" w:ascii="仿宋" w:eastAsia="仿宋" w:cs="仿宋"/>
          <w:b w:val="0"/>
          <w:bCs/>
          <w:color w:val="auto"/>
          <w:kern w:val="0"/>
          <w:sz w:val="24"/>
          <w:szCs w:val="24"/>
          <w:lang w:val="en-US" w:eastAsia="zh-CN"/>
        </w:rPr>
        <w:t>投标</w:t>
      </w:r>
      <w:r>
        <w:rPr>
          <w:rFonts w:hint="eastAsia" w:ascii="仿宋" w:eastAsia="仿宋" w:cs="仿宋"/>
          <w:b w:val="0"/>
          <w:bCs/>
          <w:color w:val="auto"/>
          <w:kern w:val="0"/>
          <w:sz w:val="24"/>
          <w:szCs w:val="24"/>
        </w:rPr>
        <w:t>文件、签订合同和处理有关事宜，其法律后果由我方承担。</w:t>
      </w:r>
    </w:p>
    <w:p w14:paraId="7FF673B9">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委托期限：</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w:t>
      </w:r>
    </w:p>
    <w:p w14:paraId="209EEEBD">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代理人无转委托权。</w:t>
      </w:r>
    </w:p>
    <w:p w14:paraId="04CDAD7F">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p>
    <w:p w14:paraId="41F4A297">
      <w:pPr>
        <w:widowControl/>
        <w:wordWrap w:val="0"/>
        <w:overflowPunct w:val="0"/>
        <w:spacing w:before="0" w:after="0" w:line="360" w:lineRule="auto"/>
        <w:ind w:firstLine="482" w:firstLineChars="200"/>
        <w:jc w:val="left"/>
        <w:rPr>
          <w:rFonts w:hint="eastAsia" w:ascii="仿宋" w:eastAsia="仿宋" w:cs="仿宋"/>
          <w:b/>
          <w:bCs w:val="0"/>
          <w:color w:val="auto"/>
          <w:kern w:val="0"/>
          <w:sz w:val="24"/>
          <w:szCs w:val="24"/>
          <w:u w:val="double"/>
        </w:rPr>
      </w:pPr>
      <w:r>
        <w:rPr>
          <w:rFonts w:hint="eastAsia" w:ascii="仿宋" w:eastAsia="仿宋" w:cs="仿宋"/>
          <w:b/>
          <w:bCs w:val="0"/>
          <w:color w:val="auto"/>
          <w:kern w:val="0"/>
          <w:sz w:val="24"/>
          <w:szCs w:val="24"/>
          <w:u w:val="double"/>
        </w:rPr>
        <w:t>附：法定代表人（单位负责人）身份证复印件（正反面）和委托代理人身份证复印件（正反面）。</w:t>
      </w:r>
    </w:p>
    <w:p w14:paraId="561E4FC2">
      <w:pPr>
        <w:widowControl/>
        <w:wordWrap w:val="0"/>
        <w:overflowPunct w:val="0"/>
        <w:spacing w:before="0" w:after="0" w:line="360" w:lineRule="auto"/>
        <w:ind w:firstLine="482" w:firstLineChars="200"/>
        <w:jc w:val="left"/>
        <w:rPr>
          <w:rFonts w:hint="eastAsia" w:ascii="仿宋" w:eastAsia="仿宋" w:cs="仿宋"/>
          <w:b w:val="0"/>
          <w:bCs/>
          <w:color w:val="auto"/>
          <w:kern w:val="0"/>
          <w:sz w:val="24"/>
          <w:szCs w:val="24"/>
          <w:u w:val="double"/>
        </w:rPr>
      </w:pPr>
      <w:r>
        <w:rPr>
          <w:rFonts w:hint="eastAsia" w:ascii="仿宋" w:eastAsia="仿宋" w:cs="仿宋"/>
          <w:b/>
          <w:bCs w:val="0"/>
          <w:color w:val="auto"/>
          <w:kern w:val="0"/>
          <w:sz w:val="24"/>
          <w:szCs w:val="24"/>
          <w:u w:val="double"/>
        </w:rPr>
        <w:t>注：本授权委托书需同时由委托代理人签字或印章，</w:t>
      </w:r>
      <w:r>
        <w:rPr>
          <w:rFonts w:hint="eastAsia" w:ascii="仿宋" w:eastAsia="仿宋" w:cs="仿宋"/>
          <w:b/>
          <w:bCs w:val="0"/>
          <w:color w:val="auto"/>
          <w:kern w:val="0"/>
          <w:sz w:val="24"/>
          <w:szCs w:val="24"/>
          <w:u w:val="double"/>
          <w:lang w:val="en-US" w:eastAsia="zh-CN"/>
        </w:rPr>
        <w:t>投标人</w:t>
      </w:r>
      <w:r>
        <w:rPr>
          <w:rFonts w:hint="eastAsia" w:ascii="仿宋" w:eastAsia="仿宋" w:cs="仿宋"/>
          <w:b/>
          <w:bCs w:val="0"/>
          <w:color w:val="auto"/>
          <w:kern w:val="0"/>
          <w:sz w:val="24"/>
          <w:szCs w:val="24"/>
          <w:u w:val="double"/>
        </w:rPr>
        <w:t>加盖公司公章或由其法定代表人（单位负责人）签字或印章。</w:t>
      </w:r>
    </w:p>
    <w:p w14:paraId="1AEC7A87">
      <w:pPr>
        <w:widowControl/>
        <w:wordWrap/>
        <w:overflowPunct w:val="0"/>
        <w:spacing w:before="120" w:after="120" w:line="360" w:lineRule="auto"/>
        <w:ind w:firstLine="480" w:firstLineChars="200"/>
        <w:jc w:val="left"/>
        <w:rPr>
          <w:rFonts w:hint="eastAsia" w:ascii="仿宋" w:eastAsia="仿宋" w:cs="仿宋"/>
          <w:b w:val="0"/>
          <w:color w:val="auto"/>
          <w:kern w:val="0"/>
          <w:sz w:val="24"/>
          <w:szCs w:val="24"/>
          <w:lang w:val="en-US" w:eastAsia="zh-CN" w:bidi="ar-SA"/>
        </w:rPr>
      </w:pPr>
    </w:p>
    <w:p w14:paraId="4CFDA2D0">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color w:val="auto"/>
          <w:kern w:val="0"/>
          <w:sz w:val="24"/>
          <w:szCs w:val="24"/>
          <w:lang w:val="en-US" w:eastAsia="zh-CN" w:bidi="ar-SA"/>
        </w:rPr>
        <w:t>投标人名称：</w:t>
      </w:r>
      <w:r>
        <w:rPr>
          <w:rFonts w:hint="eastAsia" w:ascii="仿宋" w:eastAsia="仿宋" w:cs="仿宋"/>
          <w:b w:val="0"/>
          <w:color w:val="auto"/>
          <w:kern w:val="0"/>
          <w:sz w:val="24"/>
          <w:szCs w:val="24"/>
          <w:u w:val="single"/>
          <w:lang w:val="en-US" w:eastAsia="zh-CN" w:bidi="ar-SA"/>
        </w:rPr>
        <w:t xml:space="preserve">                                  </w:t>
      </w:r>
      <w:r>
        <w:rPr>
          <w:rFonts w:hint="eastAsia" w:ascii="仿宋" w:eastAsia="仿宋" w:cs="仿宋"/>
          <w:b w:val="0"/>
          <w:color w:val="auto"/>
          <w:kern w:val="0"/>
          <w:sz w:val="24"/>
          <w:szCs w:val="24"/>
          <w:u w:val="none"/>
          <w:lang w:val="en-US" w:eastAsia="zh-CN" w:bidi="ar-SA"/>
        </w:rPr>
        <w:t>（盖单位公章）</w:t>
      </w:r>
    </w:p>
    <w:p w14:paraId="1122D74E">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法定代表人</w:t>
      </w:r>
      <w:r>
        <w:rPr>
          <w:rFonts w:hint="eastAsia" w:ascii="仿宋" w:eastAsia="仿宋" w:cs="仿宋"/>
          <w:b w:val="0"/>
          <w:color w:val="auto"/>
          <w:kern w:val="0"/>
          <w:sz w:val="24"/>
          <w:szCs w:val="24"/>
          <w:lang w:val="en-US" w:eastAsia="zh-CN" w:bidi="ar-SA"/>
        </w:rPr>
        <w:t>（主要负责人/经营者）</w:t>
      </w:r>
      <w:r>
        <w:rPr>
          <w:rFonts w:hint="eastAsia" w:ascii="仿宋" w:eastAsia="仿宋" w:cs="仿宋"/>
          <w:b w:val="0"/>
          <w:bCs/>
          <w:color w:val="auto"/>
          <w:kern w:val="0"/>
          <w:sz w:val="24"/>
          <w:szCs w:val="24"/>
        </w:rPr>
        <w:t>：</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（签字或印章）</w:t>
      </w:r>
    </w:p>
    <w:p w14:paraId="6709D8F8">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法定代表人</w:t>
      </w:r>
      <w:r>
        <w:rPr>
          <w:rFonts w:hint="eastAsia" w:ascii="仿宋" w:eastAsia="仿宋" w:cs="仿宋"/>
          <w:b w:val="0"/>
          <w:color w:val="auto"/>
          <w:kern w:val="0"/>
          <w:sz w:val="24"/>
          <w:szCs w:val="24"/>
          <w:lang w:val="en-US" w:eastAsia="zh-CN" w:bidi="ar-SA"/>
        </w:rPr>
        <w:t>（主要负责人/经营者）</w:t>
      </w:r>
      <w:r>
        <w:rPr>
          <w:rFonts w:hint="eastAsia" w:ascii="仿宋" w:eastAsia="仿宋" w:cs="仿宋"/>
          <w:b w:val="0"/>
          <w:bCs/>
          <w:color w:val="auto"/>
          <w:kern w:val="0"/>
          <w:sz w:val="24"/>
          <w:szCs w:val="24"/>
        </w:rPr>
        <w:t>身份证号码：</w:t>
      </w:r>
      <w:r>
        <w:rPr>
          <w:rFonts w:hint="eastAsia" w:ascii="仿宋" w:eastAsia="仿宋" w:cs="仿宋"/>
          <w:b w:val="0"/>
          <w:bCs/>
          <w:color w:val="auto"/>
          <w:kern w:val="0"/>
          <w:sz w:val="24"/>
          <w:szCs w:val="24"/>
          <w:u w:val="single"/>
        </w:rPr>
        <w:t>　　　　　　　　</w:t>
      </w:r>
    </w:p>
    <w:p w14:paraId="2E171B81">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委托代理人：</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（签字或印章）</w:t>
      </w:r>
    </w:p>
    <w:p w14:paraId="4F4AEA22">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委托代理人身份证号码：</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p>
    <w:p w14:paraId="3416432E">
      <w:pPr>
        <w:widowControl/>
        <w:wordWrap/>
        <w:overflowPunct w:val="0"/>
        <w:spacing w:before="120" w:after="120" w:line="360" w:lineRule="auto"/>
        <w:ind w:firstLine="480" w:firstLineChars="200"/>
        <w:jc w:val="left"/>
        <w:rPr>
          <w:rFonts w:ascii="仿宋" w:eastAsia="仿宋" w:cs="仿宋"/>
          <w:b w:val="0"/>
          <w:bCs/>
          <w:color w:val="auto"/>
          <w:kern w:val="0"/>
          <w:sz w:val="24"/>
          <w:szCs w:val="24"/>
          <w:u w:val="single"/>
          <w:lang w:val="en-US"/>
        </w:rPr>
      </w:pPr>
      <w:r>
        <w:rPr>
          <w:rFonts w:hint="eastAsia" w:ascii="仿宋" w:eastAsia="仿宋" w:cs="仿宋"/>
          <w:b w:val="0"/>
          <w:color w:val="auto"/>
          <w:kern w:val="0"/>
          <w:sz w:val="24"/>
          <w:szCs w:val="24"/>
          <w:lang w:val="en-US" w:eastAsia="zh-CN" w:bidi="ar-SA"/>
        </w:rPr>
        <w:t>日 期：</w:t>
      </w:r>
      <w:r>
        <w:rPr>
          <w:rFonts w:hint="eastAsia" w:ascii="仿宋" w:eastAsia="仿宋" w:cs="仿宋"/>
          <w:b w:val="0"/>
          <w:color w:val="auto"/>
          <w:kern w:val="0"/>
          <w:sz w:val="24"/>
          <w:szCs w:val="24"/>
          <w:u w:val="single"/>
          <w:lang w:val="en-US" w:eastAsia="zh-CN" w:bidi="ar-SA"/>
        </w:rPr>
        <w:t xml:space="preserve">                                                    </w:t>
      </w:r>
    </w:p>
    <w:p w14:paraId="56CEC5DF">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firstLine="0" w:firstLineChars="0"/>
        <w:jc w:val="both"/>
        <w:textAlignment w:val="auto"/>
        <w:rPr>
          <w:rFonts w:hint="eastAsia" w:ascii="仿宋" w:eastAsia="仿宋"/>
          <w:b/>
          <w:color w:val="auto"/>
          <w:sz w:val="21"/>
          <w:szCs w:val="21"/>
          <w:highlight w:val="none"/>
          <w:lang w:val="en-US"/>
        </w:rPr>
        <w:sectPr>
          <w:headerReference r:id="rId10" w:type="first"/>
          <w:pgSz w:w="11906" w:h="16838"/>
          <w:pgMar w:top="1418" w:right="1134" w:bottom="1418" w:left="1701" w:header="850" w:footer="567" w:gutter="0"/>
          <w:cols w:space="720" w:num="1"/>
          <w:titlePg/>
          <w:docGrid w:type="lines" w:linePitch="437" w:charSpace="0"/>
        </w:sectPr>
      </w:pPr>
    </w:p>
    <w:p w14:paraId="4801026B">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firstLine="0" w:firstLineChars="0"/>
        <w:jc w:val="both"/>
        <w:textAlignment w:val="auto"/>
        <w:rPr>
          <w:rFonts w:hint="eastAsia" w:ascii="Calibri" w:hAnsi="Calibri" w:eastAsia="宋体" w:cs="Times New Roman"/>
          <w:b/>
          <w:bCs/>
          <w:color w:val="auto"/>
          <w:kern w:val="2"/>
          <w:sz w:val="28"/>
          <w:szCs w:val="28"/>
          <w:lang w:val="en-US" w:eastAsia="zh-CN" w:bidi="ar-SA"/>
        </w:rPr>
      </w:pPr>
      <w:r>
        <w:rPr>
          <w:rFonts w:hint="eastAsia" w:ascii="Calibri" w:hAnsi="Calibri" w:eastAsia="宋体" w:cs="Times New Roman"/>
          <w:b/>
          <w:bCs/>
          <w:color w:val="auto"/>
          <w:kern w:val="2"/>
          <w:sz w:val="28"/>
          <w:szCs w:val="28"/>
          <w:lang w:val="en-US" w:eastAsia="zh-CN" w:bidi="ar-SA"/>
        </w:rPr>
        <w:t>格式四：</w:t>
      </w:r>
    </w:p>
    <w:p w14:paraId="1DC1486E">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仿宋" w:eastAsia="仿宋"/>
          <w:color w:val="auto"/>
          <w:spacing w:val="6"/>
          <w:kern w:val="2"/>
          <w:sz w:val="24"/>
          <w:szCs w:val="24"/>
          <w:highlight w:val="none"/>
          <w:lang w:val="en-US" w:eastAsia="zh-CN"/>
        </w:rPr>
      </w:pPr>
      <w:r>
        <w:rPr>
          <w:rFonts w:ascii="仿宋" w:eastAsia="仿宋" w:cs="Times New Roman"/>
          <w:b/>
          <w:color w:val="auto"/>
          <w:kern w:val="2"/>
          <w:sz w:val="28"/>
          <w:szCs w:val="28"/>
          <w:highlight w:val="none"/>
          <w:lang w:val="en-US" w:eastAsia="zh-CN" w:bidi="ar-SA"/>
        </w:rPr>
        <w:t>中小企业声明函</w:t>
      </w:r>
      <w:r>
        <w:rPr>
          <w:rFonts w:hint="eastAsia" w:ascii="仿宋" w:eastAsia="仿宋" w:cs="Times New Roman"/>
          <w:b/>
          <w:color w:val="auto"/>
          <w:kern w:val="2"/>
          <w:sz w:val="28"/>
          <w:szCs w:val="28"/>
          <w:highlight w:val="none"/>
          <w:lang w:val="en-US" w:eastAsia="zh-CN" w:bidi="ar-SA"/>
        </w:rPr>
        <w:t>（工程、服务）</w:t>
      </w:r>
    </w:p>
    <w:p w14:paraId="5CE6FF98">
      <w:pPr>
        <w:pageBreakBefore w:val="0"/>
        <w:widowControl w:val="0"/>
        <w:kinsoku/>
        <w:wordWrap/>
        <w:overflowPunct/>
        <w:topLinePunct w:val="0"/>
        <w:bidi w:val="0"/>
        <w:spacing w:beforeAutospacing="0" w:afterAutospacing="0" w:line="360" w:lineRule="auto"/>
        <w:ind w:left="0" w:right="0"/>
        <w:rPr>
          <w:rFonts w:ascii="仿宋" w:eastAsia="仿宋"/>
          <w:color w:val="auto"/>
          <w:sz w:val="21"/>
          <w:szCs w:val="21"/>
          <w:highlight w:val="none"/>
        </w:rPr>
      </w:pPr>
    </w:p>
    <w:p w14:paraId="1618C60D">
      <w:pPr>
        <w:keepNext w:val="0"/>
        <w:keepLines w:val="0"/>
        <w:pageBreakBefore w:val="0"/>
        <w:widowControl w:val="0"/>
        <w:tabs>
          <w:tab w:val="left" w:pos="9030"/>
        </w:tabs>
        <w:kinsoku/>
        <w:wordWrap/>
        <w:overflowPunct/>
        <w:topLinePunct w:val="0"/>
        <w:autoSpaceDE/>
        <w:autoSpaceDN/>
        <w:bidi w:val="0"/>
        <w:adjustRightInd/>
        <w:snapToGrid/>
        <w:spacing w:beforeAutospacing="0" w:afterAutospacing="0" w:line="240" w:lineRule="auto"/>
        <w:ind w:left="0" w:right="0" w:firstLine="480" w:firstLineChars="200"/>
        <w:textAlignment w:val="auto"/>
        <w:rPr>
          <w:rFonts w:hint="eastAsia" w:ascii="仿宋" w:eastAsia="仿宋" w:cs="仿宋"/>
          <w:b w:val="0"/>
          <w:bCs/>
          <w:color w:val="auto"/>
          <w:sz w:val="24"/>
          <w:szCs w:val="24"/>
          <w:lang w:val="en-US" w:eastAsia="zh-CN"/>
        </w:rPr>
      </w:pPr>
      <w:r>
        <w:rPr>
          <w:rFonts w:hint="eastAsia" w:ascii="仿宋" w:eastAsia="仿宋" w:cs="仿宋"/>
          <w:b w:val="0"/>
          <w:bCs/>
          <w:color w:val="auto"/>
          <w:sz w:val="24"/>
          <w:szCs w:val="24"/>
          <w:lang w:val="en-US" w:eastAsia="zh-CN"/>
        </w:rPr>
        <w:t>本公司（联合体）郑重声明，根据《政府采购促进中小企业发展管理办法》（财库﹝2020﹞46 号）的规定，本公司（联合体）参加</w:t>
      </w:r>
      <w:r>
        <w:rPr>
          <w:rFonts w:hint="eastAsia" w:ascii="仿宋" w:eastAsia="仿宋" w:cs="仿宋"/>
          <w:b w:val="0"/>
          <w:bCs/>
          <w:color w:val="auto"/>
          <w:sz w:val="24"/>
          <w:szCs w:val="24"/>
          <w:u w:val="single"/>
          <w:lang w:val="en-US" w:eastAsia="zh-CN"/>
        </w:rPr>
        <w:t xml:space="preserve">  （单位名称）  </w:t>
      </w:r>
      <w:r>
        <w:rPr>
          <w:rFonts w:hint="eastAsia" w:ascii="仿宋" w:eastAsia="仿宋" w:cs="仿宋"/>
          <w:b w:val="0"/>
          <w:bCs/>
          <w:color w:val="auto"/>
          <w:sz w:val="24"/>
          <w:szCs w:val="24"/>
          <w:lang w:val="en-US" w:eastAsia="zh-CN"/>
        </w:rPr>
        <w:t xml:space="preserve">的 </w:t>
      </w:r>
      <w:r>
        <w:rPr>
          <w:rFonts w:hint="eastAsia" w:ascii="仿宋" w:eastAsia="仿宋" w:cs="仿宋"/>
          <w:b w:val="0"/>
          <w:bCs/>
          <w:color w:val="auto"/>
          <w:sz w:val="24"/>
          <w:szCs w:val="24"/>
          <w:u w:val="single"/>
          <w:lang w:val="en-US" w:eastAsia="zh-CN"/>
        </w:rPr>
        <w:t xml:space="preserve"> （项目名称）  </w:t>
      </w:r>
      <w:r>
        <w:rPr>
          <w:rFonts w:hint="eastAsia" w:ascii="仿宋" w:eastAsia="仿宋" w:cs="仿宋"/>
          <w:b w:val="0"/>
          <w:bCs/>
          <w:color w:val="auto"/>
          <w:sz w:val="24"/>
          <w:szCs w:val="24"/>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7A5F8BAB">
      <w:pPr>
        <w:keepNext w:val="0"/>
        <w:keepLines w:val="0"/>
        <w:pageBreakBefore w:val="0"/>
        <w:widowControl w:val="0"/>
        <w:tabs>
          <w:tab w:val="left" w:pos="9030"/>
        </w:tabs>
        <w:kinsoku/>
        <w:wordWrap/>
        <w:overflowPunct/>
        <w:topLinePunct w:val="0"/>
        <w:autoSpaceDE/>
        <w:autoSpaceDN/>
        <w:bidi w:val="0"/>
        <w:adjustRightInd/>
        <w:snapToGrid/>
        <w:spacing w:beforeAutospacing="0" w:afterAutospacing="0" w:line="240" w:lineRule="auto"/>
        <w:ind w:left="0" w:right="0"/>
        <w:textAlignment w:val="auto"/>
        <w:rPr>
          <w:rFonts w:hint="eastAsia" w:ascii="仿宋" w:eastAsia="仿宋" w:cs="仿宋"/>
          <w:b w:val="0"/>
          <w:bCs/>
          <w:color w:val="auto"/>
          <w:sz w:val="24"/>
          <w:szCs w:val="24"/>
          <w:lang w:val="en-US" w:eastAsia="zh-CN"/>
        </w:rPr>
      </w:pPr>
      <w:r>
        <w:rPr>
          <w:rFonts w:hint="eastAsia" w:ascii="仿宋" w:eastAsia="仿宋" w:cs="仿宋"/>
          <w:b w:val="0"/>
          <w:bCs/>
          <w:color w:val="auto"/>
          <w:sz w:val="24"/>
          <w:szCs w:val="24"/>
          <w:lang w:val="en-US" w:eastAsia="zh-CN"/>
        </w:rPr>
        <w:t xml:space="preserve">1. </w:t>
      </w:r>
      <w:r>
        <w:rPr>
          <w:rFonts w:hint="eastAsia" w:ascii="仿宋" w:eastAsia="仿宋" w:cs="仿宋"/>
          <w:b w:val="0"/>
          <w:bCs/>
          <w:color w:val="auto"/>
          <w:sz w:val="24"/>
          <w:szCs w:val="24"/>
          <w:u w:val="single"/>
          <w:lang w:val="en-US" w:eastAsia="zh-CN"/>
        </w:rPr>
        <w:t xml:space="preserve">（标的名称） </w:t>
      </w:r>
      <w:r>
        <w:rPr>
          <w:rFonts w:hint="eastAsia" w:ascii="仿宋" w:eastAsia="仿宋" w:cs="仿宋"/>
          <w:b w:val="0"/>
          <w:bCs/>
          <w:color w:val="auto"/>
          <w:sz w:val="24"/>
          <w:szCs w:val="24"/>
          <w:lang w:val="en-US" w:eastAsia="zh-CN"/>
        </w:rPr>
        <w:t>，属于</w:t>
      </w:r>
      <w:r>
        <w:rPr>
          <w:rFonts w:hint="eastAsia" w:ascii="仿宋" w:eastAsia="仿宋" w:cs="仿宋"/>
          <w:b w:val="0"/>
          <w:bCs/>
          <w:color w:val="auto"/>
          <w:sz w:val="24"/>
          <w:szCs w:val="24"/>
          <w:u w:val="single"/>
          <w:lang w:val="en-US" w:eastAsia="zh-CN"/>
        </w:rPr>
        <w:t xml:space="preserve">    （采购文件中明确的所属行业）      </w:t>
      </w:r>
      <w:r>
        <w:rPr>
          <w:rFonts w:hint="eastAsia" w:ascii="仿宋" w:eastAsia="仿宋" w:cs="仿宋"/>
          <w:b w:val="0"/>
          <w:bCs/>
          <w:color w:val="auto"/>
          <w:sz w:val="24"/>
          <w:szCs w:val="24"/>
          <w:lang w:val="en-US" w:eastAsia="zh-CN"/>
        </w:rPr>
        <w:t>；承建（承接）企业为</w:t>
      </w:r>
      <w:r>
        <w:rPr>
          <w:rFonts w:hint="eastAsia" w:ascii="仿宋" w:eastAsia="仿宋" w:cs="仿宋"/>
          <w:b w:val="0"/>
          <w:bCs/>
          <w:color w:val="auto"/>
          <w:sz w:val="24"/>
          <w:szCs w:val="24"/>
          <w:u w:val="single"/>
          <w:lang w:val="en-US" w:eastAsia="zh-CN"/>
        </w:rPr>
        <w:t>（企业名称）</w:t>
      </w:r>
      <w:r>
        <w:rPr>
          <w:rFonts w:hint="eastAsia" w:ascii="仿宋" w:eastAsia="仿宋" w:cs="仿宋"/>
          <w:b w:val="0"/>
          <w:bCs/>
          <w:color w:val="auto"/>
          <w:sz w:val="24"/>
          <w:szCs w:val="24"/>
          <w:lang w:val="en-US" w:eastAsia="zh-CN"/>
        </w:rPr>
        <w:t>，从业人员</w:t>
      </w:r>
      <w:r>
        <w:rPr>
          <w:rFonts w:hint="eastAsia" w:ascii="仿宋" w:eastAsia="仿宋" w:cs="仿宋"/>
          <w:b w:val="0"/>
          <w:bCs/>
          <w:color w:val="auto"/>
          <w:sz w:val="24"/>
          <w:szCs w:val="24"/>
          <w:u w:val="single"/>
          <w:lang w:val="en-US" w:eastAsia="zh-CN"/>
        </w:rPr>
        <w:t xml:space="preserve">          </w:t>
      </w:r>
      <w:r>
        <w:rPr>
          <w:rFonts w:hint="eastAsia" w:ascii="仿宋" w:eastAsia="仿宋" w:cs="仿宋"/>
          <w:b w:val="0"/>
          <w:bCs/>
          <w:color w:val="auto"/>
          <w:sz w:val="24"/>
          <w:szCs w:val="24"/>
          <w:lang w:val="en-US" w:eastAsia="zh-CN"/>
        </w:rPr>
        <w:t>人，营业收入为</w:t>
      </w:r>
      <w:r>
        <w:rPr>
          <w:rFonts w:hint="eastAsia" w:ascii="仿宋" w:eastAsia="仿宋" w:cs="仿宋"/>
          <w:b w:val="0"/>
          <w:bCs/>
          <w:color w:val="auto"/>
          <w:sz w:val="24"/>
          <w:szCs w:val="24"/>
          <w:u w:val="single"/>
          <w:lang w:val="en-US" w:eastAsia="zh-CN"/>
        </w:rPr>
        <w:t xml:space="preserve">          </w:t>
      </w:r>
      <w:r>
        <w:rPr>
          <w:rFonts w:hint="eastAsia" w:ascii="仿宋" w:eastAsia="仿宋" w:cs="仿宋"/>
          <w:b w:val="0"/>
          <w:bCs/>
          <w:color w:val="auto"/>
          <w:sz w:val="24"/>
          <w:szCs w:val="24"/>
          <w:lang w:val="en-US" w:eastAsia="zh-CN"/>
        </w:rPr>
        <w:t>万元，资产总额为</w:t>
      </w:r>
      <w:r>
        <w:rPr>
          <w:rFonts w:hint="eastAsia" w:ascii="仿宋" w:eastAsia="仿宋" w:cs="仿宋"/>
          <w:b w:val="0"/>
          <w:bCs/>
          <w:color w:val="auto"/>
          <w:sz w:val="24"/>
          <w:szCs w:val="24"/>
          <w:u w:val="single"/>
          <w:lang w:val="en-US" w:eastAsia="zh-CN"/>
        </w:rPr>
        <w:t xml:space="preserve">          </w:t>
      </w:r>
      <w:r>
        <w:rPr>
          <w:rFonts w:hint="eastAsia" w:ascii="仿宋" w:eastAsia="仿宋" w:cs="仿宋"/>
          <w:b w:val="0"/>
          <w:bCs/>
          <w:color w:val="auto"/>
          <w:sz w:val="24"/>
          <w:szCs w:val="24"/>
          <w:lang w:val="en-US" w:eastAsia="zh-CN"/>
        </w:rPr>
        <w:t>万元，属于</w:t>
      </w:r>
      <w:r>
        <w:rPr>
          <w:rFonts w:hint="eastAsia" w:ascii="仿宋" w:eastAsia="仿宋" w:cs="仿宋"/>
          <w:b w:val="0"/>
          <w:bCs/>
          <w:color w:val="auto"/>
          <w:sz w:val="24"/>
          <w:szCs w:val="24"/>
          <w:u w:val="single"/>
          <w:lang w:val="en-US" w:eastAsia="zh-CN"/>
        </w:rPr>
        <w:t>（中型企业、小型企业、微型企业）</w:t>
      </w:r>
      <w:r>
        <w:rPr>
          <w:rFonts w:hint="eastAsia" w:ascii="仿宋" w:eastAsia="仿宋" w:cs="仿宋"/>
          <w:b w:val="0"/>
          <w:bCs/>
          <w:color w:val="auto"/>
          <w:sz w:val="24"/>
          <w:szCs w:val="24"/>
          <w:lang w:val="en-US" w:eastAsia="zh-CN"/>
        </w:rPr>
        <w:t xml:space="preserve">； </w:t>
      </w:r>
    </w:p>
    <w:p w14:paraId="38951B53">
      <w:pPr>
        <w:keepNext w:val="0"/>
        <w:keepLines w:val="0"/>
        <w:pageBreakBefore w:val="0"/>
        <w:widowControl w:val="0"/>
        <w:tabs>
          <w:tab w:val="left" w:pos="9030"/>
        </w:tabs>
        <w:kinsoku/>
        <w:wordWrap/>
        <w:overflowPunct/>
        <w:topLinePunct w:val="0"/>
        <w:autoSpaceDE/>
        <w:autoSpaceDN/>
        <w:bidi w:val="0"/>
        <w:adjustRightInd/>
        <w:snapToGrid/>
        <w:spacing w:beforeAutospacing="0" w:afterAutospacing="0" w:line="240" w:lineRule="auto"/>
        <w:ind w:left="0" w:right="0"/>
        <w:textAlignment w:val="auto"/>
        <w:rPr>
          <w:rFonts w:hint="eastAsia" w:ascii="仿宋" w:eastAsia="仿宋" w:cs="仿宋"/>
          <w:b w:val="0"/>
          <w:bCs/>
          <w:color w:val="auto"/>
          <w:sz w:val="24"/>
          <w:szCs w:val="24"/>
          <w:lang w:val="en-US" w:eastAsia="zh-CN"/>
        </w:rPr>
      </w:pPr>
      <w:r>
        <w:rPr>
          <w:rFonts w:hint="eastAsia" w:ascii="仿宋" w:eastAsia="仿宋" w:cs="仿宋"/>
          <w:b w:val="0"/>
          <w:bCs/>
          <w:color w:val="auto"/>
          <w:sz w:val="24"/>
          <w:szCs w:val="24"/>
          <w:lang w:val="en-US" w:eastAsia="zh-CN"/>
        </w:rPr>
        <w:t xml:space="preserve">2. </w:t>
      </w:r>
      <w:r>
        <w:rPr>
          <w:rFonts w:hint="eastAsia" w:ascii="仿宋" w:eastAsia="仿宋" w:cs="仿宋"/>
          <w:b w:val="0"/>
          <w:bCs/>
          <w:color w:val="auto"/>
          <w:sz w:val="24"/>
          <w:szCs w:val="24"/>
          <w:u w:val="single"/>
          <w:lang w:val="en-US" w:eastAsia="zh-CN"/>
        </w:rPr>
        <w:t>（标的名称）</w:t>
      </w:r>
      <w:r>
        <w:rPr>
          <w:rFonts w:hint="eastAsia" w:ascii="仿宋" w:eastAsia="仿宋" w:cs="仿宋"/>
          <w:b w:val="0"/>
          <w:bCs/>
          <w:color w:val="auto"/>
          <w:sz w:val="24"/>
          <w:szCs w:val="24"/>
          <w:lang w:val="en-US" w:eastAsia="zh-CN"/>
        </w:rPr>
        <w:t xml:space="preserve"> ，属于</w:t>
      </w:r>
      <w:r>
        <w:rPr>
          <w:rFonts w:hint="eastAsia" w:ascii="仿宋" w:eastAsia="仿宋" w:cs="仿宋"/>
          <w:b w:val="0"/>
          <w:bCs/>
          <w:color w:val="auto"/>
          <w:sz w:val="24"/>
          <w:szCs w:val="24"/>
          <w:u w:val="single"/>
          <w:lang w:val="en-US" w:eastAsia="zh-CN"/>
        </w:rPr>
        <w:t xml:space="preserve">     （采购文件中明确的所属行业）    </w:t>
      </w:r>
      <w:r>
        <w:rPr>
          <w:rFonts w:hint="eastAsia" w:ascii="仿宋" w:eastAsia="仿宋" w:cs="仿宋"/>
          <w:b w:val="0"/>
          <w:bCs/>
          <w:color w:val="auto"/>
          <w:sz w:val="24"/>
          <w:szCs w:val="24"/>
          <w:lang w:val="en-US" w:eastAsia="zh-CN"/>
        </w:rPr>
        <w:t>；承建（承接）企业为</w:t>
      </w:r>
      <w:r>
        <w:rPr>
          <w:rFonts w:hint="eastAsia" w:ascii="仿宋" w:eastAsia="仿宋" w:cs="仿宋"/>
          <w:b w:val="0"/>
          <w:bCs/>
          <w:color w:val="auto"/>
          <w:sz w:val="24"/>
          <w:szCs w:val="24"/>
          <w:u w:val="single"/>
          <w:lang w:val="en-US" w:eastAsia="zh-CN"/>
        </w:rPr>
        <w:t>（企业名称）</w:t>
      </w:r>
      <w:r>
        <w:rPr>
          <w:rFonts w:hint="eastAsia" w:ascii="仿宋" w:eastAsia="仿宋" w:cs="仿宋"/>
          <w:b w:val="0"/>
          <w:bCs/>
          <w:color w:val="auto"/>
          <w:sz w:val="24"/>
          <w:szCs w:val="24"/>
          <w:lang w:val="en-US" w:eastAsia="zh-CN"/>
        </w:rPr>
        <w:t xml:space="preserve">，从业人员 </w:t>
      </w:r>
      <w:r>
        <w:rPr>
          <w:rFonts w:hint="eastAsia" w:ascii="仿宋" w:eastAsia="仿宋" w:cs="仿宋"/>
          <w:b w:val="0"/>
          <w:bCs/>
          <w:color w:val="auto"/>
          <w:sz w:val="24"/>
          <w:szCs w:val="24"/>
          <w:u w:val="single"/>
          <w:lang w:val="en-US" w:eastAsia="zh-CN"/>
        </w:rPr>
        <w:t xml:space="preserve">         </w:t>
      </w:r>
      <w:r>
        <w:rPr>
          <w:rFonts w:hint="eastAsia" w:ascii="仿宋" w:eastAsia="仿宋" w:cs="仿宋"/>
          <w:b w:val="0"/>
          <w:bCs/>
          <w:color w:val="auto"/>
          <w:sz w:val="24"/>
          <w:szCs w:val="24"/>
          <w:lang w:val="en-US" w:eastAsia="zh-CN"/>
        </w:rPr>
        <w:t>人，营业收入为</w:t>
      </w:r>
      <w:r>
        <w:rPr>
          <w:rFonts w:hint="eastAsia" w:ascii="仿宋" w:eastAsia="仿宋" w:cs="仿宋"/>
          <w:b w:val="0"/>
          <w:bCs/>
          <w:color w:val="auto"/>
          <w:sz w:val="24"/>
          <w:szCs w:val="24"/>
          <w:u w:val="single"/>
          <w:lang w:val="en-US" w:eastAsia="zh-CN"/>
        </w:rPr>
        <w:t xml:space="preserve">          </w:t>
      </w:r>
      <w:r>
        <w:rPr>
          <w:rFonts w:hint="eastAsia" w:ascii="仿宋" w:eastAsia="仿宋" w:cs="仿宋"/>
          <w:b w:val="0"/>
          <w:bCs/>
          <w:color w:val="auto"/>
          <w:sz w:val="24"/>
          <w:szCs w:val="24"/>
          <w:lang w:val="en-US" w:eastAsia="zh-CN"/>
        </w:rPr>
        <w:t xml:space="preserve">万元，资产总额为 </w:t>
      </w:r>
      <w:r>
        <w:rPr>
          <w:rFonts w:hint="eastAsia" w:ascii="仿宋" w:eastAsia="仿宋" w:cs="仿宋"/>
          <w:b w:val="0"/>
          <w:bCs/>
          <w:color w:val="auto"/>
          <w:sz w:val="24"/>
          <w:szCs w:val="24"/>
          <w:u w:val="single"/>
          <w:lang w:val="en-US" w:eastAsia="zh-CN"/>
        </w:rPr>
        <w:t xml:space="preserve">          </w:t>
      </w:r>
      <w:r>
        <w:rPr>
          <w:rFonts w:hint="eastAsia" w:ascii="仿宋" w:eastAsia="仿宋" w:cs="仿宋"/>
          <w:b w:val="0"/>
          <w:bCs/>
          <w:color w:val="auto"/>
          <w:sz w:val="24"/>
          <w:szCs w:val="24"/>
          <w:lang w:val="en-US" w:eastAsia="zh-CN"/>
        </w:rPr>
        <w:t>万元，属于</w:t>
      </w:r>
      <w:r>
        <w:rPr>
          <w:rFonts w:hint="eastAsia" w:ascii="仿宋" w:eastAsia="仿宋" w:cs="仿宋"/>
          <w:b w:val="0"/>
          <w:bCs/>
          <w:color w:val="auto"/>
          <w:sz w:val="24"/>
          <w:szCs w:val="24"/>
          <w:u w:val="single"/>
          <w:lang w:val="en-US" w:eastAsia="zh-CN"/>
        </w:rPr>
        <w:t>（中型企业、小型企业、微型企业）；</w:t>
      </w:r>
      <w:r>
        <w:rPr>
          <w:rFonts w:hint="eastAsia" w:ascii="仿宋" w:eastAsia="仿宋" w:cs="仿宋"/>
          <w:b w:val="0"/>
          <w:bCs/>
          <w:color w:val="auto"/>
          <w:sz w:val="24"/>
          <w:szCs w:val="24"/>
          <w:lang w:val="en-US" w:eastAsia="zh-CN"/>
        </w:rPr>
        <w:t xml:space="preserve"> </w:t>
      </w:r>
    </w:p>
    <w:p w14:paraId="526258C6">
      <w:pPr>
        <w:keepNext w:val="0"/>
        <w:keepLines w:val="0"/>
        <w:pageBreakBefore w:val="0"/>
        <w:widowControl w:val="0"/>
        <w:tabs>
          <w:tab w:val="left" w:pos="9030"/>
        </w:tabs>
        <w:kinsoku/>
        <w:wordWrap/>
        <w:overflowPunct/>
        <w:topLinePunct w:val="0"/>
        <w:autoSpaceDE/>
        <w:autoSpaceDN/>
        <w:bidi w:val="0"/>
        <w:adjustRightInd/>
        <w:snapToGrid/>
        <w:spacing w:beforeAutospacing="0" w:afterAutospacing="0" w:line="240" w:lineRule="auto"/>
        <w:ind w:left="0" w:right="0"/>
        <w:textAlignment w:val="auto"/>
        <w:rPr>
          <w:rFonts w:hint="eastAsia" w:ascii="仿宋" w:eastAsia="仿宋" w:cs="仿宋"/>
          <w:b w:val="0"/>
          <w:bCs/>
          <w:color w:val="auto"/>
          <w:sz w:val="24"/>
          <w:szCs w:val="24"/>
          <w:lang w:val="en-US" w:eastAsia="zh-CN"/>
        </w:rPr>
      </w:pPr>
      <w:r>
        <w:rPr>
          <w:rFonts w:hint="eastAsia" w:ascii="仿宋" w:eastAsia="仿宋" w:cs="仿宋"/>
          <w:b w:val="0"/>
          <w:bCs/>
          <w:color w:val="auto"/>
          <w:sz w:val="24"/>
          <w:szCs w:val="24"/>
          <w:lang w:val="en-US" w:eastAsia="zh-CN"/>
        </w:rPr>
        <w:t>……</w:t>
      </w:r>
    </w:p>
    <w:p w14:paraId="5AEF79EB">
      <w:pPr>
        <w:keepNext w:val="0"/>
        <w:keepLines w:val="0"/>
        <w:pageBreakBefore w:val="0"/>
        <w:widowControl w:val="0"/>
        <w:tabs>
          <w:tab w:val="left" w:pos="9030"/>
        </w:tabs>
        <w:kinsoku/>
        <w:wordWrap/>
        <w:overflowPunct/>
        <w:topLinePunct w:val="0"/>
        <w:autoSpaceDE/>
        <w:autoSpaceDN/>
        <w:bidi w:val="0"/>
        <w:adjustRightInd/>
        <w:snapToGrid/>
        <w:spacing w:beforeAutospacing="0" w:afterAutospacing="0" w:line="240" w:lineRule="auto"/>
        <w:ind w:left="0" w:right="0" w:firstLine="480" w:firstLineChars="200"/>
        <w:textAlignment w:val="auto"/>
        <w:rPr>
          <w:rFonts w:hint="eastAsia" w:ascii="仿宋" w:eastAsia="仿宋" w:cs="仿宋"/>
          <w:b w:val="0"/>
          <w:bCs/>
          <w:color w:val="auto"/>
          <w:sz w:val="24"/>
          <w:szCs w:val="24"/>
          <w:lang w:val="en-US" w:eastAsia="zh-CN"/>
        </w:rPr>
      </w:pPr>
      <w:r>
        <w:rPr>
          <w:rFonts w:hint="eastAsia" w:ascii="仿宋" w:eastAsia="仿宋" w:cs="仿宋"/>
          <w:b w:val="0"/>
          <w:bCs/>
          <w:color w:val="auto"/>
          <w:sz w:val="24"/>
          <w:szCs w:val="24"/>
          <w:lang w:val="en-US" w:eastAsia="zh-CN"/>
        </w:rPr>
        <w:t>以上企业，不属于大企业的分支机构，不存在控股股东为大企业的情形，也不存在与大企业的负责人为同一人的情形。</w:t>
      </w:r>
    </w:p>
    <w:p w14:paraId="4424D39B">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right="0"/>
        <w:jc w:val="left"/>
        <w:textAlignment w:val="auto"/>
        <w:rPr>
          <w:rFonts w:hint="eastAsia" w:ascii="仿宋" w:eastAsia="仿宋" w:cs="仿宋"/>
          <w:b w:val="0"/>
          <w:bCs/>
          <w:color w:val="auto"/>
          <w:sz w:val="24"/>
          <w:szCs w:val="24"/>
          <w:highlight w:val="none"/>
        </w:rPr>
      </w:pPr>
      <w:r>
        <w:rPr>
          <w:rFonts w:hint="eastAsia" w:ascii="仿宋" w:eastAsia="仿宋" w:cs="仿宋"/>
          <w:b w:val="0"/>
          <w:bCs/>
          <w:color w:val="auto"/>
          <w:sz w:val="24"/>
          <w:szCs w:val="24"/>
          <w:lang w:val="en-US" w:eastAsia="zh-CN"/>
        </w:rPr>
        <w:t>本企业对上述声明内容的真实性负责。如有虚假，将依法承担相应责任</w:t>
      </w:r>
      <w:r>
        <w:rPr>
          <w:rFonts w:hint="eastAsia" w:ascii="仿宋" w:eastAsia="仿宋" w:cs="仿宋"/>
          <w:b w:val="0"/>
          <w:bCs/>
          <w:color w:val="auto"/>
          <w:sz w:val="24"/>
          <w:szCs w:val="24"/>
          <w:highlight w:val="none"/>
          <w:lang w:val="en-US" w:bidi="ar-SA"/>
        </w:rPr>
        <w:t xml:space="preserve">。 </w:t>
      </w:r>
    </w:p>
    <w:p w14:paraId="7A6A8CEB">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right="0"/>
        <w:jc w:val="left"/>
        <w:textAlignment w:val="auto"/>
        <w:rPr>
          <w:rFonts w:hint="eastAsia" w:ascii="仿宋" w:eastAsia="仿宋" w:cs="仿宋"/>
          <w:b w:val="0"/>
          <w:bCs/>
          <w:color w:val="auto"/>
          <w:sz w:val="24"/>
          <w:szCs w:val="24"/>
          <w:highlight w:val="none"/>
          <w:lang w:val="en-US" w:bidi="ar-SA"/>
        </w:rPr>
      </w:pPr>
    </w:p>
    <w:p w14:paraId="27F50AFC">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right="0" w:firstLine="5280" w:firstLineChars="2200"/>
        <w:jc w:val="left"/>
        <w:textAlignment w:val="auto"/>
        <w:rPr>
          <w:rFonts w:hint="eastAsia" w:ascii="仿宋" w:eastAsia="仿宋" w:cs="仿宋"/>
          <w:b w:val="0"/>
          <w:bCs/>
          <w:color w:val="auto"/>
          <w:sz w:val="24"/>
          <w:szCs w:val="24"/>
          <w:highlight w:val="none"/>
          <w:lang w:val="en-US" w:bidi="ar-SA"/>
        </w:rPr>
      </w:pPr>
    </w:p>
    <w:p w14:paraId="4AAE5FF4">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right="0" w:firstLine="5280" w:firstLineChars="2200"/>
        <w:jc w:val="left"/>
        <w:textAlignment w:val="auto"/>
        <w:rPr>
          <w:rFonts w:hint="eastAsia" w:ascii="仿宋" w:eastAsia="仿宋" w:cs="仿宋"/>
          <w:b w:val="0"/>
          <w:bCs/>
          <w:color w:val="auto"/>
          <w:sz w:val="24"/>
          <w:szCs w:val="24"/>
          <w:highlight w:val="none"/>
          <w:lang w:val="en-US" w:bidi="ar-SA"/>
        </w:rPr>
      </w:pPr>
    </w:p>
    <w:p w14:paraId="5AD17CB5">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right="0" w:firstLine="5280" w:firstLineChars="2200"/>
        <w:jc w:val="left"/>
        <w:textAlignment w:val="auto"/>
        <w:rPr>
          <w:rFonts w:hint="eastAsia" w:ascii="仿宋" w:eastAsia="仿宋" w:cs="仿宋"/>
          <w:b w:val="0"/>
          <w:bCs/>
          <w:color w:val="auto"/>
          <w:sz w:val="24"/>
          <w:szCs w:val="24"/>
          <w:highlight w:val="none"/>
        </w:rPr>
      </w:pPr>
      <w:r>
        <w:rPr>
          <w:rFonts w:hint="eastAsia" w:ascii="仿宋" w:eastAsia="仿宋" w:cs="仿宋"/>
          <w:b w:val="0"/>
          <w:bCs/>
          <w:color w:val="auto"/>
          <w:sz w:val="24"/>
          <w:szCs w:val="24"/>
          <w:highlight w:val="none"/>
          <w:lang w:val="en-US" w:bidi="ar-SA"/>
        </w:rPr>
        <w:t xml:space="preserve">企业名称（盖章）： </w:t>
      </w:r>
    </w:p>
    <w:p w14:paraId="651EC7EB">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right="0" w:firstLine="5280" w:firstLineChars="2200"/>
        <w:jc w:val="left"/>
        <w:textAlignment w:val="auto"/>
        <w:rPr>
          <w:rFonts w:hint="eastAsia" w:ascii="仿宋" w:eastAsia="仿宋" w:cs="仿宋"/>
          <w:b w:val="0"/>
          <w:bCs/>
          <w:color w:val="auto"/>
          <w:sz w:val="24"/>
          <w:szCs w:val="24"/>
          <w:highlight w:val="none"/>
          <w:lang w:val="en-US" w:bidi="ar-SA"/>
        </w:rPr>
      </w:pPr>
      <w:r>
        <w:rPr>
          <w:rFonts w:hint="eastAsia" w:ascii="仿宋" w:eastAsia="仿宋" w:cs="仿宋"/>
          <w:b w:val="0"/>
          <w:bCs/>
          <w:color w:val="auto"/>
          <w:sz w:val="24"/>
          <w:szCs w:val="24"/>
          <w:highlight w:val="none"/>
          <w:lang w:val="en-US" w:bidi="ar-SA"/>
        </w:rPr>
        <w:t>日 期：</w:t>
      </w:r>
    </w:p>
    <w:p w14:paraId="392F101A">
      <w:pPr>
        <w:pageBreakBefore w:val="0"/>
        <w:widowControl w:val="0"/>
        <w:kinsoku/>
        <w:wordWrap/>
        <w:overflowPunct/>
        <w:topLinePunct w:val="0"/>
        <w:bidi w:val="0"/>
        <w:adjustRightInd w:val="0"/>
        <w:snapToGrid w:val="0"/>
        <w:spacing w:beforeAutospacing="0" w:afterAutospacing="0" w:line="360" w:lineRule="auto"/>
        <w:ind w:left="0" w:right="0"/>
        <w:rPr>
          <w:rFonts w:hint="eastAsia" w:ascii="仿宋" w:eastAsia="仿宋" w:cs="Times New Roman"/>
          <w:b w:val="0"/>
          <w:bCs/>
          <w:color w:val="auto"/>
          <w:sz w:val="21"/>
          <w:szCs w:val="21"/>
          <w:highlight w:val="none"/>
          <w:lang w:val="en-US"/>
        </w:rPr>
      </w:pPr>
    </w:p>
    <w:p w14:paraId="282F1FB8">
      <w:pPr>
        <w:pageBreakBefore w:val="0"/>
        <w:widowControl w:val="0"/>
        <w:kinsoku/>
        <w:wordWrap/>
        <w:overflowPunct/>
        <w:topLinePunct w:val="0"/>
        <w:bidi w:val="0"/>
        <w:adjustRightInd w:val="0"/>
        <w:snapToGrid w:val="0"/>
        <w:spacing w:beforeAutospacing="0" w:afterAutospacing="0" w:line="360" w:lineRule="auto"/>
        <w:ind w:left="0" w:right="0"/>
        <w:rPr>
          <w:rFonts w:hint="eastAsia" w:ascii="仿宋" w:eastAsia="仿宋" w:cs="Times New Roman"/>
          <w:b w:val="0"/>
          <w:bCs/>
          <w:color w:val="auto"/>
          <w:sz w:val="21"/>
          <w:szCs w:val="21"/>
          <w:highlight w:val="none"/>
          <w:lang w:val="en-US"/>
        </w:rPr>
      </w:pPr>
      <w:r>
        <w:rPr>
          <w:rFonts w:hint="eastAsia" w:ascii="仿宋" w:eastAsia="仿宋" w:cs="Times New Roman"/>
          <w:b w:val="0"/>
          <w:bCs/>
          <w:color w:val="auto"/>
          <w:sz w:val="21"/>
          <w:szCs w:val="21"/>
          <w:highlight w:val="none"/>
          <w:lang w:val="en-US"/>
        </w:rPr>
        <w:t>注：</w:t>
      </w:r>
    </w:p>
    <w:p w14:paraId="00BAA9BE">
      <w:pPr>
        <w:pageBreakBefore w:val="0"/>
        <w:widowControl w:val="0"/>
        <w:kinsoku/>
        <w:wordWrap/>
        <w:overflowPunct/>
        <w:topLinePunct w:val="0"/>
        <w:bidi w:val="0"/>
        <w:adjustRightInd w:val="0"/>
        <w:snapToGrid w:val="0"/>
        <w:spacing w:beforeAutospacing="0" w:afterAutospacing="0" w:line="360" w:lineRule="auto"/>
        <w:ind w:left="0" w:right="0"/>
        <w:rPr>
          <w:rFonts w:hint="eastAsia" w:ascii="仿宋" w:eastAsia="仿宋"/>
          <w:b w:val="0"/>
          <w:bCs/>
          <w:color w:val="auto"/>
          <w:sz w:val="21"/>
          <w:szCs w:val="21"/>
          <w:highlight w:val="none"/>
          <w:lang w:val="en-US"/>
        </w:rPr>
      </w:pPr>
      <w:r>
        <w:rPr>
          <w:rFonts w:hint="eastAsia" w:ascii="仿宋" w:eastAsia="仿宋"/>
          <w:b w:val="0"/>
          <w:bCs/>
          <w:color w:val="auto"/>
          <w:sz w:val="21"/>
          <w:szCs w:val="21"/>
          <w:highlight w:val="none"/>
          <w:lang w:val="en-US"/>
        </w:rPr>
        <w:t>从业人员、营业收入、资产总额填报上一年度数据，无上一年度数据的新成立企业可不填报。</w:t>
      </w:r>
      <w:bookmarkStart w:id="342" w:name="_Toc494198612"/>
    </w:p>
    <w:p w14:paraId="65C1A621">
      <w:pPr>
        <w:pageBreakBefore w:val="0"/>
        <w:widowControl w:val="0"/>
        <w:kinsoku/>
        <w:wordWrap/>
        <w:overflowPunct/>
        <w:topLinePunct w:val="0"/>
        <w:bidi w:val="0"/>
        <w:adjustRightInd w:val="0"/>
        <w:snapToGrid w:val="0"/>
        <w:spacing w:beforeAutospacing="0" w:afterAutospacing="0" w:line="360" w:lineRule="auto"/>
        <w:ind w:left="0" w:right="0" w:firstLine="0" w:firstLineChars="0"/>
        <w:rPr>
          <w:rFonts w:hint="eastAsia" w:ascii="Calibri" w:hAnsi="Calibri" w:eastAsia="宋体" w:cs="Times New Roman"/>
          <w:b/>
          <w:bCs/>
          <w:color w:val="auto"/>
          <w:kern w:val="2"/>
          <w:sz w:val="28"/>
          <w:szCs w:val="28"/>
          <w:lang w:val="en-US" w:eastAsia="zh-CN" w:bidi="ar-SA"/>
        </w:rPr>
      </w:pPr>
      <w:r>
        <w:rPr>
          <w:rFonts w:hint="eastAsia" w:ascii="仿宋" w:eastAsia="仿宋"/>
          <w:b w:val="0"/>
          <w:bCs/>
          <w:color w:val="auto"/>
          <w:sz w:val="21"/>
          <w:szCs w:val="21"/>
          <w:highlight w:val="none"/>
          <w:lang w:val="en-US"/>
        </w:rPr>
        <w:br w:type="page"/>
      </w:r>
      <w:r>
        <w:rPr>
          <w:rFonts w:hint="eastAsia" w:ascii="Calibri" w:hAnsi="Calibri" w:eastAsia="宋体" w:cs="Times New Roman"/>
          <w:b/>
          <w:bCs/>
          <w:color w:val="auto"/>
          <w:kern w:val="2"/>
          <w:sz w:val="28"/>
          <w:szCs w:val="28"/>
          <w:lang w:val="en-US" w:eastAsia="zh-CN" w:bidi="ar-SA"/>
        </w:rPr>
        <w:t>格式五：</w:t>
      </w:r>
    </w:p>
    <w:p w14:paraId="5229B3DE">
      <w:pPr>
        <w:pageBreakBefore w:val="0"/>
        <w:widowControl w:val="0"/>
        <w:kinsoku/>
        <w:wordWrap/>
        <w:overflowPunct/>
        <w:topLinePunct w:val="0"/>
        <w:bidi w:val="0"/>
        <w:adjustRightInd w:val="0"/>
        <w:snapToGrid w:val="0"/>
        <w:spacing w:beforeAutospacing="0" w:afterAutospacing="0" w:line="360" w:lineRule="auto"/>
        <w:ind w:left="0" w:right="0" w:firstLine="0" w:firstLineChars="0"/>
        <w:rPr>
          <w:rFonts w:hint="eastAsia" w:ascii="Calibri" w:hAnsi="Calibri" w:eastAsia="宋体" w:cs="Times New Roman"/>
          <w:b w:val="0"/>
          <w:bCs w:val="0"/>
          <w:color w:val="auto"/>
          <w:kern w:val="2"/>
          <w:sz w:val="24"/>
          <w:szCs w:val="24"/>
          <w:lang w:val="en-US" w:eastAsia="zh-CN" w:bidi="ar-SA"/>
        </w:rPr>
      </w:pPr>
      <w:r>
        <w:rPr>
          <w:rFonts w:hint="eastAsia" w:ascii="仿宋" w:eastAsia="仿宋" w:cs="Times New Roman"/>
          <w:b w:val="0"/>
          <w:color w:val="auto"/>
          <w:sz w:val="24"/>
          <w:szCs w:val="24"/>
          <w:highlight w:val="none"/>
          <w:lang w:val="en-US" w:eastAsia="zh-CN"/>
        </w:rPr>
        <w:t>（以下格式文件由投标人根据需要选用）</w:t>
      </w:r>
    </w:p>
    <w:p w14:paraId="20584710">
      <w:pPr>
        <w:pageBreakBefore w:val="0"/>
        <w:widowControl w:val="0"/>
        <w:kinsoku/>
        <w:wordWrap/>
        <w:overflowPunct/>
        <w:topLinePunct w:val="0"/>
        <w:bidi w:val="0"/>
        <w:adjustRightInd w:val="0"/>
        <w:snapToGrid w:val="0"/>
        <w:spacing w:beforeAutospacing="0" w:afterAutospacing="0" w:line="360" w:lineRule="auto"/>
        <w:ind w:left="0" w:right="0" w:firstLine="0" w:firstLineChars="0"/>
        <w:jc w:val="center"/>
        <w:rPr>
          <w:rFonts w:ascii="仿宋" w:eastAsia="仿宋" w:cs="Times New Roman"/>
          <w:b/>
          <w:color w:val="auto"/>
          <w:kern w:val="2"/>
          <w:sz w:val="28"/>
          <w:szCs w:val="28"/>
          <w:highlight w:val="none"/>
          <w:lang w:val="en-US" w:eastAsia="zh-CN" w:bidi="ar-SA"/>
        </w:rPr>
      </w:pPr>
    </w:p>
    <w:p w14:paraId="2ED1AF16">
      <w:pPr>
        <w:pageBreakBefore w:val="0"/>
        <w:widowControl w:val="0"/>
        <w:kinsoku/>
        <w:wordWrap/>
        <w:overflowPunct/>
        <w:topLinePunct w:val="0"/>
        <w:bidi w:val="0"/>
        <w:adjustRightInd w:val="0"/>
        <w:snapToGrid w:val="0"/>
        <w:spacing w:beforeAutospacing="0" w:afterAutospacing="0" w:line="360" w:lineRule="auto"/>
        <w:ind w:left="0" w:right="0" w:firstLine="0" w:firstLineChars="0"/>
        <w:jc w:val="center"/>
        <w:rPr>
          <w:rFonts w:ascii="仿宋" w:eastAsia="仿宋"/>
          <w:bCs/>
          <w:color w:val="auto"/>
          <w:kern w:val="2"/>
          <w:sz w:val="24"/>
          <w:szCs w:val="24"/>
          <w:highlight w:val="none"/>
          <w:lang w:val="en-US"/>
        </w:rPr>
      </w:pPr>
      <w:r>
        <w:rPr>
          <w:rFonts w:ascii="仿宋" w:eastAsia="仿宋" w:cs="Times New Roman"/>
          <w:b/>
          <w:color w:val="auto"/>
          <w:kern w:val="2"/>
          <w:sz w:val="28"/>
          <w:szCs w:val="28"/>
          <w:highlight w:val="none"/>
          <w:lang w:val="en-US" w:eastAsia="zh-CN" w:bidi="ar-SA"/>
        </w:rPr>
        <w:t>监狱企业证明材料</w:t>
      </w:r>
      <w:bookmarkEnd w:id="342"/>
    </w:p>
    <w:p w14:paraId="0B5E54A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53D8F80B">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参加政府采购活动的监狱企业应当提供省级以上监狱管理局、戒毒管理局（含新疆生产建设兵团）出具的属于监狱企业的证明文件复印件加盖投标人公章，原件备查。</w:t>
      </w:r>
    </w:p>
    <w:p w14:paraId="793A52A9">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42BCF92B">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345912B9">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sz w:val="21"/>
          <w:szCs w:val="21"/>
          <w:highlight w:val="none"/>
          <w:lang w:val="en-US"/>
        </w:rPr>
      </w:pPr>
      <w:r>
        <w:rPr>
          <w:rFonts w:hint="eastAsia" w:ascii="仿宋" w:eastAsia="仿宋"/>
          <w:b w:val="0"/>
          <w:color w:val="auto"/>
          <w:sz w:val="21"/>
          <w:szCs w:val="21"/>
          <w:highlight w:val="none"/>
          <w:lang w:val="en-US"/>
        </w:rPr>
        <w:t>说明：</w:t>
      </w:r>
    </w:p>
    <w:p w14:paraId="7416E81C">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sz w:val="21"/>
          <w:szCs w:val="21"/>
          <w:highlight w:val="none"/>
          <w:lang w:val="en-US"/>
        </w:rPr>
      </w:pPr>
      <w:r>
        <w:rPr>
          <w:rFonts w:ascii="仿宋" w:eastAsia="仿宋"/>
          <w:b w:val="0"/>
          <w:color w:val="auto"/>
          <w:sz w:val="21"/>
          <w:szCs w:val="21"/>
          <w:highlight w:val="none"/>
          <w:lang w:val="en-US"/>
        </w:rPr>
        <w:t>1.监狱企业视同小型、微型企业，享受预留份额等促进中小企业发展的政府采购政策。</w:t>
      </w:r>
    </w:p>
    <w:p w14:paraId="24A85957">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sz w:val="21"/>
          <w:szCs w:val="21"/>
          <w:highlight w:val="none"/>
          <w:lang w:val="en-US"/>
        </w:rPr>
      </w:pPr>
      <w:r>
        <w:rPr>
          <w:rFonts w:ascii="仿宋" w:eastAsia="仿宋"/>
          <w:b w:val="0"/>
          <w:color w:val="auto"/>
          <w:sz w:val="21"/>
          <w:szCs w:val="21"/>
          <w:highlight w:val="none"/>
          <w:lang w:val="en-US"/>
        </w:rPr>
        <w:t>2.</w:t>
      </w:r>
      <w:r>
        <w:rPr>
          <w:rFonts w:hint="eastAsia" w:ascii="仿宋" w:eastAsia="仿宋"/>
          <w:b w:val="0"/>
          <w:color w:val="auto"/>
          <w:sz w:val="21"/>
          <w:szCs w:val="21"/>
          <w:highlight w:val="none"/>
          <w:lang w:val="en-US"/>
        </w:rPr>
        <w:t>投标人</w:t>
      </w:r>
      <w:r>
        <w:rPr>
          <w:rFonts w:ascii="仿宋" w:eastAsia="仿宋"/>
          <w:b w:val="0"/>
          <w:color w:val="auto"/>
          <w:sz w:val="21"/>
          <w:szCs w:val="21"/>
          <w:highlight w:val="none"/>
          <w:lang w:val="en-US"/>
        </w:rPr>
        <w:t>为非监狱企业的，不得提供此声明，提供此声明的，声明无效。</w:t>
      </w:r>
    </w:p>
    <w:p w14:paraId="3D943104">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lang w:val="en-US"/>
        </w:rPr>
      </w:pPr>
    </w:p>
    <w:p w14:paraId="482D0EC2">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E711F0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E8514A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7AC8BD2B">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01FE2E55">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7ECF25FF">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4CB8B455">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0077B8D">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685E17D0">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4FE2E39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340DE96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sz w:val="28"/>
          <w:highlight w:val="none"/>
        </w:rPr>
      </w:pPr>
    </w:p>
    <w:p w14:paraId="29CAA7A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right="0" w:firstLine="0" w:firstLineChars="0"/>
        <w:textAlignment w:val="auto"/>
        <w:rPr>
          <w:rFonts w:hint="eastAsia" w:ascii="Calibri" w:hAnsi="Calibri" w:eastAsia="宋体" w:cs="Times New Roman"/>
          <w:b/>
          <w:bCs/>
          <w:color w:val="auto"/>
          <w:kern w:val="2"/>
          <w:sz w:val="28"/>
          <w:szCs w:val="28"/>
          <w:lang w:val="en-US" w:eastAsia="zh-CN" w:bidi="ar-SA"/>
        </w:rPr>
      </w:pPr>
      <w:r>
        <w:rPr>
          <w:rFonts w:hint="eastAsia" w:ascii="Calibri" w:hAnsi="Calibri" w:eastAsia="宋体" w:cs="Times New Roman"/>
          <w:b/>
          <w:bCs/>
          <w:color w:val="auto"/>
          <w:kern w:val="2"/>
          <w:sz w:val="28"/>
          <w:szCs w:val="28"/>
          <w:lang w:val="en-US" w:eastAsia="zh-CN" w:bidi="ar-SA"/>
        </w:rPr>
        <w:br w:type="page"/>
      </w:r>
      <w:r>
        <w:rPr>
          <w:rFonts w:hint="eastAsia" w:ascii="Calibri" w:hAnsi="Calibri" w:eastAsia="宋体" w:cs="Times New Roman"/>
          <w:b/>
          <w:bCs/>
          <w:color w:val="auto"/>
          <w:kern w:val="2"/>
          <w:sz w:val="28"/>
          <w:szCs w:val="28"/>
          <w:lang w:val="en-US" w:eastAsia="zh-CN" w:bidi="ar-SA"/>
        </w:rPr>
        <w:t>格式六：</w:t>
      </w:r>
    </w:p>
    <w:p w14:paraId="36A1782A">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firstLine="0" w:firstLineChars="0"/>
        <w:jc w:val="left"/>
        <w:textAlignment w:val="auto"/>
        <w:rPr>
          <w:rFonts w:hint="eastAsia" w:ascii="仿宋" w:eastAsia="仿宋" w:cs="Times New Roman"/>
          <w:b w:val="0"/>
          <w:color w:val="auto"/>
          <w:sz w:val="24"/>
          <w:szCs w:val="24"/>
          <w:highlight w:val="none"/>
          <w:lang w:val="en-US" w:eastAsia="zh-CN"/>
        </w:rPr>
      </w:pPr>
      <w:r>
        <w:rPr>
          <w:rFonts w:hint="eastAsia" w:ascii="仿宋" w:eastAsia="仿宋" w:cs="Times New Roman"/>
          <w:b w:val="0"/>
          <w:color w:val="auto"/>
          <w:sz w:val="24"/>
          <w:szCs w:val="24"/>
          <w:highlight w:val="none"/>
          <w:lang w:val="en-US" w:eastAsia="zh-CN"/>
        </w:rPr>
        <w:t>（以下格式文件由投标人根据需要选用）</w:t>
      </w:r>
    </w:p>
    <w:p w14:paraId="3EF82732">
      <w:pPr>
        <w:pStyle w:val="100"/>
        <w:rPr>
          <w:lang w:val="en-US" w:eastAsia="zh-CN"/>
        </w:rPr>
      </w:pPr>
    </w:p>
    <w:p w14:paraId="740220B6">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cs="Times New Roman"/>
          <w:b/>
          <w:color w:val="auto"/>
          <w:kern w:val="2"/>
          <w:sz w:val="28"/>
          <w:szCs w:val="28"/>
          <w:highlight w:val="none"/>
          <w:lang w:val="en-US" w:eastAsia="zh-CN" w:bidi="ar-SA"/>
        </w:rPr>
      </w:pPr>
      <w:r>
        <w:rPr>
          <w:rFonts w:ascii="仿宋" w:eastAsia="仿宋" w:cs="Times New Roman"/>
          <w:b/>
          <w:color w:val="auto"/>
          <w:kern w:val="2"/>
          <w:sz w:val="28"/>
          <w:szCs w:val="28"/>
          <w:highlight w:val="none"/>
          <w:lang w:val="en-US" w:eastAsia="zh-CN" w:bidi="ar-SA"/>
        </w:rPr>
        <w:t>残疾人福利性单位声明函</w:t>
      </w:r>
    </w:p>
    <w:p w14:paraId="634D4FA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lang w:val="en-US"/>
        </w:rPr>
      </w:pPr>
    </w:p>
    <w:p w14:paraId="5D096CA1">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w:t>
      </w:r>
      <w:r>
        <w:rPr>
          <w:rFonts w:hint="eastAsia" w:ascii="仿宋" w:eastAsia="仿宋"/>
          <w:b w:val="0"/>
          <w:color w:val="auto"/>
          <w:sz w:val="24"/>
          <w:szCs w:val="24"/>
          <w:highlight w:val="none"/>
          <w:lang w:eastAsia="zh-CN"/>
        </w:rPr>
        <w:t>（由本单位承担工程</w:t>
      </w:r>
      <w:r>
        <w:rPr>
          <w:rFonts w:hint="eastAsia" w:ascii="仿宋" w:eastAsia="仿宋"/>
          <w:b w:val="0"/>
          <w:color w:val="auto"/>
          <w:sz w:val="24"/>
          <w:szCs w:val="24"/>
          <w:highlight w:val="none"/>
          <w:lang w:val="en-US" w:eastAsia="zh-CN"/>
        </w:rPr>
        <w:t>/提供服务</w:t>
      </w:r>
      <w:r>
        <w:rPr>
          <w:rFonts w:hint="eastAsia" w:ascii="仿宋" w:eastAsia="仿宋"/>
          <w:b w:val="0"/>
          <w:color w:val="auto"/>
          <w:sz w:val="24"/>
          <w:szCs w:val="24"/>
          <w:highlight w:val="none"/>
          <w:lang w:eastAsia="zh-CN"/>
        </w:rPr>
        <w:t>）</w:t>
      </w:r>
      <w:r>
        <w:rPr>
          <w:rFonts w:ascii="仿宋" w:eastAsia="仿宋"/>
          <w:b w:val="0"/>
          <w:color w:val="auto"/>
          <w:sz w:val="24"/>
          <w:szCs w:val="24"/>
          <w:highlight w:val="none"/>
        </w:rPr>
        <w:t>，或者提供其他残疾人福利性单位制造的货物（不包括使用非残疾人福利性单位注册商标的货物）。</w:t>
      </w:r>
    </w:p>
    <w:p w14:paraId="39108549">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本单位对上述声明的真实性负责。如有虚假，将依法承担相应责任。</w:t>
      </w:r>
    </w:p>
    <w:p w14:paraId="740F7166">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p>
    <w:p w14:paraId="1237D3E2">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p>
    <w:p w14:paraId="03E15B4E">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单位名称（盖章）：</w:t>
      </w:r>
    </w:p>
    <w:p w14:paraId="5103B7A5">
      <w:pPr>
        <w:pageBreakBefore w:val="0"/>
        <w:widowControl w:val="0"/>
        <w:kinsoku/>
        <w:wordWrap/>
        <w:overflowPunct/>
        <w:topLinePunct w:val="0"/>
        <w:bidi w:val="0"/>
        <w:spacing w:beforeAutospacing="0" w:afterAutospacing="0" w:line="360" w:lineRule="auto"/>
        <w:ind w:left="0" w:right="0"/>
        <w:rPr>
          <w:rFonts w:ascii="仿宋" w:eastAsia="仿宋"/>
          <w:b w:val="0"/>
          <w:color w:val="auto"/>
          <w:sz w:val="24"/>
          <w:szCs w:val="24"/>
          <w:highlight w:val="none"/>
        </w:rPr>
      </w:pPr>
      <w:r>
        <w:rPr>
          <w:rFonts w:ascii="仿宋" w:eastAsia="仿宋"/>
          <w:b w:val="0"/>
          <w:color w:val="auto"/>
          <w:sz w:val="24"/>
          <w:szCs w:val="24"/>
          <w:highlight w:val="none"/>
        </w:rPr>
        <w:t>日  期：</w:t>
      </w:r>
    </w:p>
    <w:p w14:paraId="1112A70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0E752FD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7893CAED">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sz w:val="21"/>
          <w:szCs w:val="21"/>
          <w:highlight w:val="none"/>
        </w:rPr>
      </w:pPr>
      <w:r>
        <w:rPr>
          <w:rFonts w:ascii="仿宋" w:eastAsia="仿宋"/>
          <w:b w:val="0"/>
          <w:color w:val="auto"/>
          <w:sz w:val="21"/>
          <w:szCs w:val="21"/>
          <w:highlight w:val="none"/>
        </w:rPr>
        <w:t>说明：</w:t>
      </w:r>
    </w:p>
    <w:p w14:paraId="4B7C4C8F">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cs="仿宋"/>
          <w:b w:val="0"/>
          <w:color w:val="auto"/>
          <w:kern w:val="2"/>
          <w:sz w:val="21"/>
          <w:szCs w:val="21"/>
          <w:highlight w:val="none"/>
          <w:lang w:val="en-US"/>
        </w:rPr>
      </w:pPr>
      <w:r>
        <w:rPr>
          <w:rFonts w:hint="eastAsia" w:ascii="仿宋" w:eastAsia="仿宋" w:cs="仿宋"/>
          <w:b w:val="0"/>
          <w:color w:val="auto"/>
          <w:kern w:val="2"/>
          <w:sz w:val="21"/>
          <w:szCs w:val="21"/>
          <w:highlight w:val="none"/>
          <w:lang w:val="en-US"/>
        </w:rPr>
        <w:t>1.残疾人福利性单位视同小型、微型企业，享受预留份额等促进中小企业发展的政府采购政策。</w:t>
      </w:r>
    </w:p>
    <w:p w14:paraId="7A083B65">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sz w:val="21"/>
          <w:szCs w:val="21"/>
          <w:highlight w:val="none"/>
          <w:lang w:val="en-US"/>
        </w:rPr>
      </w:pPr>
      <w:r>
        <w:rPr>
          <w:rFonts w:hint="eastAsia" w:ascii="仿宋" w:eastAsia="仿宋" w:cs="仿宋"/>
          <w:b w:val="0"/>
          <w:color w:val="auto"/>
          <w:kern w:val="2"/>
          <w:sz w:val="21"/>
          <w:szCs w:val="21"/>
          <w:highlight w:val="none"/>
          <w:lang w:val="en-US"/>
        </w:rPr>
        <w:t>2.投标人为非残疾人福利性单位的，不得提供此声明，提供此声明的，声明无效。</w:t>
      </w:r>
    </w:p>
    <w:p w14:paraId="65BDD77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lang w:val="en-US"/>
        </w:rPr>
      </w:pPr>
    </w:p>
    <w:p w14:paraId="08C8B220">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4C8D57FF">
      <w:pPr>
        <w:pStyle w:val="102"/>
        <w:rPr>
          <w:rFonts w:hint="eastAsia" w:ascii="仿宋" w:eastAsia="仿宋"/>
          <w:bCs/>
          <w:color w:val="auto"/>
          <w:kern w:val="2"/>
          <w:sz w:val="36"/>
          <w:szCs w:val="36"/>
          <w:highlight w:val="none"/>
          <w:lang w:val="en-US" w:eastAsia="zh-CN"/>
        </w:rPr>
        <w:sectPr>
          <w:pgSz w:w="11906" w:h="16838"/>
          <w:pgMar w:top="1418" w:right="1134" w:bottom="1418" w:left="1701" w:header="850" w:footer="567" w:gutter="0"/>
          <w:cols w:space="720" w:num="1"/>
          <w:titlePg/>
          <w:docGrid w:type="lines" w:linePitch="437" w:charSpace="0"/>
        </w:sectPr>
      </w:pPr>
    </w:p>
    <w:p w14:paraId="4AAA45F6">
      <w:pPr>
        <w:pStyle w:val="62"/>
        <w:jc w:val="left"/>
        <w:rPr>
          <w:rFonts w:hint="eastAsia" w:ascii="仿宋" w:eastAsia="仿宋"/>
          <w:bCs/>
          <w:color w:val="auto"/>
          <w:kern w:val="2"/>
          <w:sz w:val="36"/>
          <w:szCs w:val="36"/>
          <w:highlight w:val="none"/>
          <w:lang w:val="en-US" w:eastAsia="zh-CN"/>
        </w:rPr>
      </w:pPr>
      <w:r>
        <w:rPr>
          <w:rFonts w:hint="eastAsia" w:eastAsia="宋体" w:cs="Times New Roman"/>
          <w:b/>
          <w:bCs/>
          <w:sz w:val="28"/>
          <w:szCs w:val="28"/>
          <w:lang w:val="en-US" w:eastAsia="zh-CN"/>
        </w:rPr>
        <w:t>格式七：</w:t>
      </w:r>
    </w:p>
    <w:p w14:paraId="10ABAE20">
      <w:pPr>
        <w:pStyle w:val="62"/>
        <w:jc w:val="center"/>
        <w:rPr>
          <w:rFonts w:hint="eastAsia" w:ascii="仿宋" w:eastAsia="仿宋" w:cs="仿宋"/>
          <w:b/>
          <w:bCs w:val="0"/>
          <w:color w:val="auto"/>
          <w:kern w:val="2"/>
          <w:sz w:val="28"/>
          <w:szCs w:val="28"/>
          <w:highlight w:val="none"/>
          <w:lang w:val="en-US"/>
        </w:rPr>
      </w:pPr>
    </w:p>
    <w:p w14:paraId="3EBE2B56">
      <w:pPr>
        <w:pStyle w:val="62"/>
        <w:jc w:val="center"/>
        <w:rPr>
          <w:rFonts w:hint="eastAsia" w:ascii="仿宋" w:eastAsia="仿宋" w:cs="仿宋"/>
          <w:b/>
          <w:bCs w:val="0"/>
          <w:color w:val="auto"/>
          <w:kern w:val="2"/>
          <w:sz w:val="28"/>
          <w:szCs w:val="28"/>
          <w:highlight w:val="none"/>
          <w:lang w:val="en-US" w:eastAsia="zh-CN" w:bidi="ar-SA"/>
        </w:rPr>
      </w:pPr>
      <w:r>
        <w:rPr>
          <w:rFonts w:hint="eastAsia" w:ascii="仿宋" w:eastAsia="仿宋" w:cs="仿宋"/>
          <w:b/>
          <w:bCs w:val="0"/>
          <w:color w:val="auto"/>
          <w:kern w:val="2"/>
          <w:sz w:val="28"/>
          <w:szCs w:val="28"/>
          <w:highlight w:val="none"/>
          <w:lang w:val="en-US"/>
        </w:rPr>
        <w:t>《反商业贿赂承诺书》</w:t>
      </w:r>
    </w:p>
    <w:p w14:paraId="7D429514">
      <w:pPr>
        <w:pStyle w:val="62"/>
        <w:ind w:left="0" w:firstLine="0" w:firstLineChars="0"/>
        <w:rPr>
          <w:rFonts w:hint="eastAsia" w:ascii="仿宋" w:eastAsia="仿宋" w:cs="仿宋"/>
          <w:b w:val="0"/>
          <w:bCs/>
          <w:color w:val="auto"/>
          <w:kern w:val="2"/>
          <w:sz w:val="24"/>
          <w:szCs w:val="24"/>
          <w:highlight w:val="none"/>
          <w:lang w:val="en-US" w:eastAsia="zh-CN" w:bidi="ar-SA"/>
        </w:rPr>
      </w:pPr>
    </w:p>
    <w:p w14:paraId="3E6187EB">
      <w:pPr>
        <w:pStyle w:val="62"/>
        <w:ind w:left="0" w:firstLine="720" w:firstLineChars="300"/>
        <w:rPr>
          <w:rFonts w:hint="eastAsia" w:ascii="仿宋" w:eastAsia="仿宋" w:cs="仿宋"/>
          <w:b w:val="0"/>
          <w:bCs/>
          <w:color w:val="auto"/>
          <w:kern w:val="2"/>
          <w:sz w:val="24"/>
          <w:szCs w:val="24"/>
          <w:highlight w:val="none"/>
          <w:lang w:val="en-US" w:eastAsia="zh-CN" w:bidi="ar-SA"/>
        </w:rPr>
      </w:pPr>
      <w:r>
        <w:rPr>
          <w:rFonts w:hint="eastAsia" w:ascii="仿宋" w:eastAsia="仿宋" w:cs="仿宋"/>
          <w:b w:val="0"/>
          <w:bCs/>
          <w:color w:val="auto"/>
          <w:kern w:val="2"/>
          <w:sz w:val="24"/>
          <w:szCs w:val="24"/>
          <w:highlight w:val="none"/>
          <w:lang w:val="en-US" w:eastAsia="zh-CN" w:bidi="ar-SA"/>
        </w:rPr>
        <w:t>我公司承诺在</w:t>
      </w:r>
      <w:r>
        <w:rPr>
          <w:rFonts w:hint="eastAsia" w:ascii="仿宋" w:eastAsia="仿宋" w:cs="仿宋"/>
          <w:b w:val="0"/>
          <w:bCs/>
          <w:color w:val="auto"/>
          <w:kern w:val="2"/>
          <w:sz w:val="24"/>
          <w:szCs w:val="24"/>
          <w:highlight w:val="none"/>
          <w:u w:val="single"/>
          <w:lang w:val="en-US" w:eastAsia="zh-CN" w:bidi="ar-SA"/>
        </w:rPr>
        <w:t xml:space="preserve">           （</w:t>
      </w:r>
      <w:r>
        <w:rPr>
          <w:rFonts w:hint="eastAsia" w:ascii="仿宋" w:eastAsia="仿宋" w:cs="仿宋"/>
          <w:b w:val="0"/>
          <w:bCs/>
          <w:color w:val="auto"/>
          <w:kern w:val="2"/>
          <w:sz w:val="24"/>
          <w:szCs w:val="24"/>
          <w:highlight w:val="none"/>
          <w:lang w:val="en-US" w:eastAsia="zh-CN" w:bidi="ar-SA"/>
        </w:rPr>
        <w:t>项目名称、项目编号）招标活动中，不给予国家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 《反不正当竞争法》的有关规定接受处罚。</w:t>
      </w:r>
    </w:p>
    <w:p w14:paraId="2D58DCA1">
      <w:pPr>
        <w:pStyle w:val="62"/>
        <w:rPr>
          <w:rFonts w:hint="eastAsia" w:ascii="仿宋" w:eastAsia="仿宋" w:cs="仿宋"/>
          <w:b w:val="0"/>
          <w:bCs/>
          <w:color w:val="auto"/>
          <w:kern w:val="2"/>
          <w:sz w:val="24"/>
          <w:szCs w:val="24"/>
          <w:highlight w:val="none"/>
          <w:lang w:val="en-US" w:eastAsia="zh-CN" w:bidi="ar-SA"/>
        </w:rPr>
      </w:pPr>
    </w:p>
    <w:p w14:paraId="57672044">
      <w:pPr>
        <w:pStyle w:val="62"/>
        <w:rPr>
          <w:rFonts w:hint="eastAsia" w:ascii="仿宋" w:eastAsia="仿宋" w:cs="仿宋"/>
          <w:b w:val="0"/>
          <w:bCs/>
          <w:color w:val="auto"/>
          <w:kern w:val="2"/>
          <w:sz w:val="24"/>
          <w:szCs w:val="24"/>
          <w:highlight w:val="none"/>
          <w:lang w:val="en-US" w:eastAsia="zh-CN" w:bidi="ar-SA"/>
        </w:rPr>
      </w:pPr>
    </w:p>
    <w:p w14:paraId="426E7C5B">
      <w:pPr>
        <w:pStyle w:val="62"/>
        <w:rPr>
          <w:rFonts w:hint="eastAsia" w:ascii="仿宋" w:eastAsia="仿宋" w:cs="仿宋"/>
          <w:b w:val="0"/>
          <w:bCs/>
          <w:color w:val="auto"/>
          <w:kern w:val="2"/>
          <w:sz w:val="24"/>
          <w:szCs w:val="24"/>
          <w:highlight w:val="none"/>
          <w:lang w:val="en-US" w:eastAsia="zh-CN" w:bidi="ar-SA"/>
        </w:rPr>
      </w:pPr>
    </w:p>
    <w:p w14:paraId="268EAFB7">
      <w:pPr>
        <w:pStyle w:val="62"/>
        <w:jc w:val="center"/>
        <w:rPr>
          <w:rFonts w:hint="eastAsia" w:ascii="仿宋" w:eastAsia="仿宋" w:cs="仿宋"/>
          <w:b w:val="0"/>
          <w:bCs/>
          <w:color w:val="auto"/>
          <w:kern w:val="2"/>
          <w:sz w:val="24"/>
          <w:szCs w:val="24"/>
          <w:highlight w:val="none"/>
          <w:lang w:val="en-US" w:eastAsia="zh-CN" w:bidi="ar-SA"/>
        </w:rPr>
      </w:pPr>
      <w:r>
        <w:rPr>
          <w:rFonts w:hint="eastAsia" w:ascii="仿宋" w:eastAsia="仿宋" w:cs="仿宋"/>
          <w:b w:val="0"/>
          <w:bCs/>
          <w:color w:val="auto"/>
          <w:kern w:val="2"/>
          <w:sz w:val="24"/>
          <w:szCs w:val="24"/>
          <w:highlight w:val="none"/>
          <w:lang w:val="en-US" w:eastAsia="zh-CN" w:bidi="ar-SA"/>
        </w:rPr>
        <w:t xml:space="preserve">                    投标人名称（盖单位章）： </w:t>
      </w:r>
    </w:p>
    <w:p w14:paraId="5E13D818">
      <w:pPr>
        <w:pStyle w:val="62"/>
        <w:jc w:val="right"/>
        <w:rPr>
          <w:rFonts w:hint="eastAsia" w:ascii="仿宋" w:eastAsia="仿宋" w:cs="仿宋"/>
          <w:b w:val="0"/>
          <w:bCs/>
          <w:color w:val="auto"/>
          <w:kern w:val="2"/>
          <w:sz w:val="24"/>
          <w:szCs w:val="24"/>
          <w:highlight w:val="none"/>
          <w:lang w:val="en-US" w:eastAsia="zh-CN" w:bidi="ar-SA"/>
        </w:rPr>
      </w:pPr>
      <w:r>
        <w:rPr>
          <w:rFonts w:hint="eastAsia" w:ascii="仿宋" w:eastAsia="仿宋" w:cs="仿宋"/>
          <w:b w:val="0"/>
          <w:bCs/>
          <w:color w:val="auto"/>
          <w:kern w:val="2"/>
          <w:sz w:val="24"/>
          <w:szCs w:val="24"/>
          <w:highlight w:val="none"/>
          <w:lang w:val="en-US" w:eastAsia="zh-CN" w:bidi="ar-SA"/>
        </w:rPr>
        <w:t xml:space="preserve">  法定代表人或其委托代理人（签字或盖章）： </w:t>
      </w:r>
    </w:p>
    <w:p w14:paraId="3A0D3A99">
      <w:pPr>
        <w:pStyle w:val="62"/>
        <w:jc w:val="center"/>
        <w:rPr>
          <w:rFonts w:hint="eastAsia" w:ascii="仿宋" w:eastAsia="仿宋" w:cs="仿宋"/>
          <w:b w:val="0"/>
          <w:bCs/>
          <w:color w:val="auto"/>
          <w:kern w:val="2"/>
          <w:sz w:val="24"/>
          <w:szCs w:val="24"/>
          <w:highlight w:val="none"/>
          <w:lang w:val="en-US" w:eastAsia="zh-CN" w:bidi="ar-SA"/>
        </w:rPr>
      </w:pPr>
      <w:r>
        <w:rPr>
          <w:rFonts w:hint="eastAsia" w:ascii="仿宋" w:eastAsia="仿宋" w:cs="仿宋"/>
          <w:b w:val="0"/>
          <w:bCs/>
          <w:color w:val="auto"/>
          <w:kern w:val="2"/>
          <w:sz w:val="24"/>
          <w:szCs w:val="24"/>
          <w:highlight w:val="none"/>
          <w:lang w:val="en-US" w:eastAsia="zh-CN" w:bidi="ar-SA"/>
        </w:rPr>
        <w:t xml:space="preserve">      日   期： </w:t>
      </w:r>
    </w:p>
    <w:p w14:paraId="21606BF9">
      <w:pPr>
        <w:pStyle w:val="102"/>
        <w:rPr>
          <w:rFonts w:hint="eastAsia" w:ascii="仿宋" w:eastAsia="仿宋"/>
          <w:bCs/>
          <w:color w:val="auto"/>
          <w:kern w:val="2"/>
          <w:sz w:val="36"/>
          <w:szCs w:val="36"/>
          <w:highlight w:val="none"/>
          <w:lang w:val="en-US" w:eastAsia="zh-CN"/>
        </w:rPr>
        <w:sectPr>
          <w:pgSz w:w="11906" w:h="16838"/>
          <w:pgMar w:top="1418" w:right="1134" w:bottom="1418" w:left="1701" w:header="850" w:footer="567" w:gutter="0"/>
          <w:cols w:space="720" w:num="1"/>
          <w:titlePg/>
          <w:docGrid w:type="lines" w:linePitch="437" w:charSpace="0"/>
        </w:sectPr>
      </w:pPr>
    </w:p>
    <w:p w14:paraId="217EC99D">
      <w:pPr>
        <w:pStyle w:val="102"/>
        <w:rPr>
          <w:rFonts w:hint="eastAsia" w:ascii="仿宋" w:eastAsia="仿宋"/>
          <w:bCs/>
          <w:color w:val="auto"/>
          <w:kern w:val="2"/>
          <w:sz w:val="36"/>
          <w:szCs w:val="36"/>
          <w:highlight w:val="none"/>
          <w:lang w:val="en-US" w:eastAsia="zh-CN"/>
        </w:rPr>
      </w:pPr>
    </w:p>
    <w:p w14:paraId="19569C9C">
      <w:pPr>
        <w:pStyle w:val="102"/>
        <w:rPr>
          <w:rFonts w:hint="eastAsia" w:ascii="仿宋" w:eastAsia="仿宋"/>
          <w:bCs/>
          <w:color w:val="auto"/>
          <w:kern w:val="2"/>
          <w:sz w:val="36"/>
          <w:szCs w:val="36"/>
          <w:highlight w:val="none"/>
          <w:lang w:val="en-US" w:eastAsia="zh-CN"/>
        </w:rPr>
      </w:pPr>
    </w:p>
    <w:p w14:paraId="510ACE37">
      <w:pPr>
        <w:pStyle w:val="102"/>
        <w:rPr>
          <w:rFonts w:hint="eastAsia" w:ascii="仿宋" w:eastAsia="仿宋"/>
          <w:bCs/>
          <w:color w:val="auto"/>
          <w:kern w:val="2"/>
          <w:sz w:val="36"/>
          <w:szCs w:val="36"/>
          <w:highlight w:val="none"/>
          <w:lang w:val="en-US" w:eastAsia="zh-CN"/>
        </w:rPr>
      </w:pPr>
    </w:p>
    <w:p w14:paraId="46A7E026">
      <w:pPr>
        <w:pStyle w:val="102"/>
        <w:rPr>
          <w:rFonts w:hint="eastAsia" w:ascii="仿宋" w:eastAsia="仿宋"/>
          <w:bCs/>
          <w:color w:val="auto"/>
          <w:kern w:val="2"/>
          <w:sz w:val="36"/>
          <w:szCs w:val="36"/>
          <w:highlight w:val="none"/>
          <w:lang w:val="en-US" w:eastAsia="zh-CN"/>
        </w:rPr>
      </w:pPr>
    </w:p>
    <w:p w14:paraId="1C75BF3F">
      <w:pPr>
        <w:pStyle w:val="3"/>
        <w:bidi w:val="0"/>
        <w:ind w:left="0" w:leftChars="0" w:firstLine="0" w:firstLineChars="0"/>
        <w:jc w:val="center"/>
        <w:rPr>
          <w:rFonts w:hint="eastAsia" w:ascii="仿宋" w:eastAsia="仿宋" w:cs="Times New Roman"/>
          <w:b/>
          <w:bCs/>
          <w:color w:val="auto"/>
          <w:kern w:val="2"/>
          <w:sz w:val="48"/>
          <w:szCs w:val="48"/>
          <w:lang w:val="en-US" w:eastAsia="zh-CN" w:bidi="ar-SA"/>
        </w:rPr>
      </w:pPr>
      <w:bookmarkStart w:id="343" w:name="_Toc25092"/>
      <w:r>
        <w:rPr>
          <w:rFonts w:hint="eastAsia" w:ascii="仿宋" w:eastAsia="仿宋" w:cs="Times New Roman"/>
          <w:b/>
          <w:bCs/>
          <w:color w:val="auto"/>
          <w:kern w:val="2"/>
          <w:sz w:val="48"/>
          <w:szCs w:val="48"/>
          <w:lang w:val="en-US" w:eastAsia="zh-CN" w:bidi="ar-SA"/>
        </w:rPr>
        <w:t>二、报价文件</w:t>
      </w:r>
      <w:bookmarkEnd w:id="343"/>
    </w:p>
    <w:p w14:paraId="4C573CC0">
      <w:pPr>
        <w:tabs>
          <w:tab w:val="left" w:pos="567"/>
        </w:tabs>
        <w:bidi w:val="0"/>
        <w:jc w:val="both"/>
        <w:outlineLvl w:val="9"/>
        <w:rPr>
          <w:rFonts w:ascii="仿宋" w:eastAsia="仿宋"/>
          <w:b w:val="0"/>
          <w:color w:val="auto"/>
          <w:kern w:val="2"/>
          <w:sz w:val="24"/>
          <w:szCs w:val="24"/>
          <w:lang w:val="en-US"/>
        </w:rPr>
      </w:pPr>
      <w:bookmarkStart w:id="344" w:name="_Toc31535"/>
    </w:p>
    <w:bookmarkEnd w:id="344"/>
    <w:p w14:paraId="1D3FDB7E">
      <w:pPr>
        <w:ind w:left="0" w:firstLine="0" w:firstLineChars="0"/>
        <w:rPr>
          <w:rFonts w:hint="eastAsia"/>
          <w:lang w:val="en-US" w:eastAsia="zh-CN"/>
        </w:rPr>
        <w:sectPr>
          <w:pgSz w:w="11906" w:h="16838"/>
          <w:pgMar w:top="1418" w:right="1134" w:bottom="1418" w:left="1701" w:header="850" w:footer="567" w:gutter="0"/>
          <w:cols w:space="720" w:num="1"/>
          <w:titlePg/>
          <w:docGrid w:type="lines" w:linePitch="437" w:charSpace="0"/>
        </w:sectPr>
      </w:pPr>
    </w:p>
    <w:p w14:paraId="52FF5553">
      <w:pPr>
        <w:pStyle w:val="5"/>
        <w:bidi w:val="0"/>
        <w:rPr>
          <w:lang w:val="en-US"/>
        </w:rPr>
      </w:pPr>
      <w:bookmarkStart w:id="345" w:name="_Toc494198602"/>
      <w:r>
        <w:rPr>
          <w:rFonts w:hint="eastAsia"/>
          <w:lang w:val="en-US" w:eastAsia="zh-CN"/>
        </w:rPr>
        <w:t>1.开标</w:t>
      </w:r>
      <w:r>
        <w:rPr>
          <w:lang w:val="en-US"/>
        </w:rPr>
        <w:t>一览表</w:t>
      </w:r>
    </w:p>
    <w:p w14:paraId="4DDBC3A4">
      <w:pPr>
        <w:keepNext w:val="0"/>
        <w:keepLines w:val="0"/>
        <w:pageBreakBefore w:val="0"/>
        <w:widowControl w:val="0"/>
        <w:kinsoku/>
        <w:wordWrap/>
        <w:overflowPunct/>
        <w:topLinePunct w:val="0"/>
        <w:autoSpaceDE/>
        <w:autoSpaceDN/>
        <w:bidi w:val="0"/>
        <w:adjustRightInd/>
        <w:snapToGrid w:val="0"/>
        <w:spacing w:line="320" w:lineRule="exac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采购项目名称：</w:t>
      </w:r>
    </w:p>
    <w:p w14:paraId="4DB9122B">
      <w:pPr>
        <w:keepNext w:val="0"/>
        <w:keepLines w:val="0"/>
        <w:pageBreakBefore w:val="0"/>
        <w:widowControl w:val="0"/>
        <w:kinsoku/>
        <w:wordWrap/>
        <w:overflowPunct/>
        <w:topLinePunct w:val="0"/>
        <w:autoSpaceDE/>
        <w:autoSpaceDN/>
        <w:bidi w:val="0"/>
        <w:adjustRightInd/>
        <w:snapToGrid w:val="0"/>
        <w:spacing w:line="320" w:lineRule="exac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采购项目编号：</w:t>
      </w:r>
    </w:p>
    <w:p w14:paraId="39B9C52F">
      <w:pPr>
        <w:keepNext w:val="0"/>
        <w:keepLines w:val="0"/>
        <w:pageBreakBefore w:val="0"/>
        <w:widowControl w:val="0"/>
        <w:kinsoku/>
        <w:wordWrap/>
        <w:overflowPunct/>
        <w:topLinePunct w:val="0"/>
        <w:autoSpaceDE/>
        <w:autoSpaceDN/>
        <w:bidi w:val="0"/>
        <w:adjustRightInd/>
        <w:spacing w:beforeAutospacing="0" w:afterAutospacing="0" w:line="320" w:lineRule="exact"/>
        <w:ind w:left="0" w:right="0"/>
        <w:textAlignment w:val="auto"/>
        <w:rPr>
          <w:rFonts w:ascii="仿宋" w:eastAsia="仿宋"/>
          <w:b w:val="0"/>
          <w:color w:val="auto"/>
          <w:kern w:val="2"/>
          <w:sz w:val="24"/>
          <w:szCs w:val="24"/>
          <w:u w:val="single"/>
          <w:lang w:val="en-US" w:eastAsia="zh-CN"/>
        </w:rPr>
      </w:pPr>
      <w:r>
        <w:rPr>
          <w:rFonts w:hint="eastAsia" w:ascii="仿宋" w:eastAsia="仿宋"/>
          <w:b w:val="0"/>
          <w:color w:val="auto"/>
          <w:kern w:val="2"/>
          <w:sz w:val="24"/>
          <w:szCs w:val="24"/>
          <w:highlight w:val="none"/>
          <w:lang w:val="en-US" w:eastAsia="zh-CN"/>
        </w:rPr>
        <w:t>标项/包号</w:t>
      </w:r>
      <w:r>
        <w:rPr>
          <w:rFonts w:ascii="仿宋" w:eastAsia="仿宋" w:cs="Times New Roman"/>
          <w:b/>
          <w:color w:val="auto"/>
          <w:kern w:val="2"/>
          <w:sz w:val="24"/>
          <w:szCs w:val="24"/>
          <w:highlight w:val="none"/>
          <w:lang w:val="en-US"/>
        </w:rPr>
        <w:t>：</w:t>
      </w:r>
      <w:r>
        <w:rPr>
          <w:rFonts w:hint="eastAsia" w:ascii="仿宋" w:eastAsia="仿宋"/>
          <w:b w:val="0"/>
          <w:color w:val="auto"/>
          <w:kern w:val="2"/>
          <w:sz w:val="24"/>
          <w:szCs w:val="24"/>
          <w:u w:val="none"/>
          <w:lang w:val="en-US" w:eastAsia="zh-CN"/>
        </w:rPr>
        <w:t xml:space="preserve">        </w:t>
      </w:r>
    </w:p>
    <w:tbl>
      <w:tblPr>
        <w:tblStyle w:val="80"/>
        <w:tblpPr w:leftFromText="180" w:rightFromText="180" w:vertAnchor="text" w:horzAnchor="page" w:tblpX="1546" w:tblpY="157"/>
        <w:tblOverlap w:val="never"/>
        <w:tblW w:w="134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5"/>
        <w:gridCol w:w="3460"/>
        <w:gridCol w:w="1866"/>
        <w:gridCol w:w="2157"/>
        <w:gridCol w:w="5119"/>
      </w:tblGrid>
      <w:tr w14:paraId="7A430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95" w:type="dxa"/>
            <w:noWrap w:val="0"/>
            <w:vAlign w:val="center"/>
          </w:tcPr>
          <w:p w14:paraId="3966739E">
            <w:pPr>
              <w:keepNext w:val="0"/>
              <w:keepLines w:val="0"/>
              <w:pageBreakBefore w:val="0"/>
              <w:widowControl w:val="0"/>
              <w:kinsoku/>
              <w:wordWrap/>
              <w:overflowPunct/>
              <w:topLinePunct w:val="0"/>
              <w:autoSpaceDE/>
              <w:autoSpaceDN/>
              <w:bidi w:val="0"/>
              <w:adjustRightInd/>
              <w:spacing w:beforeAutospacing="0" w:afterAutospacing="0" w:line="320" w:lineRule="exact"/>
              <w:ind w:left="0" w:leftChars="0" w:right="0" w:rightChars="0" w:firstLine="0" w:firstLineChars="0"/>
              <w:jc w:val="center"/>
              <w:textAlignment w:val="auto"/>
              <w:rPr>
                <w:rFonts w:hint="eastAsia" w:ascii="仿宋" w:hAnsi="仿宋" w:eastAsia="仿宋"/>
                <w:b w:val="0"/>
                <w:color w:val="auto"/>
                <w:kern w:val="2"/>
                <w:sz w:val="24"/>
                <w:szCs w:val="24"/>
                <w:lang w:val="en-US" w:eastAsia="zh-CN"/>
              </w:rPr>
            </w:pPr>
            <w:r>
              <w:rPr>
                <w:rFonts w:hint="eastAsia" w:ascii="仿宋" w:hAnsi="仿宋" w:eastAsia="仿宋"/>
                <w:b w:val="0"/>
                <w:color w:val="auto"/>
                <w:kern w:val="2"/>
                <w:sz w:val="24"/>
                <w:szCs w:val="24"/>
                <w:lang w:val="en-US" w:eastAsia="zh-CN"/>
              </w:rPr>
              <w:t>序号</w:t>
            </w:r>
          </w:p>
        </w:tc>
        <w:tc>
          <w:tcPr>
            <w:tcW w:w="3460" w:type="dxa"/>
            <w:noWrap w:val="0"/>
            <w:vAlign w:val="center"/>
          </w:tcPr>
          <w:p w14:paraId="1DEA495E">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left="0" w:leftChars="0" w:right="0" w:rightChars="0" w:firstLine="0" w:firstLineChars="0"/>
              <w:jc w:val="center"/>
              <w:textAlignment w:val="auto"/>
              <w:rPr>
                <w:rFonts w:hint="eastAsia" w:ascii="仿宋" w:hAnsi="仿宋" w:eastAsia="仿宋"/>
                <w:b w:val="0"/>
                <w:color w:val="auto"/>
                <w:kern w:val="2"/>
                <w:sz w:val="24"/>
                <w:szCs w:val="24"/>
                <w:lang w:val="en-US" w:eastAsia="zh-CN"/>
              </w:rPr>
            </w:pPr>
            <w:r>
              <w:rPr>
                <w:rFonts w:hint="eastAsia" w:ascii="仿宋" w:hAnsi="仿宋" w:eastAsia="仿宋"/>
                <w:b w:val="0"/>
                <w:color w:val="auto"/>
                <w:kern w:val="2"/>
                <w:sz w:val="24"/>
                <w:szCs w:val="24"/>
                <w:lang w:val="en-US" w:eastAsia="zh-CN"/>
              </w:rPr>
              <w:t>餐费及服务费报价 (元/人/天)</w:t>
            </w:r>
          </w:p>
          <w:p w14:paraId="24A359AE">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left="0" w:leftChars="0" w:right="0" w:rightChars="0" w:firstLine="0" w:firstLineChars="0"/>
              <w:jc w:val="center"/>
              <w:textAlignment w:val="auto"/>
              <w:rPr>
                <w:rFonts w:hint="eastAsia" w:ascii="仿宋" w:hAnsi="仿宋" w:eastAsia="仿宋"/>
                <w:b w:val="0"/>
                <w:color w:val="auto"/>
                <w:kern w:val="2"/>
                <w:sz w:val="24"/>
                <w:szCs w:val="24"/>
                <w:lang w:val="en-US" w:eastAsia="zh-CN"/>
              </w:rPr>
            </w:pPr>
            <w:r>
              <w:rPr>
                <w:rFonts w:hint="eastAsia" w:ascii="仿宋" w:hAnsi="仿宋" w:eastAsia="仿宋"/>
                <w:b w:val="0"/>
                <w:color w:val="auto"/>
                <w:kern w:val="2"/>
                <w:sz w:val="24"/>
                <w:szCs w:val="24"/>
                <w:lang w:val="en-US" w:eastAsia="zh-CN"/>
              </w:rPr>
              <w:t>（按单价报价，按月据实结算）</w:t>
            </w:r>
          </w:p>
        </w:tc>
        <w:tc>
          <w:tcPr>
            <w:tcW w:w="1866" w:type="dxa"/>
            <w:noWrap w:val="0"/>
            <w:vAlign w:val="center"/>
          </w:tcPr>
          <w:p w14:paraId="0DA3333D">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仿宋" w:hAnsi="仿宋" w:eastAsia="仿宋"/>
                <w:b w:val="0"/>
                <w:color w:val="auto"/>
                <w:kern w:val="2"/>
                <w:sz w:val="24"/>
                <w:szCs w:val="24"/>
                <w:lang w:val="en-US"/>
              </w:rPr>
            </w:pPr>
            <w:r>
              <w:rPr>
                <w:rFonts w:hint="default" w:ascii="仿宋" w:hAnsi="仿宋" w:eastAsia="仿宋"/>
                <w:b w:val="0"/>
                <w:color w:val="auto"/>
                <w:kern w:val="2"/>
                <w:sz w:val="24"/>
                <w:szCs w:val="24"/>
                <w:lang w:val="en-US"/>
              </w:rPr>
              <w:t>合同履行期限</w:t>
            </w:r>
          </w:p>
        </w:tc>
        <w:tc>
          <w:tcPr>
            <w:tcW w:w="2157" w:type="dxa"/>
            <w:noWrap w:val="0"/>
            <w:vAlign w:val="center"/>
          </w:tcPr>
          <w:p w14:paraId="1F906D7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ascii="仿宋" w:hAnsi="仿宋" w:eastAsia="仿宋"/>
                <w:b w:val="0"/>
                <w:color w:val="auto"/>
                <w:kern w:val="2"/>
                <w:sz w:val="24"/>
                <w:szCs w:val="24"/>
                <w:lang w:val="en-US"/>
              </w:rPr>
            </w:pPr>
            <w:r>
              <w:rPr>
                <w:rFonts w:hint="eastAsia" w:ascii="仿宋" w:hAnsi="仿宋" w:eastAsia="仿宋"/>
                <w:b w:val="0"/>
                <w:color w:val="auto"/>
                <w:kern w:val="2"/>
                <w:sz w:val="24"/>
                <w:szCs w:val="24"/>
                <w:lang w:val="en-US"/>
              </w:rPr>
              <w:t>保证金缴纳方式</w:t>
            </w:r>
          </w:p>
        </w:tc>
        <w:tc>
          <w:tcPr>
            <w:tcW w:w="5119" w:type="dxa"/>
            <w:noWrap w:val="0"/>
            <w:vAlign w:val="center"/>
          </w:tcPr>
          <w:p w14:paraId="24FBB365">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left="0" w:leftChars="0" w:right="0" w:rightChars="0" w:firstLine="0" w:firstLineChars="0"/>
              <w:jc w:val="center"/>
              <w:textAlignment w:val="auto"/>
              <w:rPr>
                <w:rFonts w:ascii="仿宋" w:hAnsi="仿宋" w:eastAsia="仿宋"/>
                <w:b w:val="0"/>
                <w:color w:val="auto"/>
                <w:kern w:val="2"/>
                <w:sz w:val="24"/>
                <w:szCs w:val="24"/>
                <w:lang w:val="en-US"/>
              </w:rPr>
            </w:pPr>
            <w:r>
              <w:rPr>
                <w:rFonts w:ascii="仿宋" w:hAnsi="仿宋" w:eastAsia="仿宋"/>
                <w:b w:val="0"/>
                <w:color w:val="auto"/>
                <w:kern w:val="2"/>
                <w:sz w:val="24"/>
                <w:szCs w:val="24"/>
                <w:lang w:val="en-US"/>
              </w:rPr>
              <w:t>备注</w:t>
            </w:r>
          </w:p>
        </w:tc>
      </w:tr>
      <w:tr w14:paraId="1CE0C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6" w:hRule="atLeast"/>
        </w:trPr>
        <w:tc>
          <w:tcPr>
            <w:tcW w:w="895" w:type="dxa"/>
            <w:noWrap w:val="0"/>
            <w:vAlign w:val="center"/>
          </w:tcPr>
          <w:p w14:paraId="450C767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仿宋" w:hAnsi="仿宋" w:eastAsia="仿宋"/>
                <w:b w:val="0"/>
                <w:color w:val="auto"/>
                <w:kern w:val="2"/>
                <w:sz w:val="24"/>
                <w:szCs w:val="24"/>
                <w:lang w:val="en-US" w:eastAsia="zh-CN"/>
              </w:rPr>
            </w:pPr>
            <w:r>
              <w:rPr>
                <w:rFonts w:hint="eastAsia" w:ascii="仿宋" w:hAnsi="仿宋" w:eastAsia="仿宋"/>
                <w:b w:val="0"/>
                <w:color w:val="auto"/>
                <w:kern w:val="2"/>
                <w:sz w:val="24"/>
                <w:szCs w:val="24"/>
                <w:lang w:val="en-US" w:eastAsia="zh-CN"/>
              </w:rPr>
              <w:t>1</w:t>
            </w:r>
          </w:p>
        </w:tc>
        <w:tc>
          <w:tcPr>
            <w:tcW w:w="3460" w:type="dxa"/>
            <w:noWrap w:val="0"/>
            <w:vAlign w:val="center"/>
          </w:tcPr>
          <w:p w14:paraId="38E83DD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ascii="仿宋" w:hAnsi="仿宋" w:eastAsia="仿宋"/>
                <w:b w:val="0"/>
                <w:color w:val="auto"/>
                <w:kern w:val="2"/>
                <w:sz w:val="24"/>
                <w:szCs w:val="24"/>
                <w:lang w:val="en-US"/>
              </w:rPr>
            </w:pPr>
            <w:r>
              <w:rPr>
                <w:rFonts w:hint="eastAsia" w:ascii="仿宋" w:hAnsi="仿宋" w:eastAsia="仿宋"/>
                <w:b w:val="0"/>
                <w:color w:val="auto"/>
                <w:kern w:val="2"/>
                <w:sz w:val="24"/>
                <w:szCs w:val="24"/>
                <w:u w:val="single"/>
                <w:lang w:val="en-US" w:eastAsia="zh-CN"/>
              </w:rPr>
              <w:t xml:space="preserve">       </w:t>
            </w:r>
            <w:r>
              <w:rPr>
                <w:rFonts w:hint="eastAsia" w:ascii="仿宋" w:hAnsi="仿宋" w:eastAsia="仿宋"/>
                <w:b w:val="0"/>
                <w:color w:val="auto"/>
                <w:kern w:val="2"/>
                <w:sz w:val="24"/>
                <w:szCs w:val="24"/>
                <w:lang w:val="en-US" w:eastAsia="zh-CN"/>
              </w:rPr>
              <w:t>(元/人/天)</w:t>
            </w:r>
          </w:p>
        </w:tc>
        <w:tc>
          <w:tcPr>
            <w:tcW w:w="1866" w:type="dxa"/>
            <w:noWrap w:val="0"/>
            <w:vAlign w:val="center"/>
          </w:tcPr>
          <w:p w14:paraId="35C8C90F">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ascii="仿宋" w:hAnsi="仿宋" w:eastAsia="仿宋"/>
                <w:b w:val="0"/>
                <w:color w:val="auto"/>
                <w:kern w:val="2"/>
                <w:sz w:val="24"/>
                <w:szCs w:val="24"/>
                <w:lang w:val="en-US"/>
              </w:rPr>
            </w:pPr>
          </w:p>
        </w:tc>
        <w:tc>
          <w:tcPr>
            <w:tcW w:w="2157" w:type="dxa"/>
            <w:noWrap w:val="0"/>
            <w:vAlign w:val="center"/>
          </w:tcPr>
          <w:p w14:paraId="15A7F6D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ascii="仿宋" w:hAnsi="仿宋" w:eastAsia="仿宋"/>
                <w:b w:val="0"/>
                <w:color w:val="auto"/>
                <w:kern w:val="2"/>
                <w:sz w:val="24"/>
                <w:szCs w:val="24"/>
                <w:lang w:val="en-US"/>
              </w:rPr>
            </w:pPr>
          </w:p>
        </w:tc>
        <w:tc>
          <w:tcPr>
            <w:tcW w:w="5119" w:type="dxa"/>
            <w:noWrap w:val="0"/>
            <w:vAlign w:val="center"/>
          </w:tcPr>
          <w:p w14:paraId="262A51F5">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left"/>
              <w:textAlignment w:val="auto"/>
              <w:rPr>
                <w:rFonts w:hint="eastAsia" w:ascii="仿宋" w:hAnsi="仿宋" w:eastAsia="仿宋"/>
                <w:b/>
                <w:bCs/>
                <w:color w:val="auto"/>
                <w:kern w:val="2"/>
                <w:sz w:val="24"/>
                <w:szCs w:val="24"/>
                <w:lang w:val="en-US"/>
              </w:rPr>
            </w:pPr>
            <w:r>
              <w:rPr>
                <w:rFonts w:hint="eastAsia" w:ascii="仿宋" w:hAnsi="仿宋" w:eastAsia="仿宋"/>
                <w:b w:val="0"/>
                <w:color w:val="auto"/>
                <w:kern w:val="2"/>
                <w:sz w:val="24"/>
                <w:szCs w:val="24"/>
                <w:lang w:val="en-US"/>
              </w:rPr>
              <w:t>1</w:t>
            </w:r>
            <w:r>
              <w:rPr>
                <w:rFonts w:hint="eastAsia" w:ascii="仿宋" w:hAnsi="仿宋" w:eastAsia="仿宋"/>
                <w:b w:val="0"/>
                <w:color w:val="auto"/>
                <w:kern w:val="2"/>
                <w:sz w:val="24"/>
                <w:szCs w:val="24"/>
                <w:lang w:val="en-US" w:eastAsia="zh-CN"/>
              </w:rPr>
              <w:t>、</w:t>
            </w:r>
            <w:r>
              <w:rPr>
                <w:rFonts w:hint="eastAsia" w:ascii="仿宋" w:hAnsi="仿宋" w:eastAsia="仿宋"/>
                <w:b/>
                <w:bCs/>
                <w:color w:val="auto"/>
                <w:kern w:val="2"/>
                <w:sz w:val="24"/>
                <w:szCs w:val="24"/>
                <w:lang w:val="en-US" w:eastAsia="zh-CN"/>
              </w:rPr>
              <w:t>本项目投标报价仅允许对服务费标准（2元/人）进行下浮调整，午餐标准（18元/人）为固定费用，供应商不得降低，报价中若出现餐费下调，视为无效投标。</w:t>
            </w:r>
          </w:p>
          <w:p w14:paraId="7893CA0F">
            <w:pPr>
              <w:keepNext w:val="0"/>
              <w:keepLines w:val="0"/>
              <w:pageBreakBefore w:val="0"/>
              <w:widowControl w:val="0"/>
              <w:numPr>
                <w:ilvl w:val="0"/>
                <w:numId w:val="82"/>
              </w:numPr>
              <w:kinsoku/>
              <w:wordWrap/>
              <w:overflowPunct/>
              <w:topLinePunct w:val="0"/>
              <w:autoSpaceDE/>
              <w:autoSpaceDN/>
              <w:bidi w:val="0"/>
              <w:adjustRightInd/>
              <w:snapToGrid/>
              <w:spacing w:beforeAutospacing="0" w:afterAutospacing="0" w:line="320" w:lineRule="exact"/>
              <w:ind w:left="0" w:leftChars="0" w:right="0" w:rightChars="0" w:firstLine="0" w:firstLineChars="0"/>
              <w:jc w:val="left"/>
              <w:textAlignment w:val="auto"/>
              <w:rPr>
                <w:rFonts w:hint="eastAsia" w:ascii="仿宋" w:hAnsi="仿宋" w:eastAsia="仿宋"/>
                <w:b/>
                <w:bCs/>
                <w:color w:val="auto"/>
                <w:kern w:val="2"/>
                <w:sz w:val="24"/>
                <w:szCs w:val="24"/>
                <w:lang w:val="en-US" w:eastAsia="zh-CN"/>
              </w:rPr>
            </w:pPr>
            <w:r>
              <w:rPr>
                <w:rFonts w:hint="eastAsia" w:ascii="仿宋" w:hAnsi="仿宋" w:eastAsia="仿宋"/>
                <w:b/>
                <w:bCs/>
                <w:color w:val="FF0000"/>
                <w:kern w:val="2"/>
                <w:sz w:val="30"/>
                <w:szCs w:val="30"/>
                <w:highlight w:val="yellow"/>
                <w:lang w:val="en-US" w:eastAsia="zh-CN"/>
              </w:rPr>
              <w:t>承包费报价：</w:t>
            </w:r>
            <w:r>
              <w:rPr>
                <w:rFonts w:hint="eastAsia" w:ascii="仿宋" w:hAnsi="仿宋" w:eastAsia="仿宋"/>
                <w:b/>
                <w:bCs/>
                <w:color w:val="FF0000"/>
                <w:kern w:val="2"/>
                <w:sz w:val="30"/>
                <w:szCs w:val="30"/>
                <w:highlight w:val="yellow"/>
                <w:u w:val="single"/>
                <w:lang w:val="en-US" w:eastAsia="zh-CN"/>
              </w:rPr>
              <w:t xml:space="preserve">       </w:t>
            </w:r>
            <w:r>
              <w:rPr>
                <w:rFonts w:hint="eastAsia" w:ascii="仿宋" w:hAnsi="仿宋" w:eastAsia="仿宋"/>
                <w:b/>
                <w:bCs/>
                <w:color w:val="FF0000"/>
                <w:kern w:val="2"/>
                <w:sz w:val="30"/>
                <w:szCs w:val="30"/>
                <w:highlight w:val="yellow"/>
                <w:u w:val="none"/>
                <w:lang w:val="en-US" w:eastAsia="zh-CN"/>
              </w:rPr>
              <w:t>元/年</w:t>
            </w:r>
            <w:r>
              <w:rPr>
                <w:rFonts w:hint="eastAsia" w:ascii="仿宋" w:hAnsi="仿宋" w:eastAsia="仿宋"/>
                <w:b/>
                <w:bCs/>
                <w:color w:val="FF0000"/>
                <w:kern w:val="2"/>
                <w:sz w:val="30"/>
                <w:szCs w:val="30"/>
                <w:u w:val="none"/>
                <w:lang w:val="en-US" w:eastAsia="zh-CN"/>
              </w:rPr>
              <w:t>。</w:t>
            </w:r>
            <w:r>
              <w:rPr>
                <w:rFonts w:hint="eastAsia" w:ascii="仿宋" w:hAnsi="仿宋" w:eastAsia="仿宋"/>
                <w:b/>
                <w:bCs/>
                <w:color w:val="auto"/>
                <w:kern w:val="2"/>
                <w:sz w:val="24"/>
                <w:szCs w:val="24"/>
                <w:lang w:val="en-US"/>
              </w:rPr>
              <w:t>注：</w:t>
            </w:r>
            <w:r>
              <w:rPr>
                <w:rFonts w:hint="eastAsia" w:ascii="仿宋" w:hAnsi="仿宋" w:eastAsia="仿宋"/>
                <w:b/>
                <w:bCs/>
                <w:color w:val="auto"/>
                <w:kern w:val="2"/>
                <w:sz w:val="24"/>
                <w:szCs w:val="24"/>
                <w:lang w:val="en-US" w:eastAsia="zh-CN"/>
              </w:rPr>
              <w:t>承包费用不低于30万元/年（不含水、电、燃气、采暖费等一切经营相关费用），投标文件中的承包报价即为承包费。</w:t>
            </w:r>
          </w:p>
          <w:p w14:paraId="2A9C0A8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right="0" w:rightChars="0"/>
              <w:jc w:val="left"/>
              <w:textAlignment w:val="auto"/>
              <w:rPr>
                <w:rFonts w:hint="default" w:ascii="仿宋" w:hAnsi="仿宋" w:eastAsia="仿宋"/>
                <w:b/>
                <w:bCs/>
                <w:color w:val="auto"/>
                <w:kern w:val="2"/>
                <w:sz w:val="24"/>
                <w:szCs w:val="24"/>
                <w:lang w:val="en-US" w:eastAsia="zh-CN"/>
              </w:rPr>
            </w:pPr>
            <w:r>
              <w:rPr>
                <w:rFonts w:hint="eastAsia" w:ascii="仿宋" w:hAnsi="仿宋" w:eastAsia="仿宋"/>
                <w:b/>
                <w:bCs/>
                <w:color w:val="FF0000"/>
                <w:kern w:val="2"/>
                <w:sz w:val="30"/>
                <w:szCs w:val="30"/>
                <w:highlight w:val="yellow"/>
                <w:lang w:val="en-US" w:eastAsia="zh-CN"/>
              </w:rPr>
              <w:t>以上内容必须在政采云系统中“开标一览表”备注栏中同步填写！</w:t>
            </w:r>
          </w:p>
        </w:tc>
      </w:tr>
    </w:tbl>
    <w:p w14:paraId="0261D98A">
      <w:pPr>
        <w:keepLines w:val="0"/>
        <w:pageBreakBefore w:val="0"/>
        <w:widowControl w:val="0"/>
        <w:kinsoku/>
        <w:wordWrap/>
        <w:overflowPunct/>
        <w:topLinePunct w:val="0"/>
        <w:autoSpaceDE/>
        <w:autoSpaceDN/>
        <w:bidi w:val="0"/>
        <w:snapToGrid/>
        <w:spacing w:beforeAutospacing="0" w:afterAutospacing="0" w:line="320" w:lineRule="exact"/>
        <w:ind w:left="0" w:right="0" w:firstLine="0" w:firstLineChars="0"/>
        <w:textAlignment w:val="auto"/>
        <w:rPr>
          <w:rFonts w:ascii="仿宋" w:eastAsia="仿宋"/>
          <w:b w:val="0"/>
          <w:color w:val="auto"/>
          <w:kern w:val="2"/>
          <w:sz w:val="22"/>
          <w:szCs w:val="22"/>
          <w:lang w:val="en-US"/>
        </w:rPr>
      </w:pPr>
    </w:p>
    <w:p w14:paraId="4DC2DD7A">
      <w:pPr>
        <w:keepLines w:val="0"/>
        <w:pageBreakBefore w:val="0"/>
        <w:widowControl w:val="0"/>
        <w:kinsoku/>
        <w:wordWrap/>
        <w:overflowPunct/>
        <w:topLinePunct w:val="0"/>
        <w:autoSpaceDE/>
        <w:autoSpaceDN/>
        <w:bidi w:val="0"/>
        <w:snapToGrid/>
        <w:spacing w:beforeAutospacing="0" w:afterAutospacing="0" w:line="320" w:lineRule="exact"/>
        <w:ind w:left="0" w:right="0" w:firstLine="0" w:firstLineChars="0"/>
        <w:textAlignment w:val="auto"/>
        <w:rPr>
          <w:rFonts w:ascii="仿宋" w:eastAsia="仿宋"/>
          <w:b w:val="0"/>
          <w:color w:val="auto"/>
          <w:kern w:val="2"/>
          <w:sz w:val="22"/>
          <w:szCs w:val="22"/>
          <w:lang w:val="en-US"/>
        </w:rPr>
      </w:pPr>
      <w:r>
        <w:rPr>
          <w:rFonts w:ascii="仿宋" w:eastAsia="仿宋"/>
          <w:b w:val="0"/>
          <w:color w:val="auto"/>
          <w:kern w:val="2"/>
          <w:sz w:val="22"/>
          <w:szCs w:val="22"/>
          <w:lang w:val="en-US"/>
        </w:rPr>
        <w:t>注：</w:t>
      </w:r>
    </w:p>
    <w:p w14:paraId="11C7C0ED">
      <w:pPr>
        <w:keepLines w:val="0"/>
        <w:pageBreakBefore w:val="0"/>
        <w:widowControl w:val="0"/>
        <w:numPr>
          <w:ilvl w:val="0"/>
          <w:numId w:val="83"/>
        </w:numPr>
        <w:kinsoku/>
        <w:wordWrap/>
        <w:overflowPunct/>
        <w:topLinePunct w:val="0"/>
        <w:autoSpaceDE/>
        <w:autoSpaceDN/>
        <w:bidi w:val="0"/>
        <w:adjustRightInd w:val="0"/>
        <w:snapToGrid w:val="0"/>
        <w:spacing w:beforeAutospacing="0" w:afterAutospacing="0" w:line="320" w:lineRule="exact"/>
        <w:ind w:left="0" w:right="0" w:firstLine="440" w:firstLineChars="200"/>
        <w:textAlignment w:val="auto"/>
        <w:rPr>
          <w:rFonts w:hint="eastAsia" w:ascii="仿宋" w:eastAsia="仿宋"/>
          <w:b w:val="0"/>
          <w:color w:val="auto"/>
          <w:kern w:val="2"/>
          <w:sz w:val="22"/>
          <w:szCs w:val="22"/>
          <w:lang w:val="en-US"/>
        </w:rPr>
      </w:pPr>
      <w:r>
        <w:rPr>
          <w:rFonts w:hint="eastAsia" w:ascii="仿宋" w:eastAsia="仿宋"/>
          <w:b w:val="0"/>
          <w:color w:val="auto"/>
          <w:kern w:val="2"/>
          <w:sz w:val="22"/>
          <w:szCs w:val="22"/>
          <w:lang w:val="en-US" w:eastAsia="zh-CN"/>
        </w:rPr>
        <w:t>报价应是投标人响应招标项目要求的全部工作内容的价格体现，包括投标人完成本项目所需的一切费用以及招标文件规定的其他费用。</w:t>
      </w:r>
    </w:p>
    <w:p w14:paraId="6B94B812">
      <w:pPr>
        <w:keepLines w:val="0"/>
        <w:pageBreakBefore w:val="0"/>
        <w:widowControl w:val="0"/>
        <w:numPr>
          <w:ilvl w:val="0"/>
          <w:numId w:val="83"/>
        </w:numPr>
        <w:kinsoku/>
        <w:wordWrap/>
        <w:overflowPunct/>
        <w:topLinePunct w:val="0"/>
        <w:autoSpaceDE/>
        <w:autoSpaceDN/>
        <w:bidi w:val="0"/>
        <w:adjustRightInd w:val="0"/>
        <w:snapToGrid w:val="0"/>
        <w:spacing w:beforeAutospacing="0" w:afterAutospacing="0" w:line="320" w:lineRule="exact"/>
        <w:ind w:left="0" w:right="0" w:firstLine="440" w:firstLineChars="200"/>
        <w:textAlignment w:val="auto"/>
        <w:rPr>
          <w:rFonts w:hint="eastAsia" w:ascii="仿宋" w:eastAsia="仿宋"/>
          <w:b w:val="0"/>
          <w:color w:val="auto"/>
          <w:kern w:val="2"/>
          <w:sz w:val="22"/>
          <w:szCs w:val="22"/>
          <w:lang w:val="en-US"/>
        </w:rPr>
      </w:pPr>
      <w:r>
        <w:rPr>
          <w:rFonts w:hint="eastAsia" w:ascii="仿宋" w:eastAsia="仿宋"/>
          <w:b w:val="0"/>
          <w:color w:val="auto"/>
          <w:kern w:val="2"/>
          <w:sz w:val="22"/>
          <w:szCs w:val="22"/>
          <w:lang w:val="en-US" w:eastAsia="zh-CN"/>
        </w:rPr>
        <w:t>“开标一览表”为多页的，每页均需由法定代表人或授权代表签字并盖投标人印章，</w:t>
      </w:r>
      <w:r>
        <w:rPr>
          <w:rFonts w:ascii="仿宋" w:eastAsia="仿宋"/>
          <w:b w:val="0"/>
          <w:color w:val="auto"/>
          <w:kern w:val="2"/>
          <w:sz w:val="22"/>
          <w:szCs w:val="22"/>
          <w:lang w:val="en-US"/>
        </w:rPr>
        <w:t>否则作无效投标处理</w:t>
      </w:r>
      <w:r>
        <w:rPr>
          <w:rFonts w:hint="eastAsia" w:ascii="仿宋" w:eastAsia="仿宋"/>
          <w:b w:val="0"/>
          <w:color w:val="auto"/>
          <w:kern w:val="2"/>
          <w:sz w:val="22"/>
          <w:szCs w:val="22"/>
          <w:lang w:val="en-US" w:eastAsia="zh-CN"/>
        </w:rPr>
        <w:t>。</w:t>
      </w:r>
    </w:p>
    <w:p w14:paraId="7D27BCB1">
      <w:pPr>
        <w:keepLines w:val="0"/>
        <w:pageBreakBefore w:val="0"/>
        <w:widowControl w:val="0"/>
        <w:numPr>
          <w:ilvl w:val="0"/>
          <w:numId w:val="83"/>
        </w:numPr>
        <w:kinsoku/>
        <w:wordWrap/>
        <w:overflowPunct/>
        <w:topLinePunct w:val="0"/>
        <w:autoSpaceDE/>
        <w:autoSpaceDN/>
        <w:bidi w:val="0"/>
        <w:adjustRightInd w:val="0"/>
        <w:snapToGrid w:val="0"/>
        <w:spacing w:beforeAutospacing="0" w:afterAutospacing="0" w:line="320" w:lineRule="exact"/>
        <w:ind w:left="0" w:right="0" w:firstLine="440" w:firstLineChars="200"/>
        <w:textAlignment w:val="auto"/>
        <w:rPr>
          <w:rFonts w:hint="eastAsia" w:ascii="仿宋" w:eastAsia="仿宋" w:cs="仿宋"/>
          <w:b w:val="0"/>
          <w:color w:val="auto"/>
          <w:kern w:val="0"/>
          <w:sz w:val="24"/>
          <w:szCs w:val="24"/>
          <w:lang w:val="en-US" w:eastAsia="zh-CN" w:bidi="ar-SA"/>
        </w:rPr>
      </w:pPr>
      <w:r>
        <w:rPr>
          <w:rFonts w:hint="eastAsia" w:ascii="仿宋" w:eastAsia="仿宋"/>
          <w:b w:val="0"/>
          <w:color w:val="auto"/>
          <w:kern w:val="2"/>
          <w:sz w:val="22"/>
          <w:szCs w:val="22"/>
          <w:lang w:val="en-US" w:eastAsia="zh-CN"/>
        </w:rPr>
        <w:t>以上表格如不能完全表达清楚投标人认为必要的费用明细，投标人可自行补充。</w:t>
      </w:r>
    </w:p>
    <w:p w14:paraId="4108E72B">
      <w:pPr>
        <w:keepLines w:val="0"/>
        <w:pageBreakBefore w:val="0"/>
        <w:widowControl w:val="0"/>
        <w:kinsoku/>
        <w:wordWrap/>
        <w:overflowPunct/>
        <w:topLinePunct w:val="0"/>
        <w:autoSpaceDE/>
        <w:autoSpaceDN/>
        <w:bidi w:val="0"/>
        <w:adjustRightInd/>
        <w:snapToGrid w:val="0"/>
        <w:spacing w:beforeAutospacing="0" w:afterAutospacing="0" w:line="320" w:lineRule="exact"/>
        <w:ind w:left="0" w:right="0"/>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049CCDC8">
      <w:pPr>
        <w:keepLines w:val="0"/>
        <w:pageBreakBefore w:val="0"/>
        <w:widowControl w:val="0"/>
        <w:kinsoku/>
        <w:wordWrap/>
        <w:overflowPunct/>
        <w:topLinePunct w:val="0"/>
        <w:autoSpaceDE/>
        <w:autoSpaceDN/>
        <w:bidi w:val="0"/>
        <w:adjustRightInd/>
        <w:snapToGrid w:val="0"/>
        <w:spacing w:beforeAutospacing="0" w:afterAutospacing="0" w:line="320" w:lineRule="exact"/>
        <w:ind w:left="0" w:right="0"/>
        <w:jc w:val="left"/>
        <w:textAlignment w:val="auto"/>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4465C7D5">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left="840" w:leftChars="150" w:right="0" w:hanging="360" w:hangingChars="150"/>
        <w:jc w:val="left"/>
        <w:textAlignment w:val="auto"/>
        <w:rPr>
          <w:rFonts w:ascii="仿宋" w:eastAsia="仿宋"/>
          <w:color w:val="auto"/>
        </w:rPr>
      </w:pPr>
      <w:r>
        <w:rPr>
          <w:rFonts w:ascii="仿宋" w:eastAsia="仿宋"/>
          <w:b w:val="0"/>
          <w:color w:val="auto"/>
          <w:kern w:val="2"/>
          <w:sz w:val="24"/>
          <w:szCs w:val="24"/>
          <w:highlight w:val="none"/>
          <w:lang w:val="en-US"/>
        </w:rPr>
        <w:t xml:space="preserve">日  期: </w:t>
      </w:r>
    </w:p>
    <w:p w14:paraId="3F8622EF">
      <w:pPr>
        <w:keepNext/>
        <w:keepLines w:val="0"/>
        <w:pageBreakBefore w:val="0"/>
        <w:widowControl w:val="0"/>
        <w:numPr>
          <w:ilvl w:val="1"/>
          <w:numId w:val="84"/>
        </w:numPr>
        <w:tabs>
          <w:tab w:val="left" w:pos="360"/>
        </w:tabs>
        <w:kinsoku/>
        <w:wordWrap/>
        <w:overflowPunct/>
        <w:topLinePunct w:val="0"/>
        <w:autoSpaceDE/>
        <w:autoSpaceDN/>
        <w:bidi w:val="0"/>
        <w:adjustRightInd/>
        <w:snapToGrid w:val="0"/>
        <w:spacing w:beforeAutospacing="0" w:afterAutospacing="0" w:line="320" w:lineRule="exact"/>
        <w:ind w:left="0" w:right="0" w:firstLine="0" w:firstLineChars="0"/>
        <w:jc w:val="right"/>
        <w:textAlignment w:val="auto"/>
        <w:outlineLvl w:val="1"/>
        <w:rPr>
          <w:rFonts w:ascii="仿宋" w:eastAsia="仿宋"/>
          <w:bCs/>
          <w:color w:val="auto"/>
          <w:kern w:val="2"/>
          <w:sz w:val="24"/>
          <w:szCs w:val="24"/>
          <w:highlight w:val="none"/>
          <w:lang w:val="en-US"/>
        </w:rPr>
        <w:sectPr>
          <w:headerReference r:id="rId11" w:type="first"/>
          <w:pgSz w:w="16838" w:h="11906" w:orient="landscape"/>
          <w:pgMar w:top="1701" w:right="1418" w:bottom="1134" w:left="1418" w:header="850" w:footer="567" w:gutter="0"/>
          <w:cols w:space="720" w:num="1"/>
          <w:titlePg/>
          <w:docGrid w:type="lines" w:linePitch="453" w:charSpace="0"/>
        </w:sectPr>
      </w:pPr>
    </w:p>
    <w:p w14:paraId="6D02155A">
      <w:pPr>
        <w:tabs>
          <w:tab w:val="left" w:pos="709"/>
        </w:tabs>
        <w:bidi w:val="0"/>
        <w:ind w:left="0" w:leftChars="0" w:firstLine="0" w:firstLineChars="0"/>
        <w:jc w:val="center"/>
        <w:outlineLvl w:val="9"/>
        <w:rPr>
          <w:rFonts w:hint="eastAsia" w:ascii="仿宋" w:hAnsi="仿宋" w:cs="Times New Roman"/>
          <w:b/>
          <w:bCs/>
          <w:color w:val="auto"/>
          <w:kern w:val="2"/>
          <w:sz w:val="48"/>
          <w:szCs w:val="48"/>
          <w:lang w:val="en-US" w:eastAsia="zh-CN" w:bidi="ar-SA"/>
        </w:rPr>
      </w:pPr>
    </w:p>
    <w:p w14:paraId="0C9C3776">
      <w:pPr>
        <w:pStyle w:val="4"/>
        <w:rPr>
          <w:rFonts w:hint="eastAsia" w:ascii="仿宋" w:hAnsi="仿宋" w:cs="Times New Roman"/>
          <w:b/>
          <w:bCs/>
          <w:color w:val="auto"/>
          <w:kern w:val="2"/>
          <w:sz w:val="48"/>
          <w:szCs w:val="48"/>
          <w:lang w:val="en-US" w:eastAsia="zh-CN" w:bidi="ar-SA"/>
        </w:rPr>
      </w:pPr>
    </w:p>
    <w:p w14:paraId="69B1699B">
      <w:pPr>
        <w:pStyle w:val="4"/>
        <w:rPr>
          <w:rFonts w:hint="eastAsia" w:ascii="仿宋" w:hAnsi="仿宋" w:cs="Times New Roman"/>
          <w:b/>
          <w:bCs/>
          <w:color w:val="auto"/>
          <w:kern w:val="2"/>
          <w:sz w:val="48"/>
          <w:szCs w:val="48"/>
          <w:lang w:val="en-US" w:eastAsia="zh-CN" w:bidi="ar-SA"/>
        </w:rPr>
      </w:pPr>
    </w:p>
    <w:p w14:paraId="3B6EFDF1">
      <w:pPr>
        <w:pStyle w:val="4"/>
        <w:rPr>
          <w:rFonts w:hint="eastAsia" w:ascii="仿宋" w:hAnsi="仿宋" w:cs="Times New Roman"/>
          <w:b/>
          <w:bCs/>
          <w:color w:val="auto"/>
          <w:kern w:val="2"/>
          <w:sz w:val="48"/>
          <w:szCs w:val="48"/>
          <w:lang w:val="en-US" w:eastAsia="zh-CN" w:bidi="ar-SA"/>
        </w:rPr>
      </w:pPr>
    </w:p>
    <w:p w14:paraId="669AF811">
      <w:pPr>
        <w:pStyle w:val="4"/>
        <w:rPr>
          <w:rFonts w:hint="eastAsia" w:ascii="仿宋" w:hAnsi="仿宋" w:cs="Times New Roman"/>
          <w:b/>
          <w:bCs/>
          <w:color w:val="auto"/>
          <w:kern w:val="2"/>
          <w:sz w:val="48"/>
          <w:szCs w:val="48"/>
          <w:lang w:val="en-US" w:eastAsia="zh-CN" w:bidi="ar-SA"/>
        </w:rPr>
      </w:pPr>
    </w:p>
    <w:p w14:paraId="02F0CC73">
      <w:pPr>
        <w:pStyle w:val="3"/>
        <w:tabs>
          <w:tab w:val="left" w:pos="709"/>
          <w:tab w:val="clear" w:pos="567"/>
        </w:tabs>
        <w:bidi w:val="0"/>
        <w:ind w:left="0" w:leftChars="0" w:firstLine="0" w:firstLineChars="0"/>
        <w:jc w:val="center"/>
        <w:outlineLvl w:val="1"/>
        <w:rPr>
          <w:rFonts w:ascii="仿宋" w:eastAsia="仿宋" w:cs="Times New Roman"/>
          <w:b/>
          <w:bCs/>
          <w:color w:val="auto"/>
          <w:kern w:val="2"/>
          <w:sz w:val="48"/>
          <w:szCs w:val="48"/>
          <w:lang w:val="en-US" w:eastAsia="zh-CN" w:bidi="ar-SA"/>
        </w:rPr>
      </w:pPr>
      <w:bookmarkStart w:id="346" w:name="_Toc17883"/>
      <w:r>
        <w:rPr>
          <w:rFonts w:hint="eastAsia" w:ascii="仿宋" w:hAnsi="仿宋" w:cs="Times New Roman"/>
          <w:b/>
          <w:bCs/>
          <w:color w:val="auto"/>
          <w:kern w:val="2"/>
          <w:sz w:val="48"/>
          <w:szCs w:val="48"/>
          <w:lang w:val="en-US" w:eastAsia="zh-CN" w:bidi="ar-SA"/>
        </w:rPr>
        <w:t>三、</w:t>
      </w:r>
      <w:r>
        <w:rPr>
          <w:rFonts w:hint="eastAsia" w:ascii="仿宋" w:eastAsia="仿宋" w:cs="Times New Roman"/>
          <w:b/>
          <w:bCs/>
          <w:color w:val="auto"/>
          <w:kern w:val="2"/>
          <w:sz w:val="48"/>
          <w:szCs w:val="48"/>
          <w:lang w:val="en-US" w:eastAsia="zh-CN" w:bidi="ar-SA"/>
        </w:rPr>
        <w:t>商务技术</w:t>
      </w:r>
      <w:r>
        <w:rPr>
          <w:rFonts w:ascii="仿宋" w:eastAsia="仿宋" w:cs="Times New Roman"/>
          <w:b/>
          <w:bCs/>
          <w:color w:val="auto"/>
          <w:kern w:val="2"/>
          <w:sz w:val="48"/>
          <w:szCs w:val="48"/>
          <w:lang w:val="en-US" w:eastAsia="zh-CN" w:bidi="ar-SA"/>
        </w:rPr>
        <w:t>文件</w:t>
      </w:r>
      <w:bookmarkEnd w:id="346"/>
    </w:p>
    <w:p w14:paraId="01DF9265">
      <w:pPr>
        <w:pStyle w:val="34"/>
        <w:pageBreakBefore w:val="0"/>
        <w:widowControl w:val="0"/>
        <w:kinsoku/>
        <w:wordWrap/>
        <w:overflowPunct/>
        <w:topLinePunct w:val="0"/>
        <w:bidi w:val="0"/>
        <w:spacing w:beforeAutospacing="0" w:after="0" w:afterAutospacing="0" w:line="360" w:lineRule="auto"/>
        <w:ind w:left="0" w:leftChars="0" w:right="0" w:firstLine="0" w:firstLineChars="0"/>
        <w:jc w:val="center"/>
        <w:outlineLvl w:val="2"/>
      </w:pPr>
      <w:r>
        <w:rPr>
          <w:rFonts w:hint="eastAsia"/>
          <w:lang w:val="en-US" w:eastAsia="zh-CN"/>
        </w:rPr>
        <w:br w:type="page"/>
      </w:r>
      <w:r>
        <w:rPr>
          <w:rFonts w:hint="eastAsia" w:ascii="仿宋" w:eastAsia="仿宋" w:cs="Times New Roman"/>
          <w:b/>
          <w:color w:val="auto"/>
          <w:kern w:val="2"/>
          <w:sz w:val="28"/>
          <w:szCs w:val="28"/>
          <w:highlight w:val="none"/>
          <w:lang w:val="en-US" w:eastAsia="zh-CN" w:bidi="ar-SA"/>
        </w:rPr>
        <w:t>1.</w:t>
      </w:r>
      <w:r>
        <w:rPr>
          <w:rFonts w:ascii="仿宋" w:eastAsia="仿宋" w:cs="Times New Roman"/>
          <w:b/>
          <w:color w:val="auto"/>
          <w:kern w:val="2"/>
          <w:sz w:val="28"/>
          <w:szCs w:val="28"/>
          <w:highlight w:val="none"/>
          <w:lang w:val="en-US" w:eastAsia="zh-CN" w:bidi="ar-SA"/>
        </w:rPr>
        <w:t>法定代表人（主要负责人/经营者）</w:t>
      </w:r>
      <w:r>
        <w:rPr>
          <w:rFonts w:hint="eastAsia" w:ascii="仿宋" w:eastAsia="仿宋" w:cs="Times New Roman"/>
          <w:b/>
          <w:color w:val="auto"/>
          <w:kern w:val="2"/>
          <w:sz w:val="28"/>
          <w:szCs w:val="28"/>
          <w:highlight w:val="none"/>
          <w:lang w:val="en-US" w:eastAsia="zh-CN" w:bidi="ar-SA"/>
        </w:rPr>
        <w:t>身份</w:t>
      </w:r>
      <w:r>
        <w:rPr>
          <w:rFonts w:ascii="仿宋" w:eastAsia="仿宋" w:cs="Times New Roman"/>
          <w:b/>
          <w:color w:val="auto"/>
          <w:kern w:val="2"/>
          <w:sz w:val="28"/>
          <w:szCs w:val="28"/>
          <w:highlight w:val="none"/>
          <w:lang w:val="en-US" w:eastAsia="zh-CN" w:bidi="ar-SA"/>
        </w:rPr>
        <w:t>证明书</w:t>
      </w:r>
    </w:p>
    <w:p w14:paraId="6AE2B8C7">
      <w:pPr>
        <w:pStyle w:val="564"/>
        <w:ind w:firstLine="480"/>
        <w:rPr>
          <w:rFonts w:ascii="仿宋" w:eastAsia="仿宋" w:cs="仿宋"/>
          <w:b w:val="0"/>
          <w:color w:val="auto"/>
          <w:kern w:val="0"/>
          <w:sz w:val="24"/>
          <w:szCs w:val="24"/>
          <w:lang w:val="en-US" w:eastAsia="zh-CN" w:bidi="ar-SA"/>
        </w:rPr>
      </w:pPr>
    </w:p>
    <w:p w14:paraId="39A0D752">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r>
        <w:rPr>
          <w:rFonts w:hint="eastAsia" w:ascii="仿宋" w:eastAsia="仿宋" w:cs="仿宋"/>
          <w:b w:val="0"/>
          <w:bCs w:val="0"/>
          <w:color w:val="auto"/>
          <w:kern w:val="0"/>
          <w:sz w:val="24"/>
          <w:szCs w:val="24"/>
        </w:rPr>
        <w:t>（</w:t>
      </w:r>
      <w:r>
        <w:rPr>
          <w:rFonts w:hint="eastAsia" w:ascii="仿宋" w:eastAsia="仿宋" w:cs="仿宋"/>
          <w:b w:val="0"/>
          <w:bCs w:val="0"/>
          <w:color w:val="auto"/>
          <w:kern w:val="0"/>
          <w:sz w:val="24"/>
          <w:szCs w:val="24"/>
          <w:lang w:val="en-US" w:eastAsia="zh-CN"/>
        </w:rPr>
        <w:t>投标人</w:t>
      </w:r>
      <w:r>
        <w:rPr>
          <w:rFonts w:hint="eastAsia" w:ascii="仿宋" w:eastAsia="仿宋" w:cs="仿宋"/>
          <w:b w:val="0"/>
          <w:bCs w:val="0"/>
          <w:color w:val="auto"/>
          <w:kern w:val="0"/>
          <w:sz w:val="24"/>
          <w:szCs w:val="24"/>
        </w:rPr>
        <w:t>名称）：</w:t>
      </w:r>
      <w:r>
        <w:rPr>
          <w:rFonts w:hint="eastAsia" w:ascii="仿宋" w:eastAsia="仿宋" w:cs="仿宋"/>
          <w:b w:val="0"/>
          <w:bCs w:val="0"/>
          <w:color w:val="auto"/>
          <w:kern w:val="0"/>
          <w:sz w:val="24"/>
          <w:szCs w:val="24"/>
          <w:u w:val="single"/>
        </w:rPr>
        <w:t>　　　　　　　　　　　　</w:t>
      </w:r>
    </w:p>
    <w:p w14:paraId="21E97CA9">
      <w:pPr>
        <w:widowControl/>
        <w:wordWrap w:val="0"/>
        <w:overflowPunct w:val="0"/>
        <w:spacing w:before="0" w:after="0" w:line="360" w:lineRule="auto"/>
        <w:ind w:firstLine="480" w:firstLineChars="200"/>
        <w:jc w:val="left"/>
        <w:rPr>
          <w:rFonts w:ascii="仿宋" w:eastAsia="仿宋" w:cs="仿宋"/>
          <w:b w:val="0"/>
          <w:bCs w:val="0"/>
          <w:color w:val="auto"/>
          <w:kern w:val="0"/>
          <w:sz w:val="24"/>
          <w:szCs w:val="24"/>
          <w:lang w:val="en-US" w:eastAsia="zh-CN"/>
        </w:rPr>
      </w:pPr>
      <w:r>
        <w:rPr>
          <w:rFonts w:hint="eastAsia" w:ascii="仿宋" w:eastAsia="仿宋" w:cs="仿宋"/>
          <w:b w:val="0"/>
          <w:bCs w:val="0"/>
          <w:color w:val="auto"/>
          <w:kern w:val="0"/>
          <w:sz w:val="24"/>
          <w:szCs w:val="24"/>
        </w:rPr>
        <w:t>姓名：</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rPr>
        <w:t>性别：</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r>
        <w:rPr>
          <w:rFonts w:hint="eastAsia" w:ascii="仿宋" w:eastAsia="仿宋" w:cs="仿宋"/>
          <w:b w:val="0"/>
          <w:bCs w:val="0"/>
          <w:color w:val="auto"/>
          <w:kern w:val="0"/>
          <w:sz w:val="24"/>
          <w:szCs w:val="24"/>
        </w:rPr>
        <w:t>年龄：</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r>
        <w:rPr>
          <w:rFonts w:hint="eastAsia" w:ascii="仿宋" w:eastAsia="仿宋" w:cs="仿宋"/>
          <w:b w:val="0"/>
          <w:bCs w:val="0"/>
          <w:color w:val="auto"/>
          <w:kern w:val="0"/>
          <w:sz w:val="24"/>
          <w:szCs w:val="24"/>
        </w:rPr>
        <w:t>职务：</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u w:val="single"/>
          <w:lang w:val="en-US" w:eastAsia="zh-CN"/>
        </w:rPr>
        <w:t xml:space="preserve">  </w:t>
      </w:r>
    </w:p>
    <w:p w14:paraId="15538757">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r>
        <w:rPr>
          <w:rFonts w:hint="eastAsia" w:ascii="仿宋" w:eastAsia="仿宋" w:cs="仿宋"/>
          <w:b w:val="0"/>
          <w:bCs w:val="0"/>
          <w:color w:val="auto"/>
          <w:kern w:val="0"/>
          <w:sz w:val="24"/>
          <w:szCs w:val="24"/>
        </w:rPr>
        <w:t>系</w:t>
      </w:r>
      <w:r>
        <w:rPr>
          <w:rFonts w:hint="eastAsia" w:ascii="仿宋" w:eastAsia="仿宋" w:cs="仿宋"/>
          <w:b w:val="0"/>
          <w:bCs w:val="0"/>
          <w:color w:val="auto"/>
          <w:kern w:val="0"/>
          <w:sz w:val="24"/>
          <w:szCs w:val="24"/>
          <w:u w:val="single"/>
        </w:rPr>
        <w:t>　　　　　　　　　　　　</w:t>
      </w:r>
      <w:r>
        <w:rPr>
          <w:rFonts w:hint="eastAsia" w:ascii="仿宋" w:eastAsia="仿宋" w:cs="仿宋"/>
          <w:b w:val="0"/>
          <w:bCs w:val="0"/>
          <w:color w:val="auto"/>
          <w:kern w:val="0"/>
          <w:sz w:val="24"/>
          <w:szCs w:val="24"/>
        </w:rPr>
        <w:t>（</w:t>
      </w:r>
      <w:r>
        <w:rPr>
          <w:rFonts w:hint="eastAsia" w:ascii="仿宋" w:eastAsia="仿宋" w:cs="仿宋"/>
          <w:b w:val="0"/>
          <w:bCs w:val="0"/>
          <w:color w:val="auto"/>
          <w:kern w:val="0"/>
          <w:sz w:val="24"/>
          <w:szCs w:val="24"/>
          <w:lang w:val="en-US" w:eastAsia="zh-CN"/>
        </w:rPr>
        <w:t>投标人</w:t>
      </w:r>
      <w:r>
        <w:rPr>
          <w:rFonts w:hint="eastAsia" w:ascii="仿宋" w:eastAsia="仿宋" w:cs="仿宋"/>
          <w:b w:val="0"/>
          <w:bCs w:val="0"/>
          <w:color w:val="auto"/>
          <w:kern w:val="0"/>
          <w:sz w:val="24"/>
          <w:szCs w:val="24"/>
        </w:rPr>
        <w:t>名称）的法定代表人（单位负责人）。</w:t>
      </w:r>
    </w:p>
    <w:p w14:paraId="684F8D6E">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r>
        <w:rPr>
          <w:rFonts w:hint="eastAsia" w:ascii="仿宋" w:eastAsia="仿宋" w:cs="仿宋"/>
          <w:b w:val="0"/>
          <w:bCs w:val="0"/>
          <w:color w:val="auto"/>
          <w:kern w:val="0"/>
          <w:sz w:val="24"/>
          <w:szCs w:val="24"/>
        </w:rPr>
        <w:t>特此证明。</w:t>
      </w:r>
    </w:p>
    <w:p w14:paraId="0C6B9A3E">
      <w:pPr>
        <w:widowControl/>
        <w:wordWrap w:val="0"/>
        <w:overflowPunct w:val="0"/>
        <w:spacing w:before="0" w:after="0" w:line="360" w:lineRule="auto"/>
        <w:ind w:firstLine="480" w:firstLineChars="200"/>
        <w:jc w:val="left"/>
        <w:rPr>
          <w:rFonts w:hint="eastAsia" w:ascii="仿宋" w:eastAsia="仿宋" w:cs="仿宋"/>
          <w:b w:val="0"/>
          <w:bCs w:val="0"/>
          <w:color w:val="auto"/>
          <w:kern w:val="0"/>
          <w:sz w:val="24"/>
          <w:szCs w:val="24"/>
        </w:rPr>
      </w:pPr>
    </w:p>
    <w:p w14:paraId="5B438A6A">
      <w:pPr>
        <w:widowControl/>
        <w:wordWrap w:val="0"/>
        <w:overflowPunct w:val="0"/>
        <w:spacing w:before="0" w:after="0" w:line="360" w:lineRule="auto"/>
        <w:ind w:firstLine="482" w:firstLineChars="200"/>
        <w:jc w:val="left"/>
        <w:rPr>
          <w:rFonts w:hint="eastAsia" w:ascii="仿宋" w:eastAsia="仿宋" w:cs="仿宋"/>
          <w:b/>
          <w:bCs/>
          <w:color w:val="auto"/>
          <w:kern w:val="0"/>
          <w:sz w:val="24"/>
          <w:szCs w:val="24"/>
        </w:rPr>
      </w:pPr>
      <w:r>
        <w:rPr>
          <w:rFonts w:hint="eastAsia" w:ascii="仿宋" w:eastAsia="仿宋" w:cs="仿宋"/>
          <w:b/>
          <w:bCs/>
          <w:color w:val="auto"/>
          <w:kern w:val="0"/>
          <w:sz w:val="24"/>
          <w:szCs w:val="24"/>
          <w:u w:val="double"/>
        </w:rPr>
        <w:t>附：法定代表人</w:t>
      </w:r>
      <w:r>
        <w:rPr>
          <w:rFonts w:hint="eastAsia" w:ascii="仿宋" w:eastAsia="仿宋" w:cs="仿宋"/>
          <w:b/>
          <w:bCs/>
          <w:color w:val="auto"/>
          <w:kern w:val="0"/>
          <w:sz w:val="24"/>
          <w:szCs w:val="24"/>
          <w:u w:val="double"/>
          <w:lang w:val="en-US" w:eastAsia="zh-CN"/>
        </w:rPr>
        <w:t>（主要负责人/经营者）</w:t>
      </w:r>
      <w:r>
        <w:rPr>
          <w:rFonts w:hint="eastAsia" w:ascii="仿宋" w:eastAsia="仿宋" w:cs="仿宋"/>
          <w:b/>
          <w:bCs/>
          <w:color w:val="auto"/>
          <w:kern w:val="0"/>
          <w:sz w:val="24"/>
          <w:szCs w:val="24"/>
          <w:u w:val="double"/>
        </w:rPr>
        <w:t>身份证复印件（正反面）</w:t>
      </w:r>
      <w:r>
        <w:rPr>
          <w:rFonts w:hint="eastAsia" w:ascii="仿宋" w:eastAsia="仿宋" w:cs="仿宋"/>
          <w:b/>
          <w:bCs/>
          <w:color w:val="auto"/>
          <w:kern w:val="0"/>
          <w:sz w:val="24"/>
          <w:szCs w:val="24"/>
        </w:rPr>
        <w:t>。</w:t>
      </w:r>
    </w:p>
    <w:p w14:paraId="22AE26F1">
      <w:pPr>
        <w:widowControl/>
        <w:wordWrap w:val="0"/>
        <w:overflowPunct w:val="0"/>
        <w:spacing w:before="120" w:after="120" w:line="360" w:lineRule="auto"/>
        <w:ind w:firstLine="480" w:firstLineChars="200"/>
        <w:jc w:val="right"/>
        <w:rPr>
          <w:rFonts w:hint="eastAsia" w:ascii="仿宋" w:eastAsia="仿宋" w:cs="仿宋"/>
          <w:b w:val="0"/>
          <w:bCs w:val="0"/>
          <w:color w:val="auto"/>
          <w:kern w:val="0"/>
          <w:sz w:val="24"/>
          <w:szCs w:val="24"/>
        </w:rPr>
      </w:pPr>
    </w:p>
    <w:p w14:paraId="449DB55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cs="仿宋"/>
          <w:b w:val="0"/>
          <w:color w:val="auto"/>
          <w:kern w:val="0"/>
          <w:sz w:val="24"/>
          <w:szCs w:val="24"/>
          <w:lang w:val="en-US" w:eastAsia="zh-CN" w:bidi="ar-SA"/>
        </w:rPr>
      </w:pPr>
    </w:p>
    <w:p w14:paraId="1CF8800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jc w:val="left"/>
        <w:textAlignment w:val="auto"/>
        <w:rPr>
          <w:color w:val="auto"/>
          <w:u w:val="single"/>
        </w:rPr>
      </w:pPr>
      <w:r>
        <w:rPr>
          <w:rFonts w:hint="eastAsia" w:ascii="仿宋" w:eastAsia="仿宋" w:cs="仿宋"/>
          <w:b w:val="0"/>
          <w:color w:val="auto"/>
          <w:kern w:val="0"/>
          <w:sz w:val="24"/>
          <w:szCs w:val="24"/>
          <w:lang w:val="en-US" w:eastAsia="zh-CN" w:bidi="ar-SA"/>
        </w:rPr>
        <w:t>投标人名称：</w:t>
      </w:r>
      <w:r>
        <w:rPr>
          <w:rFonts w:hint="eastAsia" w:ascii="仿宋" w:eastAsia="仿宋" w:cs="仿宋"/>
          <w:b w:val="0"/>
          <w:color w:val="auto"/>
          <w:kern w:val="0"/>
          <w:sz w:val="24"/>
          <w:szCs w:val="24"/>
          <w:u w:val="single"/>
          <w:lang w:val="en-US" w:eastAsia="zh-CN" w:bidi="ar-SA"/>
        </w:rPr>
        <w:t xml:space="preserve">                 </w:t>
      </w:r>
      <w:r>
        <w:rPr>
          <w:rFonts w:hint="eastAsia" w:ascii="仿宋" w:eastAsia="仿宋" w:cs="仿宋"/>
          <w:b w:val="0"/>
          <w:color w:val="auto"/>
          <w:kern w:val="0"/>
          <w:sz w:val="24"/>
          <w:szCs w:val="24"/>
          <w:u w:val="none"/>
          <w:lang w:val="en-US" w:eastAsia="zh-CN" w:bidi="ar-SA"/>
        </w:rPr>
        <w:t>（盖单位公章）</w:t>
      </w:r>
    </w:p>
    <w:p w14:paraId="4F9D2457">
      <w:pPr>
        <w:widowControl/>
        <w:wordWrap/>
        <w:overflowPunct w:val="0"/>
        <w:spacing w:before="120" w:after="120" w:line="240" w:lineRule="auto"/>
        <w:ind w:firstLine="480" w:firstLineChars="200"/>
        <w:jc w:val="left"/>
        <w:rPr>
          <w:rFonts w:ascii="宋体" w:eastAsia="宋体"/>
          <w:kern w:val="0"/>
          <w:sz w:val="24"/>
          <w:szCs w:val="24"/>
        </w:rPr>
      </w:pPr>
      <w:r>
        <w:rPr>
          <w:rFonts w:hint="eastAsia" w:ascii="仿宋" w:eastAsia="仿宋" w:cs="仿宋"/>
          <w:b w:val="0"/>
          <w:color w:val="auto"/>
          <w:kern w:val="0"/>
          <w:sz w:val="24"/>
          <w:szCs w:val="24"/>
          <w:lang w:val="en-US" w:eastAsia="zh-CN" w:bidi="ar-SA"/>
        </w:rPr>
        <w:t>日 期：</w:t>
      </w:r>
      <w:r>
        <w:rPr>
          <w:rFonts w:hint="eastAsia" w:ascii="仿宋" w:eastAsia="仿宋" w:cs="仿宋"/>
          <w:b w:val="0"/>
          <w:color w:val="auto"/>
          <w:kern w:val="0"/>
          <w:sz w:val="24"/>
          <w:szCs w:val="24"/>
          <w:u w:val="single"/>
          <w:lang w:val="en-US" w:eastAsia="zh-CN" w:bidi="ar-SA"/>
        </w:rPr>
        <w:t xml:space="preserve">                                   </w:t>
      </w:r>
    </w:p>
    <w:p w14:paraId="2F062B13">
      <w:pPr>
        <w:keepNext w:val="0"/>
        <w:keepLines w:val="0"/>
        <w:pageBreakBefore w:val="0"/>
        <w:widowControl/>
        <w:suppressLineNumbers w:val="0"/>
        <w:kinsoku/>
        <w:wordWrap/>
        <w:overflowPunct/>
        <w:topLinePunct w:val="0"/>
        <w:bidi w:val="0"/>
        <w:spacing w:beforeAutospacing="0" w:afterAutospacing="0" w:line="360" w:lineRule="auto"/>
        <w:ind w:left="0" w:right="0" w:firstLine="0" w:firstLineChars="0"/>
        <w:jc w:val="center"/>
        <w:outlineLvl w:val="2"/>
        <w:rPr>
          <w:rFonts w:ascii="仿宋" w:eastAsia="仿宋" w:cs="Times New Roman"/>
          <w:b/>
          <w:color w:val="auto"/>
          <w:kern w:val="2"/>
          <w:sz w:val="28"/>
          <w:szCs w:val="28"/>
          <w:highlight w:val="none"/>
          <w:lang w:val="en-US" w:eastAsia="zh-CN" w:bidi="ar-SA"/>
        </w:rPr>
      </w:pPr>
      <w:r>
        <w:rPr>
          <w:rFonts w:ascii="仿宋" w:eastAsia="仿宋" w:cs="仿宋"/>
          <w:b/>
          <w:bCs/>
          <w:color w:val="000000"/>
          <w:kern w:val="0"/>
          <w:sz w:val="31"/>
          <w:szCs w:val="31"/>
          <w:lang w:val="en-US" w:eastAsia="zh-CN" w:bidi="ar-SA"/>
        </w:rPr>
        <w:br w:type="page"/>
      </w:r>
      <w:r>
        <w:rPr>
          <w:rFonts w:hint="eastAsia" w:ascii="仿宋" w:eastAsia="仿宋" w:cs="Times New Roman"/>
          <w:b/>
          <w:color w:val="auto"/>
          <w:kern w:val="2"/>
          <w:sz w:val="28"/>
          <w:szCs w:val="28"/>
          <w:highlight w:val="none"/>
          <w:lang w:val="en-US" w:eastAsia="zh-CN" w:bidi="ar-SA"/>
        </w:rPr>
        <w:t>2.</w:t>
      </w:r>
      <w:r>
        <w:rPr>
          <w:rFonts w:ascii="仿宋" w:eastAsia="仿宋" w:cs="Times New Roman"/>
          <w:b/>
          <w:color w:val="auto"/>
          <w:kern w:val="2"/>
          <w:sz w:val="28"/>
          <w:szCs w:val="28"/>
          <w:highlight w:val="none"/>
          <w:lang w:val="en-US" w:eastAsia="zh-CN" w:bidi="ar-SA"/>
        </w:rPr>
        <w:t>法定代表人（主要负责人/经营者）授权委托书</w:t>
      </w:r>
    </w:p>
    <w:p w14:paraId="0DF32447">
      <w:pPr>
        <w:keepNext w:val="0"/>
        <w:keepLines w:val="0"/>
        <w:pageBreakBefore w:val="0"/>
        <w:widowControl/>
        <w:suppressLineNumbers w:val="0"/>
        <w:kinsoku/>
        <w:wordWrap/>
        <w:overflowPunct/>
        <w:topLinePunct w:val="0"/>
        <w:bidi w:val="0"/>
        <w:spacing w:beforeAutospacing="0" w:afterAutospacing="0" w:line="360" w:lineRule="auto"/>
        <w:ind w:left="0" w:right="0"/>
        <w:jc w:val="center"/>
        <w:rPr>
          <w:rFonts w:hint="eastAsia" w:ascii="仿宋" w:eastAsia="仿宋"/>
          <w:b w:val="0"/>
          <w:bCs/>
          <w:color w:val="auto"/>
          <w:sz w:val="24"/>
          <w:szCs w:val="24"/>
          <w:highlight w:val="none"/>
          <w:lang w:eastAsia="zh-CN"/>
        </w:rPr>
      </w:pPr>
      <w:r>
        <w:rPr>
          <w:rFonts w:hint="eastAsia" w:ascii="仿宋" w:eastAsia="仿宋" w:cs="Times New Roman"/>
          <w:b/>
          <w:color w:val="auto"/>
          <w:kern w:val="2"/>
          <w:sz w:val="28"/>
          <w:szCs w:val="28"/>
          <w:highlight w:val="none"/>
          <w:lang w:val="en-US" w:eastAsia="zh-CN" w:bidi="ar-SA"/>
        </w:rPr>
        <w:t>（适用于有委托代理人的情况）</w:t>
      </w:r>
    </w:p>
    <w:p w14:paraId="0822F15D">
      <w:pPr>
        <w:pageBreakBefore w:val="0"/>
        <w:widowControl w:val="0"/>
        <w:kinsoku/>
        <w:wordWrap/>
        <w:overflowPunct/>
        <w:topLinePunct w:val="0"/>
        <w:bidi w:val="0"/>
        <w:spacing w:beforeAutospacing="0" w:afterAutospacing="0" w:line="360" w:lineRule="auto"/>
        <w:ind w:left="0" w:right="0" w:firstLine="0" w:firstLineChars="0"/>
        <w:jc w:val="left"/>
        <w:rPr>
          <w:rFonts w:hint="eastAsia" w:ascii="仿宋" w:eastAsia="仿宋"/>
          <w:b w:val="0"/>
          <w:bCs/>
          <w:color w:val="auto"/>
          <w:sz w:val="24"/>
          <w:szCs w:val="24"/>
          <w:highlight w:val="none"/>
          <w:lang w:eastAsia="zh-CN"/>
        </w:rPr>
      </w:pPr>
    </w:p>
    <w:p w14:paraId="1F1439A2">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本人</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（姓名）系</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w:t>
      </w:r>
      <w:r>
        <w:rPr>
          <w:rFonts w:hint="eastAsia" w:ascii="仿宋" w:eastAsia="仿宋" w:cs="仿宋"/>
          <w:b w:val="0"/>
          <w:bCs/>
          <w:color w:val="auto"/>
          <w:kern w:val="0"/>
          <w:sz w:val="24"/>
          <w:szCs w:val="24"/>
          <w:lang w:val="en-US" w:eastAsia="zh-CN"/>
        </w:rPr>
        <w:t>投标人</w:t>
      </w:r>
      <w:r>
        <w:rPr>
          <w:rFonts w:hint="eastAsia" w:ascii="仿宋" w:eastAsia="仿宋" w:cs="仿宋"/>
          <w:b w:val="0"/>
          <w:bCs/>
          <w:color w:val="auto"/>
          <w:kern w:val="0"/>
          <w:sz w:val="24"/>
          <w:szCs w:val="24"/>
        </w:rPr>
        <w:t>名称）的法定代表人</w:t>
      </w:r>
      <w:r>
        <w:rPr>
          <w:rFonts w:hint="eastAsia" w:ascii="仿宋" w:eastAsia="仿宋" w:cs="仿宋"/>
          <w:b w:val="0"/>
          <w:color w:val="auto"/>
          <w:kern w:val="0"/>
          <w:sz w:val="24"/>
          <w:szCs w:val="24"/>
          <w:lang w:val="en-US" w:eastAsia="zh-CN" w:bidi="ar-SA"/>
        </w:rPr>
        <w:t>（主要负责人/经营者）</w:t>
      </w:r>
      <w:r>
        <w:rPr>
          <w:rFonts w:hint="eastAsia" w:ascii="仿宋" w:eastAsia="仿宋" w:cs="仿宋"/>
          <w:b w:val="0"/>
          <w:bCs/>
          <w:color w:val="auto"/>
          <w:kern w:val="0"/>
          <w:sz w:val="24"/>
          <w:szCs w:val="24"/>
        </w:rPr>
        <w:t>，现委托</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（姓名）为我方代理人。代理人根据授权，以我方名义签署、澄清确认、递交、撤回、修改</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（项目名称）</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none"/>
          <w:lang w:val="en-US" w:eastAsia="zh-CN"/>
        </w:rPr>
        <w:t>（项目编号）</w:t>
      </w:r>
      <w:r>
        <w:rPr>
          <w:rFonts w:hint="eastAsia" w:ascii="仿宋" w:eastAsia="仿宋" w:cs="仿宋"/>
          <w:b w:val="0"/>
          <w:bCs/>
          <w:color w:val="auto"/>
          <w:kern w:val="0"/>
          <w:sz w:val="24"/>
          <w:szCs w:val="24"/>
          <w:lang w:val="en-US" w:eastAsia="zh-CN"/>
        </w:rPr>
        <w:t>投标</w:t>
      </w:r>
      <w:r>
        <w:rPr>
          <w:rFonts w:hint="eastAsia" w:ascii="仿宋" w:eastAsia="仿宋" w:cs="仿宋"/>
          <w:b w:val="0"/>
          <w:bCs/>
          <w:color w:val="auto"/>
          <w:kern w:val="0"/>
          <w:sz w:val="24"/>
          <w:szCs w:val="24"/>
        </w:rPr>
        <w:t>文件、签订合同和处理有关事宜，其法律后果由我方承担。</w:t>
      </w:r>
    </w:p>
    <w:p w14:paraId="6570796B">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委托期限：</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w:t>
      </w:r>
    </w:p>
    <w:p w14:paraId="789039B2">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代理人无转委托权。</w:t>
      </w:r>
    </w:p>
    <w:p w14:paraId="7B628C9E">
      <w:pPr>
        <w:widowControl/>
        <w:wordWrap w:val="0"/>
        <w:overflowPunct w:val="0"/>
        <w:spacing w:before="0" w:after="0" w:line="360" w:lineRule="auto"/>
        <w:ind w:firstLine="480" w:firstLineChars="200"/>
        <w:jc w:val="left"/>
        <w:rPr>
          <w:rFonts w:hint="eastAsia" w:ascii="仿宋" w:eastAsia="仿宋" w:cs="仿宋"/>
          <w:b w:val="0"/>
          <w:bCs/>
          <w:color w:val="auto"/>
          <w:kern w:val="0"/>
          <w:sz w:val="24"/>
          <w:szCs w:val="24"/>
        </w:rPr>
      </w:pPr>
    </w:p>
    <w:p w14:paraId="2D4A5B1A">
      <w:pPr>
        <w:widowControl/>
        <w:wordWrap w:val="0"/>
        <w:overflowPunct w:val="0"/>
        <w:spacing w:before="0" w:after="0" w:line="360" w:lineRule="auto"/>
        <w:ind w:firstLine="482" w:firstLineChars="200"/>
        <w:jc w:val="left"/>
        <w:rPr>
          <w:rFonts w:hint="eastAsia" w:ascii="仿宋" w:eastAsia="仿宋" w:cs="仿宋"/>
          <w:b/>
          <w:bCs w:val="0"/>
          <w:color w:val="auto"/>
          <w:kern w:val="0"/>
          <w:sz w:val="24"/>
          <w:szCs w:val="24"/>
          <w:u w:val="double"/>
        </w:rPr>
      </w:pPr>
      <w:r>
        <w:rPr>
          <w:rFonts w:hint="eastAsia" w:ascii="仿宋" w:eastAsia="仿宋" w:cs="仿宋"/>
          <w:b/>
          <w:bCs w:val="0"/>
          <w:color w:val="auto"/>
          <w:kern w:val="0"/>
          <w:sz w:val="24"/>
          <w:szCs w:val="24"/>
          <w:u w:val="double"/>
        </w:rPr>
        <w:t>附：法定代表人（单位负责人）身份证复印件（正反面）和委托代理人身份证复印件（正反面）。</w:t>
      </w:r>
    </w:p>
    <w:p w14:paraId="2AD0C252">
      <w:pPr>
        <w:widowControl/>
        <w:wordWrap w:val="0"/>
        <w:overflowPunct w:val="0"/>
        <w:spacing w:before="0" w:after="0" w:line="360" w:lineRule="auto"/>
        <w:ind w:firstLine="482" w:firstLineChars="200"/>
        <w:jc w:val="left"/>
        <w:rPr>
          <w:rFonts w:hint="eastAsia" w:ascii="仿宋" w:eastAsia="仿宋" w:cs="仿宋"/>
          <w:b w:val="0"/>
          <w:bCs/>
          <w:color w:val="auto"/>
          <w:kern w:val="0"/>
          <w:sz w:val="24"/>
          <w:szCs w:val="24"/>
          <w:u w:val="double"/>
        </w:rPr>
      </w:pPr>
      <w:r>
        <w:rPr>
          <w:rFonts w:hint="eastAsia" w:ascii="仿宋" w:eastAsia="仿宋" w:cs="仿宋"/>
          <w:b/>
          <w:bCs w:val="0"/>
          <w:color w:val="auto"/>
          <w:kern w:val="0"/>
          <w:sz w:val="24"/>
          <w:szCs w:val="24"/>
          <w:u w:val="double"/>
        </w:rPr>
        <w:t>注：本授权委托书需同时由委托代理人签字或印章，</w:t>
      </w:r>
      <w:r>
        <w:rPr>
          <w:rFonts w:hint="eastAsia" w:ascii="仿宋" w:eastAsia="仿宋" w:cs="仿宋"/>
          <w:b/>
          <w:bCs w:val="0"/>
          <w:color w:val="auto"/>
          <w:kern w:val="0"/>
          <w:sz w:val="24"/>
          <w:szCs w:val="24"/>
          <w:u w:val="double"/>
          <w:lang w:val="en-US" w:eastAsia="zh-CN"/>
        </w:rPr>
        <w:t>投标人</w:t>
      </w:r>
      <w:r>
        <w:rPr>
          <w:rFonts w:hint="eastAsia" w:ascii="仿宋" w:eastAsia="仿宋" w:cs="仿宋"/>
          <w:b/>
          <w:bCs w:val="0"/>
          <w:color w:val="auto"/>
          <w:kern w:val="0"/>
          <w:sz w:val="24"/>
          <w:szCs w:val="24"/>
          <w:u w:val="double"/>
        </w:rPr>
        <w:t>加盖公司公章或由其法定代表人（单位负责人）签字或印章。</w:t>
      </w:r>
    </w:p>
    <w:p w14:paraId="75287107">
      <w:pPr>
        <w:widowControl/>
        <w:wordWrap/>
        <w:overflowPunct w:val="0"/>
        <w:spacing w:before="120" w:after="120" w:line="360" w:lineRule="auto"/>
        <w:ind w:firstLine="480" w:firstLineChars="200"/>
        <w:jc w:val="left"/>
        <w:rPr>
          <w:rFonts w:hint="eastAsia" w:ascii="仿宋" w:eastAsia="仿宋" w:cs="仿宋"/>
          <w:b w:val="0"/>
          <w:color w:val="auto"/>
          <w:kern w:val="0"/>
          <w:sz w:val="24"/>
          <w:szCs w:val="24"/>
          <w:lang w:val="en-US" w:eastAsia="zh-CN" w:bidi="ar-SA"/>
        </w:rPr>
      </w:pPr>
    </w:p>
    <w:p w14:paraId="24C6239B">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color w:val="auto"/>
          <w:kern w:val="0"/>
          <w:sz w:val="24"/>
          <w:szCs w:val="24"/>
          <w:lang w:val="en-US" w:eastAsia="zh-CN" w:bidi="ar-SA"/>
        </w:rPr>
        <w:t>投标人名称：</w:t>
      </w:r>
      <w:r>
        <w:rPr>
          <w:rFonts w:hint="eastAsia" w:ascii="仿宋" w:eastAsia="仿宋" w:cs="仿宋"/>
          <w:b w:val="0"/>
          <w:color w:val="auto"/>
          <w:kern w:val="0"/>
          <w:sz w:val="24"/>
          <w:szCs w:val="24"/>
          <w:u w:val="single"/>
          <w:lang w:val="en-US" w:eastAsia="zh-CN" w:bidi="ar-SA"/>
        </w:rPr>
        <w:t xml:space="preserve">                                  </w:t>
      </w:r>
      <w:r>
        <w:rPr>
          <w:rFonts w:hint="eastAsia" w:ascii="仿宋" w:eastAsia="仿宋" w:cs="仿宋"/>
          <w:b w:val="0"/>
          <w:color w:val="auto"/>
          <w:kern w:val="0"/>
          <w:sz w:val="24"/>
          <w:szCs w:val="24"/>
          <w:u w:val="none"/>
          <w:lang w:val="en-US" w:eastAsia="zh-CN" w:bidi="ar-SA"/>
        </w:rPr>
        <w:t>（盖单位公章）</w:t>
      </w:r>
    </w:p>
    <w:p w14:paraId="30DFA88F">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法定代表人</w:t>
      </w:r>
      <w:r>
        <w:rPr>
          <w:rFonts w:hint="eastAsia" w:ascii="仿宋" w:eastAsia="仿宋" w:cs="仿宋"/>
          <w:b w:val="0"/>
          <w:color w:val="auto"/>
          <w:kern w:val="0"/>
          <w:sz w:val="24"/>
          <w:szCs w:val="24"/>
          <w:lang w:val="en-US" w:eastAsia="zh-CN" w:bidi="ar-SA"/>
        </w:rPr>
        <w:t>（主要负责人/经营者）</w:t>
      </w:r>
      <w:r>
        <w:rPr>
          <w:rFonts w:hint="eastAsia" w:ascii="仿宋" w:eastAsia="仿宋" w:cs="仿宋"/>
          <w:b w:val="0"/>
          <w:bCs/>
          <w:color w:val="auto"/>
          <w:kern w:val="0"/>
          <w:sz w:val="24"/>
          <w:szCs w:val="24"/>
        </w:rPr>
        <w:t>：</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（签字或印章）</w:t>
      </w:r>
    </w:p>
    <w:p w14:paraId="1ADDC47D">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法定代表人</w:t>
      </w:r>
      <w:r>
        <w:rPr>
          <w:rFonts w:hint="eastAsia" w:ascii="仿宋" w:eastAsia="仿宋" w:cs="仿宋"/>
          <w:b w:val="0"/>
          <w:color w:val="auto"/>
          <w:kern w:val="0"/>
          <w:sz w:val="24"/>
          <w:szCs w:val="24"/>
          <w:lang w:val="en-US" w:eastAsia="zh-CN" w:bidi="ar-SA"/>
        </w:rPr>
        <w:t>（主要负责人/经营者）</w:t>
      </w:r>
      <w:r>
        <w:rPr>
          <w:rFonts w:hint="eastAsia" w:ascii="仿宋" w:eastAsia="仿宋" w:cs="仿宋"/>
          <w:b w:val="0"/>
          <w:bCs/>
          <w:color w:val="auto"/>
          <w:kern w:val="0"/>
          <w:sz w:val="24"/>
          <w:szCs w:val="24"/>
        </w:rPr>
        <w:t>身份证号码：</w:t>
      </w:r>
      <w:r>
        <w:rPr>
          <w:rFonts w:hint="eastAsia" w:ascii="仿宋" w:eastAsia="仿宋" w:cs="仿宋"/>
          <w:b w:val="0"/>
          <w:bCs/>
          <w:color w:val="auto"/>
          <w:kern w:val="0"/>
          <w:sz w:val="24"/>
          <w:szCs w:val="24"/>
          <w:u w:val="single"/>
        </w:rPr>
        <w:t>　　　　　　　　</w:t>
      </w:r>
    </w:p>
    <w:p w14:paraId="00EFFD58">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委托代理人：</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rPr>
        <w:t>（签字或印章）</w:t>
      </w:r>
    </w:p>
    <w:p w14:paraId="4C6F8E17">
      <w:pPr>
        <w:widowControl/>
        <w:wordWrap/>
        <w:overflowPunct w:val="0"/>
        <w:spacing w:before="120" w:after="120" w:line="360" w:lineRule="auto"/>
        <w:ind w:firstLine="480" w:firstLineChars="200"/>
        <w:jc w:val="left"/>
        <w:rPr>
          <w:rFonts w:hint="eastAsia" w:ascii="仿宋" w:eastAsia="仿宋" w:cs="仿宋"/>
          <w:b w:val="0"/>
          <w:bCs/>
          <w:color w:val="auto"/>
          <w:kern w:val="0"/>
          <w:sz w:val="24"/>
          <w:szCs w:val="24"/>
        </w:rPr>
      </w:pPr>
      <w:r>
        <w:rPr>
          <w:rFonts w:hint="eastAsia" w:ascii="仿宋" w:eastAsia="仿宋" w:cs="仿宋"/>
          <w:b w:val="0"/>
          <w:bCs/>
          <w:color w:val="auto"/>
          <w:kern w:val="0"/>
          <w:sz w:val="24"/>
          <w:szCs w:val="24"/>
        </w:rPr>
        <w:t>委托代理人身份证号码：</w:t>
      </w:r>
      <w:r>
        <w:rPr>
          <w:rFonts w:hint="eastAsia" w:ascii="仿宋" w:eastAsia="仿宋" w:cs="仿宋"/>
          <w:b w:val="0"/>
          <w:bCs/>
          <w:color w:val="auto"/>
          <w:kern w:val="0"/>
          <w:sz w:val="24"/>
          <w:szCs w:val="24"/>
          <w:u w:val="single"/>
        </w:rPr>
        <w:t>　　　　　　　　　　　　　　　　</w:t>
      </w:r>
      <w:r>
        <w:rPr>
          <w:rFonts w:hint="eastAsia" w:ascii="仿宋" w:eastAsia="仿宋" w:cs="仿宋"/>
          <w:b w:val="0"/>
          <w:bCs/>
          <w:color w:val="auto"/>
          <w:kern w:val="0"/>
          <w:sz w:val="24"/>
          <w:szCs w:val="24"/>
          <w:u w:val="single"/>
          <w:lang w:val="en-US" w:eastAsia="zh-CN"/>
        </w:rPr>
        <w:t xml:space="preserve"> </w:t>
      </w:r>
      <w:r>
        <w:rPr>
          <w:rFonts w:hint="eastAsia" w:ascii="仿宋" w:eastAsia="仿宋" w:cs="仿宋"/>
          <w:b w:val="0"/>
          <w:bCs/>
          <w:color w:val="auto"/>
          <w:kern w:val="0"/>
          <w:sz w:val="24"/>
          <w:szCs w:val="24"/>
          <w:u w:val="single"/>
        </w:rPr>
        <w:t>　　</w:t>
      </w:r>
    </w:p>
    <w:p w14:paraId="323E1F8D">
      <w:pPr>
        <w:widowControl/>
        <w:wordWrap/>
        <w:overflowPunct w:val="0"/>
        <w:spacing w:before="120" w:after="120" w:line="360" w:lineRule="auto"/>
        <w:ind w:firstLine="480" w:firstLineChars="200"/>
        <w:jc w:val="left"/>
        <w:rPr>
          <w:rFonts w:ascii="仿宋" w:eastAsia="仿宋" w:cs="仿宋"/>
          <w:b w:val="0"/>
          <w:bCs/>
          <w:color w:val="auto"/>
          <w:kern w:val="0"/>
          <w:sz w:val="24"/>
          <w:szCs w:val="24"/>
          <w:u w:val="single"/>
          <w:lang w:val="en-US"/>
        </w:rPr>
      </w:pPr>
      <w:r>
        <w:rPr>
          <w:rFonts w:hint="eastAsia" w:ascii="仿宋" w:eastAsia="仿宋" w:cs="仿宋"/>
          <w:b w:val="0"/>
          <w:color w:val="auto"/>
          <w:kern w:val="0"/>
          <w:sz w:val="24"/>
          <w:szCs w:val="24"/>
          <w:lang w:val="en-US" w:eastAsia="zh-CN" w:bidi="ar-SA"/>
        </w:rPr>
        <w:t>日 期：</w:t>
      </w:r>
      <w:r>
        <w:rPr>
          <w:rFonts w:hint="eastAsia" w:ascii="仿宋" w:eastAsia="仿宋" w:cs="仿宋"/>
          <w:b w:val="0"/>
          <w:color w:val="auto"/>
          <w:kern w:val="0"/>
          <w:sz w:val="24"/>
          <w:szCs w:val="24"/>
          <w:u w:val="single"/>
          <w:lang w:val="en-US" w:eastAsia="zh-CN" w:bidi="ar-SA"/>
        </w:rPr>
        <w:t xml:space="preserve">                                                    </w:t>
      </w:r>
    </w:p>
    <w:p w14:paraId="75EA6D76">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仿宋" w:eastAsia="仿宋" w:cs="仿宋"/>
          <w:b w:val="0"/>
          <w:bCs/>
          <w:color w:val="auto"/>
          <w:kern w:val="0"/>
          <w:sz w:val="24"/>
          <w:szCs w:val="24"/>
        </w:rPr>
      </w:pPr>
    </w:p>
    <w:p w14:paraId="025448F8">
      <w:pPr>
        <w:tabs>
          <w:tab w:val="left" w:pos="709"/>
        </w:tabs>
        <w:bidi w:val="0"/>
        <w:jc w:val="center"/>
        <w:outlineLvl w:val="2"/>
        <w:rPr>
          <w:lang w:val="en-US"/>
        </w:rPr>
      </w:pPr>
      <w:r>
        <w:rPr>
          <w:rFonts w:ascii="宋体" w:eastAsia="宋体"/>
          <w:kern w:val="0"/>
          <w:sz w:val="21"/>
          <w:szCs w:val="22"/>
        </w:rPr>
        <w:br w:type="page"/>
      </w:r>
      <w:r>
        <w:rPr>
          <w:rFonts w:hint="eastAsia"/>
          <w:lang w:val="en-US" w:eastAsia="zh-CN"/>
        </w:rPr>
        <w:t>3.</w:t>
      </w:r>
      <w:r>
        <w:rPr>
          <w:lang w:val="en-US"/>
        </w:rPr>
        <w:t>投标</w:t>
      </w:r>
      <w:bookmarkEnd w:id="325"/>
      <w:bookmarkEnd w:id="326"/>
      <w:bookmarkEnd w:id="327"/>
      <w:bookmarkEnd w:id="328"/>
      <w:bookmarkEnd w:id="329"/>
      <w:bookmarkEnd w:id="330"/>
      <w:bookmarkEnd w:id="331"/>
      <w:bookmarkEnd w:id="332"/>
      <w:bookmarkEnd w:id="333"/>
      <w:bookmarkEnd w:id="334"/>
      <w:bookmarkEnd w:id="335"/>
      <w:r>
        <w:rPr>
          <w:lang w:val="en-US"/>
        </w:rPr>
        <w:t>函</w:t>
      </w:r>
      <w:bookmarkEnd w:id="336"/>
      <w:bookmarkEnd w:id="337"/>
      <w:bookmarkEnd w:id="338"/>
      <w:bookmarkEnd w:id="339"/>
      <w:bookmarkEnd w:id="340"/>
      <w:bookmarkEnd w:id="341"/>
      <w:bookmarkEnd w:id="345"/>
    </w:p>
    <w:p w14:paraId="5C8F30D9">
      <w:pPr>
        <w:pageBreakBefore w:val="0"/>
        <w:widowControl w:val="0"/>
        <w:kinsoku/>
        <w:wordWrap/>
        <w:overflowPunct/>
        <w:topLinePunct w:val="0"/>
        <w:bidi w:val="0"/>
        <w:spacing w:beforeAutospacing="0" w:afterAutospacing="0" w:line="360" w:lineRule="auto"/>
        <w:ind w:left="0" w:right="0" w:firstLine="0" w:firstLineChars="0"/>
        <w:rPr>
          <w:rFonts w:ascii="仿宋" w:eastAsia="仿宋"/>
          <w:b w:val="0"/>
          <w:bCs/>
          <w:color w:val="auto"/>
          <w:kern w:val="2"/>
          <w:sz w:val="24"/>
          <w:szCs w:val="24"/>
          <w:highlight w:val="none"/>
          <w:lang w:val="en-US"/>
        </w:rPr>
      </w:pPr>
      <w:r>
        <w:rPr>
          <w:rFonts w:hint="eastAsia" w:ascii="仿宋" w:eastAsia="仿宋"/>
          <w:b w:val="0"/>
          <w:bCs/>
          <w:color w:val="auto"/>
          <w:kern w:val="2"/>
          <w:sz w:val="24"/>
          <w:szCs w:val="24"/>
          <w:highlight w:val="none"/>
          <w:lang w:val="en-US" w:eastAsia="zh-CN"/>
        </w:rPr>
        <w:t>新疆驰珑信诚招标代理有限公司</w:t>
      </w:r>
      <w:r>
        <w:rPr>
          <w:rFonts w:ascii="仿宋" w:eastAsia="仿宋"/>
          <w:b w:val="0"/>
          <w:bCs/>
          <w:color w:val="auto"/>
          <w:kern w:val="2"/>
          <w:sz w:val="24"/>
          <w:szCs w:val="24"/>
          <w:highlight w:val="none"/>
          <w:lang w:val="en-US"/>
        </w:rPr>
        <w:t>：</w:t>
      </w:r>
    </w:p>
    <w:p w14:paraId="2AE11CF2">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bookmarkStart w:id="347" w:name="_Toc320622611"/>
      <w:bookmarkEnd w:id="347"/>
      <w:bookmarkStart w:id="348" w:name="_Toc320622620"/>
      <w:bookmarkEnd w:id="348"/>
      <w:bookmarkStart w:id="349" w:name="_Toc320622617"/>
      <w:bookmarkEnd w:id="349"/>
      <w:bookmarkStart w:id="350" w:name="_Toc320622607"/>
      <w:bookmarkEnd w:id="350"/>
      <w:bookmarkStart w:id="351" w:name="_Toc320622604"/>
      <w:bookmarkEnd w:id="351"/>
      <w:bookmarkStart w:id="352" w:name="_Toc320622624"/>
      <w:bookmarkEnd w:id="352"/>
      <w:bookmarkStart w:id="353" w:name="_Toc320622609"/>
      <w:bookmarkEnd w:id="353"/>
      <w:bookmarkStart w:id="354" w:name="_Toc320622613"/>
      <w:bookmarkEnd w:id="354"/>
      <w:bookmarkStart w:id="355" w:name="_Toc320622602"/>
      <w:bookmarkEnd w:id="355"/>
      <w:bookmarkStart w:id="356" w:name="_Toc320622621"/>
      <w:bookmarkEnd w:id="356"/>
      <w:bookmarkStart w:id="357" w:name="_Toc320622610"/>
      <w:bookmarkEnd w:id="357"/>
      <w:bookmarkStart w:id="358" w:name="_Toc320622596"/>
      <w:bookmarkEnd w:id="358"/>
      <w:bookmarkStart w:id="359" w:name="_Toc320622623"/>
      <w:bookmarkEnd w:id="359"/>
      <w:bookmarkStart w:id="360" w:name="_Toc320622597"/>
      <w:bookmarkEnd w:id="360"/>
      <w:bookmarkStart w:id="361" w:name="_Toc320622606"/>
      <w:bookmarkEnd w:id="361"/>
      <w:bookmarkStart w:id="362" w:name="_Toc320622601"/>
      <w:bookmarkEnd w:id="362"/>
      <w:bookmarkStart w:id="363" w:name="_Toc320622600"/>
      <w:bookmarkEnd w:id="363"/>
      <w:bookmarkStart w:id="364" w:name="_Toc320622595"/>
      <w:bookmarkEnd w:id="364"/>
      <w:bookmarkStart w:id="365" w:name="_Toc320622626"/>
      <w:bookmarkEnd w:id="365"/>
      <w:bookmarkStart w:id="366" w:name="_Toc320622622"/>
      <w:bookmarkEnd w:id="366"/>
      <w:bookmarkStart w:id="367" w:name="_Toc320622608"/>
      <w:bookmarkEnd w:id="367"/>
      <w:bookmarkStart w:id="368" w:name="_Toc320622616"/>
      <w:bookmarkEnd w:id="368"/>
      <w:bookmarkStart w:id="369" w:name="_Toc320622627"/>
      <w:bookmarkEnd w:id="369"/>
      <w:bookmarkStart w:id="370" w:name="_Toc320622598"/>
      <w:bookmarkEnd w:id="370"/>
      <w:bookmarkStart w:id="371" w:name="_Toc320622618"/>
      <w:bookmarkEnd w:id="371"/>
      <w:bookmarkStart w:id="372" w:name="_Toc320622619"/>
      <w:bookmarkEnd w:id="372"/>
      <w:bookmarkStart w:id="373" w:name="_Toc320622615"/>
      <w:bookmarkEnd w:id="373"/>
      <w:bookmarkStart w:id="374" w:name="_Toc320622599"/>
      <w:bookmarkEnd w:id="374"/>
      <w:bookmarkStart w:id="375" w:name="_Toc320622593"/>
      <w:bookmarkEnd w:id="375"/>
      <w:bookmarkStart w:id="376" w:name="_Toc320622625"/>
      <w:bookmarkEnd w:id="376"/>
      <w:bookmarkStart w:id="377" w:name="_Toc320622603"/>
      <w:bookmarkEnd w:id="377"/>
      <w:bookmarkStart w:id="378" w:name="_Toc320622614"/>
      <w:bookmarkEnd w:id="378"/>
      <w:bookmarkStart w:id="379" w:name="_Toc320622594"/>
      <w:bookmarkEnd w:id="379"/>
      <w:bookmarkStart w:id="380" w:name="_Toc320622605"/>
      <w:bookmarkEnd w:id="380"/>
      <w:bookmarkStart w:id="381" w:name="_Toc320622612"/>
      <w:bookmarkEnd w:id="381"/>
      <w:r>
        <w:rPr>
          <w:rFonts w:ascii="仿宋" w:eastAsia="仿宋"/>
          <w:b w:val="0"/>
          <w:color w:val="auto"/>
          <w:kern w:val="2"/>
          <w:sz w:val="24"/>
          <w:szCs w:val="24"/>
          <w:highlight w:val="none"/>
          <w:lang w:val="en-US"/>
        </w:rPr>
        <w:t>我方全面研究了“</w:t>
      </w:r>
      <w:r>
        <w:rPr>
          <w:rFonts w:ascii="仿宋" w:eastAsia="仿宋"/>
          <w:b w:val="0"/>
          <w:color w:val="auto"/>
          <w:kern w:val="2"/>
          <w:sz w:val="24"/>
          <w:szCs w:val="24"/>
          <w:highlight w:val="none"/>
          <w:u w:val="single"/>
          <w:lang w:val="en-US"/>
        </w:rPr>
        <w:t xml:space="preserve">             项目</w:t>
      </w:r>
      <w:r>
        <w:rPr>
          <w:rFonts w:ascii="仿宋" w:eastAsia="仿宋"/>
          <w:b w:val="0"/>
          <w:color w:val="auto"/>
          <w:kern w:val="2"/>
          <w:sz w:val="24"/>
          <w:szCs w:val="24"/>
          <w:highlight w:val="none"/>
          <w:lang w:val="en-US"/>
        </w:rPr>
        <w:t>”</w:t>
      </w:r>
      <w:r>
        <w:rPr>
          <w:rFonts w:hint="eastAsia" w:ascii="仿宋" w:eastAsia="仿宋"/>
          <w:b w:val="0"/>
          <w:color w:val="auto"/>
          <w:kern w:val="2"/>
          <w:sz w:val="24"/>
          <w:szCs w:val="24"/>
          <w:highlight w:val="none"/>
          <w:lang w:val="en-US" w:eastAsia="zh-CN"/>
        </w:rPr>
        <w:t>（</w:t>
      </w:r>
      <w:r>
        <w:rPr>
          <w:rFonts w:hint="eastAsia" w:ascii="仿宋" w:eastAsia="仿宋"/>
          <w:b w:val="0"/>
          <w:color w:val="auto"/>
          <w:kern w:val="2"/>
          <w:sz w:val="24"/>
          <w:szCs w:val="24"/>
          <w:lang w:val="en-US" w:eastAsia="zh-CN"/>
        </w:rPr>
        <w:t>标项号/包号</w:t>
      </w:r>
      <w:r>
        <w:rPr>
          <w:rFonts w:ascii="仿宋" w:eastAsia="仿宋"/>
          <w:b w:val="0"/>
          <w:color w:val="auto"/>
          <w:kern w:val="2"/>
          <w:sz w:val="24"/>
          <w:szCs w:val="24"/>
          <w:lang w:val="en-US"/>
        </w:rPr>
        <w:t>：</w:t>
      </w:r>
      <w:r>
        <w:rPr>
          <w:rFonts w:hint="eastAsia" w:ascii="仿宋" w:eastAsia="仿宋"/>
          <w:b w:val="0"/>
          <w:color w:val="auto"/>
          <w:kern w:val="2"/>
          <w:sz w:val="24"/>
          <w:szCs w:val="24"/>
          <w:u w:val="single"/>
          <w:lang w:val="en-US" w:eastAsia="zh-CN"/>
        </w:rPr>
        <w:t xml:space="preserve">               </w:t>
      </w:r>
      <w:r>
        <w:rPr>
          <w:rFonts w:hint="eastAsia" w:ascii="仿宋" w:eastAsia="仿宋"/>
          <w:b w:val="0"/>
          <w:color w:val="auto"/>
          <w:kern w:val="2"/>
          <w:sz w:val="24"/>
          <w:szCs w:val="24"/>
          <w:highlight w:val="none"/>
          <w:lang w:val="en-US" w:eastAsia="zh-CN"/>
        </w:rPr>
        <w:t>）</w:t>
      </w:r>
      <w:r>
        <w:rPr>
          <w:rFonts w:ascii="仿宋" w:eastAsia="仿宋"/>
          <w:b w:val="0"/>
          <w:color w:val="auto"/>
          <w:kern w:val="2"/>
          <w:sz w:val="24"/>
          <w:szCs w:val="24"/>
          <w:highlight w:val="none"/>
          <w:lang w:val="en-US"/>
        </w:rPr>
        <w:t>的招标文件（采购项目编号：</w:t>
      </w:r>
      <w:r>
        <w:rPr>
          <w:rFonts w:ascii="仿宋" w:eastAsia="仿宋"/>
          <w:b w:val="0"/>
          <w:color w:val="auto"/>
          <w:kern w:val="2"/>
          <w:sz w:val="24"/>
          <w:szCs w:val="24"/>
          <w:highlight w:val="none"/>
          <w:u w:val="single"/>
          <w:lang w:val="en-US"/>
        </w:rPr>
        <w:t xml:space="preserve">         </w:t>
      </w:r>
      <w:r>
        <w:rPr>
          <w:rFonts w:ascii="仿宋" w:eastAsia="仿宋"/>
          <w:b w:val="0"/>
          <w:color w:val="auto"/>
          <w:kern w:val="2"/>
          <w:sz w:val="24"/>
          <w:szCs w:val="24"/>
          <w:highlight w:val="none"/>
          <w:lang w:val="en-US"/>
        </w:rPr>
        <w:t>），决定参加贵单位组织的本项目的投标。</w:t>
      </w:r>
    </w:p>
    <w:p w14:paraId="4848EBCE">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我方自愿按照招标文件规定的各项要求向甲方提供所需服务，投标总价见</w:t>
      </w:r>
      <w:r>
        <w:rPr>
          <w:rFonts w:hint="eastAsia" w:ascii="仿宋" w:eastAsia="仿宋"/>
          <w:b w:val="0"/>
          <w:color w:val="auto"/>
          <w:kern w:val="2"/>
          <w:sz w:val="24"/>
          <w:szCs w:val="24"/>
          <w:highlight w:val="none"/>
          <w:lang w:val="en-US" w:eastAsia="zh-CN"/>
        </w:rPr>
        <w:t>报价</w:t>
      </w:r>
      <w:r>
        <w:rPr>
          <w:rFonts w:ascii="仿宋" w:eastAsia="仿宋"/>
          <w:b w:val="0"/>
          <w:color w:val="auto"/>
          <w:kern w:val="2"/>
          <w:sz w:val="24"/>
          <w:szCs w:val="24"/>
          <w:highlight w:val="none"/>
          <w:lang w:val="en-US"/>
        </w:rPr>
        <w:t>一览表。</w:t>
      </w:r>
    </w:p>
    <w:p w14:paraId="3B58FF94">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一旦我方中标，我方将严格履行合同规定的责任和义务，并完成项目的</w:t>
      </w:r>
      <w:r>
        <w:rPr>
          <w:rFonts w:hint="eastAsia" w:ascii="仿宋" w:eastAsia="仿宋"/>
          <w:b w:val="0"/>
          <w:color w:val="auto"/>
          <w:kern w:val="2"/>
          <w:sz w:val="24"/>
          <w:szCs w:val="24"/>
          <w:highlight w:val="none"/>
          <w:lang w:val="en-US" w:eastAsia="zh-CN"/>
        </w:rPr>
        <w:t>各项服务内容</w:t>
      </w:r>
      <w:r>
        <w:rPr>
          <w:rFonts w:ascii="仿宋" w:eastAsia="仿宋"/>
          <w:b w:val="0"/>
          <w:color w:val="auto"/>
          <w:kern w:val="2"/>
          <w:sz w:val="24"/>
          <w:szCs w:val="24"/>
          <w:highlight w:val="none"/>
          <w:lang w:val="en-US"/>
        </w:rPr>
        <w:t>。</w:t>
      </w:r>
    </w:p>
    <w:p w14:paraId="32BCDEEC">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本项目投标有效期为投标截止之日起90天。</w:t>
      </w:r>
    </w:p>
    <w:p w14:paraId="39FB22F8">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hint="eastAsia"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我方已详细阅读和审查了全部招标文件，包括修改文件（如有）以及全部相关资料和有关附件，并对上述文件均无异议。如对招标文件有异议，已经在投标截止时间届满前依法进行了维权救济，不存在对招标文件有异议的同时又参加投标以求侥幸中标或者为实现其他非法目的的行为。</w:t>
      </w:r>
    </w:p>
    <w:p w14:paraId="2832961D">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与我方存在直接控股关系的单位为：</w:t>
      </w:r>
      <w:r>
        <w:rPr>
          <w:rFonts w:hint="eastAsia" w:ascii="仿宋" w:eastAsia="仿宋"/>
          <w:b w:val="0"/>
          <w:color w:val="auto"/>
          <w:kern w:val="2"/>
          <w:sz w:val="24"/>
          <w:szCs w:val="24"/>
          <w:highlight w:val="none"/>
          <w:u w:val="single"/>
          <w:lang w:val="en-US"/>
        </w:rPr>
        <w:t xml:space="preserve">    </w:t>
      </w:r>
      <w:r>
        <w:rPr>
          <w:rFonts w:hint="eastAsia" w:ascii="仿宋" w:eastAsia="仿宋"/>
          <w:color w:val="auto"/>
          <w:kern w:val="2"/>
          <w:sz w:val="24"/>
          <w:szCs w:val="24"/>
          <w:highlight w:val="none"/>
          <w:lang w:val="en-US"/>
        </w:rPr>
        <w:t>或</w:t>
      </w:r>
      <w:r>
        <w:rPr>
          <w:rFonts w:hint="eastAsia" w:ascii="仿宋" w:eastAsia="仿宋"/>
          <w:b w:val="0"/>
          <w:color w:val="auto"/>
          <w:kern w:val="2"/>
          <w:sz w:val="24"/>
          <w:szCs w:val="24"/>
          <w:highlight w:val="none"/>
          <w:lang w:val="en-US"/>
        </w:rPr>
        <w:t>无；存在管理关系单位为：</w:t>
      </w:r>
      <w:r>
        <w:rPr>
          <w:rFonts w:hint="eastAsia" w:ascii="仿宋" w:eastAsia="仿宋"/>
          <w:b w:val="0"/>
          <w:color w:val="auto"/>
          <w:kern w:val="2"/>
          <w:sz w:val="24"/>
          <w:szCs w:val="24"/>
          <w:highlight w:val="none"/>
          <w:u w:val="single"/>
          <w:lang w:val="en-US"/>
        </w:rPr>
        <w:t xml:space="preserve">     </w:t>
      </w:r>
      <w:r>
        <w:rPr>
          <w:rFonts w:hint="eastAsia" w:ascii="仿宋" w:eastAsia="仿宋"/>
          <w:color w:val="auto"/>
          <w:kern w:val="2"/>
          <w:sz w:val="24"/>
          <w:szCs w:val="24"/>
          <w:highlight w:val="none"/>
          <w:lang w:val="en-US"/>
        </w:rPr>
        <w:t>或</w:t>
      </w:r>
      <w:r>
        <w:rPr>
          <w:rFonts w:hint="eastAsia" w:ascii="仿宋" w:eastAsia="仿宋"/>
          <w:b w:val="0"/>
          <w:color w:val="auto"/>
          <w:kern w:val="2"/>
          <w:sz w:val="24"/>
          <w:szCs w:val="24"/>
          <w:highlight w:val="none"/>
          <w:lang w:val="en-US"/>
        </w:rPr>
        <w:t>无。</w:t>
      </w:r>
    </w:p>
    <w:p w14:paraId="2147F866">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为采购项目提供整体设计、规范编制或者项目管理、监理、检测等服务的供应商，不得再参加该采购项目的其他采购活动，我方承诺不属于此类禁止参加本项目的供应商。</w:t>
      </w:r>
    </w:p>
    <w:p w14:paraId="14B48E1C">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在参加本次采购活动中，不存在和其他</w:t>
      </w:r>
      <w:r>
        <w:rPr>
          <w:rFonts w:hint="eastAsia" w:ascii="仿宋" w:eastAsia="仿宋"/>
          <w:b w:val="0"/>
          <w:color w:val="auto"/>
          <w:kern w:val="2"/>
          <w:sz w:val="24"/>
          <w:szCs w:val="24"/>
          <w:highlight w:val="none"/>
          <w:lang w:val="en-US" w:eastAsia="zh-CN"/>
        </w:rPr>
        <w:t>投标人</w:t>
      </w:r>
      <w:r>
        <w:rPr>
          <w:rFonts w:hint="eastAsia" w:ascii="仿宋" w:eastAsia="仿宋"/>
          <w:b w:val="0"/>
          <w:color w:val="auto"/>
          <w:kern w:val="2"/>
          <w:sz w:val="24"/>
          <w:szCs w:val="24"/>
          <w:highlight w:val="none"/>
          <w:lang w:val="en-US"/>
        </w:rPr>
        <w:t>在同一合同项下的采购项目中，同时委托同一个自然人、同一家庭的人员、同一单位的人员作为代理人的行为。</w:t>
      </w:r>
    </w:p>
    <w:p w14:paraId="4B164890">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我方实际控制人或者中高级管理人员或者其他工作人员，不存在同时是采购代理机构工作人员的情形。</w:t>
      </w:r>
    </w:p>
    <w:p w14:paraId="625F10B1">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不存在同一母公司的两家以上的子公司，以不同</w:t>
      </w:r>
      <w:r>
        <w:rPr>
          <w:rFonts w:hint="eastAsia" w:ascii="仿宋" w:eastAsia="仿宋"/>
          <w:b w:val="0"/>
          <w:color w:val="auto"/>
          <w:kern w:val="2"/>
          <w:sz w:val="24"/>
          <w:szCs w:val="24"/>
          <w:highlight w:val="none"/>
          <w:lang w:val="en-US" w:eastAsia="zh-CN"/>
        </w:rPr>
        <w:t>投标人</w:t>
      </w:r>
      <w:r>
        <w:rPr>
          <w:rFonts w:hint="eastAsia" w:ascii="仿宋" w:eastAsia="仿宋"/>
          <w:b w:val="0"/>
          <w:color w:val="auto"/>
          <w:kern w:val="2"/>
          <w:sz w:val="24"/>
          <w:szCs w:val="24"/>
          <w:highlight w:val="none"/>
          <w:lang w:val="en-US"/>
        </w:rPr>
        <w:t>身份同时参加本项目同一合同项下的采购活动的情形。</w:t>
      </w:r>
    </w:p>
    <w:p w14:paraId="76B2304E">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我方与采购代理机构不存在关联关系，也不是采购代理机构的母公司或子公司。</w:t>
      </w:r>
    </w:p>
    <w:p w14:paraId="455C9013">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国家或行业主管部门对投标人和采购产品的技术标准、质量标准和资格资质条件等有强制性规定的，我方符合其要求。</w:t>
      </w:r>
    </w:p>
    <w:p w14:paraId="782D7FE1">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我方愿意提供贵单位可能另外要求的，与投标有关的文件资料，并保证我方已提供和将要提供的文件资料是真实、准确的。如本项目需要提供样品，则我方提供的样品即为中标后将要提供的中标产品，我方对样品的性能和质量负责，因样品存在缺陷或者不符合招标文件要求导致未能中标的，我方愿意承担相应不利后果。</w:t>
      </w:r>
    </w:p>
    <w:p w14:paraId="1649C0A9">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hint="eastAsia"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我方完全理解采购人不一定将合同授予最低报价的投标人的行为。</w:t>
      </w:r>
    </w:p>
    <w:p w14:paraId="1B486A60">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我单位及其现任法定代表人、主要负责人不存在行贿犯罪记录。</w:t>
      </w:r>
    </w:p>
    <w:p w14:paraId="21FCB874">
      <w:pPr>
        <w:pageBreakBefore w:val="0"/>
        <w:widowControl w:val="0"/>
        <w:numPr>
          <w:ilvl w:val="0"/>
          <w:numId w:val="85"/>
        </w:numPr>
        <w:kinsoku/>
        <w:wordWrap/>
        <w:overflowPunct/>
        <w:topLinePunct w:val="0"/>
        <w:bidi w:val="0"/>
        <w:spacing w:beforeAutospacing="0" w:afterAutospacing="0" w:line="360" w:lineRule="auto"/>
        <w:ind w:left="0" w:right="0" w:firstLine="51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若我方中标，我方承诺按照本招标文件约定支付招标代理服务费，否则视为虚假应标并承担由此带来的一切后果。</w:t>
      </w:r>
    </w:p>
    <w:p w14:paraId="325DF5BE">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p>
    <w:p w14:paraId="4E6311EF">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p>
    <w:p w14:paraId="483ED9A1">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w:t>
      </w:r>
      <w:r>
        <w:rPr>
          <w:rFonts w:hint="eastAsia" w:ascii="仿宋" w:eastAsia="仿宋"/>
          <w:b w:val="0"/>
          <w:color w:val="auto"/>
          <w:kern w:val="2"/>
          <w:sz w:val="24"/>
          <w:szCs w:val="24"/>
          <w:highlight w:val="none"/>
          <w:lang w:val="en-US" w:eastAsia="zh-CN"/>
        </w:rPr>
        <w:t>公</w:t>
      </w:r>
      <w:r>
        <w:rPr>
          <w:rFonts w:hint="eastAsia" w:ascii="仿宋" w:eastAsia="仿宋"/>
          <w:b w:val="0"/>
          <w:color w:val="auto"/>
          <w:kern w:val="2"/>
          <w:sz w:val="24"/>
          <w:szCs w:val="24"/>
          <w:highlight w:val="none"/>
          <w:lang w:val="en-US"/>
        </w:rPr>
        <w:t>章）</w:t>
      </w:r>
      <w:r>
        <w:rPr>
          <w:rFonts w:ascii="仿宋" w:eastAsia="仿宋"/>
          <w:b w:val="0"/>
          <w:color w:val="auto"/>
          <w:kern w:val="2"/>
          <w:sz w:val="24"/>
          <w:szCs w:val="24"/>
          <w:highlight w:val="none"/>
          <w:lang w:val="en-US"/>
        </w:rPr>
        <w:t>：</w:t>
      </w:r>
    </w:p>
    <w:p w14:paraId="1FB9BBCE">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4A3FFEE7">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通讯地址：</w:t>
      </w:r>
    </w:p>
    <w:p w14:paraId="30BDA8D7">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联系电话：</w:t>
      </w:r>
    </w:p>
    <w:p w14:paraId="12D04DAA">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传    真：</w:t>
      </w:r>
    </w:p>
    <w:p w14:paraId="3EB7CBFB">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日    期：</w:t>
      </w:r>
      <w:bookmarkStart w:id="382" w:name="_Toc256175381"/>
      <w:bookmarkEnd w:id="382"/>
      <w:bookmarkStart w:id="383" w:name="_Toc256175374"/>
      <w:bookmarkEnd w:id="383"/>
      <w:bookmarkStart w:id="384" w:name="_Toc256175373"/>
      <w:bookmarkEnd w:id="384"/>
      <w:bookmarkStart w:id="385" w:name="_Toc318203504"/>
      <w:bookmarkEnd w:id="385"/>
      <w:bookmarkStart w:id="386" w:name="_Toc318203503"/>
      <w:bookmarkEnd w:id="386"/>
      <w:bookmarkStart w:id="387" w:name="_Toc256175375"/>
      <w:bookmarkEnd w:id="387"/>
      <w:bookmarkStart w:id="388" w:name="_Toc256175377"/>
      <w:bookmarkEnd w:id="388"/>
      <w:bookmarkStart w:id="389" w:name="_Toc256175379"/>
      <w:bookmarkEnd w:id="389"/>
      <w:bookmarkStart w:id="390" w:name="_Toc256175378"/>
      <w:bookmarkEnd w:id="390"/>
      <w:bookmarkStart w:id="391" w:name="_Toc256175380"/>
      <w:bookmarkEnd w:id="391"/>
      <w:bookmarkStart w:id="392" w:name="_Toc256175345"/>
      <w:bookmarkEnd w:id="392"/>
      <w:bookmarkStart w:id="393" w:name="_Toc256175372"/>
      <w:bookmarkEnd w:id="393"/>
      <w:bookmarkStart w:id="394" w:name="_Toc256175376"/>
      <w:bookmarkEnd w:id="394"/>
    </w:p>
    <w:p w14:paraId="471B0332">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5D06A874">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424E3FCC">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60CF7BBD">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484A4662">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549D6EB4">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6A2CB2F3">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7FECF971">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3A6C97B2">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14D885F4">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450BFF58">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763A940B">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5CAD2972">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380066C5">
      <w:pPr>
        <w:pageBreakBefore w:val="0"/>
        <w:widowControl w:val="0"/>
        <w:kinsoku/>
        <w:wordWrap/>
        <w:overflowPunct/>
        <w:topLinePunct w:val="0"/>
        <w:bidi w:val="0"/>
        <w:spacing w:beforeAutospacing="0" w:afterAutospacing="0" w:line="360" w:lineRule="auto"/>
        <w:ind w:left="0" w:right="0"/>
        <w:rPr>
          <w:rFonts w:hint="eastAsia" w:ascii="仿宋" w:eastAsia="仿宋"/>
          <w:b w:val="0"/>
          <w:color w:val="auto"/>
          <w:kern w:val="2"/>
          <w:sz w:val="24"/>
          <w:szCs w:val="24"/>
          <w:highlight w:val="none"/>
          <w:lang w:val="en-US"/>
        </w:rPr>
      </w:pPr>
    </w:p>
    <w:p w14:paraId="14B48CC5">
      <w:pPr>
        <w:pStyle w:val="5"/>
        <w:bidi w:val="0"/>
        <w:rPr>
          <w:lang w:val="en-US"/>
        </w:rPr>
      </w:pPr>
      <w:bookmarkStart w:id="395" w:name="_Toc494198605"/>
      <w:r>
        <w:rPr>
          <w:rFonts w:hint="eastAsia"/>
          <w:lang w:val="en-US" w:eastAsia="zh-CN"/>
        </w:rPr>
        <w:br w:type="page"/>
      </w:r>
      <w:r>
        <w:rPr>
          <w:rFonts w:hint="eastAsia"/>
          <w:lang w:val="en-US" w:eastAsia="zh-CN"/>
        </w:rPr>
        <w:t>4.服务</w:t>
      </w:r>
      <w:r>
        <w:rPr>
          <w:lang w:val="en-US"/>
        </w:rPr>
        <w:t>偏离表</w:t>
      </w:r>
      <w:bookmarkEnd w:id="395"/>
    </w:p>
    <w:p w14:paraId="4D9B1003">
      <w:pPr>
        <w:pageBreakBefore w:val="0"/>
        <w:widowControl w:val="0"/>
        <w:kinsoku/>
        <w:wordWrap/>
        <w:overflowPunct/>
        <w:topLinePunct w:val="0"/>
        <w:bidi w:val="0"/>
        <w:spacing w:beforeAutospacing="0" w:afterAutospacing="0" w:line="360" w:lineRule="auto"/>
        <w:ind w:right="0"/>
        <w:rPr>
          <w:rFonts w:ascii="仿宋" w:eastAsia="仿宋"/>
          <w:b w:val="0"/>
          <w:color w:val="auto"/>
          <w:kern w:val="2"/>
          <w:sz w:val="24"/>
          <w:szCs w:val="24"/>
          <w:highlight w:val="none"/>
          <w:lang w:val="en-US"/>
        </w:rPr>
      </w:pPr>
    </w:p>
    <w:p w14:paraId="0BBC61D6">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采购项目名称：</w:t>
      </w:r>
    </w:p>
    <w:p w14:paraId="115B6C1F">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采购项目编号：</w:t>
      </w:r>
    </w:p>
    <w:p w14:paraId="50A2BEDA">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eastAsia="zh-CN"/>
        </w:rPr>
        <w:t>标项号/包号</w:t>
      </w:r>
      <w:r>
        <w:rPr>
          <w:rFonts w:ascii="仿宋" w:eastAsia="仿宋"/>
          <w:b w:val="0"/>
          <w:color w:val="auto"/>
          <w:kern w:val="2"/>
          <w:sz w:val="24"/>
          <w:szCs w:val="24"/>
          <w:highlight w:val="none"/>
          <w:lang w:val="en-US"/>
        </w:rPr>
        <w:t>：</w:t>
      </w:r>
    </w:p>
    <w:tbl>
      <w:tblPr>
        <w:tblStyle w:val="80"/>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157"/>
        <w:gridCol w:w="2560"/>
        <w:gridCol w:w="2551"/>
        <w:gridCol w:w="1231"/>
      </w:tblGrid>
      <w:tr w14:paraId="4749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18" w:type="dxa"/>
            <w:tcBorders>
              <w:tl2br w:val="nil"/>
              <w:tr2bl w:val="nil"/>
            </w:tcBorders>
            <w:vAlign w:val="center"/>
          </w:tcPr>
          <w:p w14:paraId="2159BE00">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color w:val="auto"/>
                <w:kern w:val="2"/>
                <w:sz w:val="24"/>
                <w:szCs w:val="24"/>
                <w:highlight w:val="none"/>
                <w:lang w:val="en-US"/>
              </w:rPr>
            </w:pPr>
            <w:r>
              <w:rPr>
                <w:rFonts w:ascii="仿宋" w:eastAsia="仿宋"/>
                <w:color w:val="auto"/>
                <w:kern w:val="2"/>
                <w:sz w:val="24"/>
                <w:szCs w:val="24"/>
                <w:highlight w:val="none"/>
                <w:lang w:val="en-US"/>
              </w:rPr>
              <w:t>编号</w:t>
            </w:r>
          </w:p>
        </w:tc>
        <w:tc>
          <w:tcPr>
            <w:tcW w:w="2157" w:type="dxa"/>
            <w:tcBorders>
              <w:tl2br w:val="nil"/>
              <w:tr2bl w:val="nil"/>
            </w:tcBorders>
            <w:vAlign w:val="center"/>
          </w:tcPr>
          <w:p w14:paraId="198BCD66">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color w:val="auto"/>
                <w:kern w:val="2"/>
                <w:sz w:val="24"/>
                <w:szCs w:val="24"/>
                <w:highlight w:val="none"/>
                <w:lang w:val="en-US"/>
              </w:rPr>
            </w:pPr>
            <w:r>
              <w:rPr>
                <w:rFonts w:ascii="仿宋" w:eastAsia="仿宋"/>
                <w:color w:val="auto"/>
                <w:kern w:val="2"/>
                <w:sz w:val="24"/>
                <w:szCs w:val="24"/>
                <w:highlight w:val="none"/>
                <w:lang w:val="en-US"/>
              </w:rPr>
              <w:t>招标文件要求</w:t>
            </w:r>
          </w:p>
        </w:tc>
        <w:tc>
          <w:tcPr>
            <w:tcW w:w="2560" w:type="dxa"/>
            <w:tcBorders>
              <w:tl2br w:val="nil"/>
              <w:tr2bl w:val="nil"/>
            </w:tcBorders>
            <w:vAlign w:val="center"/>
          </w:tcPr>
          <w:p w14:paraId="1D5C23C4">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color w:val="auto"/>
                <w:kern w:val="2"/>
                <w:sz w:val="24"/>
                <w:szCs w:val="24"/>
                <w:highlight w:val="none"/>
                <w:lang w:val="en-US"/>
              </w:rPr>
              <w:t>投标响应</w:t>
            </w:r>
          </w:p>
        </w:tc>
        <w:tc>
          <w:tcPr>
            <w:tcW w:w="2551" w:type="dxa"/>
            <w:tcBorders>
              <w:tl2br w:val="nil"/>
              <w:tr2bl w:val="nil"/>
            </w:tcBorders>
            <w:vAlign w:val="center"/>
          </w:tcPr>
          <w:p w14:paraId="55C3ABBA">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color w:val="auto"/>
                <w:kern w:val="2"/>
                <w:sz w:val="24"/>
                <w:szCs w:val="24"/>
                <w:highlight w:val="none"/>
                <w:lang w:val="en-US"/>
              </w:rPr>
            </w:pPr>
            <w:r>
              <w:rPr>
                <w:rFonts w:ascii="仿宋" w:eastAsia="仿宋"/>
                <w:color w:val="auto"/>
                <w:kern w:val="2"/>
                <w:sz w:val="24"/>
                <w:szCs w:val="24"/>
                <w:highlight w:val="none"/>
                <w:lang w:val="en-US"/>
              </w:rPr>
              <w:t>偏离说明</w:t>
            </w:r>
          </w:p>
        </w:tc>
        <w:tc>
          <w:tcPr>
            <w:tcW w:w="1231" w:type="dxa"/>
            <w:tcBorders>
              <w:tl2br w:val="nil"/>
              <w:tr2bl w:val="nil"/>
            </w:tcBorders>
            <w:vAlign w:val="center"/>
          </w:tcPr>
          <w:p w14:paraId="48FD0621">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color w:val="auto"/>
                <w:kern w:val="2"/>
                <w:sz w:val="24"/>
                <w:szCs w:val="24"/>
                <w:highlight w:val="none"/>
                <w:lang w:val="en-US" w:eastAsia="zh-CN"/>
              </w:rPr>
            </w:pPr>
            <w:r>
              <w:rPr>
                <w:rFonts w:hint="eastAsia" w:ascii="仿宋" w:eastAsia="仿宋"/>
                <w:color w:val="auto"/>
                <w:kern w:val="2"/>
                <w:sz w:val="24"/>
                <w:szCs w:val="24"/>
                <w:highlight w:val="none"/>
                <w:lang w:val="en-US" w:eastAsia="zh-CN"/>
              </w:rPr>
              <w:t>备注</w:t>
            </w:r>
          </w:p>
        </w:tc>
      </w:tr>
      <w:tr w14:paraId="587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8" w:type="dxa"/>
            <w:tcBorders>
              <w:tl2br w:val="nil"/>
              <w:tr2bl w:val="nil"/>
            </w:tcBorders>
            <w:vAlign w:val="center"/>
          </w:tcPr>
          <w:p w14:paraId="1289ED1F">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sz w:val="24"/>
                <w:highlight w:val="none"/>
              </w:rPr>
            </w:pPr>
            <w:r>
              <w:rPr>
                <w:rFonts w:ascii="仿宋" w:eastAsia="仿宋"/>
                <w:b w:val="0"/>
                <w:color w:val="auto"/>
                <w:sz w:val="24"/>
                <w:highlight w:val="none"/>
              </w:rPr>
              <w:t>1</w:t>
            </w:r>
          </w:p>
        </w:tc>
        <w:tc>
          <w:tcPr>
            <w:tcW w:w="2157" w:type="dxa"/>
            <w:tcBorders>
              <w:tl2br w:val="nil"/>
              <w:tr2bl w:val="nil"/>
            </w:tcBorders>
            <w:vAlign w:val="center"/>
          </w:tcPr>
          <w:p w14:paraId="1B754A0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0" w:type="dxa"/>
            <w:tcBorders>
              <w:tl2br w:val="nil"/>
              <w:tr2bl w:val="nil"/>
            </w:tcBorders>
            <w:vAlign w:val="center"/>
          </w:tcPr>
          <w:p w14:paraId="7387D4C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1" w:type="dxa"/>
            <w:tcBorders>
              <w:tl2br w:val="nil"/>
              <w:tr2bl w:val="nil"/>
            </w:tcBorders>
            <w:vAlign w:val="center"/>
          </w:tcPr>
          <w:p w14:paraId="1C62CFDB">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1" w:type="dxa"/>
            <w:tcBorders>
              <w:tl2br w:val="nil"/>
              <w:tr2bl w:val="nil"/>
            </w:tcBorders>
            <w:vAlign w:val="center"/>
          </w:tcPr>
          <w:p w14:paraId="6C2A637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3563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8" w:type="dxa"/>
            <w:tcBorders>
              <w:tl2br w:val="nil"/>
              <w:tr2bl w:val="nil"/>
            </w:tcBorders>
            <w:vAlign w:val="center"/>
          </w:tcPr>
          <w:p w14:paraId="4A11E348">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sz w:val="24"/>
                <w:highlight w:val="none"/>
              </w:rPr>
            </w:pPr>
            <w:r>
              <w:rPr>
                <w:rFonts w:ascii="仿宋" w:eastAsia="仿宋"/>
                <w:b w:val="0"/>
                <w:color w:val="auto"/>
                <w:sz w:val="24"/>
                <w:highlight w:val="none"/>
              </w:rPr>
              <w:t>2</w:t>
            </w:r>
          </w:p>
        </w:tc>
        <w:tc>
          <w:tcPr>
            <w:tcW w:w="2157" w:type="dxa"/>
            <w:tcBorders>
              <w:tl2br w:val="nil"/>
              <w:tr2bl w:val="nil"/>
            </w:tcBorders>
            <w:vAlign w:val="center"/>
          </w:tcPr>
          <w:p w14:paraId="5D23990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0" w:type="dxa"/>
            <w:tcBorders>
              <w:tl2br w:val="nil"/>
              <w:tr2bl w:val="nil"/>
            </w:tcBorders>
            <w:vAlign w:val="center"/>
          </w:tcPr>
          <w:p w14:paraId="0262BC31">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1" w:type="dxa"/>
            <w:tcBorders>
              <w:tl2br w:val="nil"/>
              <w:tr2bl w:val="nil"/>
            </w:tcBorders>
            <w:vAlign w:val="center"/>
          </w:tcPr>
          <w:p w14:paraId="0C02E8C4">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1" w:type="dxa"/>
            <w:tcBorders>
              <w:tl2br w:val="nil"/>
              <w:tr2bl w:val="nil"/>
            </w:tcBorders>
            <w:vAlign w:val="center"/>
          </w:tcPr>
          <w:p w14:paraId="7576D4B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7912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8" w:type="dxa"/>
            <w:tcBorders>
              <w:tl2br w:val="nil"/>
              <w:tr2bl w:val="nil"/>
            </w:tcBorders>
            <w:vAlign w:val="center"/>
          </w:tcPr>
          <w:p w14:paraId="269DE5B1">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b w:val="0"/>
                <w:color w:val="auto"/>
                <w:sz w:val="24"/>
                <w:highlight w:val="none"/>
                <w:lang w:val="en-US" w:eastAsia="zh-CN"/>
              </w:rPr>
            </w:pPr>
            <w:r>
              <w:rPr>
                <w:rFonts w:hint="eastAsia" w:ascii="仿宋" w:eastAsia="仿宋"/>
                <w:b w:val="0"/>
                <w:color w:val="auto"/>
                <w:sz w:val="24"/>
                <w:highlight w:val="none"/>
                <w:lang w:val="en-US" w:eastAsia="zh-CN"/>
              </w:rPr>
              <w:t>3</w:t>
            </w:r>
          </w:p>
        </w:tc>
        <w:tc>
          <w:tcPr>
            <w:tcW w:w="2157" w:type="dxa"/>
            <w:tcBorders>
              <w:tl2br w:val="nil"/>
              <w:tr2bl w:val="nil"/>
            </w:tcBorders>
            <w:vAlign w:val="center"/>
          </w:tcPr>
          <w:p w14:paraId="7972CA2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0" w:type="dxa"/>
            <w:tcBorders>
              <w:tl2br w:val="nil"/>
              <w:tr2bl w:val="nil"/>
            </w:tcBorders>
            <w:vAlign w:val="center"/>
          </w:tcPr>
          <w:p w14:paraId="233C73BF">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1" w:type="dxa"/>
            <w:tcBorders>
              <w:tl2br w:val="nil"/>
              <w:tr2bl w:val="nil"/>
            </w:tcBorders>
            <w:vAlign w:val="center"/>
          </w:tcPr>
          <w:p w14:paraId="1246090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1" w:type="dxa"/>
            <w:tcBorders>
              <w:tl2br w:val="nil"/>
              <w:tr2bl w:val="nil"/>
            </w:tcBorders>
            <w:vAlign w:val="center"/>
          </w:tcPr>
          <w:p w14:paraId="52BA7029">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1404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8" w:type="dxa"/>
            <w:tcBorders>
              <w:tl2br w:val="nil"/>
              <w:tr2bl w:val="nil"/>
            </w:tcBorders>
            <w:vAlign w:val="center"/>
          </w:tcPr>
          <w:p w14:paraId="7C579A95">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b w:val="0"/>
                <w:color w:val="auto"/>
                <w:sz w:val="24"/>
                <w:highlight w:val="none"/>
                <w:lang w:val="en-US" w:eastAsia="zh-CN"/>
              </w:rPr>
            </w:pPr>
            <w:r>
              <w:rPr>
                <w:rFonts w:hint="eastAsia" w:ascii="仿宋" w:eastAsia="仿宋"/>
                <w:b w:val="0"/>
                <w:color w:val="auto"/>
                <w:sz w:val="24"/>
                <w:highlight w:val="none"/>
                <w:lang w:val="en-US" w:eastAsia="zh-CN"/>
              </w:rPr>
              <w:t>4</w:t>
            </w:r>
          </w:p>
        </w:tc>
        <w:tc>
          <w:tcPr>
            <w:tcW w:w="2157" w:type="dxa"/>
            <w:tcBorders>
              <w:tl2br w:val="nil"/>
              <w:tr2bl w:val="nil"/>
            </w:tcBorders>
            <w:vAlign w:val="center"/>
          </w:tcPr>
          <w:p w14:paraId="1601F6D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0" w:type="dxa"/>
            <w:tcBorders>
              <w:tl2br w:val="nil"/>
              <w:tr2bl w:val="nil"/>
            </w:tcBorders>
            <w:vAlign w:val="center"/>
          </w:tcPr>
          <w:p w14:paraId="3B17F2A4">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1" w:type="dxa"/>
            <w:tcBorders>
              <w:tl2br w:val="nil"/>
              <w:tr2bl w:val="nil"/>
            </w:tcBorders>
            <w:vAlign w:val="center"/>
          </w:tcPr>
          <w:p w14:paraId="04D518A8">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1" w:type="dxa"/>
            <w:tcBorders>
              <w:tl2br w:val="nil"/>
              <w:tr2bl w:val="nil"/>
            </w:tcBorders>
            <w:vAlign w:val="center"/>
          </w:tcPr>
          <w:p w14:paraId="0F63F048">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4AAB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818" w:type="dxa"/>
            <w:tcBorders>
              <w:tl2br w:val="nil"/>
              <w:tr2bl w:val="nil"/>
            </w:tcBorders>
            <w:vAlign w:val="center"/>
          </w:tcPr>
          <w:p w14:paraId="07C03973">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sz w:val="24"/>
                <w:highlight w:val="none"/>
              </w:rPr>
            </w:pPr>
            <w:r>
              <w:rPr>
                <w:rFonts w:ascii="仿宋" w:eastAsia="仿宋"/>
                <w:b w:val="0"/>
                <w:color w:val="auto"/>
                <w:sz w:val="24"/>
                <w:highlight w:val="none"/>
              </w:rPr>
              <w:t>…</w:t>
            </w:r>
          </w:p>
        </w:tc>
        <w:tc>
          <w:tcPr>
            <w:tcW w:w="2157" w:type="dxa"/>
            <w:tcBorders>
              <w:tl2br w:val="nil"/>
              <w:tr2bl w:val="nil"/>
            </w:tcBorders>
            <w:vAlign w:val="center"/>
          </w:tcPr>
          <w:p w14:paraId="1AAD2FA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0" w:type="dxa"/>
            <w:tcBorders>
              <w:tl2br w:val="nil"/>
              <w:tr2bl w:val="nil"/>
            </w:tcBorders>
            <w:vAlign w:val="center"/>
          </w:tcPr>
          <w:p w14:paraId="4351882F">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1" w:type="dxa"/>
            <w:tcBorders>
              <w:tl2br w:val="nil"/>
              <w:tr2bl w:val="nil"/>
            </w:tcBorders>
            <w:vAlign w:val="center"/>
          </w:tcPr>
          <w:p w14:paraId="4133720F">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1" w:type="dxa"/>
            <w:tcBorders>
              <w:tl2br w:val="nil"/>
              <w:tr2bl w:val="nil"/>
            </w:tcBorders>
            <w:vAlign w:val="center"/>
          </w:tcPr>
          <w:p w14:paraId="0D628202">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bl>
    <w:p w14:paraId="78780633">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ascii="仿宋" w:eastAsia="仿宋"/>
          <w:b w:val="0"/>
          <w:color w:val="auto"/>
          <w:kern w:val="2"/>
          <w:sz w:val="24"/>
          <w:szCs w:val="24"/>
          <w:highlight w:val="none"/>
          <w:lang w:val="en-US"/>
        </w:rPr>
      </w:pPr>
    </w:p>
    <w:p w14:paraId="67A8B3C8">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注：</w:t>
      </w:r>
    </w:p>
    <w:p w14:paraId="1E50EC83">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仿宋" w:eastAsia="仿宋" w:cs="仿宋"/>
          <w:b w:val="0"/>
          <w:color w:val="000000"/>
          <w:kern w:val="0"/>
          <w:sz w:val="24"/>
          <w:szCs w:val="24"/>
          <w:highlight w:val="none"/>
          <w:lang w:val="en-US" w:eastAsia="zh-CN" w:bidi="ar-SA"/>
        </w:rPr>
      </w:pPr>
      <w:r>
        <w:rPr>
          <w:rFonts w:hint="eastAsia" w:ascii="仿宋" w:eastAsia="仿宋" w:cs="仿宋"/>
          <w:b w:val="0"/>
          <w:color w:val="000000"/>
          <w:kern w:val="0"/>
          <w:sz w:val="24"/>
          <w:szCs w:val="24"/>
          <w:highlight w:val="none"/>
          <w:lang w:val="en-US" w:eastAsia="zh-CN" w:bidi="ar-SA"/>
        </w:rPr>
        <w:t>1.</w:t>
      </w:r>
      <w:r>
        <w:rPr>
          <w:rFonts w:hint="eastAsia" w:ascii="仿宋" w:eastAsia="仿宋" w:cs="仿宋"/>
          <w:b w:val="0"/>
          <w:color w:val="auto"/>
          <w:kern w:val="2"/>
          <w:sz w:val="24"/>
          <w:highlight w:val="none"/>
          <w:lang w:val="en-US"/>
        </w:rPr>
        <w:t>本表填写响应文件中与</w:t>
      </w:r>
      <w:r>
        <w:rPr>
          <w:rFonts w:hint="eastAsia" w:ascii="仿宋" w:eastAsia="仿宋" w:cs="仿宋"/>
          <w:b w:val="0"/>
          <w:color w:val="auto"/>
          <w:kern w:val="2"/>
          <w:sz w:val="24"/>
          <w:highlight w:val="none"/>
          <w:lang w:val="en-US" w:eastAsia="zh-CN"/>
        </w:rPr>
        <w:t>招标</w:t>
      </w:r>
      <w:r>
        <w:rPr>
          <w:rFonts w:hint="eastAsia" w:ascii="仿宋" w:eastAsia="仿宋" w:cs="仿宋"/>
          <w:b w:val="0"/>
          <w:color w:val="auto"/>
          <w:kern w:val="2"/>
          <w:sz w:val="24"/>
          <w:highlight w:val="none"/>
          <w:lang w:val="en-US"/>
        </w:rPr>
        <w:t>文件</w:t>
      </w:r>
      <w:r>
        <w:rPr>
          <w:rFonts w:hint="eastAsia" w:ascii="仿宋" w:eastAsia="仿宋" w:cs="仿宋"/>
          <w:b w:val="0"/>
          <w:color w:val="000000"/>
          <w:kern w:val="0"/>
          <w:sz w:val="24"/>
          <w:szCs w:val="24"/>
          <w:highlight w:val="none"/>
          <w:lang w:val="en-US" w:eastAsia="zh-CN" w:bidi="ar-SA"/>
        </w:rPr>
        <w:t>第4章“技术服务、商务及其他要求”</w:t>
      </w:r>
      <w:r>
        <w:rPr>
          <w:rFonts w:hint="eastAsia" w:ascii="仿宋" w:eastAsia="仿宋" w:cs="仿宋"/>
          <w:b w:val="0"/>
          <w:color w:val="auto"/>
          <w:kern w:val="2"/>
          <w:sz w:val="24"/>
          <w:highlight w:val="none"/>
          <w:lang w:val="en-US"/>
        </w:rPr>
        <w:t>中“第二节</w:t>
      </w:r>
      <w:r>
        <w:rPr>
          <w:rFonts w:hint="eastAsia" w:ascii="仿宋" w:eastAsia="仿宋" w:cs="仿宋"/>
          <w:b w:val="0"/>
          <w:color w:val="auto"/>
          <w:kern w:val="2"/>
          <w:sz w:val="24"/>
          <w:highlight w:val="none"/>
          <w:lang w:val="en-US" w:eastAsia="zh-CN"/>
        </w:rPr>
        <w:t xml:space="preserve"> </w:t>
      </w:r>
      <w:r>
        <w:rPr>
          <w:rFonts w:hint="eastAsia" w:ascii="仿宋" w:eastAsia="仿宋" w:cs="仿宋"/>
          <w:b w:val="0"/>
          <w:color w:val="auto"/>
          <w:kern w:val="2"/>
          <w:sz w:val="24"/>
          <w:highlight w:val="none"/>
          <w:lang w:val="en-US"/>
        </w:rPr>
        <w:t>服务要求”</w:t>
      </w:r>
      <w:r>
        <w:rPr>
          <w:rFonts w:hint="eastAsia" w:ascii="仿宋" w:eastAsia="仿宋" w:cs="仿宋"/>
          <w:b w:val="0"/>
          <w:color w:val="auto"/>
          <w:kern w:val="2"/>
          <w:sz w:val="24"/>
          <w:highlight w:val="none"/>
          <w:lang w:val="en-US" w:eastAsia="zh-CN"/>
        </w:rPr>
        <w:t>中的</w:t>
      </w:r>
      <w:r>
        <w:rPr>
          <w:rFonts w:hint="eastAsia" w:ascii="仿宋" w:eastAsia="仿宋" w:cs="仿宋"/>
          <w:b w:val="0"/>
          <w:color w:val="auto"/>
          <w:kern w:val="2"/>
          <w:sz w:val="24"/>
          <w:highlight w:val="none"/>
          <w:lang w:val="en-US"/>
        </w:rPr>
        <w:t>内容</w:t>
      </w:r>
      <w:r>
        <w:rPr>
          <w:rFonts w:hint="eastAsia" w:ascii="仿宋" w:eastAsia="仿宋" w:cs="仿宋"/>
          <w:b/>
          <w:bCs/>
          <w:color w:val="auto"/>
          <w:kern w:val="2"/>
          <w:sz w:val="24"/>
          <w:highlight w:val="none"/>
          <w:lang w:val="en-US"/>
        </w:rPr>
        <w:t>逐条应答</w:t>
      </w:r>
      <w:r>
        <w:rPr>
          <w:rFonts w:hint="eastAsia" w:ascii="仿宋" w:eastAsia="仿宋" w:cs="仿宋"/>
          <w:b w:val="0"/>
          <w:color w:val="auto"/>
          <w:kern w:val="2"/>
          <w:sz w:val="24"/>
          <w:highlight w:val="none"/>
          <w:lang w:val="en-US"/>
        </w:rPr>
        <w:t>（正偏离</w:t>
      </w:r>
      <w:r>
        <w:rPr>
          <w:rFonts w:hint="eastAsia" w:ascii="仿宋" w:eastAsia="仿宋" w:cs="仿宋"/>
          <w:b w:val="0"/>
          <w:color w:val="auto"/>
          <w:kern w:val="2"/>
          <w:sz w:val="24"/>
          <w:highlight w:val="none"/>
          <w:lang w:val="en-US" w:eastAsia="zh-CN"/>
        </w:rPr>
        <w:t>/</w:t>
      </w:r>
      <w:r>
        <w:rPr>
          <w:rFonts w:hint="eastAsia" w:ascii="仿宋" w:eastAsia="仿宋" w:cs="仿宋"/>
          <w:b w:val="0"/>
          <w:color w:val="auto"/>
          <w:kern w:val="2"/>
          <w:sz w:val="24"/>
          <w:highlight w:val="none"/>
          <w:lang w:val="en-US"/>
        </w:rPr>
        <w:t>负偏离</w:t>
      </w:r>
      <w:r>
        <w:rPr>
          <w:rFonts w:hint="eastAsia" w:ascii="仿宋" w:eastAsia="仿宋" w:cs="仿宋"/>
          <w:b w:val="0"/>
          <w:color w:val="auto"/>
          <w:kern w:val="2"/>
          <w:sz w:val="24"/>
          <w:highlight w:val="none"/>
          <w:lang w:val="en-US" w:eastAsia="zh-CN"/>
        </w:rPr>
        <w:t>/无偏离</w:t>
      </w:r>
      <w:r>
        <w:rPr>
          <w:rFonts w:hint="eastAsia" w:ascii="仿宋" w:eastAsia="仿宋" w:cs="仿宋"/>
          <w:b w:val="0"/>
          <w:color w:val="auto"/>
          <w:kern w:val="2"/>
          <w:sz w:val="24"/>
          <w:highlight w:val="none"/>
          <w:lang w:val="en-US"/>
        </w:rPr>
        <w:t>）。</w:t>
      </w:r>
      <w:r>
        <w:rPr>
          <w:rFonts w:hint="eastAsia" w:ascii="仿宋" w:eastAsia="仿宋" w:cs="仿宋"/>
          <w:b w:val="0"/>
          <w:color w:val="000000"/>
          <w:kern w:val="0"/>
          <w:sz w:val="24"/>
          <w:szCs w:val="24"/>
          <w:highlight w:val="none"/>
          <w:lang w:val="en-US" w:eastAsia="zh-CN" w:bidi="ar-SA"/>
        </w:rPr>
        <w:t>不得虚假响应，虚假响应的，其投标文件无效并按规定追究其相关责任，以上表格格式行可增减。</w:t>
      </w:r>
    </w:p>
    <w:p w14:paraId="4D7443E3">
      <w:pPr>
        <w:pageBreakBefore w:val="0"/>
        <w:widowControl w:val="0"/>
        <w:kinsoku/>
        <w:wordWrap/>
        <w:overflowPunct/>
        <w:topLinePunct w:val="0"/>
        <w:bidi w:val="0"/>
        <w:snapToGrid/>
        <w:spacing w:beforeAutospacing="0" w:afterAutospacing="0" w:line="360" w:lineRule="auto"/>
        <w:ind w:left="0" w:right="0"/>
        <w:jc w:val="left"/>
        <w:rPr>
          <w:rFonts w:ascii="仿宋" w:eastAsia="仿宋"/>
          <w:b w:val="0"/>
          <w:color w:val="auto"/>
          <w:kern w:val="2"/>
          <w:sz w:val="24"/>
          <w:szCs w:val="24"/>
          <w:highlight w:val="none"/>
          <w:lang w:val="en-US"/>
        </w:rPr>
      </w:pPr>
    </w:p>
    <w:p w14:paraId="1C95C28F">
      <w:pPr>
        <w:pageBreakBefore w:val="0"/>
        <w:widowControl w:val="0"/>
        <w:kinsoku/>
        <w:wordWrap/>
        <w:overflowPunct/>
        <w:topLinePunct w:val="0"/>
        <w:bidi w:val="0"/>
        <w:snapToGrid/>
        <w:spacing w:beforeAutospacing="0" w:afterAutospacing="0" w:line="360" w:lineRule="auto"/>
        <w:ind w:left="0" w:right="0"/>
        <w:jc w:val="left"/>
        <w:rPr>
          <w:rFonts w:ascii="仿宋" w:eastAsia="仿宋"/>
          <w:b w:val="0"/>
          <w:color w:val="auto"/>
          <w:kern w:val="2"/>
          <w:sz w:val="24"/>
          <w:szCs w:val="24"/>
          <w:highlight w:val="none"/>
          <w:lang w:val="en-US"/>
        </w:rPr>
      </w:pPr>
    </w:p>
    <w:p w14:paraId="04F018E4">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56F9ECC5">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40841E55">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日  期:</w:t>
      </w:r>
    </w:p>
    <w:p w14:paraId="19C3797F">
      <w:pPr>
        <w:rPr>
          <w:rFonts w:ascii="仿宋" w:eastAsia="仿宋"/>
          <w:color w:val="auto"/>
          <w:highlight w:val="none"/>
        </w:rPr>
      </w:pPr>
    </w:p>
    <w:p w14:paraId="05453BF0">
      <w:pPr>
        <w:pStyle w:val="30"/>
      </w:pPr>
    </w:p>
    <w:p w14:paraId="5110E0A3">
      <w:pPr>
        <w:keepNext/>
        <w:keepLines/>
        <w:pageBreakBefore w:val="0"/>
        <w:widowControl w:val="0"/>
        <w:tabs>
          <w:tab w:val="left" w:pos="360"/>
        </w:tabs>
        <w:kinsoku/>
        <w:wordWrap/>
        <w:overflowPunct/>
        <w:topLinePunct w:val="0"/>
        <w:bidi w:val="0"/>
        <w:spacing w:beforeAutospacing="0" w:afterAutospacing="0" w:line="360" w:lineRule="auto"/>
        <w:ind w:right="0"/>
        <w:outlineLvl w:val="9"/>
        <w:rPr>
          <w:rFonts w:ascii="仿宋" w:eastAsia="仿宋"/>
          <w:bCs/>
          <w:color w:val="auto"/>
          <w:kern w:val="2"/>
          <w:sz w:val="24"/>
          <w:szCs w:val="24"/>
          <w:highlight w:val="none"/>
          <w:lang w:val="en-US"/>
        </w:rPr>
      </w:pPr>
      <w:r>
        <w:rPr>
          <w:rFonts w:ascii="仿宋" w:eastAsia="仿宋"/>
          <w:bCs/>
          <w:color w:val="auto"/>
          <w:kern w:val="2"/>
          <w:sz w:val="24"/>
          <w:szCs w:val="24"/>
          <w:highlight w:val="none"/>
          <w:lang w:val="en-US"/>
        </w:rPr>
        <w:t xml:space="preserve"> </w:t>
      </w:r>
      <w:bookmarkStart w:id="396" w:name="_Toc494198606"/>
    </w:p>
    <w:p w14:paraId="57B4C23E">
      <w:pPr>
        <w:pStyle w:val="5"/>
        <w:bidi w:val="0"/>
        <w:rPr>
          <w:rFonts w:ascii="仿宋" w:eastAsia="仿宋"/>
          <w:bCs w:val="0"/>
          <w:color w:val="auto"/>
          <w:kern w:val="2"/>
          <w:szCs w:val="24"/>
          <w:highlight w:val="none"/>
          <w:lang w:val="en-US"/>
        </w:rPr>
      </w:pPr>
      <w:r>
        <w:rPr>
          <w:rFonts w:ascii="仿宋" w:eastAsia="仿宋"/>
          <w:bCs w:val="0"/>
          <w:color w:val="auto"/>
          <w:kern w:val="2"/>
          <w:szCs w:val="24"/>
          <w:highlight w:val="none"/>
          <w:lang w:val="en-US"/>
        </w:rPr>
        <w:br w:type="page"/>
      </w:r>
      <w:r>
        <w:rPr>
          <w:rFonts w:hint="eastAsia"/>
          <w:lang w:val="en-US" w:eastAsia="zh-CN"/>
        </w:rPr>
        <w:t>5.</w:t>
      </w:r>
      <w:r>
        <w:rPr>
          <w:lang w:val="en-US"/>
        </w:rPr>
        <w:t>商务</w:t>
      </w:r>
      <w:r>
        <w:rPr>
          <w:rFonts w:hint="eastAsia"/>
          <w:lang w:val="en-US" w:eastAsia="zh-CN"/>
        </w:rPr>
        <w:t>偏离</w:t>
      </w:r>
      <w:r>
        <w:rPr>
          <w:lang w:val="en-US"/>
        </w:rPr>
        <w:t>表</w:t>
      </w:r>
      <w:bookmarkEnd w:id="396"/>
    </w:p>
    <w:p w14:paraId="02CD21EF">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p>
    <w:p w14:paraId="774B587B">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采购项目名称：</w:t>
      </w:r>
    </w:p>
    <w:p w14:paraId="5A2543C7">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采购项目编号：</w:t>
      </w:r>
    </w:p>
    <w:p w14:paraId="0A4C2992">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eastAsia="zh-CN"/>
        </w:rPr>
        <w:t>标项号/包号</w:t>
      </w:r>
      <w:r>
        <w:rPr>
          <w:rFonts w:ascii="仿宋" w:eastAsia="仿宋"/>
          <w:b w:val="0"/>
          <w:color w:val="auto"/>
          <w:kern w:val="2"/>
          <w:sz w:val="24"/>
          <w:szCs w:val="24"/>
          <w:highlight w:val="none"/>
          <w:lang w:val="en-US"/>
        </w:rPr>
        <w:t xml:space="preserve">： </w:t>
      </w:r>
    </w:p>
    <w:tbl>
      <w:tblPr>
        <w:tblStyle w:val="80"/>
        <w:tblW w:w="50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58"/>
        <w:gridCol w:w="2561"/>
        <w:gridCol w:w="2553"/>
        <w:gridCol w:w="1230"/>
      </w:tblGrid>
      <w:tr w14:paraId="036A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17" w:type="dxa"/>
            <w:tcBorders>
              <w:tl2br w:val="nil"/>
              <w:tr2bl w:val="nil"/>
            </w:tcBorders>
            <w:vAlign w:val="center"/>
          </w:tcPr>
          <w:p w14:paraId="75AC5BD0">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color w:val="auto"/>
                <w:kern w:val="2"/>
                <w:sz w:val="24"/>
                <w:szCs w:val="24"/>
                <w:highlight w:val="none"/>
                <w:lang w:val="en-US"/>
              </w:rPr>
            </w:pPr>
            <w:r>
              <w:rPr>
                <w:rFonts w:ascii="仿宋" w:eastAsia="仿宋"/>
                <w:color w:val="auto"/>
                <w:kern w:val="2"/>
                <w:sz w:val="24"/>
                <w:szCs w:val="24"/>
                <w:highlight w:val="none"/>
                <w:lang w:val="en-US"/>
              </w:rPr>
              <w:t>编号</w:t>
            </w:r>
          </w:p>
        </w:tc>
        <w:tc>
          <w:tcPr>
            <w:tcW w:w="2158" w:type="dxa"/>
            <w:tcBorders>
              <w:tl2br w:val="nil"/>
              <w:tr2bl w:val="nil"/>
            </w:tcBorders>
            <w:vAlign w:val="center"/>
          </w:tcPr>
          <w:p w14:paraId="0810B399">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color w:val="auto"/>
                <w:kern w:val="2"/>
                <w:sz w:val="24"/>
                <w:szCs w:val="24"/>
                <w:highlight w:val="none"/>
                <w:lang w:val="en-US"/>
              </w:rPr>
            </w:pPr>
            <w:r>
              <w:rPr>
                <w:rFonts w:ascii="仿宋" w:eastAsia="仿宋"/>
                <w:color w:val="auto"/>
                <w:kern w:val="2"/>
                <w:sz w:val="24"/>
                <w:szCs w:val="24"/>
                <w:highlight w:val="none"/>
                <w:lang w:val="en-US"/>
              </w:rPr>
              <w:t>招标文件要求</w:t>
            </w:r>
          </w:p>
        </w:tc>
        <w:tc>
          <w:tcPr>
            <w:tcW w:w="2561" w:type="dxa"/>
            <w:tcBorders>
              <w:tl2br w:val="nil"/>
              <w:tr2bl w:val="nil"/>
            </w:tcBorders>
            <w:vAlign w:val="center"/>
          </w:tcPr>
          <w:p w14:paraId="333617F3">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color w:val="auto"/>
                <w:kern w:val="2"/>
                <w:sz w:val="24"/>
                <w:szCs w:val="24"/>
                <w:highlight w:val="none"/>
                <w:lang w:val="en-US"/>
              </w:rPr>
              <w:t>投标响应</w:t>
            </w:r>
          </w:p>
        </w:tc>
        <w:tc>
          <w:tcPr>
            <w:tcW w:w="2553" w:type="dxa"/>
            <w:tcBorders>
              <w:tl2br w:val="nil"/>
              <w:tr2bl w:val="nil"/>
            </w:tcBorders>
            <w:vAlign w:val="center"/>
          </w:tcPr>
          <w:p w14:paraId="7E8F52FE">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color w:val="auto"/>
                <w:kern w:val="2"/>
                <w:sz w:val="24"/>
                <w:szCs w:val="24"/>
                <w:highlight w:val="none"/>
                <w:lang w:val="en-US"/>
              </w:rPr>
            </w:pPr>
            <w:r>
              <w:rPr>
                <w:rFonts w:ascii="仿宋" w:eastAsia="仿宋"/>
                <w:color w:val="auto"/>
                <w:kern w:val="2"/>
                <w:sz w:val="24"/>
                <w:szCs w:val="24"/>
                <w:highlight w:val="none"/>
                <w:lang w:val="en-US"/>
              </w:rPr>
              <w:t>偏离说明</w:t>
            </w:r>
          </w:p>
        </w:tc>
        <w:tc>
          <w:tcPr>
            <w:tcW w:w="1230" w:type="dxa"/>
            <w:tcBorders>
              <w:tl2br w:val="nil"/>
              <w:tr2bl w:val="nil"/>
            </w:tcBorders>
            <w:vAlign w:val="center"/>
          </w:tcPr>
          <w:p w14:paraId="261E9546">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color w:val="auto"/>
                <w:kern w:val="2"/>
                <w:sz w:val="24"/>
                <w:szCs w:val="24"/>
                <w:highlight w:val="none"/>
                <w:lang w:val="en-US" w:eastAsia="zh-CN"/>
              </w:rPr>
            </w:pPr>
            <w:r>
              <w:rPr>
                <w:rFonts w:hint="eastAsia" w:ascii="仿宋" w:eastAsia="仿宋"/>
                <w:color w:val="auto"/>
                <w:kern w:val="2"/>
                <w:sz w:val="24"/>
                <w:szCs w:val="24"/>
                <w:highlight w:val="none"/>
                <w:lang w:val="en-US" w:eastAsia="zh-CN"/>
              </w:rPr>
              <w:t>备注</w:t>
            </w:r>
          </w:p>
        </w:tc>
      </w:tr>
      <w:tr w14:paraId="00A3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7" w:type="dxa"/>
            <w:tcBorders>
              <w:tl2br w:val="nil"/>
              <w:tr2bl w:val="nil"/>
            </w:tcBorders>
            <w:vAlign w:val="center"/>
          </w:tcPr>
          <w:p w14:paraId="463E2E5C">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sz w:val="24"/>
                <w:highlight w:val="none"/>
              </w:rPr>
            </w:pPr>
            <w:r>
              <w:rPr>
                <w:rFonts w:ascii="仿宋" w:eastAsia="仿宋"/>
                <w:b w:val="0"/>
                <w:color w:val="auto"/>
                <w:sz w:val="24"/>
                <w:highlight w:val="none"/>
              </w:rPr>
              <w:t>1</w:t>
            </w:r>
          </w:p>
        </w:tc>
        <w:tc>
          <w:tcPr>
            <w:tcW w:w="2158" w:type="dxa"/>
            <w:tcBorders>
              <w:tl2br w:val="nil"/>
              <w:tr2bl w:val="nil"/>
            </w:tcBorders>
            <w:vAlign w:val="center"/>
          </w:tcPr>
          <w:p w14:paraId="1FDF1A0B">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1" w:type="dxa"/>
            <w:tcBorders>
              <w:tl2br w:val="nil"/>
              <w:tr2bl w:val="nil"/>
            </w:tcBorders>
            <w:vAlign w:val="center"/>
          </w:tcPr>
          <w:p w14:paraId="795C5E01">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3" w:type="dxa"/>
            <w:tcBorders>
              <w:tl2br w:val="nil"/>
              <w:tr2bl w:val="nil"/>
            </w:tcBorders>
            <w:vAlign w:val="center"/>
          </w:tcPr>
          <w:p w14:paraId="1E112E5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0" w:type="dxa"/>
            <w:tcBorders>
              <w:tl2br w:val="nil"/>
              <w:tr2bl w:val="nil"/>
            </w:tcBorders>
            <w:vAlign w:val="center"/>
          </w:tcPr>
          <w:p w14:paraId="62BFDE69">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5606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7" w:type="dxa"/>
            <w:tcBorders>
              <w:tl2br w:val="nil"/>
              <w:tr2bl w:val="nil"/>
            </w:tcBorders>
            <w:vAlign w:val="center"/>
          </w:tcPr>
          <w:p w14:paraId="0E6132C0">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sz w:val="24"/>
                <w:highlight w:val="none"/>
              </w:rPr>
            </w:pPr>
            <w:r>
              <w:rPr>
                <w:rFonts w:ascii="仿宋" w:eastAsia="仿宋"/>
                <w:b w:val="0"/>
                <w:color w:val="auto"/>
                <w:sz w:val="24"/>
                <w:highlight w:val="none"/>
              </w:rPr>
              <w:t>2</w:t>
            </w:r>
          </w:p>
        </w:tc>
        <w:tc>
          <w:tcPr>
            <w:tcW w:w="2158" w:type="dxa"/>
            <w:tcBorders>
              <w:tl2br w:val="nil"/>
              <w:tr2bl w:val="nil"/>
            </w:tcBorders>
            <w:vAlign w:val="center"/>
          </w:tcPr>
          <w:p w14:paraId="364F778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1" w:type="dxa"/>
            <w:tcBorders>
              <w:tl2br w:val="nil"/>
              <w:tr2bl w:val="nil"/>
            </w:tcBorders>
            <w:vAlign w:val="center"/>
          </w:tcPr>
          <w:p w14:paraId="14304F62">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3" w:type="dxa"/>
            <w:tcBorders>
              <w:tl2br w:val="nil"/>
              <w:tr2bl w:val="nil"/>
            </w:tcBorders>
            <w:vAlign w:val="center"/>
          </w:tcPr>
          <w:p w14:paraId="27F126B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0" w:type="dxa"/>
            <w:tcBorders>
              <w:tl2br w:val="nil"/>
              <w:tr2bl w:val="nil"/>
            </w:tcBorders>
            <w:vAlign w:val="center"/>
          </w:tcPr>
          <w:p w14:paraId="374EB7C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3FC3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7" w:type="dxa"/>
            <w:tcBorders>
              <w:tl2br w:val="nil"/>
              <w:tr2bl w:val="nil"/>
            </w:tcBorders>
            <w:vAlign w:val="center"/>
          </w:tcPr>
          <w:p w14:paraId="5BA4772D">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b w:val="0"/>
                <w:color w:val="auto"/>
                <w:sz w:val="24"/>
                <w:highlight w:val="none"/>
                <w:lang w:val="en-US" w:eastAsia="zh-CN"/>
              </w:rPr>
            </w:pPr>
            <w:r>
              <w:rPr>
                <w:rFonts w:hint="eastAsia" w:ascii="仿宋" w:eastAsia="仿宋"/>
                <w:b w:val="0"/>
                <w:color w:val="auto"/>
                <w:sz w:val="24"/>
                <w:highlight w:val="none"/>
                <w:lang w:val="en-US" w:eastAsia="zh-CN"/>
              </w:rPr>
              <w:t>3</w:t>
            </w:r>
          </w:p>
        </w:tc>
        <w:tc>
          <w:tcPr>
            <w:tcW w:w="2158" w:type="dxa"/>
            <w:tcBorders>
              <w:tl2br w:val="nil"/>
              <w:tr2bl w:val="nil"/>
            </w:tcBorders>
            <w:vAlign w:val="center"/>
          </w:tcPr>
          <w:p w14:paraId="1F28915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1" w:type="dxa"/>
            <w:tcBorders>
              <w:tl2br w:val="nil"/>
              <w:tr2bl w:val="nil"/>
            </w:tcBorders>
            <w:vAlign w:val="center"/>
          </w:tcPr>
          <w:p w14:paraId="7CE0C78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3" w:type="dxa"/>
            <w:tcBorders>
              <w:tl2br w:val="nil"/>
              <w:tr2bl w:val="nil"/>
            </w:tcBorders>
            <w:vAlign w:val="center"/>
          </w:tcPr>
          <w:p w14:paraId="28B1056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0" w:type="dxa"/>
            <w:tcBorders>
              <w:tl2br w:val="nil"/>
              <w:tr2bl w:val="nil"/>
            </w:tcBorders>
            <w:vAlign w:val="center"/>
          </w:tcPr>
          <w:p w14:paraId="2DF62A5F">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26EE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17" w:type="dxa"/>
            <w:tcBorders>
              <w:tl2br w:val="nil"/>
              <w:tr2bl w:val="nil"/>
            </w:tcBorders>
            <w:vAlign w:val="center"/>
          </w:tcPr>
          <w:p w14:paraId="1305C6FF">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b w:val="0"/>
                <w:color w:val="auto"/>
                <w:sz w:val="24"/>
                <w:highlight w:val="none"/>
                <w:lang w:val="en-US" w:eastAsia="zh-CN"/>
              </w:rPr>
            </w:pPr>
            <w:r>
              <w:rPr>
                <w:rFonts w:hint="eastAsia" w:ascii="仿宋" w:eastAsia="仿宋"/>
                <w:b w:val="0"/>
                <w:color w:val="auto"/>
                <w:sz w:val="24"/>
                <w:highlight w:val="none"/>
                <w:lang w:val="en-US" w:eastAsia="zh-CN"/>
              </w:rPr>
              <w:t>4</w:t>
            </w:r>
          </w:p>
        </w:tc>
        <w:tc>
          <w:tcPr>
            <w:tcW w:w="2158" w:type="dxa"/>
            <w:tcBorders>
              <w:tl2br w:val="nil"/>
              <w:tr2bl w:val="nil"/>
            </w:tcBorders>
            <w:vAlign w:val="center"/>
          </w:tcPr>
          <w:p w14:paraId="004084A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1" w:type="dxa"/>
            <w:tcBorders>
              <w:tl2br w:val="nil"/>
              <w:tr2bl w:val="nil"/>
            </w:tcBorders>
            <w:vAlign w:val="center"/>
          </w:tcPr>
          <w:p w14:paraId="65CA8130">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3" w:type="dxa"/>
            <w:tcBorders>
              <w:tl2br w:val="nil"/>
              <w:tr2bl w:val="nil"/>
            </w:tcBorders>
            <w:vAlign w:val="center"/>
          </w:tcPr>
          <w:p w14:paraId="4968A32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0" w:type="dxa"/>
            <w:tcBorders>
              <w:tl2br w:val="nil"/>
              <w:tr2bl w:val="nil"/>
            </w:tcBorders>
            <w:vAlign w:val="center"/>
          </w:tcPr>
          <w:p w14:paraId="279720FD">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r w14:paraId="3776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817" w:type="dxa"/>
            <w:tcBorders>
              <w:tl2br w:val="nil"/>
              <w:tr2bl w:val="nil"/>
            </w:tcBorders>
            <w:vAlign w:val="center"/>
          </w:tcPr>
          <w:p w14:paraId="7D0377C2">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sz w:val="24"/>
                <w:highlight w:val="none"/>
              </w:rPr>
            </w:pPr>
            <w:r>
              <w:rPr>
                <w:rFonts w:ascii="仿宋" w:eastAsia="仿宋"/>
                <w:b w:val="0"/>
                <w:color w:val="auto"/>
                <w:sz w:val="24"/>
                <w:highlight w:val="none"/>
              </w:rPr>
              <w:t>…</w:t>
            </w:r>
          </w:p>
        </w:tc>
        <w:tc>
          <w:tcPr>
            <w:tcW w:w="2158" w:type="dxa"/>
            <w:tcBorders>
              <w:tl2br w:val="nil"/>
              <w:tr2bl w:val="nil"/>
            </w:tcBorders>
            <w:vAlign w:val="center"/>
          </w:tcPr>
          <w:p w14:paraId="365B945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61" w:type="dxa"/>
            <w:tcBorders>
              <w:tl2br w:val="nil"/>
              <w:tr2bl w:val="nil"/>
            </w:tcBorders>
            <w:vAlign w:val="center"/>
          </w:tcPr>
          <w:p w14:paraId="1F8FA61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2553" w:type="dxa"/>
            <w:tcBorders>
              <w:tl2br w:val="nil"/>
              <w:tr2bl w:val="nil"/>
            </w:tcBorders>
            <w:vAlign w:val="center"/>
          </w:tcPr>
          <w:p w14:paraId="1897829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230" w:type="dxa"/>
            <w:tcBorders>
              <w:tl2br w:val="nil"/>
              <w:tr2bl w:val="nil"/>
            </w:tcBorders>
            <w:vAlign w:val="center"/>
          </w:tcPr>
          <w:p w14:paraId="1A172C30">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bl>
    <w:p w14:paraId="7361542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ascii="仿宋" w:eastAsia="仿宋"/>
          <w:b w:val="0"/>
          <w:color w:val="auto"/>
          <w:kern w:val="2"/>
          <w:sz w:val="24"/>
          <w:szCs w:val="24"/>
          <w:highlight w:val="none"/>
          <w:lang w:val="en-US"/>
        </w:rPr>
      </w:pPr>
    </w:p>
    <w:p w14:paraId="11A22BB9">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注：</w:t>
      </w:r>
    </w:p>
    <w:p w14:paraId="529237E1">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 w:eastAsia="仿宋" w:cs="仿宋"/>
          <w:b w:val="0"/>
          <w:color w:val="000000"/>
          <w:kern w:val="0"/>
          <w:sz w:val="24"/>
          <w:szCs w:val="24"/>
          <w:lang w:val="en-US" w:eastAsia="zh-CN" w:bidi="ar-SA"/>
        </w:rPr>
      </w:pPr>
      <w:r>
        <w:rPr>
          <w:rFonts w:hint="eastAsia" w:ascii="仿宋" w:eastAsia="仿宋" w:cs="仿宋"/>
          <w:b w:val="0"/>
          <w:color w:val="000000"/>
          <w:kern w:val="0"/>
          <w:sz w:val="24"/>
          <w:szCs w:val="24"/>
          <w:lang w:val="en-US" w:eastAsia="zh-CN" w:bidi="ar-SA"/>
        </w:rPr>
        <w:t>1.投标人需对招标文件第4章</w:t>
      </w:r>
      <w:r>
        <w:rPr>
          <w:rFonts w:hint="eastAsia" w:ascii="仿宋" w:eastAsia="仿宋" w:cs="仿宋"/>
          <w:b w:val="0"/>
          <w:color w:val="000000"/>
          <w:kern w:val="0"/>
          <w:sz w:val="24"/>
          <w:szCs w:val="24"/>
          <w:highlight w:val="none"/>
          <w:lang w:val="en-US" w:eastAsia="zh-CN" w:bidi="ar-SA"/>
        </w:rPr>
        <w:t>“技术服务、商务及其他要求”</w:t>
      </w:r>
      <w:r>
        <w:rPr>
          <w:rFonts w:hint="eastAsia" w:ascii="仿宋" w:eastAsia="仿宋" w:cs="仿宋"/>
          <w:b w:val="0"/>
          <w:color w:val="auto"/>
          <w:kern w:val="2"/>
          <w:sz w:val="24"/>
          <w:highlight w:val="none"/>
          <w:lang w:val="en-US"/>
        </w:rPr>
        <w:t>中“第</w:t>
      </w:r>
      <w:r>
        <w:rPr>
          <w:rFonts w:hint="eastAsia" w:ascii="仿宋" w:eastAsia="仿宋" w:cs="仿宋"/>
          <w:b w:val="0"/>
          <w:color w:val="auto"/>
          <w:kern w:val="2"/>
          <w:sz w:val="24"/>
          <w:highlight w:val="none"/>
          <w:lang w:val="en-US" w:eastAsia="zh-CN"/>
        </w:rPr>
        <w:t>一</w:t>
      </w:r>
      <w:r>
        <w:rPr>
          <w:rFonts w:hint="eastAsia" w:ascii="仿宋" w:eastAsia="仿宋" w:cs="仿宋"/>
          <w:b w:val="0"/>
          <w:color w:val="auto"/>
          <w:kern w:val="2"/>
          <w:sz w:val="24"/>
          <w:highlight w:val="none"/>
          <w:lang w:val="en-US"/>
        </w:rPr>
        <w:t>节</w:t>
      </w:r>
      <w:r>
        <w:rPr>
          <w:rFonts w:hint="eastAsia" w:ascii="仿宋" w:eastAsia="仿宋" w:cs="仿宋"/>
          <w:b w:val="0"/>
          <w:color w:val="auto"/>
          <w:kern w:val="2"/>
          <w:sz w:val="24"/>
          <w:highlight w:val="none"/>
          <w:lang w:val="en-US" w:eastAsia="zh-CN"/>
        </w:rPr>
        <w:t xml:space="preserve"> </w:t>
      </w:r>
      <w:r>
        <w:rPr>
          <w:rFonts w:hint="eastAsia" w:ascii="仿宋" w:eastAsia="仿宋" w:cs="仿宋"/>
          <w:b w:val="0"/>
          <w:color w:val="000000"/>
          <w:kern w:val="0"/>
          <w:sz w:val="24"/>
          <w:szCs w:val="24"/>
          <w:lang w:val="en-US" w:eastAsia="zh-CN" w:bidi="ar-SA"/>
        </w:rPr>
        <w:t>商务要求”的要求应答填写，不得虚假响应，虚假响应的，其投标文件无效并按规定追究其相关责任，以上表格格式行可增减。</w:t>
      </w:r>
    </w:p>
    <w:p w14:paraId="3146B4A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left"/>
        <w:textAlignment w:val="auto"/>
        <w:rPr>
          <w:rFonts w:ascii="仿宋" w:eastAsia="仿宋"/>
          <w:b w:val="0"/>
          <w:color w:val="auto"/>
          <w:kern w:val="2"/>
          <w:sz w:val="24"/>
          <w:szCs w:val="24"/>
          <w:highlight w:val="none"/>
          <w:lang w:val="en-US"/>
        </w:rPr>
      </w:pPr>
      <w:r>
        <w:rPr>
          <w:rFonts w:hint="eastAsia" w:ascii="仿宋" w:eastAsia="仿宋" w:cs="仿宋"/>
          <w:b w:val="0"/>
          <w:color w:val="000000"/>
          <w:kern w:val="0"/>
          <w:sz w:val="24"/>
          <w:szCs w:val="24"/>
          <w:lang w:val="en-US" w:eastAsia="zh-CN" w:bidi="ar-SA"/>
        </w:rPr>
        <w:t>2.如有偏离条款，请将偏离条款逐条应答，未明确偏离的条款，均视为默认接受，投标人不得以未作答而拒不接受</w:t>
      </w:r>
      <w:r>
        <w:rPr>
          <w:rFonts w:ascii="仿宋" w:eastAsia="仿宋"/>
          <w:b w:val="0"/>
          <w:color w:val="auto"/>
          <w:kern w:val="2"/>
          <w:sz w:val="24"/>
          <w:szCs w:val="24"/>
          <w:highlight w:val="none"/>
          <w:lang w:val="en-US"/>
        </w:rPr>
        <w:t>。</w:t>
      </w:r>
    </w:p>
    <w:p w14:paraId="19C773A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lang w:val="en-US"/>
        </w:rPr>
      </w:pPr>
    </w:p>
    <w:p w14:paraId="793A0814">
      <w:pPr>
        <w:pStyle w:val="101"/>
        <w:rPr>
          <w:lang w:val="en-US"/>
        </w:rPr>
      </w:pPr>
    </w:p>
    <w:p w14:paraId="24BD8FB7">
      <w:pPr>
        <w:pageBreakBefore w:val="0"/>
        <w:widowControl w:val="0"/>
        <w:kinsoku/>
        <w:wordWrap/>
        <w:overflowPunct/>
        <w:topLinePunct w:val="0"/>
        <w:bidi w:val="0"/>
        <w:snapToGrid/>
        <w:spacing w:beforeAutospacing="0" w:afterAutospacing="0" w:line="360" w:lineRule="auto"/>
        <w:ind w:left="0" w:right="0"/>
        <w:jc w:val="left"/>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1D52A321">
      <w:pPr>
        <w:pageBreakBefore w:val="0"/>
        <w:widowControl w:val="0"/>
        <w:kinsoku/>
        <w:wordWrap/>
        <w:overflowPunct/>
        <w:topLinePunct w:val="0"/>
        <w:bidi w:val="0"/>
        <w:snapToGrid/>
        <w:spacing w:beforeAutospacing="0" w:afterAutospacing="0" w:line="360" w:lineRule="auto"/>
        <w:ind w:left="0" w:right="0"/>
        <w:jc w:val="left"/>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50D4A8C1">
      <w:pPr>
        <w:pageBreakBefore w:val="0"/>
        <w:widowControl w:val="0"/>
        <w:kinsoku/>
        <w:wordWrap/>
        <w:overflowPunct/>
        <w:topLinePunct w:val="0"/>
        <w:bidi w:val="0"/>
        <w:snapToGrid/>
        <w:spacing w:beforeAutospacing="0" w:afterAutospacing="0" w:line="360" w:lineRule="auto"/>
        <w:ind w:left="0" w:right="0"/>
        <w:jc w:val="left"/>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 xml:space="preserve">日  期:   </w:t>
      </w:r>
    </w:p>
    <w:p w14:paraId="283CCBED">
      <w:pPr>
        <w:pageBreakBefore w:val="0"/>
        <w:widowControl w:val="0"/>
        <w:kinsoku/>
        <w:wordWrap/>
        <w:overflowPunct/>
        <w:topLinePunct w:val="0"/>
        <w:bidi w:val="0"/>
        <w:snapToGrid/>
        <w:spacing w:beforeAutospacing="0" w:afterAutospacing="0" w:line="360" w:lineRule="auto"/>
        <w:ind w:left="0" w:right="0"/>
        <w:jc w:val="left"/>
        <w:rPr>
          <w:rFonts w:ascii="仿宋" w:eastAsia="仿宋"/>
          <w:b w:val="0"/>
          <w:color w:val="auto"/>
          <w:kern w:val="2"/>
          <w:sz w:val="24"/>
          <w:szCs w:val="24"/>
          <w:highlight w:val="none"/>
          <w:lang w:val="en-US"/>
        </w:rPr>
      </w:pPr>
    </w:p>
    <w:p w14:paraId="0C22C1F1">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55E17FC7">
      <w:pPr>
        <w:pStyle w:val="5"/>
        <w:bidi w:val="0"/>
        <w:rPr>
          <w:lang w:val="en-US"/>
        </w:rPr>
      </w:pPr>
      <w:bookmarkStart w:id="397" w:name="_Toc346010016"/>
      <w:bookmarkStart w:id="398" w:name="_Toc217446088"/>
      <w:bookmarkStart w:id="399" w:name="_Toc494198607"/>
      <w:r>
        <w:rPr>
          <w:rFonts w:hint="eastAsia"/>
          <w:lang w:val="en-US" w:eastAsia="zh-CN"/>
        </w:rPr>
        <w:t>6.</w:t>
      </w:r>
      <w:r>
        <w:rPr>
          <w:lang w:val="en-US"/>
        </w:rPr>
        <w:t>投标人基本情况表</w:t>
      </w:r>
      <w:bookmarkEnd w:id="397"/>
      <w:bookmarkEnd w:id="398"/>
      <w:bookmarkEnd w:id="399"/>
    </w:p>
    <w:tbl>
      <w:tblPr>
        <w:tblStyle w:val="80"/>
        <w:tblW w:w="50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1098"/>
        <w:gridCol w:w="1137"/>
        <w:gridCol w:w="1346"/>
        <w:gridCol w:w="1430"/>
        <w:gridCol w:w="632"/>
        <w:gridCol w:w="630"/>
        <w:gridCol w:w="1154"/>
      </w:tblGrid>
      <w:tr w14:paraId="7EDD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7A4D280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投标人名称</w:t>
            </w:r>
          </w:p>
        </w:tc>
        <w:tc>
          <w:tcPr>
            <w:tcW w:w="7427" w:type="dxa"/>
            <w:gridSpan w:val="7"/>
            <w:tcBorders>
              <w:tl2br w:val="nil"/>
              <w:tr2bl w:val="nil"/>
            </w:tcBorders>
            <w:vAlign w:val="center"/>
          </w:tcPr>
          <w:p w14:paraId="11696FA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7B96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45C153A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注册地址</w:t>
            </w:r>
          </w:p>
        </w:tc>
        <w:tc>
          <w:tcPr>
            <w:tcW w:w="3581" w:type="dxa"/>
            <w:gridSpan w:val="3"/>
            <w:tcBorders>
              <w:tl2br w:val="nil"/>
              <w:tr2bl w:val="nil"/>
            </w:tcBorders>
            <w:vAlign w:val="center"/>
          </w:tcPr>
          <w:p w14:paraId="5D108D06">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430" w:type="dxa"/>
            <w:tcBorders>
              <w:tl2br w:val="nil"/>
              <w:tr2bl w:val="nil"/>
            </w:tcBorders>
            <w:vAlign w:val="center"/>
          </w:tcPr>
          <w:p w14:paraId="7526AF14">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邮政编码</w:t>
            </w:r>
          </w:p>
        </w:tc>
        <w:tc>
          <w:tcPr>
            <w:tcW w:w="2416" w:type="dxa"/>
            <w:gridSpan w:val="3"/>
            <w:tcBorders>
              <w:tl2br w:val="nil"/>
              <w:tr2bl w:val="nil"/>
            </w:tcBorders>
            <w:vAlign w:val="center"/>
          </w:tcPr>
          <w:p w14:paraId="7A2236AE">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5FD3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vMerge w:val="restart"/>
            <w:tcBorders>
              <w:tl2br w:val="nil"/>
              <w:tr2bl w:val="nil"/>
            </w:tcBorders>
            <w:vAlign w:val="center"/>
          </w:tcPr>
          <w:p w14:paraId="569C6728">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联系方式</w:t>
            </w:r>
          </w:p>
        </w:tc>
        <w:tc>
          <w:tcPr>
            <w:tcW w:w="1098" w:type="dxa"/>
            <w:tcBorders>
              <w:tl2br w:val="nil"/>
              <w:tr2bl w:val="nil"/>
            </w:tcBorders>
            <w:vAlign w:val="center"/>
          </w:tcPr>
          <w:p w14:paraId="3FCB41CA">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联系人</w:t>
            </w:r>
          </w:p>
        </w:tc>
        <w:tc>
          <w:tcPr>
            <w:tcW w:w="2483" w:type="dxa"/>
            <w:gridSpan w:val="2"/>
            <w:tcBorders>
              <w:tl2br w:val="nil"/>
              <w:tr2bl w:val="nil"/>
            </w:tcBorders>
            <w:vAlign w:val="center"/>
          </w:tcPr>
          <w:p w14:paraId="04F3490F">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430" w:type="dxa"/>
            <w:tcBorders>
              <w:tl2br w:val="nil"/>
              <w:tr2bl w:val="nil"/>
            </w:tcBorders>
            <w:vAlign w:val="center"/>
          </w:tcPr>
          <w:p w14:paraId="4F8D6BC7">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电话</w:t>
            </w:r>
          </w:p>
        </w:tc>
        <w:tc>
          <w:tcPr>
            <w:tcW w:w="2416" w:type="dxa"/>
            <w:gridSpan w:val="3"/>
            <w:tcBorders>
              <w:tl2br w:val="nil"/>
              <w:tr2bl w:val="nil"/>
            </w:tcBorders>
            <w:vAlign w:val="center"/>
          </w:tcPr>
          <w:p w14:paraId="49C526EC">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ED1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vMerge w:val="continue"/>
            <w:tcBorders>
              <w:tl2br w:val="nil"/>
              <w:tr2bl w:val="nil"/>
            </w:tcBorders>
            <w:vAlign w:val="center"/>
          </w:tcPr>
          <w:p w14:paraId="2EFB0C09"/>
        </w:tc>
        <w:tc>
          <w:tcPr>
            <w:tcW w:w="1098" w:type="dxa"/>
            <w:tcBorders>
              <w:tl2br w:val="nil"/>
              <w:tr2bl w:val="nil"/>
            </w:tcBorders>
            <w:vAlign w:val="center"/>
          </w:tcPr>
          <w:p w14:paraId="369FB99B">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传真</w:t>
            </w:r>
          </w:p>
        </w:tc>
        <w:tc>
          <w:tcPr>
            <w:tcW w:w="2483" w:type="dxa"/>
            <w:gridSpan w:val="2"/>
            <w:tcBorders>
              <w:tl2br w:val="nil"/>
              <w:tr2bl w:val="nil"/>
            </w:tcBorders>
            <w:vAlign w:val="center"/>
          </w:tcPr>
          <w:p w14:paraId="5F3F8A58">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430" w:type="dxa"/>
            <w:tcBorders>
              <w:tl2br w:val="nil"/>
              <w:tr2bl w:val="nil"/>
            </w:tcBorders>
            <w:vAlign w:val="center"/>
          </w:tcPr>
          <w:p w14:paraId="01888E7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网址</w:t>
            </w:r>
          </w:p>
        </w:tc>
        <w:tc>
          <w:tcPr>
            <w:tcW w:w="2416" w:type="dxa"/>
            <w:gridSpan w:val="3"/>
            <w:tcBorders>
              <w:tl2br w:val="nil"/>
              <w:tr2bl w:val="nil"/>
            </w:tcBorders>
            <w:vAlign w:val="center"/>
          </w:tcPr>
          <w:p w14:paraId="751F8A9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EC9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892" w:type="dxa"/>
            <w:tcBorders>
              <w:tl2br w:val="nil"/>
              <w:tr2bl w:val="nil"/>
            </w:tcBorders>
            <w:vAlign w:val="center"/>
          </w:tcPr>
          <w:p w14:paraId="73AF133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hint="eastAsia" w:ascii="仿宋" w:eastAsia="仿宋"/>
                <w:b w:val="0"/>
                <w:bCs/>
                <w:color w:val="auto"/>
                <w:sz w:val="24"/>
                <w:highlight w:val="none"/>
              </w:rPr>
            </w:pPr>
            <w:r>
              <w:rPr>
                <w:rFonts w:ascii="仿宋" w:eastAsia="仿宋"/>
                <w:b w:val="0"/>
                <w:bCs/>
                <w:color w:val="auto"/>
                <w:sz w:val="24"/>
                <w:highlight w:val="none"/>
              </w:rPr>
              <w:t>法定代表人</w:t>
            </w:r>
          </w:p>
          <w:p w14:paraId="362C42A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hint="eastAsia" w:ascii="仿宋" w:eastAsia="仿宋"/>
                <w:b w:val="0"/>
                <w:color w:val="auto"/>
                <w:kern w:val="2"/>
                <w:sz w:val="24"/>
                <w:szCs w:val="24"/>
                <w:highlight w:val="none"/>
                <w:lang w:val="en-US"/>
              </w:rPr>
              <w:t>（主要负责人/经营者）</w:t>
            </w:r>
          </w:p>
        </w:tc>
        <w:tc>
          <w:tcPr>
            <w:tcW w:w="1098" w:type="dxa"/>
            <w:tcBorders>
              <w:tl2br w:val="nil"/>
              <w:tr2bl w:val="nil"/>
            </w:tcBorders>
            <w:vAlign w:val="center"/>
          </w:tcPr>
          <w:p w14:paraId="3CB33813">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姓名</w:t>
            </w:r>
          </w:p>
        </w:tc>
        <w:tc>
          <w:tcPr>
            <w:tcW w:w="1137" w:type="dxa"/>
            <w:tcBorders>
              <w:tl2br w:val="nil"/>
              <w:tr2bl w:val="nil"/>
            </w:tcBorders>
            <w:vAlign w:val="center"/>
          </w:tcPr>
          <w:p w14:paraId="1F12DE7B">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tcBorders>
              <w:tl2br w:val="nil"/>
              <w:tr2bl w:val="nil"/>
            </w:tcBorders>
            <w:vAlign w:val="center"/>
          </w:tcPr>
          <w:p w14:paraId="398373EC">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技术职称</w:t>
            </w:r>
          </w:p>
        </w:tc>
        <w:tc>
          <w:tcPr>
            <w:tcW w:w="1430" w:type="dxa"/>
            <w:tcBorders>
              <w:tl2br w:val="nil"/>
              <w:tr2bl w:val="nil"/>
            </w:tcBorders>
            <w:vAlign w:val="center"/>
          </w:tcPr>
          <w:p w14:paraId="0FF0067D">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262" w:type="dxa"/>
            <w:gridSpan w:val="2"/>
            <w:tcBorders>
              <w:tl2br w:val="nil"/>
              <w:tr2bl w:val="nil"/>
            </w:tcBorders>
            <w:vAlign w:val="center"/>
          </w:tcPr>
          <w:p w14:paraId="121E4F5C">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电话</w:t>
            </w:r>
          </w:p>
        </w:tc>
        <w:tc>
          <w:tcPr>
            <w:tcW w:w="1154" w:type="dxa"/>
            <w:tcBorders>
              <w:tl2br w:val="nil"/>
              <w:tr2bl w:val="nil"/>
            </w:tcBorders>
            <w:vAlign w:val="center"/>
          </w:tcPr>
          <w:p w14:paraId="56949220">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224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892" w:type="dxa"/>
            <w:tcBorders>
              <w:tl2br w:val="nil"/>
              <w:tr2bl w:val="nil"/>
            </w:tcBorders>
            <w:vAlign w:val="center"/>
          </w:tcPr>
          <w:p w14:paraId="73994018">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技术负责人</w:t>
            </w:r>
          </w:p>
        </w:tc>
        <w:tc>
          <w:tcPr>
            <w:tcW w:w="1098" w:type="dxa"/>
            <w:tcBorders>
              <w:tl2br w:val="nil"/>
              <w:tr2bl w:val="nil"/>
            </w:tcBorders>
            <w:vAlign w:val="center"/>
          </w:tcPr>
          <w:p w14:paraId="67B7842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姓名</w:t>
            </w:r>
          </w:p>
        </w:tc>
        <w:tc>
          <w:tcPr>
            <w:tcW w:w="1137" w:type="dxa"/>
            <w:tcBorders>
              <w:tl2br w:val="nil"/>
              <w:tr2bl w:val="nil"/>
            </w:tcBorders>
            <w:vAlign w:val="center"/>
          </w:tcPr>
          <w:p w14:paraId="1695ED87">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tcBorders>
              <w:tl2br w:val="nil"/>
              <w:tr2bl w:val="nil"/>
            </w:tcBorders>
            <w:vAlign w:val="center"/>
          </w:tcPr>
          <w:p w14:paraId="38F07510">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技术职称</w:t>
            </w:r>
          </w:p>
        </w:tc>
        <w:tc>
          <w:tcPr>
            <w:tcW w:w="1430" w:type="dxa"/>
            <w:tcBorders>
              <w:tl2br w:val="nil"/>
              <w:tr2bl w:val="nil"/>
            </w:tcBorders>
            <w:vAlign w:val="center"/>
          </w:tcPr>
          <w:p w14:paraId="13C879F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262" w:type="dxa"/>
            <w:gridSpan w:val="2"/>
            <w:tcBorders>
              <w:tl2br w:val="nil"/>
              <w:tr2bl w:val="nil"/>
            </w:tcBorders>
            <w:vAlign w:val="center"/>
          </w:tcPr>
          <w:p w14:paraId="2BD7970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电话</w:t>
            </w:r>
          </w:p>
        </w:tc>
        <w:tc>
          <w:tcPr>
            <w:tcW w:w="1154" w:type="dxa"/>
            <w:tcBorders>
              <w:tl2br w:val="nil"/>
              <w:tr2bl w:val="nil"/>
            </w:tcBorders>
            <w:vAlign w:val="center"/>
          </w:tcPr>
          <w:p w14:paraId="67281DCA">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4207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5D158CD4">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成立时间</w:t>
            </w:r>
          </w:p>
        </w:tc>
        <w:tc>
          <w:tcPr>
            <w:tcW w:w="2235" w:type="dxa"/>
            <w:gridSpan w:val="2"/>
            <w:tcBorders>
              <w:tl2br w:val="nil"/>
              <w:tr2bl w:val="nil"/>
            </w:tcBorders>
            <w:vAlign w:val="center"/>
          </w:tcPr>
          <w:p w14:paraId="6F630F5A">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5192" w:type="dxa"/>
            <w:gridSpan w:val="5"/>
            <w:tcBorders>
              <w:tl2br w:val="nil"/>
              <w:tr2bl w:val="nil"/>
            </w:tcBorders>
            <w:vAlign w:val="center"/>
          </w:tcPr>
          <w:p w14:paraId="24BA298D">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员工总人数：</w:t>
            </w:r>
          </w:p>
        </w:tc>
      </w:tr>
      <w:tr w14:paraId="3306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74507903">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企业资质等级</w:t>
            </w:r>
          </w:p>
        </w:tc>
        <w:tc>
          <w:tcPr>
            <w:tcW w:w="2235" w:type="dxa"/>
            <w:gridSpan w:val="2"/>
            <w:tcBorders>
              <w:tl2br w:val="nil"/>
              <w:tr2bl w:val="nil"/>
            </w:tcBorders>
            <w:vAlign w:val="center"/>
          </w:tcPr>
          <w:p w14:paraId="401144AB">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vMerge w:val="restart"/>
            <w:tcBorders>
              <w:tl2br w:val="nil"/>
              <w:tr2bl w:val="nil"/>
            </w:tcBorders>
            <w:vAlign w:val="center"/>
          </w:tcPr>
          <w:p w14:paraId="4E711E91">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其 中</w:t>
            </w:r>
          </w:p>
        </w:tc>
        <w:tc>
          <w:tcPr>
            <w:tcW w:w="2062" w:type="dxa"/>
            <w:gridSpan w:val="2"/>
            <w:tcBorders>
              <w:tl2br w:val="nil"/>
              <w:tr2bl w:val="nil"/>
            </w:tcBorders>
            <w:vAlign w:val="center"/>
          </w:tcPr>
          <w:p w14:paraId="5DB2A424">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项目经理</w:t>
            </w:r>
          </w:p>
        </w:tc>
        <w:tc>
          <w:tcPr>
            <w:tcW w:w="1784" w:type="dxa"/>
            <w:gridSpan w:val="2"/>
            <w:tcBorders>
              <w:tl2br w:val="nil"/>
              <w:tr2bl w:val="nil"/>
            </w:tcBorders>
            <w:vAlign w:val="center"/>
          </w:tcPr>
          <w:p w14:paraId="6B108A3B">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0DDD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4B1EA5EE">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营业执照（法人证书）号</w:t>
            </w:r>
          </w:p>
        </w:tc>
        <w:tc>
          <w:tcPr>
            <w:tcW w:w="2235" w:type="dxa"/>
            <w:gridSpan w:val="2"/>
            <w:tcBorders>
              <w:tl2br w:val="nil"/>
              <w:tr2bl w:val="nil"/>
            </w:tcBorders>
            <w:vAlign w:val="center"/>
          </w:tcPr>
          <w:p w14:paraId="2163C7D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vMerge w:val="continue"/>
            <w:tcBorders>
              <w:tl2br w:val="nil"/>
              <w:tr2bl w:val="nil"/>
            </w:tcBorders>
            <w:vAlign w:val="center"/>
          </w:tcPr>
          <w:p w14:paraId="6CAEF370"/>
        </w:tc>
        <w:tc>
          <w:tcPr>
            <w:tcW w:w="2062" w:type="dxa"/>
            <w:gridSpan w:val="2"/>
            <w:tcBorders>
              <w:tl2br w:val="nil"/>
              <w:tr2bl w:val="nil"/>
            </w:tcBorders>
            <w:vAlign w:val="center"/>
          </w:tcPr>
          <w:p w14:paraId="09B2749D">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hint="eastAsia" w:ascii="仿宋" w:eastAsia="仿宋"/>
                <w:b w:val="0"/>
                <w:bCs/>
                <w:color w:val="auto"/>
                <w:sz w:val="24"/>
                <w:highlight w:val="none"/>
                <w:lang w:eastAsia="zh-CN"/>
              </w:rPr>
            </w:pPr>
            <w:r>
              <w:rPr>
                <w:rFonts w:ascii="仿宋" w:eastAsia="仿宋"/>
                <w:b w:val="0"/>
                <w:bCs/>
                <w:color w:val="auto"/>
                <w:sz w:val="24"/>
                <w:highlight w:val="none"/>
              </w:rPr>
              <w:t>高级职称人员</w:t>
            </w:r>
          </w:p>
        </w:tc>
        <w:tc>
          <w:tcPr>
            <w:tcW w:w="1784" w:type="dxa"/>
            <w:gridSpan w:val="2"/>
            <w:tcBorders>
              <w:tl2br w:val="nil"/>
              <w:tr2bl w:val="nil"/>
            </w:tcBorders>
            <w:vAlign w:val="center"/>
          </w:tcPr>
          <w:p w14:paraId="1465987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D01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3D2E777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注册资金</w:t>
            </w:r>
          </w:p>
        </w:tc>
        <w:tc>
          <w:tcPr>
            <w:tcW w:w="2235" w:type="dxa"/>
            <w:gridSpan w:val="2"/>
            <w:tcBorders>
              <w:tl2br w:val="nil"/>
              <w:tr2bl w:val="nil"/>
            </w:tcBorders>
            <w:vAlign w:val="center"/>
          </w:tcPr>
          <w:p w14:paraId="27A1F966">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vMerge w:val="continue"/>
            <w:tcBorders>
              <w:tl2br w:val="nil"/>
              <w:tr2bl w:val="nil"/>
            </w:tcBorders>
            <w:vAlign w:val="center"/>
          </w:tcPr>
          <w:p w14:paraId="56389E18"/>
        </w:tc>
        <w:tc>
          <w:tcPr>
            <w:tcW w:w="2062" w:type="dxa"/>
            <w:gridSpan w:val="2"/>
            <w:tcBorders>
              <w:tl2br w:val="nil"/>
              <w:tr2bl w:val="nil"/>
            </w:tcBorders>
            <w:vAlign w:val="center"/>
          </w:tcPr>
          <w:p w14:paraId="6863A414">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中级职称人员</w:t>
            </w:r>
          </w:p>
        </w:tc>
        <w:tc>
          <w:tcPr>
            <w:tcW w:w="1784" w:type="dxa"/>
            <w:gridSpan w:val="2"/>
            <w:tcBorders>
              <w:tl2br w:val="nil"/>
              <w:tr2bl w:val="nil"/>
            </w:tcBorders>
            <w:vAlign w:val="center"/>
          </w:tcPr>
          <w:p w14:paraId="4DE76247">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5FE9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3177172C">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开户银行</w:t>
            </w:r>
          </w:p>
        </w:tc>
        <w:tc>
          <w:tcPr>
            <w:tcW w:w="2235" w:type="dxa"/>
            <w:gridSpan w:val="2"/>
            <w:tcBorders>
              <w:tl2br w:val="nil"/>
              <w:tr2bl w:val="nil"/>
            </w:tcBorders>
            <w:vAlign w:val="center"/>
          </w:tcPr>
          <w:p w14:paraId="61357C67">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vMerge w:val="continue"/>
            <w:tcBorders>
              <w:tl2br w:val="nil"/>
              <w:tr2bl w:val="nil"/>
            </w:tcBorders>
            <w:vAlign w:val="center"/>
          </w:tcPr>
          <w:p w14:paraId="3F003249"/>
        </w:tc>
        <w:tc>
          <w:tcPr>
            <w:tcW w:w="2062" w:type="dxa"/>
            <w:gridSpan w:val="2"/>
            <w:tcBorders>
              <w:tl2br w:val="nil"/>
              <w:tr2bl w:val="nil"/>
            </w:tcBorders>
            <w:vAlign w:val="center"/>
          </w:tcPr>
          <w:p w14:paraId="1DF7C0A1">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初级职称人员</w:t>
            </w:r>
          </w:p>
        </w:tc>
        <w:tc>
          <w:tcPr>
            <w:tcW w:w="1784" w:type="dxa"/>
            <w:gridSpan w:val="2"/>
            <w:tcBorders>
              <w:tl2br w:val="nil"/>
              <w:tr2bl w:val="nil"/>
            </w:tcBorders>
            <w:vAlign w:val="center"/>
          </w:tcPr>
          <w:p w14:paraId="3F06F6FC">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DB8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892" w:type="dxa"/>
            <w:tcBorders>
              <w:tl2br w:val="nil"/>
              <w:tr2bl w:val="nil"/>
            </w:tcBorders>
            <w:vAlign w:val="center"/>
          </w:tcPr>
          <w:p w14:paraId="7F0A342C">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账号</w:t>
            </w:r>
          </w:p>
        </w:tc>
        <w:tc>
          <w:tcPr>
            <w:tcW w:w="2235" w:type="dxa"/>
            <w:gridSpan w:val="2"/>
            <w:tcBorders>
              <w:tl2br w:val="nil"/>
              <w:tr2bl w:val="nil"/>
            </w:tcBorders>
            <w:vAlign w:val="center"/>
          </w:tcPr>
          <w:p w14:paraId="44549A95">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c>
          <w:tcPr>
            <w:tcW w:w="1346" w:type="dxa"/>
            <w:vMerge w:val="continue"/>
            <w:tcBorders>
              <w:tl2br w:val="nil"/>
              <w:tr2bl w:val="nil"/>
            </w:tcBorders>
            <w:vAlign w:val="center"/>
          </w:tcPr>
          <w:p w14:paraId="7840C1D1"/>
        </w:tc>
        <w:tc>
          <w:tcPr>
            <w:tcW w:w="2062" w:type="dxa"/>
            <w:gridSpan w:val="2"/>
            <w:tcBorders>
              <w:tl2br w:val="nil"/>
              <w:tr2bl w:val="nil"/>
            </w:tcBorders>
            <w:vAlign w:val="center"/>
          </w:tcPr>
          <w:p w14:paraId="76491672">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技工</w:t>
            </w:r>
          </w:p>
        </w:tc>
        <w:tc>
          <w:tcPr>
            <w:tcW w:w="1784" w:type="dxa"/>
            <w:gridSpan w:val="2"/>
            <w:tcBorders>
              <w:tl2br w:val="nil"/>
              <w:tr2bl w:val="nil"/>
            </w:tcBorders>
            <w:vAlign w:val="center"/>
          </w:tcPr>
          <w:p w14:paraId="6C6EE599">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CAF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3" w:hRule="atLeast"/>
          <w:jc w:val="center"/>
        </w:trPr>
        <w:tc>
          <w:tcPr>
            <w:tcW w:w="1892" w:type="dxa"/>
            <w:tcBorders>
              <w:tl2br w:val="nil"/>
              <w:tr2bl w:val="nil"/>
            </w:tcBorders>
            <w:vAlign w:val="center"/>
          </w:tcPr>
          <w:p w14:paraId="14F2541F">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经营范围</w:t>
            </w:r>
          </w:p>
        </w:tc>
        <w:tc>
          <w:tcPr>
            <w:tcW w:w="7427" w:type="dxa"/>
            <w:gridSpan w:val="7"/>
            <w:tcBorders>
              <w:tl2br w:val="nil"/>
              <w:tr2bl w:val="nil"/>
            </w:tcBorders>
            <w:vAlign w:val="center"/>
          </w:tcPr>
          <w:p w14:paraId="3DFFE1B4">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r w14:paraId="2E82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1892" w:type="dxa"/>
            <w:tcBorders>
              <w:tl2br w:val="nil"/>
              <w:tr2bl w:val="nil"/>
            </w:tcBorders>
            <w:vAlign w:val="center"/>
          </w:tcPr>
          <w:p w14:paraId="6B16D7EB">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firstLine="0" w:firstLineChars="0"/>
              <w:jc w:val="center"/>
              <w:rPr>
                <w:rFonts w:ascii="仿宋" w:eastAsia="仿宋"/>
                <w:b w:val="0"/>
                <w:bCs/>
                <w:color w:val="auto"/>
                <w:sz w:val="24"/>
                <w:highlight w:val="none"/>
              </w:rPr>
            </w:pPr>
            <w:r>
              <w:rPr>
                <w:rFonts w:ascii="仿宋" w:eastAsia="仿宋"/>
                <w:b w:val="0"/>
                <w:bCs/>
                <w:color w:val="auto"/>
                <w:sz w:val="24"/>
                <w:highlight w:val="none"/>
              </w:rPr>
              <w:t>备注</w:t>
            </w:r>
          </w:p>
        </w:tc>
        <w:tc>
          <w:tcPr>
            <w:tcW w:w="7427" w:type="dxa"/>
            <w:gridSpan w:val="7"/>
            <w:tcBorders>
              <w:tl2br w:val="nil"/>
              <w:tr2bl w:val="nil"/>
            </w:tcBorders>
            <w:vAlign w:val="center"/>
          </w:tcPr>
          <w:p w14:paraId="20BEBEF6">
            <w:pPr>
              <w:pageBreakBefore w:val="0"/>
              <w:widowControl w:val="0"/>
              <w:kinsoku/>
              <w:wordWrap/>
              <w:overflowPunct/>
              <w:topLinePunct w:val="0"/>
              <w:autoSpaceDE w:val="0"/>
              <w:autoSpaceDN w:val="0"/>
              <w:bidi w:val="0"/>
              <w:adjustRightInd w:val="0"/>
              <w:snapToGrid w:val="0"/>
              <w:spacing w:beforeAutospacing="0" w:afterAutospacing="0" w:line="360" w:lineRule="auto"/>
              <w:ind w:left="0" w:right="0"/>
              <w:jc w:val="center"/>
              <w:rPr>
                <w:rFonts w:ascii="仿宋" w:eastAsia="仿宋"/>
                <w:b w:val="0"/>
                <w:bCs/>
                <w:color w:val="auto"/>
                <w:sz w:val="24"/>
                <w:highlight w:val="none"/>
              </w:rPr>
            </w:pPr>
          </w:p>
        </w:tc>
      </w:tr>
    </w:tbl>
    <w:p w14:paraId="31765790">
      <w:pPr>
        <w:pageBreakBefore w:val="0"/>
        <w:widowControl w:val="0"/>
        <w:kinsoku/>
        <w:wordWrap/>
        <w:overflowPunct/>
        <w:topLinePunct w:val="0"/>
        <w:bidi w:val="0"/>
        <w:snapToGrid/>
        <w:spacing w:beforeAutospacing="0" w:afterAutospacing="0" w:line="240" w:lineRule="auto"/>
        <w:ind w:left="0" w:right="0" w:firstLine="480" w:firstLineChars="200"/>
        <w:jc w:val="left"/>
        <w:rPr>
          <w:rFonts w:ascii="仿宋" w:eastAsia="仿宋"/>
          <w:b w:val="0"/>
          <w:color w:val="auto"/>
          <w:kern w:val="2"/>
          <w:sz w:val="24"/>
          <w:szCs w:val="24"/>
          <w:highlight w:val="none"/>
          <w:lang w:val="en-US"/>
        </w:rPr>
      </w:pPr>
    </w:p>
    <w:p w14:paraId="533E670D">
      <w:pPr>
        <w:pageBreakBefore w:val="0"/>
        <w:widowControl w:val="0"/>
        <w:kinsoku/>
        <w:wordWrap/>
        <w:overflowPunct/>
        <w:topLinePunct w:val="0"/>
        <w:bidi w:val="0"/>
        <w:snapToGrid/>
        <w:spacing w:beforeAutospacing="0" w:afterAutospacing="0" w:line="240" w:lineRule="auto"/>
        <w:ind w:left="0" w:right="0" w:firstLine="480" w:firstLineChars="200"/>
        <w:jc w:val="left"/>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3A697564">
      <w:pPr>
        <w:pageBreakBefore w:val="0"/>
        <w:widowControl w:val="0"/>
        <w:kinsoku/>
        <w:wordWrap/>
        <w:overflowPunct/>
        <w:topLinePunct w:val="0"/>
        <w:bidi w:val="0"/>
        <w:snapToGrid/>
        <w:spacing w:beforeAutospacing="0" w:afterAutospacing="0" w:line="240" w:lineRule="auto"/>
        <w:ind w:left="0" w:right="0"/>
        <w:jc w:val="left"/>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6426B9C4">
      <w:pPr>
        <w:pageBreakBefore w:val="0"/>
        <w:widowControl w:val="0"/>
        <w:kinsoku/>
        <w:wordWrap/>
        <w:overflowPunct/>
        <w:topLinePunct w:val="0"/>
        <w:bidi w:val="0"/>
        <w:snapToGrid/>
        <w:spacing w:beforeAutospacing="0" w:afterAutospacing="0" w:line="240" w:lineRule="auto"/>
        <w:ind w:left="0" w:right="0"/>
        <w:jc w:val="left"/>
        <w:rPr>
          <w:rFonts w:ascii="仿宋" w:eastAsia="仿宋"/>
          <w:b w:val="0"/>
          <w:color w:val="auto"/>
          <w:kern w:val="2"/>
          <w:sz w:val="24"/>
          <w:szCs w:val="24"/>
          <w:highlight w:val="none"/>
          <w:lang w:val="en-US"/>
        </w:rPr>
        <w:sectPr>
          <w:headerReference r:id="rId12" w:type="first"/>
          <w:pgSz w:w="11906" w:h="16838"/>
          <w:pgMar w:top="1418" w:right="1134" w:bottom="1418" w:left="1701" w:header="850" w:footer="567" w:gutter="0"/>
          <w:cols w:space="720" w:num="1"/>
          <w:titlePg/>
          <w:docGrid w:type="lines" w:linePitch="437" w:charSpace="0"/>
        </w:sectPr>
      </w:pPr>
      <w:r>
        <w:rPr>
          <w:rFonts w:ascii="仿宋" w:eastAsia="仿宋"/>
          <w:b w:val="0"/>
          <w:color w:val="auto"/>
          <w:kern w:val="2"/>
          <w:sz w:val="24"/>
          <w:szCs w:val="24"/>
          <w:highlight w:val="none"/>
          <w:lang w:val="en-US"/>
        </w:rPr>
        <w:t>日  期</w:t>
      </w:r>
    </w:p>
    <w:p w14:paraId="564B055C">
      <w:pPr>
        <w:pStyle w:val="5"/>
        <w:bidi w:val="0"/>
        <w:rPr>
          <w:lang w:val="en-US"/>
        </w:rPr>
      </w:pPr>
      <w:bookmarkStart w:id="400" w:name="_Toc494198609"/>
      <w:r>
        <w:rPr>
          <w:rFonts w:hint="eastAsia"/>
          <w:lang w:val="en-US" w:eastAsia="zh-CN"/>
        </w:rPr>
        <w:t>7.</w:t>
      </w:r>
      <w:r>
        <w:rPr>
          <w:lang w:val="en-US"/>
        </w:rPr>
        <w:t>实施本项目的主要人员情况表</w:t>
      </w:r>
      <w:bookmarkEnd w:id="400"/>
    </w:p>
    <w:p w14:paraId="71DDF588">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p>
    <w:p w14:paraId="4248E164">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采购项目名称：</w:t>
      </w:r>
    </w:p>
    <w:p w14:paraId="23BEF4F9">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采购项目编号：</w:t>
      </w:r>
    </w:p>
    <w:p w14:paraId="515A4DB2">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eastAsia="zh-CN"/>
        </w:rPr>
        <w:t>标项号/包号</w:t>
      </w:r>
      <w:r>
        <w:rPr>
          <w:rFonts w:ascii="仿宋" w:eastAsia="仿宋"/>
          <w:b w:val="0"/>
          <w:color w:val="auto"/>
          <w:kern w:val="2"/>
          <w:sz w:val="24"/>
          <w:szCs w:val="24"/>
          <w:highlight w:val="none"/>
          <w:lang w:val="en-US"/>
        </w:rPr>
        <w:t>：</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493"/>
        <w:gridCol w:w="700"/>
        <w:gridCol w:w="777"/>
        <w:gridCol w:w="1283"/>
        <w:gridCol w:w="1402"/>
        <w:gridCol w:w="778"/>
        <w:gridCol w:w="788"/>
        <w:gridCol w:w="896"/>
      </w:tblGrid>
      <w:tr w14:paraId="7181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70" w:type="dxa"/>
            <w:vMerge w:val="restart"/>
            <w:tcBorders>
              <w:tl2br w:val="nil"/>
              <w:tr2bl w:val="nil"/>
            </w:tcBorders>
            <w:vAlign w:val="center"/>
          </w:tcPr>
          <w:p w14:paraId="556610BC">
            <w:pPr>
              <w:pageBreakBefore w:val="0"/>
              <w:widowControl w:val="0"/>
              <w:kinsoku/>
              <w:wordWrap/>
              <w:overflowPunct/>
              <w:topLinePunct w:val="0"/>
              <w:bidi w:val="0"/>
              <w:spacing w:beforeAutospacing="0" w:afterAutospacing="0" w:line="360" w:lineRule="auto"/>
              <w:ind w:left="0" w:right="0" w:firstLine="0"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类别</w:t>
            </w:r>
          </w:p>
        </w:tc>
        <w:tc>
          <w:tcPr>
            <w:tcW w:w="1493" w:type="dxa"/>
            <w:vMerge w:val="restart"/>
            <w:tcBorders>
              <w:tl2br w:val="nil"/>
              <w:tr2bl w:val="nil"/>
            </w:tcBorders>
            <w:vAlign w:val="center"/>
          </w:tcPr>
          <w:p w14:paraId="4050F5B8">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职务</w:t>
            </w:r>
          </w:p>
        </w:tc>
        <w:tc>
          <w:tcPr>
            <w:tcW w:w="700" w:type="dxa"/>
            <w:vMerge w:val="restart"/>
            <w:tcBorders>
              <w:tl2br w:val="nil"/>
              <w:tr2bl w:val="nil"/>
            </w:tcBorders>
            <w:vAlign w:val="center"/>
          </w:tcPr>
          <w:p w14:paraId="69BF3413">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姓名</w:t>
            </w:r>
          </w:p>
        </w:tc>
        <w:tc>
          <w:tcPr>
            <w:tcW w:w="777" w:type="dxa"/>
            <w:vMerge w:val="restart"/>
            <w:tcBorders>
              <w:tl2br w:val="nil"/>
              <w:tr2bl w:val="nil"/>
            </w:tcBorders>
            <w:vAlign w:val="center"/>
          </w:tcPr>
          <w:p w14:paraId="2332EEC4">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职称</w:t>
            </w:r>
          </w:p>
        </w:tc>
        <w:tc>
          <w:tcPr>
            <w:tcW w:w="1283" w:type="dxa"/>
            <w:vMerge w:val="restart"/>
            <w:tcBorders>
              <w:tl2br w:val="nil"/>
              <w:tr2bl w:val="nil"/>
            </w:tcBorders>
            <w:vAlign w:val="center"/>
          </w:tcPr>
          <w:p w14:paraId="59132F67">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常住地</w:t>
            </w:r>
          </w:p>
        </w:tc>
        <w:tc>
          <w:tcPr>
            <w:tcW w:w="3864" w:type="dxa"/>
            <w:gridSpan w:val="4"/>
            <w:tcBorders>
              <w:tl2br w:val="nil"/>
              <w:tr2bl w:val="nil"/>
            </w:tcBorders>
            <w:vAlign w:val="center"/>
          </w:tcPr>
          <w:p w14:paraId="317DEBAA">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相关资料（无可不提供）</w:t>
            </w:r>
          </w:p>
        </w:tc>
      </w:tr>
      <w:tr w14:paraId="6CCB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70" w:type="dxa"/>
            <w:vMerge w:val="continue"/>
            <w:tcBorders>
              <w:tl2br w:val="nil"/>
              <w:tr2bl w:val="nil"/>
            </w:tcBorders>
            <w:vAlign w:val="center"/>
          </w:tcPr>
          <w:p w14:paraId="3DF8D0F3"/>
        </w:tc>
        <w:tc>
          <w:tcPr>
            <w:tcW w:w="1493" w:type="dxa"/>
            <w:vMerge w:val="continue"/>
            <w:tcBorders>
              <w:tl2br w:val="nil"/>
              <w:tr2bl w:val="nil"/>
            </w:tcBorders>
            <w:vAlign w:val="center"/>
          </w:tcPr>
          <w:p w14:paraId="0AF603C4"/>
        </w:tc>
        <w:tc>
          <w:tcPr>
            <w:tcW w:w="700" w:type="dxa"/>
            <w:vMerge w:val="continue"/>
            <w:tcBorders>
              <w:tl2br w:val="nil"/>
              <w:tr2bl w:val="nil"/>
            </w:tcBorders>
            <w:vAlign w:val="center"/>
          </w:tcPr>
          <w:p w14:paraId="73AD54CC"/>
        </w:tc>
        <w:tc>
          <w:tcPr>
            <w:tcW w:w="777" w:type="dxa"/>
            <w:vMerge w:val="continue"/>
            <w:tcBorders>
              <w:tl2br w:val="nil"/>
              <w:tr2bl w:val="nil"/>
            </w:tcBorders>
            <w:vAlign w:val="center"/>
          </w:tcPr>
          <w:p w14:paraId="2617A140"/>
        </w:tc>
        <w:tc>
          <w:tcPr>
            <w:tcW w:w="1283" w:type="dxa"/>
            <w:vMerge w:val="continue"/>
            <w:tcBorders>
              <w:tl2br w:val="nil"/>
              <w:tr2bl w:val="nil"/>
            </w:tcBorders>
            <w:vAlign w:val="center"/>
          </w:tcPr>
          <w:p w14:paraId="608FF410"/>
        </w:tc>
        <w:tc>
          <w:tcPr>
            <w:tcW w:w="1402" w:type="dxa"/>
            <w:tcBorders>
              <w:tl2br w:val="nil"/>
              <w:tr2bl w:val="nil"/>
            </w:tcBorders>
            <w:vAlign w:val="center"/>
          </w:tcPr>
          <w:p w14:paraId="03EEB0BC">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证书名称</w:t>
            </w:r>
          </w:p>
        </w:tc>
        <w:tc>
          <w:tcPr>
            <w:tcW w:w="778" w:type="dxa"/>
            <w:tcBorders>
              <w:tl2br w:val="nil"/>
              <w:tr2bl w:val="nil"/>
            </w:tcBorders>
            <w:vAlign w:val="center"/>
          </w:tcPr>
          <w:p w14:paraId="0444C0B6">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级别</w:t>
            </w:r>
          </w:p>
        </w:tc>
        <w:tc>
          <w:tcPr>
            <w:tcW w:w="788" w:type="dxa"/>
            <w:tcBorders>
              <w:tl2br w:val="nil"/>
              <w:tr2bl w:val="nil"/>
            </w:tcBorders>
            <w:vAlign w:val="center"/>
          </w:tcPr>
          <w:p w14:paraId="627A0577">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证号</w:t>
            </w:r>
          </w:p>
        </w:tc>
        <w:tc>
          <w:tcPr>
            <w:tcW w:w="896" w:type="dxa"/>
            <w:tcBorders>
              <w:tl2br w:val="nil"/>
              <w:tr2bl w:val="nil"/>
            </w:tcBorders>
            <w:vAlign w:val="center"/>
          </w:tcPr>
          <w:p w14:paraId="5C593695">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专业</w:t>
            </w:r>
          </w:p>
        </w:tc>
      </w:tr>
      <w:tr w14:paraId="541A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170" w:type="dxa"/>
            <w:vMerge w:val="restart"/>
            <w:tcBorders>
              <w:tl2br w:val="nil"/>
              <w:tr2bl w:val="nil"/>
            </w:tcBorders>
            <w:vAlign w:val="center"/>
          </w:tcPr>
          <w:p w14:paraId="4CB7CB54">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rPr>
              <w:t>项目管理成员</w:t>
            </w:r>
          </w:p>
        </w:tc>
        <w:tc>
          <w:tcPr>
            <w:tcW w:w="1493" w:type="dxa"/>
            <w:tcBorders>
              <w:tl2br w:val="nil"/>
              <w:tr2bl w:val="nil"/>
            </w:tcBorders>
            <w:vAlign w:val="center"/>
          </w:tcPr>
          <w:p w14:paraId="11A84590">
            <w:pPr>
              <w:pageBreakBefore w:val="0"/>
              <w:widowControl w:val="0"/>
              <w:kinsoku/>
              <w:wordWrap/>
              <w:overflowPunct/>
              <w:topLinePunct w:val="0"/>
              <w:bidi w:val="0"/>
              <w:snapToGrid/>
              <w:spacing w:beforeAutospacing="0" w:afterAutospacing="0" w:line="360" w:lineRule="auto"/>
              <w:ind w:left="0" w:right="0" w:firstLine="0" w:firstLineChars="0"/>
              <w:jc w:val="center"/>
              <w:rPr>
                <w:rFonts w:hint="eastAsia" w:ascii="仿宋" w:eastAsia="仿宋"/>
                <w:b w:val="0"/>
                <w:color w:val="auto"/>
                <w:kern w:val="2"/>
                <w:sz w:val="24"/>
                <w:szCs w:val="24"/>
                <w:highlight w:val="none"/>
                <w:lang w:val="en-US" w:eastAsia="zh-CN"/>
              </w:rPr>
            </w:pPr>
            <w:r>
              <w:rPr>
                <w:rFonts w:hint="eastAsia" w:ascii="仿宋" w:eastAsia="仿宋"/>
                <w:b w:val="0"/>
                <w:color w:val="auto"/>
                <w:kern w:val="2"/>
                <w:sz w:val="24"/>
                <w:szCs w:val="24"/>
                <w:highlight w:val="none"/>
                <w:lang w:val="en-US"/>
              </w:rPr>
              <w:t>项目</w:t>
            </w:r>
            <w:r>
              <w:rPr>
                <w:rFonts w:hint="eastAsia" w:ascii="仿宋" w:eastAsia="仿宋"/>
                <w:b w:val="0"/>
                <w:color w:val="auto"/>
                <w:kern w:val="2"/>
                <w:sz w:val="24"/>
                <w:szCs w:val="24"/>
                <w:highlight w:val="none"/>
                <w:lang w:val="en-US" w:eastAsia="zh-CN"/>
              </w:rPr>
              <w:t>负责人</w:t>
            </w:r>
          </w:p>
        </w:tc>
        <w:tc>
          <w:tcPr>
            <w:tcW w:w="700" w:type="dxa"/>
            <w:tcBorders>
              <w:tl2br w:val="nil"/>
              <w:tr2bl w:val="nil"/>
            </w:tcBorders>
            <w:vAlign w:val="center"/>
          </w:tcPr>
          <w:p w14:paraId="3D6C4D4B">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c>
          <w:tcPr>
            <w:tcW w:w="777" w:type="dxa"/>
            <w:tcBorders>
              <w:tl2br w:val="nil"/>
              <w:tr2bl w:val="nil"/>
            </w:tcBorders>
            <w:vAlign w:val="center"/>
          </w:tcPr>
          <w:p w14:paraId="0F87D980">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c>
          <w:tcPr>
            <w:tcW w:w="1283" w:type="dxa"/>
            <w:tcBorders>
              <w:tl2br w:val="nil"/>
              <w:tr2bl w:val="nil"/>
            </w:tcBorders>
            <w:vAlign w:val="center"/>
          </w:tcPr>
          <w:p w14:paraId="02ABD52D">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c>
          <w:tcPr>
            <w:tcW w:w="1402" w:type="dxa"/>
            <w:tcBorders>
              <w:tl2br w:val="nil"/>
              <w:tr2bl w:val="nil"/>
            </w:tcBorders>
            <w:vAlign w:val="center"/>
          </w:tcPr>
          <w:p w14:paraId="7E97EA7D">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c>
          <w:tcPr>
            <w:tcW w:w="778" w:type="dxa"/>
            <w:tcBorders>
              <w:tl2br w:val="nil"/>
              <w:tr2bl w:val="nil"/>
            </w:tcBorders>
            <w:vAlign w:val="center"/>
          </w:tcPr>
          <w:p w14:paraId="7A859002">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c>
          <w:tcPr>
            <w:tcW w:w="788" w:type="dxa"/>
            <w:tcBorders>
              <w:tl2br w:val="nil"/>
              <w:tr2bl w:val="nil"/>
            </w:tcBorders>
            <w:vAlign w:val="center"/>
          </w:tcPr>
          <w:p w14:paraId="2F4288F3">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c>
          <w:tcPr>
            <w:tcW w:w="896" w:type="dxa"/>
            <w:tcBorders>
              <w:tl2br w:val="nil"/>
              <w:tr2bl w:val="nil"/>
            </w:tcBorders>
            <w:vAlign w:val="center"/>
          </w:tcPr>
          <w:p w14:paraId="43179C8A">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tc>
      </w:tr>
      <w:tr w14:paraId="2243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70" w:type="dxa"/>
            <w:vMerge w:val="continue"/>
            <w:tcBorders>
              <w:tl2br w:val="nil"/>
              <w:tr2bl w:val="nil"/>
            </w:tcBorders>
            <w:vAlign w:val="center"/>
          </w:tcPr>
          <w:p w14:paraId="0E268A48"/>
        </w:tc>
        <w:tc>
          <w:tcPr>
            <w:tcW w:w="1493" w:type="dxa"/>
            <w:tcBorders>
              <w:tl2br w:val="nil"/>
              <w:tr2bl w:val="nil"/>
            </w:tcBorders>
            <w:vAlign w:val="center"/>
          </w:tcPr>
          <w:p w14:paraId="04726A3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57D26692">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481AE5D8">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4F1E2F09">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67AAC054">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0A425F2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4F3F3484">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159BCA6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4BB0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170" w:type="dxa"/>
            <w:vMerge w:val="continue"/>
            <w:tcBorders>
              <w:tl2br w:val="nil"/>
              <w:tr2bl w:val="nil"/>
            </w:tcBorders>
            <w:vAlign w:val="center"/>
          </w:tcPr>
          <w:p w14:paraId="300FCC38"/>
        </w:tc>
        <w:tc>
          <w:tcPr>
            <w:tcW w:w="1493" w:type="dxa"/>
            <w:tcBorders>
              <w:tl2br w:val="nil"/>
              <w:tr2bl w:val="nil"/>
            </w:tcBorders>
            <w:vAlign w:val="center"/>
          </w:tcPr>
          <w:p w14:paraId="55D992E3">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05CC3AA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64CADB9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1ED30CA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4873AF8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5E56DF7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0AD48EB4">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1857627A">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6F59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70" w:type="dxa"/>
            <w:vMerge w:val="restart"/>
            <w:tcBorders>
              <w:tl2br w:val="nil"/>
              <w:tr2bl w:val="nil"/>
            </w:tcBorders>
            <w:vAlign w:val="center"/>
          </w:tcPr>
          <w:p w14:paraId="2868533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493" w:type="dxa"/>
            <w:tcBorders>
              <w:tl2br w:val="nil"/>
              <w:tr2bl w:val="nil"/>
            </w:tcBorders>
            <w:vAlign w:val="center"/>
          </w:tcPr>
          <w:p w14:paraId="0FCC0969">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6AE44502">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18C8B41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36A36DA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7EF639BF">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351D5A8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4137EC9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5A68BF4C">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61F7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170" w:type="dxa"/>
            <w:vMerge w:val="continue"/>
            <w:tcBorders>
              <w:tl2br w:val="nil"/>
              <w:tr2bl w:val="nil"/>
            </w:tcBorders>
            <w:vAlign w:val="center"/>
          </w:tcPr>
          <w:p w14:paraId="5398BB18"/>
        </w:tc>
        <w:tc>
          <w:tcPr>
            <w:tcW w:w="1493" w:type="dxa"/>
            <w:tcBorders>
              <w:tl2br w:val="nil"/>
              <w:tr2bl w:val="nil"/>
            </w:tcBorders>
            <w:vAlign w:val="center"/>
          </w:tcPr>
          <w:p w14:paraId="4F5F670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54035C1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4CBE4E4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71220043">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61975B3C">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3C01958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4B2BED9A">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6BD6AFE7">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6A50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70" w:type="dxa"/>
            <w:vMerge w:val="continue"/>
            <w:tcBorders>
              <w:tl2br w:val="nil"/>
              <w:tr2bl w:val="nil"/>
            </w:tcBorders>
            <w:vAlign w:val="center"/>
          </w:tcPr>
          <w:p w14:paraId="58B7EDEB"/>
        </w:tc>
        <w:tc>
          <w:tcPr>
            <w:tcW w:w="1493" w:type="dxa"/>
            <w:tcBorders>
              <w:tl2br w:val="nil"/>
              <w:tr2bl w:val="nil"/>
            </w:tcBorders>
            <w:vAlign w:val="center"/>
          </w:tcPr>
          <w:p w14:paraId="15C61AD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5581D7C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3E889597">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40D22E2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0D088E9C">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18C5DE2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68EBE6D9">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6701309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0DE3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170" w:type="dxa"/>
            <w:vMerge w:val="restart"/>
            <w:tcBorders>
              <w:tl2br w:val="nil"/>
              <w:tr2bl w:val="nil"/>
            </w:tcBorders>
            <w:vAlign w:val="center"/>
          </w:tcPr>
          <w:p w14:paraId="1CE3905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493" w:type="dxa"/>
            <w:tcBorders>
              <w:tl2br w:val="nil"/>
              <w:tr2bl w:val="nil"/>
            </w:tcBorders>
            <w:vAlign w:val="center"/>
          </w:tcPr>
          <w:p w14:paraId="599CFEB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0F3A9A10">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0E075448">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09E367E9">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4FD7DB5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3721D1E8">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4AACDA07">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34EE555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5E2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170" w:type="dxa"/>
            <w:vMerge w:val="continue"/>
            <w:tcBorders>
              <w:tl2br w:val="nil"/>
              <w:tr2bl w:val="nil"/>
            </w:tcBorders>
            <w:vAlign w:val="center"/>
          </w:tcPr>
          <w:p w14:paraId="1E2258FF"/>
        </w:tc>
        <w:tc>
          <w:tcPr>
            <w:tcW w:w="1493" w:type="dxa"/>
            <w:tcBorders>
              <w:tl2br w:val="nil"/>
              <w:tr2bl w:val="nil"/>
            </w:tcBorders>
            <w:vAlign w:val="center"/>
          </w:tcPr>
          <w:p w14:paraId="4F701FC3">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376430A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2C151628">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421DE44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3A0975F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1F29018F">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095A2D9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2F9BE7D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1D1F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170" w:type="dxa"/>
            <w:vMerge w:val="continue"/>
            <w:tcBorders>
              <w:tl2br w:val="nil"/>
              <w:tr2bl w:val="nil"/>
            </w:tcBorders>
            <w:vAlign w:val="center"/>
          </w:tcPr>
          <w:p w14:paraId="7BEB44CC"/>
        </w:tc>
        <w:tc>
          <w:tcPr>
            <w:tcW w:w="1493" w:type="dxa"/>
            <w:tcBorders>
              <w:tl2br w:val="nil"/>
              <w:tr2bl w:val="nil"/>
            </w:tcBorders>
            <w:vAlign w:val="center"/>
          </w:tcPr>
          <w:p w14:paraId="72C056C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00" w:type="dxa"/>
            <w:tcBorders>
              <w:tl2br w:val="nil"/>
              <w:tr2bl w:val="nil"/>
            </w:tcBorders>
            <w:vAlign w:val="center"/>
          </w:tcPr>
          <w:p w14:paraId="5E86E8F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7" w:type="dxa"/>
            <w:tcBorders>
              <w:tl2br w:val="nil"/>
              <w:tr2bl w:val="nil"/>
            </w:tcBorders>
            <w:vAlign w:val="center"/>
          </w:tcPr>
          <w:p w14:paraId="5417B83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283" w:type="dxa"/>
            <w:tcBorders>
              <w:tl2br w:val="nil"/>
              <w:tr2bl w:val="nil"/>
            </w:tcBorders>
            <w:vAlign w:val="center"/>
          </w:tcPr>
          <w:p w14:paraId="33A0DA43">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2" w:type="dxa"/>
            <w:tcBorders>
              <w:tl2br w:val="nil"/>
              <w:tr2bl w:val="nil"/>
            </w:tcBorders>
            <w:vAlign w:val="center"/>
          </w:tcPr>
          <w:p w14:paraId="15A2B312">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78" w:type="dxa"/>
            <w:tcBorders>
              <w:tl2br w:val="nil"/>
              <w:tr2bl w:val="nil"/>
            </w:tcBorders>
            <w:vAlign w:val="center"/>
          </w:tcPr>
          <w:p w14:paraId="44A47FBA">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788" w:type="dxa"/>
            <w:tcBorders>
              <w:tl2br w:val="nil"/>
              <w:tr2bl w:val="nil"/>
            </w:tcBorders>
            <w:vAlign w:val="center"/>
          </w:tcPr>
          <w:p w14:paraId="0904A0B2">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896" w:type="dxa"/>
            <w:tcBorders>
              <w:tl2br w:val="nil"/>
              <w:tr2bl w:val="nil"/>
            </w:tcBorders>
            <w:vAlign w:val="center"/>
          </w:tcPr>
          <w:p w14:paraId="42DBAE80">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bl>
    <w:p w14:paraId="58A7913D">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注：</w:t>
      </w:r>
    </w:p>
    <w:p w14:paraId="1614D9F5">
      <w:pPr>
        <w:pageBreakBefore w:val="0"/>
        <w:widowControl w:val="0"/>
        <w:numPr>
          <w:ilvl w:val="3"/>
          <w:numId w:val="86"/>
        </w:numPr>
        <w:kinsoku/>
        <w:wordWrap/>
        <w:overflowPunct/>
        <w:topLinePunct w:val="0"/>
        <w:bidi w:val="0"/>
        <w:spacing w:beforeAutospacing="0" w:afterAutospacing="0" w:line="360" w:lineRule="auto"/>
        <w:ind w:left="1735" w:right="0" w:hanging="1735" w:firstLineChars="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以上表格格式行可增减。</w:t>
      </w:r>
    </w:p>
    <w:p w14:paraId="1D460D77">
      <w:pPr>
        <w:pageBreakBefore w:val="0"/>
        <w:widowControl w:val="0"/>
        <w:numPr>
          <w:ilvl w:val="3"/>
          <w:numId w:val="86"/>
        </w:numPr>
        <w:kinsoku/>
        <w:wordWrap/>
        <w:overflowPunct/>
        <w:topLinePunct w:val="0"/>
        <w:bidi w:val="0"/>
        <w:spacing w:beforeAutospacing="0" w:afterAutospacing="0" w:line="360" w:lineRule="auto"/>
        <w:ind w:left="1735" w:right="0" w:hanging="1735" w:firstLineChars="0"/>
        <w:rPr>
          <w:rFonts w:ascii="仿宋" w:eastAsia="仿宋"/>
          <w:b w:val="0"/>
          <w:color w:val="auto"/>
          <w:kern w:val="2"/>
          <w:sz w:val="24"/>
          <w:szCs w:val="24"/>
          <w:highlight w:val="none"/>
          <w:lang w:val="en-US"/>
        </w:rPr>
      </w:pPr>
      <w:r>
        <w:rPr>
          <w:rFonts w:hint="eastAsia" w:ascii="仿宋" w:eastAsia="仿宋"/>
          <w:b w:val="0"/>
          <w:color w:val="auto"/>
          <w:kern w:val="2"/>
          <w:sz w:val="24"/>
          <w:szCs w:val="24"/>
          <w:highlight w:val="none"/>
          <w:lang w:val="en-US" w:eastAsia="zh-CN"/>
        </w:rPr>
        <w:t>证明材料</w:t>
      </w:r>
      <w:r>
        <w:rPr>
          <w:rFonts w:ascii="仿宋" w:eastAsia="仿宋"/>
          <w:b w:val="0"/>
          <w:color w:val="auto"/>
          <w:kern w:val="2"/>
          <w:sz w:val="24"/>
          <w:szCs w:val="24"/>
          <w:highlight w:val="none"/>
          <w:lang w:val="en-US"/>
        </w:rPr>
        <w:t>详见综合评分明细表。</w:t>
      </w:r>
    </w:p>
    <w:p w14:paraId="1DB60026">
      <w:pPr>
        <w:pageBreakBefore w:val="0"/>
        <w:widowControl w:val="0"/>
        <w:kinsoku/>
        <w:wordWrap/>
        <w:overflowPunct/>
        <w:topLinePunct w:val="0"/>
        <w:bidi w:val="0"/>
        <w:spacing w:beforeAutospacing="0" w:afterAutospacing="0" w:line="360" w:lineRule="auto"/>
        <w:ind w:left="0" w:right="0" w:firstLine="0" w:firstLineChars="0"/>
        <w:rPr>
          <w:rFonts w:ascii="仿宋" w:eastAsia="仿宋"/>
          <w:b w:val="0"/>
          <w:color w:val="auto"/>
          <w:kern w:val="2"/>
          <w:sz w:val="24"/>
          <w:szCs w:val="24"/>
          <w:highlight w:val="none"/>
          <w:lang w:val="en-US"/>
        </w:rPr>
      </w:pPr>
    </w:p>
    <w:p w14:paraId="02920A88">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07D50A52">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64DAD000">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textAlignment w:val="auto"/>
        <w:rPr>
          <w:rFonts w:ascii="仿宋" w:eastAsia="仿宋"/>
          <w:color w:val="auto"/>
          <w:highlight w:val="none"/>
        </w:rPr>
      </w:pPr>
      <w:r>
        <w:rPr>
          <w:rFonts w:ascii="仿宋" w:eastAsia="仿宋"/>
          <w:b w:val="0"/>
          <w:color w:val="auto"/>
          <w:kern w:val="2"/>
          <w:sz w:val="24"/>
          <w:szCs w:val="24"/>
          <w:highlight w:val="none"/>
          <w:lang w:val="en-US"/>
        </w:rPr>
        <w:t>日  期:</w:t>
      </w:r>
    </w:p>
    <w:p w14:paraId="5ECB821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57BC8115">
      <w:pPr>
        <w:pStyle w:val="5"/>
        <w:bidi w:val="0"/>
        <w:rPr>
          <w:rFonts w:ascii="仿宋" w:eastAsia="仿宋"/>
          <w:bCs w:val="0"/>
          <w:color w:val="auto"/>
          <w:kern w:val="2"/>
          <w:szCs w:val="24"/>
          <w:highlight w:val="none"/>
          <w:lang w:val="en-US"/>
        </w:rPr>
      </w:pPr>
      <w:r>
        <w:rPr>
          <w:rFonts w:hint="eastAsia" w:ascii="仿宋" w:eastAsia="仿宋"/>
          <w:bCs w:val="0"/>
          <w:color w:val="auto"/>
          <w:kern w:val="2"/>
          <w:szCs w:val="24"/>
          <w:highlight w:val="none"/>
          <w:lang w:val="en-US" w:eastAsia="zh-CN"/>
        </w:rPr>
        <w:br w:type="page"/>
      </w:r>
      <w:r>
        <w:rPr>
          <w:rFonts w:hint="eastAsia"/>
          <w:lang w:val="en-US" w:eastAsia="zh-CN"/>
        </w:rPr>
        <w:t>8.</w:t>
      </w:r>
      <w:r>
        <w:rPr>
          <w:rFonts w:hint="eastAsia"/>
          <w:lang w:val="en-US"/>
        </w:rPr>
        <w:t>投标人</w:t>
      </w:r>
      <w:r>
        <w:rPr>
          <w:lang w:val="en-US"/>
        </w:rPr>
        <w:t>类似项目业绩一览表</w:t>
      </w:r>
    </w:p>
    <w:p w14:paraId="656A2174">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p>
    <w:p w14:paraId="7B8FD8E6">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采购项目名称：</w:t>
      </w:r>
    </w:p>
    <w:p w14:paraId="7ECAF173">
      <w:pPr>
        <w:pageBreakBefore w:val="0"/>
        <w:widowControl w:val="0"/>
        <w:kinsoku/>
        <w:wordWrap/>
        <w:overflowPunct/>
        <w:topLinePunct w:val="0"/>
        <w:bidi w:val="0"/>
        <w:adjustRightInd w:val="0"/>
        <w:snapToGrid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采购项目编号：</w:t>
      </w:r>
    </w:p>
    <w:p w14:paraId="337A563A">
      <w:pPr>
        <w:pageBreakBefore w:val="0"/>
        <w:widowControl w:val="0"/>
        <w:kinsoku/>
        <w:wordWrap/>
        <w:overflowPunct/>
        <w:topLinePunct w:val="0"/>
        <w:bidi w:val="0"/>
        <w:spacing w:beforeAutospacing="0" w:afterAutospacing="0" w:line="360" w:lineRule="auto"/>
        <w:ind w:left="0" w:right="0"/>
        <w:rPr>
          <w:rFonts w:ascii="仿宋" w:eastAsia="仿宋"/>
          <w:b w:val="0"/>
          <w:bCs/>
          <w:color w:val="auto"/>
          <w:kern w:val="2"/>
          <w:sz w:val="24"/>
          <w:szCs w:val="24"/>
          <w:highlight w:val="none"/>
          <w:lang w:val="en-US"/>
        </w:rPr>
      </w:pPr>
      <w:r>
        <w:rPr>
          <w:rFonts w:hint="eastAsia" w:ascii="仿宋" w:eastAsia="仿宋"/>
          <w:b w:val="0"/>
          <w:color w:val="auto"/>
          <w:kern w:val="2"/>
          <w:sz w:val="24"/>
          <w:szCs w:val="24"/>
          <w:highlight w:val="none"/>
          <w:lang w:val="en-US" w:eastAsia="zh-CN"/>
        </w:rPr>
        <w:t>标项号/包号</w:t>
      </w:r>
      <w:r>
        <w:rPr>
          <w:rFonts w:ascii="仿宋" w:eastAsia="仿宋"/>
          <w:b w:val="0"/>
          <w:color w:val="auto"/>
          <w:kern w:val="2"/>
          <w:sz w:val="24"/>
          <w:szCs w:val="24"/>
          <w:highlight w:val="none"/>
          <w:lang w:val="en-US"/>
        </w:rPr>
        <w:t>：</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4" w:type="dxa"/>
          <w:bottom w:w="0" w:type="dxa"/>
          <w:right w:w="54" w:type="dxa"/>
        </w:tblCellMar>
      </w:tblPr>
      <w:tblGrid>
        <w:gridCol w:w="728"/>
        <w:gridCol w:w="1458"/>
        <w:gridCol w:w="1336"/>
        <w:gridCol w:w="1175"/>
        <w:gridCol w:w="1440"/>
        <w:gridCol w:w="1621"/>
        <w:gridCol w:w="15"/>
        <w:gridCol w:w="1395"/>
        <w:gridCol w:w="11"/>
      </w:tblGrid>
      <w:tr w14:paraId="604B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728" w:type="dxa"/>
            <w:tcBorders>
              <w:tl2br w:val="nil"/>
              <w:tr2bl w:val="nil"/>
            </w:tcBorders>
            <w:vAlign w:val="center"/>
          </w:tcPr>
          <w:p w14:paraId="504D8E7F">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年份</w:t>
            </w:r>
          </w:p>
        </w:tc>
        <w:tc>
          <w:tcPr>
            <w:tcW w:w="1458" w:type="dxa"/>
            <w:tcBorders>
              <w:tl2br w:val="nil"/>
              <w:tr2bl w:val="nil"/>
            </w:tcBorders>
            <w:vAlign w:val="center"/>
          </w:tcPr>
          <w:p w14:paraId="67A7C61B">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用户名称</w:t>
            </w:r>
          </w:p>
        </w:tc>
        <w:tc>
          <w:tcPr>
            <w:tcW w:w="1336" w:type="dxa"/>
            <w:tcBorders>
              <w:tl2br w:val="nil"/>
              <w:tr2bl w:val="nil"/>
            </w:tcBorders>
            <w:vAlign w:val="center"/>
          </w:tcPr>
          <w:p w14:paraId="754EBCC5">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项目名称</w:t>
            </w:r>
          </w:p>
        </w:tc>
        <w:tc>
          <w:tcPr>
            <w:tcW w:w="1175" w:type="dxa"/>
            <w:tcBorders>
              <w:tl2br w:val="nil"/>
              <w:tr2bl w:val="nil"/>
            </w:tcBorders>
            <w:vAlign w:val="center"/>
          </w:tcPr>
          <w:p w14:paraId="02D3F970">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完成时间</w:t>
            </w:r>
          </w:p>
        </w:tc>
        <w:tc>
          <w:tcPr>
            <w:tcW w:w="1440" w:type="dxa"/>
            <w:tcBorders>
              <w:tl2br w:val="nil"/>
              <w:tr2bl w:val="nil"/>
            </w:tcBorders>
            <w:vAlign w:val="center"/>
          </w:tcPr>
          <w:p w14:paraId="245B6742">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合同金额</w:t>
            </w:r>
          </w:p>
        </w:tc>
        <w:tc>
          <w:tcPr>
            <w:tcW w:w="1636" w:type="dxa"/>
            <w:gridSpan w:val="2"/>
            <w:tcBorders>
              <w:tl2br w:val="nil"/>
              <w:tr2bl w:val="nil"/>
            </w:tcBorders>
            <w:vAlign w:val="center"/>
          </w:tcPr>
          <w:p w14:paraId="5590269B">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是否通过验收</w:t>
            </w:r>
          </w:p>
        </w:tc>
        <w:tc>
          <w:tcPr>
            <w:tcW w:w="1406" w:type="dxa"/>
            <w:gridSpan w:val="2"/>
            <w:tcBorders>
              <w:tl2br w:val="nil"/>
              <w:tr2bl w:val="nil"/>
            </w:tcBorders>
            <w:vAlign w:val="center"/>
          </w:tcPr>
          <w:p w14:paraId="3E71938F">
            <w:pPr>
              <w:pageBreakBefore w:val="0"/>
              <w:widowControl w:val="0"/>
              <w:kinsoku/>
              <w:wordWrap/>
              <w:overflowPunct/>
              <w:topLinePunct w:val="0"/>
              <w:bidi w:val="0"/>
              <w:snapToGrid/>
              <w:spacing w:beforeAutospacing="0" w:afterAutospacing="0" w:line="360" w:lineRule="auto"/>
              <w:ind w:left="0" w:right="0" w:firstLine="0" w:firstLineChars="0"/>
              <w:jc w:val="center"/>
              <w:rPr>
                <w:rFonts w:ascii="仿宋" w:eastAsia="仿宋"/>
                <w:b w:val="0"/>
                <w:bCs/>
                <w:color w:val="auto"/>
                <w:kern w:val="2"/>
                <w:sz w:val="24"/>
                <w:szCs w:val="24"/>
                <w:highlight w:val="none"/>
                <w:lang w:val="en-US"/>
              </w:rPr>
            </w:pPr>
            <w:r>
              <w:rPr>
                <w:rFonts w:ascii="仿宋" w:eastAsia="仿宋"/>
                <w:b w:val="0"/>
                <w:bCs/>
                <w:color w:val="auto"/>
                <w:kern w:val="2"/>
                <w:sz w:val="24"/>
                <w:szCs w:val="24"/>
                <w:highlight w:val="none"/>
                <w:lang w:val="en-US"/>
              </w:rPr>
              <w:t>备注</w:t>
            </w:r>
          </w:p>
        </w:tc>
      </w:tr>
      <w:tr w14:paraId="264E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728" w:type="dxa"/>
            <w:tcBorders>
              <w:tl2br w:val="nil"/>
              <w:tr2bl w:val="nil"/>
            </w:tcBorders>
            <w:vAlign w:val="center"/>
          </w:tcPr>
          <w:p w14:paraId="36DA577F">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58" w:type="dxa"/>
            <w:tcBorders>
              <w:tl2br w:val="nil"/>
              <w:tr2bl w:val="nil"/>
            </w:tcBorders>
            <w:vAlign w:val="center"/>
          </w:tcPr>
          <w:p w14:paraId="1AA9A5E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336" w:type="dxa"/>
            <w:tcBorders>
              <w:tl2br w:val="nil"/>
              <w:tr2bl w:val="nil"/>
            </w:tcBorders>
            <w:vAlign w:val="center"/>
          </w:tcPr>
          <w:p w14:paraId="0644E7C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175" w:type="dxa"/>
            <w:tcBorders>
              <w:tl2br w:val="nil"/>
              <w:tr2bl w:val="nil"/>
            </w:tcBorders>
            <w:vAlign w:val="center"/>
          </w:tcPr>
          <w:p w14:paraId="6742653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40" w:type="dxa"/>
            <w:tcBorders>
              <w:tl2br w:val="nil"/>
              <w:tr2bl w:val="nil"/>
            </w:tcBorders>
            <w:vAlign w:val="center"/>
          </w:tcPr>
          <w:p w14:paraId="51123B9C">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636" w:type="dxa"/>
            <w:gridSpan w:val="2"/>
            <w:tcBorders>
              <w:tl2br w:val="nil"/>
              <w:tr2bl w:val="nil"/>
            </w:tcBorders>
            <w:vAlign w:val="center"/>
          </w:tcPr>
          <w:p w14:paraId="7FEFBF60">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6" w:type="dxa"/>
            <w:gridSpan w:val="2"/>
            <w:tcBorders>
              <w:tl2br w:val="nil"/>
              <w:tr2bl w:val="nil"/>
            </w:tcBorders>
            <w:vAlign w:val="center"/>
          </w:tcPr>
          <w:p w14:paraId="00960897">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0809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728" w:type="dxa"/>
            <w:tcBorders>
              <w:tl2br w:val="nil"/>
              <w:tr2bl w:val="nil"/>
            </w:tcBorders>
            <w:vAlign w:val="center"/>
          </w:tcPr>
          <w:p w14:paraId="459DEBAD">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58" w:type="dxa"/>
            <w:tcBorders>
              <w:tl2br w:val="nil"/>
              <w:tr2bl w:val="nil"/>
            </w:tcBorders>
            <w:vAlign w:val="center"/>
          </w:tcPr>
          <w:p w14:paraId="2AF26D1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336" w:type="dxa"/>
            <w:tcBorders>
              <w:tl2br w:val="nil"/>
              <w:tr2bl w:val="nil"/>
            </w:tcBorders>
            <w:vAlign w:val="center"/>
          </w:tcPr>
          <w:p w14:paraId="47138860">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175" w:type="dxa"/>
            <w:tcBorders>
              <w:tl2br w:val="nil"/>
              <w:tr2bl w:val="nil"/>
            </w:tcBorders>
            <w:vAlign w:val="center"/>
          </w:tcPr>
          <w:p w14:paraId="268B4D4A">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40" w:type="dxa"/>
            <w:tcBorders>
              <w:tl2br w:val="nil"/>
              <w:tr2bl w:val="nil"/>
            </w:tcBorders>
            <w:vAlign w:val="center"/>
          </w:tcPr>
          <w:p w14:paraId="12848F1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636" w:type="dxa"/>
            <w:gridSpan w:val="2"/>
            <w:tcBorders>
              <w:tl2br w:val="nil"/>
              <w:tr2bl w:val="nil"/>
            </w:tcBorders>
            <w:vAlign w:val="center"/>
          </w:tcPr>
          <w:p w14:paraId="18483673">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6" w:type="dxa"/>
            <w:gridSpan w:val="2"/>
            <w:tcBorders>
              <w:tl2br w:val="nil"/>
              <w:tr2bl w:val="nil"/>
            </w:tcBorders>
            <w:vAlign w:val="center"/>
          </w:tcPr>
          <w:p w14:paraId="51248A7E">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784E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728" w:type="dxa"/>
            <w:tcBorders>
              <w:tl2br w:val="nil"/>
              <w:tr2bl w:val="nil"/>
            </w:tcBorders>
            <w:vAlign w:val="center"/>
          </w:tcPr>
          <w:p w14:paraId="2239559A">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58" w:type="dxa"/>
            <w:tcBorders>
              <w:tl2br w:val="nil"/>
              <w:tr2bl w:val="nil"/>
            </w:tcBorders>
            <w:vAlign w:val="center"/>
          </w:tcPr>
          <w:p w14:paraId="42A294E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336" w:type="dxa"/>
            <w:tcBorders>
              <w:tl2br w:val="nil"/>
              <w:tr2bl w:val="nil"/>
            </w:tcBorders>
            <w:vAlign w:val="center"/>
          </w:tcPr>
          <w:p w14:paraId="70575770">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175" w:type="dxa"/>
            <w:tcBorders>
              <w:tl2br w:val="nil"/>
              <w:tr2bl w:val="nil"/>
            </w:tcBorders>
            <w:vAlign w:val="center"/>
          </w:tcPr>
          <w:p w14:paraId="2A1E8E8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40" w:type="dxa"/>
            <w:tcBorders>
              <w:tl2br w:val="nil"/>
              <w:tr2bl w:val="nil"/>
            </w:tcBorders>
            <w:vAlign w:val="center"/>
          </w:tcPr>
          <w:p w14:paraId="4DCF9F9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636" w:type="dxa"/>
            <w:gridSpan w:val="2"/>
            <w:tcBorders>
              <w:tl2br w:val="nil"/>
              <w:tr2bl w:val="nil"/>
            </w:tcBorders>
            <w:vAlign w:val="center"/>
          </w:tcPr>
          <w:p w14:paraId="1C370A3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6" w:type="dxa"/>
            <w:gridSpan w:val="2"/>
            <w:tcBorders>
              <w:tl2br w:val="nil"/>
              <w:tr2bl w:val="nil"/>
            </w:tcBorders>
            <w:vAlign w:val="center"/>
          </w:tcPr>
          <w:p w14:paraId="1986901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5081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728" w:type="dxa"/>
            <w:tcBorders>
              <w:tl2br w:val="nil"/>
              <w:tr2bl w:val="nil"/>
            </w:tcBorders>
            <w:vAlign w:val="center"/>
          </w:tcPr>
          <w:p w14:paraId="25D0A08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58" w:type="dxa"/>
            <w:tcBorders>
              <w:tl2br w:val="nil"/>
              <w:tr2bl w:val="nil"/>
            </w:tcBorders>
            <w:vAlign w:val="center"/>
          </w:tcPr>
          <w:p w14:paraId="6B9F8EB6">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336" w:type="dxa"/>
            <w:tcBorders>
              <w:tl2br w:val="nil"/>
              <w:tr2bl w:val="nil"/>
            </w:tcBorders>
            <w:vAlign w:val="center"/>
          </w:tcPr>
          <w:p w14:paraId="7DB3C0EB">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175" w:type="dxa"/>
            <w:tcBorders>
              <w:tl2br w:val="nil"/>
              <w:tr2bl w:val="nil"/>
            </w:tcBorders>
            <w:vAlign w:val="center"/>
          </w:tcPr>
          <w:p w14:paraId="79909B74">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40" w:type="dxa"/>
            <w:tcBorders>
              <w:tl2br w:val="nil"/>
              <w:tr2bl w:val="nil"/>
            </w:tcBorders>
            <w:vAlign w:val="center"/>
          </w:tcPr>
          <w:p w14:paraId="6F75BC7A">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636" w:type="dxa"/>
            <w:gridSpan w:val="2"/>
            <w:tcBorders>
              <w:tl2br w:val="nil"/>
              <w:tr2bl w:val="nil"/>
            </w:tcBorders>
            <w:vAlign w:val="center"/>
          </w:tcPr>
          <w:p w14:paraId="49457205">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c>
          <w:tcPr>
            <w:tcW w:w="1406" w:type="dxa"/>
            <w:gridSpan w:val="2"/>
            <w:tcBorders>
              <w:tl2br w:val="nil"/>
              <w:tr2bl w:val="nil"/>
            </w:tcBorders>
            <w:vAlign w:val="center"/>
          </w:tcPr>
          <w:p w14:paraId="50C020C3">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highlight w:val="none"/>
              </w:rPr>
            </w:pPr>
          </w:p>
        </w:tc>
      </w:tr>
      <w:tr w14:paraId="40ED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gridAfter w:val="1"/>
          <w:wAfter w:w="11" w:type="dxa"/>
          <w:cantSplit/>
          <w:trHeight w:val="662" w:hRule="atLeast"/>
          <w:jc w:val="center"/>
        </w:trPr>
        <w:tc>
          <w:tcPr>
            <w:tcW w:w="728" w:type="dxa"/>
            <w:tcBorders>
              <w:tl2br w:val="nil"/>
              <w:tr2bl w:val="nil"/>
            </w:tcBorders>
            <w:vAlign w:val="center"/>
          </w:tcPr>
          <w:p w14:paraId="05DAA6AD">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458" w:type="dxa"/>
            <w:tcBorders>
              <w:tl2br w:val="nil"/>
              <w:tr2bl w:val="nil"/>
            </w:tcBorders>
            <w:vAlign w:val="center"/>
          </w:tcPr>
          <w:p w14:paraId="35D3E409">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336" w:type="dxa"/>
            <w:tcBorders>
              <w:tl2br w:val="nil"/>
              <w:tr2bl w:val="nil"/>
            </w:tcBorders>
            <w:vAlign w:val="center"/>
          </w:tcPr>
          <w:p w14:paraId="149B2E3D">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175" w:type="dxa"/>
            <w:tcBorders>
              <w:tl2br w:val="nil"/>
              <w:tr2bl w:val="nil"/>
            </w:tcBorders>
            <w:vAlign w:val="center"/>
          </w:tcPr>
          <w:p w14:paraId="10108A77">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440" w:type="dxa"/>
            <w:tcBorders>
              <w:tl2br w:val="nil"/>
              <w:tr2bl w:val="nil"/>
            </w:tcBorders>
            <w:vAlign w:val="center"/>
          </w:tcPr>
          <w:p w14:paraId="3CB3C0A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621" w:type="dxa"/>
            <w:tcBorders>
              <w:tl2br w:val="nil"/>
              <w:tr2bl w:val="nil"/>
            </w:tcBorders>
            <w:vAlign w:val="center"/>
          </w:tcPr>
          <w:p w14:paraId="246B286A">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c>
          <w:tcPr>
            <w:tcW w:w="1410" w:type="dxa"/>
            <w:gridSpan w:val="2"/>
            <w:tcBorders>
              <w:tl2br w:val="nil"/>
              <w:tr2bl w:val="nil"/>
            </w:tcBorders>
            <w:vAlign w:val="center"/>
          </w:tcPr>
          <w:p w14:paraId="0012099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tc>
      </w:tr>
    </w:tbl>
    <w:p w14:paraId="139116A1">
      <w:pPr>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bidi w:val="0"/>
        <w:spacing w:beforeAutospacing="0" w:afterAutospacing="0" w:line="360" w:lineRule="auto"/>
        <w:ind w:left="0" w:right="0"/>
        <w:rPr>
          <w:rFonts w:ascii="仿宋" w:eastAsia="仿宋"/>
          <w:b w:val="0"/>
          <w:bCs/>
          <w:color w:val="auto"/>
          <w:sz w:val="24"/>
          <w:highlight w:val="none"/>
        </w:rPr>
      </w:pPr>
      <w:r>
        <w:rPr>
          <w:rFonts w:ascii="仿宋" w:eastAsia="仿宋"/>
          <w:b w:val="0"/>
          <w:bCs/>
          <w:color w:val="auto"/>
          <w:sz w:val="24"/>
          <w:highlight w:val="none"/>
        </w:rPr>
        <w:t>注：以上表格格式行可增减。</w:t>
      </w:r>
    </w:p>
    <w:p w14:paraId="03C4CB31">
      <w:pPr>
        <w:pageBreakBefore w:val="0"/>
        <w:widowControl w:val="0"/>
        <w:kinsoku/>
        <w:wordWrap/>
        <w:overflowPunct/>
        <w:topLinePunct w:val="0"/>
        <w:bidi w:val="0"/>
        <w:spacing w:beforeAutospacing="0" w:afterAutospacing="0" w:line="360" w:lineRule="auto"/>
        <w:ind w:left="0" w:right="0"/>
        <w:jc w:val="center"/>
        <w:rPr>
          <w:rFonts w:ascii="仿宋" w:eastAsia="仿宋"/>
          <w:color w:val="auto"/>
          <w:sz w:val="24"/>
          <w:highlight w:val="none"/>
        </w:rPr>
      </w:pPr>
    </w:p>
    <w:p w14:paraId="18B6029E">
      <w:pPr>
        <w:pageBreakBefore w:val="0"/>
        <w:widowControl w:val="0"/>
        <w:kinsoku/>
        <w:wordWrap/>
        <w:overflowPunct/>
        <w:topLinePunct w:val="0"/>
        <w:bidi w:val="0"/>
        <w:spacing w:beforeAutospacing="0" w:afterAutospacing="0" w:line="360" w:lineRule="auto"/>
        <w:ind w:left="0" w:right="0"/>
        <w:jc w:val="left"/>
        <w:rPr>
          <w:rFonts w:ascii="仿宋" w:eastAsia="仿宋"/>
          <w:color w:val="auto"/>
          <w:highlight w:val="none"/>
        </w:rPr>
      </w:pPr>
    </w:p>
    <w:p w14:paraId="164ED70C">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2D2EFB38">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jc w:val="left"/>
        <w:textAlignment w:val="auto"/>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06FE3AC1">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right="0"/>
        <w:textAlignment w:val="auto"/>
        <w:rPr>
          <w:rFonts w:ascii="仿宋" w:eastAsia="仿宋"/>
          <w:color w:val="auto"/>
          <w:highlight w:val="none"/>
        </w:rPr>
      </w:pPr>
      <w:r>
        <w:rPr>
          <w:rFonts w:ascii="仿宋" w:eastAsia="仿宋"/>
          <w:b w:val="0"/>
          <w:color w:val="auto"/>
          <w:kern w:val="2"/>
          <w:sz w:val="24"/>
          <w:szCs w:val="24"/>
          <w:highlight w:val="none"/>
          <w:lang w:val="en-US"/>
        </w:rPr>
        <w:t>日  期:</w:t>
      </w:r>
    </w:p>
    <w:p w14:paraId="2EAA249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7F111E94">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111A55B4">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1EF0A28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C19B82D">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4A9F4C8D">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19A2D903">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6B4914F9">
      <w:pPr>
        <w:pStyle w:val="5"/>
        <w:bidi w:val="0"/>
        <w:rPr>
          <w:lang w:val="en-US"/>
        </w:rPr>
      </w:pPr>
      <w:bookmarkStart w:id="401" w:name="_Toc494198610"/>
      <w:r>
        <w:rPr>
          <w:rFonts w:hint="eastAsia"/>
          <w:lang w:val="en-US" w:eastAsia="zh-CN"/>
        </w:rPr>
        <w:t>9.</w:t>
      </w:r>
      <w:r>
        <w:rPr>
          <w:lang w:val="en-US"/>
        </w:rPr>
        <w:t>项目实施方案</w:t>
      </w:r>
      <w:bookmarkEnd w:id="401"/>
    </w:p>
    <w:p w14:paraId="01B517A4">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p>
    <w:p w14:paraId="5C58001F">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112C0DBD">
      <w:pPr>
        <w:pageBreakBefore w:val="0"/>
        <w:widowControl w:val="0"/>
        <w:kinsoku/>
        <w:wordWrap/>
        <w:overflowPunct/>
        <w:topLinePunct w:val="0"/>
        <w:bidi w:val="0"/>
        <w:spacing w:beforeAutospacing="0" w:afterAutospacing="0" w:line="36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由投标人自行编写，格式不限。但应包含且不限于：综合评分明细表涉及内容。</w:t>
      </w:r>
    </w:p>
    <w:p w14:paraId="01C67FA0">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5BFD438C">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4AFF58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1EFF0F5">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46F76512">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3055AE26">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19B69E4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r>
        <w:rPr>
          <w:rFonts w:ascii="仿宋" w:eastAsia="仿宋"/>
          <w:color w:val="auto"/>
          <w:highlight w:val="none"/>
        </w:rPr>
        <w:tab/>
      </w:r>
    </w:p>
    <w:p w14:paraId="6942459E">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28E96F89">
      <w:pPr>
        <w:pageBreakBefore w:val="0"/>
        <w:widowControl w:val="0"/>
        <w:kinsoku/>
        <w:wordWrap/>
        <w:overflowPunct/>
        <w:topLinePunct w:val="0"/>
        <w:bidi w:val="0"/>
        <w:spacing w:beforeAutospacing="0" w:afterAutospacing="0" w:line="360" w:lineRule="auto"/>
        <w:ind w:left="0" w:right="0"/>
        <w:rPr>
          <w:rFonts w:ascii="仿宋" w:eastAsia="仿宋"/>
          <w:color w:val="auto"/>
          <w:highlight w:val="none"/>
        </w:rPr>
      </w:pPr>
    </w:p>
    <w:p w14:paraId="1BD4BC7C">
      <w:pPr>
        <w:pageBreakBefore w:val="0"/>
        <w:widowControl w:val="0"/>
        <w:kinsoku/>
        <w:wordWrap/>
        <w:overflowPunct/>
        <w:topLinePunct w:val="0"/>
        <w:bidi w:val="0"/>
        <w:spacing w:beforeAutospacing="0" w:afterAutospacing="0" w:line="360" w:lineRule="auto"/>
        <w:ind w:left="0" w:right="0"/>
        <w:rPr>
          <w:rFonts w:hint="eastAsia" w:ascii="仿宋" w:eastAsia="仿宋"/>
          <w:color w:val="auto"/>
          <w:highlight w:val="none"/>
        </w:rPr>
      </w:pPr>
    </w:p>
    <w:p w14:paraId="1E878B31">
      <w:pPr>
        <w:pageBreakBefore w:val="0"/>
        <w:widowControl w:val="0"/>
        <w:kinsoku/>
        <w:wordWrap/>
        <w:overflowPunct/>
        <w:topLinePunct w:val="0"/>
        <w:bidi w:val="0"/>
        <w:spacing w:beforeAutospacing="0" w:afterAutospacing="0" w:line="360" w:lineRule="auto"/>
        <w:ind w:left="0" w:right="0" w:firstLine="0" w:firstLineChars="0"/>
        <w:rPr>
          <w:rFonts w:ascii="仿宋" w:eastAsia="仿宋"/>
          <w:color w:val="auto"/>
          <w:highlight w:val="none"/>
        </w:rPr>
      </w:pPr>
    </w:p>
    <w:p w14:paraId="1D9CBB1A">
      <w:pPr>
        <w:keepNext/>
        <w:keepLines/>
        <w:pageBreakBefore w:val="0"/>
        <w:widowControl w:val="0"/>
        <w:tabs>
          <w:tab w:val="left" w:pos="360"/>
        </w:tabs>
        <w:kinsoku/>
        <w:wordWrap/>
        <w:overflowPunct/>
        <w:topLinePunct w:val="0"/>
        <w:bidi w:val="0"/>
        <w:spacing w:beforeAutospacing="0" w:afterAutospacing="0" w:line="360" w:lineRule="auto"/>
        <w:ind w:right="0"/>
        <w:outlineLvl w:val="9"/>
        <w:rPr>
          <w:rFonts w:ascii="仿宋" w:eastAsia="仿宋"/>
          <w:bCs/>
          <w:color w:val="auto"/>
          <w:kern w:val="2"/>
          <w:sz w:val="24"/>
          <w:szCs w:val="24"/>
          <w:highlight w:val="none"/>
          <w:lang w:val="en-US"/>
        </w:rPr>
      </w:pPr>
      <w:bookmarkStart w:id="402" w:name="_Toc14320"/>
      <w:bookmarkStart w:id="403" w:name="_Toc3408"/>
      <w:bookmarkStart w:id="404" w:name="_Toc22640"/>
      <w:bookmarkStart w:id="405" w:name="_Toc421277563"/>
      <w:r>
        <w:rPr>
          <w:rFonts w:ascii="仿宋" w:eastAsia="仿宋"/>
          <w:bCs/>
          <w:color w:val="auto"/>
          <w:kern w:val="2"/>
          <w:sz w:val="24"/>
          <w:szCs w:val="24"/>
          <w:highlight w:val="none"/>
          <w:lang w:val="en-US"/>
        </w:rPr>
        <w:t xml:space="preserve"> </w:t>
      </w:r>
      <w:bookmarkStart w:id="406" w:name="_Toc494198611"/>
    </w:p>
    <w:p w14:paraId="2C4154E0">
      <w:pPr>
        <w:pStyle w:val="5"/>
        <w:bidi w:val="0"/>
        <w:rPr>
          <w:rFonts w:ascii="仿宋" w:eastAsia="仿宋"/>
          <w:b w:val="0"/>
          <w:color w:val="auto"/>
          <w:szCs w:val="24"/>
          <w:highlight w:val="none"/>
          <w:lang w:val="en-US"/>
        </w:rPr>
      </w:pPr>
      <w:r>
        <w:rPr>
          <w:rFonts w:ascii="仿宋" w:eastAsia="仿宋"/>
          <w:bCs w:val="0"/>
          <w:color w:val="auto"/>
          <w:kern w:val="2"/>
          <w:szCs w:val="24"/>
          <w:highlight w:val="none"/>
          <w:lang w:val="en-US"/>
        </w:rPr>
        <w:br w:type="page"/>
      </w:r>
      <w:bookmarkEnd w:id="402"/>
      <w:bookmarkEnd w:id="403"/>
      <w:bookmarkEnd w:id="404"/>
      <w:bookmarkEnd w:id="405"/>
      <w:bookmarkEnd w:id="406"/>
      <w:r>
        <w:rPr>
          <w:rFonts w:hint="eastAsia"/>
          <w:lang w:val="en-US" w:eastAsia="zh-CN"/>
        </w:rPr>
        <w:t>10.</w:t>
      </w:r>
      <w:r>
        <w:rPr>
          <w:lang w:val="en-US"/>
        </w:rPr>
        <w:t>知识产权承诺函</w:t>
      </w:r>
    </w:p>
    <w:p w14:paraId="03E0EFD5">
      <w:pPr>
        <w:pageBreakBefore w:val="0"/>
        <w:widowControl w:val="0"/>
        <w:kinsoku/>
        <w:wordWrap/>
        <w:overflowPunct/>
        <w:topLinePunct w:val="0"/>
        <w:bidi w:val="0"/>
        <w:spacing w:beforeAutospacing="0" w:afterAutospacing="0" w:line="240" w:lineRule="auto"/>
        <w:ind w:left="0" w:right="0"/>
        <w:rPr>
          <w:rFonts w:ascii="仿宋" w:eastAsia="仿宋"/>
          <w:b w:val="0"/>
          <w:color w:val="auto"/>
          <w:kern w:val="2"/>
          <w:sz w:val="24"/>
          <w:szCs w:val="24"/>
          <w:highlight w:val="none"/>
          <w:lang w:val="en-US"/>
        </w:rPr>
      </w:pPr>
    </w:p>
    <w:p w14:paraId="262BDB15">
      <w:pPr>
        <w:pageBreakBefore w:val="0"/>
        <w:widowControl w:val="0"/>
        <w:kinsoku/>
        <w:wordWrap/>
        <w:overflowPunct/>
        <w:topLinePunct w:val="0"/>
        <w:bidi w:val="0"/>
        <w:spacing w:beforeAutospacing="0" w:afterAutospacing="0" w:line="240" w:lineRule="auto"/>
        <w:ind w:left="0" w:right="0"/>
        <w:rPr>
          <w:rFonts w:ascii="仿宋" w:eastAsia="仿宋"/>
          <w:b w:val="0"/>
          <w:color w:val="auto"/>
          <w:kern w:val="2"/>
          <w:sz w:val="24"/>
          <w:szCs w:val="24"/>
          <w:highlight w:val="none"/>
          <w:lang w:val="en-US"/>
        </w:rPr>
      </w:pPr>
    </w:p>
    <w:p w14:paraId="4A3A67DF">
      <w:pPr>
        <w:pageBreakBefore w:val="0"/>
        <w:widowControl w:val="0"/>
        <w:kinsoku/>
        <w:wordWrap/>
        <w:overflowPunct/>
        <w:topLinePunct w:val="0"/>
        <w:bidi w:val="0"/>
        <w:spacing w:beforeAutospacing="0" w:afterAutospacing="0" w:line="24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 xml:space="preserve">采购项目名称： </w:t>
      </w:r>
    </w:p>
    <w:p w14:paraId="2AB05247">
      <w:pPr>
        <w:pageBreakBefore w:val="0"/>
        <w:widowControl w:val="0"/>
        <w:kinsoku/>
        <w:wordWrap/>
        <w:overflowPunct/>
        <w:topLinePunct w:val="0"/>
        <w:bidi w:val="0"/>
        <w:spacing w:beforeAutospacing="0" w:afterAutospacing="0" w:line="240" w:lineRule="auto"/>
        <w:ind w:left="0" w:right="0"/>
        <w:rPr>
          <w:rFonts w:ascii="仿宋" w:eastAsia="仿宋"/>
          <w:b w:val="0"/>
          <w:color w:val="auto"/>
          <w:kern w:val="2"/>
          <w:sz w:val="24"/>
          <w:szCs w:val="20"/>
          <w:highlight w:val="none"/>
          <w:lang w:val="en-US"/>
        </w:rPr>
      </w:pPr>
      <w:r>
        <w:rPr>
          <w:rFonts w:ascii="仿宋" w:eastAsia="仿宋"/>
          <w:b w:val="0"/>
          <w:color w:val="auto"/>
          <w:kern w:val="2"/>
          <w:sz w:val="24"/>
          <w:szCs w:val="24"/>
          <w:highlight w:val="none"/>
          <w:lang w:val="en-US"/>
        </w:rPr>
        <w:t>采购项目编号：</w:t>
      </w:r>
    </w:p>
    <w:p w14:paraId="397B3AD4">
      <w:pPr>
        <w:pageBreakBefore w:val="0"/>
        <w:widowControl/>
        <w:kinsoku/>
        <w:wordWrap/>
        <w:overflowPunct/>
        <w:topLinePunct w:val="0"/>
        <w:bidi w:val="0"/>
        <w:snapToGrid/>
        <w:spacing w:beforeAutospacing="0" w:afterAutospacing="0" w:line="240" w:lineRule="auto"/>
        <w:ind w:left="0" w:right="0" w:firstLine="0" w:firstLineChars="0"/>
        <w:jc w:val="left"/>
        <w:rPr>
          <w:rFonts w:hint="eastAsia" w:ascii="仿宋" w:eastAsia="仿宋"/>
          <w:b w:val="0"/>
          <w:bCs/>
          <w:color w:val="auto"/>
          <w:sz w:val="24"/>
          <w:szCs w:val="24"/>
          <w:highlight w:val="none"/>
          <w:lang w:val="en-US" w:eastAsia="zh-CN"/>
        </w:rPr>
      </w:pPr>
    </w:p>
    <w:p w14:paraId="7561796C">
      <w:pPr>
        <w:pageBreakBefore w:val="0"/>
        <w:widowControl/>
        <w:kinsoku/>
        <w:wordWrap/>
        <w:overflowPunct/>
        <w:topLinePunct w:val="0"/>
        <w:bidi w:val="0"/>
        <w:snapToGrid/>
        <w:spacing w:beforeAutospacing="0" w:afterAutospacing="0" w:line="240" w:lineRule="auto"/>
        <w:ind w:left="0" w:right="0" w:firstLine="0" w:firstLineChars="0"/>
        <w:jc w:val="left"/>
        <w:rPr>
          <w:rFonts w:ascii="仿宋" w:eastAsia="仿宋"/>
          <w:b w:val="0"/>
          <w:bCs/>
          <w:color w:val="auto"/>
          <w:sz w:val="24"/>
          <w:szCs w:val="24"/>
          <w:highlight w:val="none"/>
          <w:lang w:val="en-US"/>
        </w:rPr>
      </w:pPr>
      <w:r>
        <w:rPr>
          <w:rFonts w:hint="eastAsia" w:ascii="仿宋" w:eastAsia="仿宋"/>
          <w:b w:val="0"/>
          <w:bCs/>
          <w:color w:val="auto"/>
          <w:sz w:val="24"/>
          <w:szCs w:val="24"/>
          <w:highlight w:val="none"/>
          <w:lang w:val="en-US" w:eastAsia="zh-CN"/>
        </w:rPr>
        <w:t>昌吉回族自治州人民医院</w:t>
      </w:r>
      <w:r>
        <w:rPr>
          <w:rFonts w:ascii="仿宋" w:eastAsia="仿宋"/>
          <w:b w:val="0"/>
          <w:bCs/>
          <w:color w:val="auto"/>
          <w:sz w:val="24"/>
          <w:szCs w:val="24"/>
          <w:highlight w:val="none"/>
          <w:lang w:val="en-US"/>
        </w:rPr>
        <w:t>：</w:t>
      </w:r>
    </w:p>
    <w:p w14:paraId="3A4546BA">
      <w:pPr>
        <w:pageBreakBefore w:val="0"/>
        <w:widowControl w:val="0"/>
        <w:kinsoku/>
        <w:wordWrap/>
        <w:overflowPunct/>
        <w:topLinePunct w:val="0"/>
        <w:bidi w:val="0"/>
        <w:snapToGrid/>
        <w:spacing w:beforeAutospacing="0" w:afterAutospacing="0" w:line="240" w:lineRule="auto"/>
        <w:ind w:left="0" w:right="0"/>
        <w:rPr>
          <w:rFonts w:ascii="仿宋" w:eastAsia="仿宋"/>
          <w:b w:val="0"/>
          <w:color w:val="auto"/>
          <w:kern w:val="2"/>
          <w:sz w:val="24"/>
          <w:szCs w:val="20"/>
          <w:highlight w:val="none"/>
          <w:lang w:val="en-US"/>
        </w:rPr>
      </w:pPr>
      <w:r>
        <w:rPr>
          <w:rFonts w:ascii="仿宋" w:eastAsia="仿宋"/>
          <w:b w:val="0"/>
          <w:color w:val="auto"/>
          <w:kern w:val="2"/>
          <w:sz w:val="24"/>
          <w:szCs w:val="20"/>
          <w:highlight w:val="none"/>
          <w:lang w:val="en-US"/>
        </w:rPr>
        <w:t>针对以下内容，我方承诺：</w:t>
      </w:r>
    </w:p>
    <w:p w14:paraId="50CB47B9">
      <w:pPr>
        <w:pageBreakBefore w:val="0"/>
        <w:widowControl w:val="0"/>
        <w:kinsoku/>
        <w:wordWrap/>
        <w:overflowPunct/>
        <w:topLinePunct w:val="0"/>
        <w:bidi w:val="0"/>
        <w:snapToGrid/>
        <w:spacing w:beforeAutospacing="0" w:afterAutospacing="0" w:line="24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0"/>
          <w:highlight w:val="none"/>
          <w:lang w:val="en-US"/>
        </w:rPr>
        <w:t>我方</w:t>
      </w:r>
      <w:r>
        <w:rPr>
          <w:rFonts w:ascii="仿宋" w:eastAsia="仿宋"/>
          <w:b w:val="0"/>
          <w:color w:val="auto"/>
          <w:kern w:val="2"/>
          <w:sz w:val="24"/>
          <w:szCs w:val="24"/>
          <w:highlight w:val="none"/>
          <w:lang w:val="en-US"/>
        </w:rPr>
        <w:t>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b w:val="0"/>
          <w:color w:val="auto"/>
          <w:kern w:val="2"/>
          <w:sz w:val="24"/>
          <w:szCs w:val="20"/>
          <w:highlight w:val="none"/>
          <w:lang w:val="en-US"/>
        </w:rPr>
        <w:t>我方</w:t>
      </w:r>
      <w:r>
        <w:rPr>
          <w:rFonts w:ascii="仿宋" w:eastAsia="仿宋"/>
          <w:b w:val="0"/>
          <w:color w:val="auto"/>
          <w:kern w:val="2"/>
          <w:sz w:val="24"/>
          <w:szCs w:val="24"/>
          <w:highlight w:val="none"/>
          <w:lang w:val="en-US"/>
        </w:rPr>
        <w:t>承担所有相关责任。</w:t>
      </w:r>
    </w:p>
    <w:p w14:paraId="1FBC1310">
      <w:pPr>
        <w:pageBreakBefore w:val="0"/>
        <w:widowControl w:val="0"/>
        <w:kinsoku/>
        <w:wordWrap/>
        <w:overflowPunct/>
        <w:topLinePunct w:val="0"/>
        <w:bidi w:val="0"/>
        <w:snapToGrid/>
        <w:spacing w:beforeAutospacing="0" w:afterAutospacing="0" w:line="24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除非招标文件特别规定，采购人享有本项目实施过程中产生的知识成果及知识产权。</w:t>
      </w:r>
    </w:p>
    <w:p w14:paraId="5E7C4ED4">
      <w:pPr>
        <w:pageBreakBefore w:val="0"/>
        <w:widowControl w:val="0"/>
        <w:kinsoku/>
        <w:wordWrap/>
        <w:overflowPunct/>
        <w:topLinePunct w:val="0"/>
        <w:bidi w:val="0"/>
        <w:snapToGrid/>
        <w:spacing w:beforeAutospacing="0" w:afterAutospacing="0" w:line="240" w:lineRule="auto"/>
        <w:ind w:left="0" w:right="0"/>
        <w:rPr>
          <w:rFonts w:ascii="仿宋" w:eastAsia="仿宋"/>
          <w:b w:val="0"/>
          <w:color w:val="auto"/>
          <w:kern w:val="2"/>
          <w:sz w:val="32"/>
          <w:szCs w:val="32"/>
          <w:highlight w:val="none"/>
          <w:lang w:val="en-US"/>
        </w:rPr>
      </w:pPr>
      <w:r>
        <w:rPr>
          <w:rFonts w:ascii="仿宋" w:eastAsia="仿宋"/>
          <w:b w:val="0"/>
          <w:color w:val="auto"/>
          <w:kern w:val="2"/>
          <w:sz w:val="24"/>
          <w:szCs w:val="24"/>
          <w:highlight w:val="none"/>
          <w:lang w:val="en-US"/>
        </w:rPr>
        <w:t>我方如在采购项目实施过程中采用自有或者第三方知识成果的，使用该知识成果后，我方需提供开发接口和开发手册等技术资料，并承诺提供无限期支持，采购人享有使用权（含采购人委托第三方在该项目后续开发的使用权）</w:t>
      </w:r>
      <w:r>
        <w:rPr>
          <w:rFonts w:hint="eastAsia" w:ascii="仿宋" w:eastAsia="仿宋"/>
          <w:b w:val="0"/>
          <w:color w:val="auto"/>
          <w:kern w:val="2"/>
          <w:sz w:val="24"/>
          <w:szCs w:val="24"/>
          <w:highlight w:val="none"/>
          <w:lang w:val="en-US"/>
        </w:rPr>
        <w:t>，</w:t>
      </w:r>
      <w:r>
        <w:rPr>
          <w:rFonts w:ascii="仿宋" w:eastAsia="仿宋"/>
          <w:b w:val="0"/>
          <w:color w:val="auto"/>
          <w:kern w:val="2"/>
          <w:sz w:val="24"/>
          <w:szCs w:val="24"/>
          <w:highlight w:val="none"/>
          <w:lang w:val="en-US"/>
        </w:rPr>
        <w:t>同时将在投标文件中声明并提供相关知识产权证明文件。</w:t>
      </w:r>
    </w:p>
    <w:p w14:paraId="1C89CF03">
      <w:pPr>
        <w:pageBreakBefore w:val="0"/>
        <w:widowControl w:val="0"/>
        <w:kinsoku/>
        <w:wordWrap/>
        <w:overflowPunct/>
        <w:topLinePunct w:val="0"/>
        <w:bidi w:val="0"/>
        <w:snapToGrid/>
        <w:spacing w:beforeAutospacing="0" w:afterAutospacing="0" w:line="240" w:lineRule="auto"/>
        <w:ind w:left="0" w:right="0" w:firstLine="460" w:firstLineChars="192"/>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我方如采用所不拥有的知识产权，则在报价中必须包括合法获取该知识产权的相关费用，</w:t>
      </w:r>
      <w:r>
        <w:rPr>
          <w:rFonts w:ascii="仿宋" w:eastAsia="仿宋"/>
          <w:b w:val="0"/>
          <w:bCs/>
          <w:color w:val="auto"/>
          <w:kern w:val="2"/>
          <w:sz w:val="24"/>
          <w:szCs w:val="24"/>
          <w:highlight w:val="none"/>
          <w:lang w:val="en-US"/>
        </w:rPr>
        <w:t>采购人不再因</w:t>
      </w:r>
      <w:r>
        <w:rPr>
          <w:rFonts w:hint="eastAsia" w:ascii="仿宋" w:eastAsia="仿宋"/>
          <w:b w:val="0"/>
          <w:color w:val="auto"/>
          <w:kern w:val="2"/>
          <w:sz w:val="24"/>
          <w:szCs w:val="24"/>
          <w:highlight w:val="none"/>
          <w:lang w:val="en-US"/>
        </w:rPr>
        <w:t>我方</w:t>
      </w:r>
      <w:r>
        <w:rPr>
          <w:rFonts w:ascii="仿宋" w:eastAsia="仿宋"/>
          <w:b w:val="0"/>
          <w:color w:val="auto"/>
          <w:kern w:val="2"/>
          <w:sz w:val="24"/>
          <w:szCs w:val="24"/>
          <w:highlight w:val="none"/>
          <w:lang w:val="en-US"/>
        </w:rPr>
        <w:t>采用所不拥有的知识产权而另行支付任何费用。</w:t>
      </w:r>
    </w:p>
    <w:p w14:paraId="7272FE8B">
      <w:pPr>
        <w:pageBreakBefore w:val="0"/>
        <w:widowControl w:val="0"/>
        <w:kinsoku/>
        <w:wordWrap/>
        <w:overflowPunct/>
        <w:topLinePunct w:val="0"/>
        <w:bidi w:val="0"/>
        <w:snapToGrid/>
        <w:spacing w:beforeAutospacing="0" w:afterAutospacing="0" w:line="240" w:lineRule="auto"/>
        <w:ind w:left="0" w:right="0" w:firstLine="460" w:firstLineChars="192"/>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根据《中华人民共和国政府采购法实施条例》第四十三条的规定，公告内容应当包括主要</w:t>
      </w:r>
      <w:r>
        <w:rPr>
          <w:rFonts w:hint="eastAsia" w:ascii="仿宋" w:eastAsia="仿宋"/>
          <w:b w:val="0"/>
          <w:color w:val="auto"/>
          <w:kern w:val="2"/>
          <w:sz w:val="24"/>
          <w:szCs w:val="24"/>
          <w:highlight w:val="none"/>
          <w:lang w:val="en-US"/>
        </w:rPr>
        <w:t>中标</w:t>
      </w:r>
      <w:r>
        <w:rPr>
          <w:rFonts w:ascii="仿宋" w:eastAsia="仿宋"/>
          <w:b w:val="0"/>
          <w:color w:val="auto"/>
          <w:kern w:val="2"/>
          <w:sz w:val="24"/>
          <w:szCs w:val="24"/>
          <w:highlight w:val="none"/>
          <w:lang w:val="en-US"/>
        </w:rPr>
        <w:t>标的的名称、规格型号、数量、单价、服务要求以及评审专家名单。我方已将投标文件中涉及商业秘密和知识产权的内容进行了标注和说明。若未进行标注和说明的，视为全部内容均可公布，采购人或者采购代理机构对此不承担任何责任。</w:t>
      </w:r>
    </w:p>
    <w:p w14:paraId="535C70E6">
      <w:pPr>
        <w:pageBreakBefore w:val="0"/>
        <w:widowControl w:val="0"/>
        <w:kinsoku/>
        <w:wordWrap/>
        <w:overflowPunct/>
        <w:topLinePunct w:val="0"/>
        <w:bidi w:val="0"/>
        <w:snapToGrid/>
        <w:spacing w:beforeAutospacing="0" w:afterAutospacing="0" w:line="240" w:lineRule="auto"/>
        <w:ind w:left="0" w:right="0"/>
        <w:rPr>
          <w:rFonts w:ascii="仿宋" w:eastAsia="仿宋"/>
          <w:b w:val="0"/>
          <w:color w:val="auto"/>
          <w:kern w:val="2"/>
          <w:sz w:val="24"/>
          <w:szCs w:val="24"/>
          <w:highlight w:val="none"/>
          <w:lang w:val="en-US"/>
        </w:rPr>
      </w:pPr>
    </w:p>
    <w:p w14:paraId="3A37051B">
      <w:pPr>
        <w:pageBreakBefore w:val="0"/>
        <w:widowControl w:val="0"/>
        <w:kinsoku/>
        <w:wordWrap/>
        <w:overflowPunct/>
        <w:topLinePunct w:val="0"/>
        <w:bidi w:val="0"/>
        <w:snapToGrid/>
        <w:spacing w:beforeAutospacing="0" w:afterAutospacing="0" w:line="240" w:lineRule="auto"/>
        <w:ind w:left="0" w:right="0"/>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我方对上述承诺的内容事项真实性负责。如经查实上述承诺的内容事项存在虚假，愿意接受以提供虚假材料谋取成交的法律责任。</w:t>
      </w:r>
    </w:p>
    <w:p w14:paraId="28A58ACB">
      <w:pPr>
        <w:pageBreakBefore w:val="0"/>
        <w:widowControl w:val="0"/>
        <w:kinsoku/>
        <w:wordWrap/>
        <w:overflowPunct/>
        <w:topLinePunct w:val="0"/>
        <w:bidi w:val="0"/>
        <w:spacing w:beforeAutospacing="0" w:afterAutospacing="0" w:line="240" w:lineRule="auto"/>
        <w:ind w:left="0" w:right="0"/>
        <w:rPr>
          <w:rFonts w:ascii="仿宋" w:eastAsia="仿宋"/>
          <w:color w:val="auto"/>
          <w:sz w:val="32"/>
          <w:szCs w:val="32"/>
          <w:highlight w:val="none"/>
          <w:lang w:val="en-US"/>
        </w:rPr>
      </w:pPr>
    </w:p>
    <w:p w14:paraId="20B502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left"/>
        <w:textAlignment w:val="auto"/>
        <w:rPr>
          <w:rFonts w:ascii="仿宋" w:eastAsia="仿宋"/>
          <w:b w:val="0"/>
          <w:color w:val="auto"/>
          <w:kern w:val="2"/>
          <w:sz w:val="24"/>
          <w:szCs w:val="24"/>
          <w:highlight w:val="none"/>
          <w:lang w:val="en-US"/>
        </w:rPr>
      </w:pPr>
      <w:r>
        <w:rPr>
          <w:rFonts w:ascii="仿宋" w:eastAsia="仿宋"/>
          <w:b w:val="0"/>
          <w:color w:val="auto"/>
          <w:kern w:val="2"/>
          <w:sz w:val="24"/>
          <w:szCs w:val="24"/>
          <w:highlight w:val="none"/>
          <w:lang w:val="en-US"/>
        </w:rPr>
        <w:t>投标人名称</w:t>
      </w:r>
      <w:r>
        <w:rPr>
          <w:rFonts w:hint="eastAsia" w:ascii="仿宋" w:eastAsia="仿宋"/>
          <w:b w:val="0"/>
          <w:color w:val="auto"/>
          <w:kern w:val="2"/>
          <w:sz w:val="24"/>
          <w:szCs w:val="24"/>
          <w:highlight w:val="none"/>
          <w:lang w:val="en-US"/>
        </w:rPr>
        <w:t>（公章）</w:t>
      </w:r>
      <w:r>
        <w:rPr>
          <w:rFonts w:ascii="仿宋" w:eastAsia="仿宋"/>
          <w:b w:val="0"/>
          <w:color w:val="auto"/>
          <w:kern w:val="2"/>
          <w:sz w:val="24"/>
          <w:szCs w:val="24"/>
          <w:highlight w:val="none"/>
          <w:lang w:val="en-US"/>
        </w:rPr>
        <w:t>：</w:t>
      </w:r>
    </w:p>
    <w:p w14:paraId="3AC424E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left"/>
        <w:textAlignment w:val="auto"/>
        <w:rPr>
          <w:rFonts w:hint="eastAsia" w:ascii="仿宋" w:eastAsia="仿宋"/>
          <w:b w:val="0"/>
          <w:color w:val="auto"/>
          <w:kern w:val="2"/>
          <w:sz w:val="24"/>
          <w:szCs w:val="24"/>
          <w:highlight w:val="none"/>
          <w:lang w:val="en-US" w:eastAsia="zh-CN"/>
        </w:rPr>
      </w:pPr>
      <w:r>
        <w:rPr>
          <w:rFonts w:ascii="仿宋" w:eastAsia="仿宋"/>
          <w:b w:val="0"/>
          <w:color w:val="auto"/>
          <w:kern w:val="2"/>
          <w:sz w:val="24"/>
          <w:szCs w:val="24"/>
          <w:highlight w:val="none"/>
          <w:lang w:val="en-US"/>
        </w:rPr>
        <w:t>法定代表人（主要负责人/经营者）或代理人（签字或加盖印章）</w:t>
      </w:r>
      <w:r>
        <w:rPr>
          <w:rFonts w:hint="eastAsia" w:ascii="仿宋" w:eastAsia="仿宋"/>
          <w:b w:val="0"/>
          <w:color w:val="auto"/>
          <w:kern w:val="2"/>
          <w:sz w:val="24"/>
          <w:szCs w:val="24"/>
          <w:highlight w:val="none"/>
          <w:lang w:val="en-US" w:eastAsia="zh-CN"/>
        </w:rPr>
        <w:t>：</w:t>
      </w:r>
    </w:p>
    <w:p w14:paraId="0139CF6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right="0"/>
        <w:textAlignment w:val="auto"/>
        <w:rPr>
          <w:rFonts w:ascii="仿宋" w:eastAsia="仿宋"/>
          <w:color w:val="auto"/>
          <w:sz w:val="32"/>
          <w:szCs w:val="32"/>
          <w:highlight w:val="none"/>
        </w:rPr>
      </w:pPr>
      <w:r>
        <w:rPr>
          <w:rFonts w:ascii="仿宋" w:eastAsia="仿宋"/>
          <w:b w:val="0"/>
          <w:color w:val="auto"/>
          <w:kern w:val="2"/>
          <w:sz w:val="24"/>
          <w:szCs w:val="24"/>
          <w:highlight w:val="none"/>
          <w:lang w:val="en-US"/>
        </w:rPr>
        <w:t>日  期:</w:t>
      </w:r>
    </w:p>
    <w:p w14:paraId="3C9971F8">
      <w:pPr>
        <w:pStyle w:val="5"/>
        <w:bidi w:val="0"/>
        <w:rPr>
          <w:rFonts w:ascii="仿宋" w:eastAsia="仿宋"/>
          <w:b w:val="0"/>
          <w:color w:val="auto"/>
          <w:szCs w:val="24"/>
          <w:highlight w:val="none"/>
          <w:lang w:val="en-US"/>
        </w:rPr>
      </w:pPr>
      <w:r>
        <w:rPr>
          <w:rFonts w:hint="eastAsia" w:ascii="仿宋" w:eastAsia="仿宋"/>
          <w:bCs/>
          <w:color w:val="auto"/>
          <w:kern w:val="2"/>
          <w:szCs w:val="24"/>
          <w:highlight w:val="none"/>
          <w:lang w:val="en-US" w:eastAsia="zh-CN"/>
        </w:rPr>
        <w:br w:type="page"/>
      </w:r>
      <w:r>
        <w:rPr>
          <w:rFonts w:hint="eastAsia"/>
          <w:lang w:val="en-US" w:eastAsia="zh-CN"/>
        </w:rPr>
        <w:t>11.</w:t>
      </w:r>
      <w:r>
        <w:rPr>
          <w:lang w:val="en-US"/>
        </w:rPr>
        <w:t>投标人认为需要提供的其他文件和资料</w:t>
      </w:r>
    </w:p>
    <w:p w14:paraId="7EC79A6F">
      <w:pPr>
        <w:pStyle w:val="100"/>
        <w:rPr>
          <w:lang w:val="en-US"/>
        </w:rPr>
      </w:pPr>
    </w:p>
    <w:p w14:paraId="1DA8629D">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p w14:paraId="5A7D4877">
      <w:pPr>
        <w:pageBreakBefore w:val="0"/>
        <w:widowControl w:val="0"/>
        <w:kinsoku/>
        <w:wordWrap/>
        <w:overflowPunct/>
        <w:topLinePunct w:val="0"/>
        <w:bidi w:val="0"/>
        <w:spacing w:beforeAutospacing="0" w:afterAutospacing="0" w:line="360" w:lineRule="auto"/>
        <w:ind w:left="0" w:right="0" w:firstLine="0" w:firstLineChars="0"/>
        <w:jc w:val="center"/>
        <w:rPr>
          <w:rFonts w:ascii="仿宋" w:eastAsia="仿宋"/>
          <w:b w:val="0"/>
          <w:color w:val="auto"/>
          <w:kern w:val="2"/>
          <w:sz w:val="24"/>
          <w:szCs w:val="24"/>
          <w:highlight w:val="none"/>
          <w:lang w:val="en-US"/>
        </w:rPr>
      </w:pPr>
    </w:p>
    <w:p w14:paraId="123AE1F9">
      <w:pPr>
        <w:pageBreakBefore w:val="0"/>
        <w:widowControl w:val="0"/>
        <w:kinsoku/>
        <w:wordWrap/>
        <w:overflowPunct/>
        <w:topLinePunct w:val="0"/>
        <w:bidi w:val="0"/>
        <w:spacing w:beforeAutospacing="0" w:afterAutospacing="0" w:line="360" w:lineRule="auto"/>
        <w:ind w:left="0" w:right="0" w:firstLine="0" w:firstLineChars="0"/>
        <w:jc w:val="center"/>
        <w:rPr>
          <w:rFonts w:hint="eastAsia" w:ascii="仿宋" w:eastAsia="仿宋"/>
          <w:color w:val="auto"/>
          <w:highlight w:val="none"/>
        </w:rPr>
      </w:pPr>
      <w:r>
        <w:rPr>
          <w:rFonts w:ascii="仿宋" w:eastAsia="仿宋"/>
          <w:b w:val="0"/>
          <w:color w:val="auto"/>
          <w:kern w:val="2"/>
          <w:sz w:val="24"/>
          <w:szCs w:val="24"/>
          <w:highlight w:val="none"/>
          <w:lang w:val="en-US"/>
        </w:rPr>
        <w:t>由投标人自行编写，格式不限。</w:t>
      </w:r>
    </w:p>
    <w:p w14:paraId="0EF94421">
      <w:pPr>
        <w:keepNext w:val="0"/>
        <w:keepLines w:val="0"/>
        <w:pageBreakBefore w:val="0"/>
        <w:widowControl w:val="0"/>
        <w:kinsoku/>
        <w:wordWrap/>
        <w:overflowPunct/>
        <w:topLinePunct w:val="0"/>
        <w:autoSpaceDE/>
        <w:autoSpaceDN/>
        <w:bidi w:val="0"/>
        <w:adjustRightInd/>
        <w:snapToGrid w:val="0"/>
        <w:spacing w:beforeAutospacing="0" w:afterAutospacing="0" w:line="420" w:lineRule="exact"/>
        <w:ind w:left="0" w:right="0"/>
        <w:textAlignment w:val="auto"/>
        <w:rPr>
          <w:rFonts w:ascii="仿宋" w:eastAsia="仿宋"/>
          <w:b/>
          <w:bCs/>
          <w:color w:val="auto"/>
          <w:sz w:val="24"/>
          <w:szCs w:val="24"/>
          <w:highlight w:val="none"/>
        </w:rPr>
      </w:pPr>
      <w:bookmarkStart w:id="407" w:name="_Toc320622687"/>
      <w:bookmarkEnd w:id="407"/>
      <w:bookmarkStart w:id="408" w:name="_Toc320622717"/>
      <w:bookmarkEnd w:id="408"/>
      <w:bookmarkStart w:id="409" w:name="_Toc320622723"/>
      <w:bookmarkEnd w:id="409"/>
      <w:bookmarkStart w:id="410" w:name="_Toc320622776"/>
      <w:bookmarkEnd w:id="410"/>
      <w:bookmarkStart w:id="411" w:name="_Toc320622741"/>
      <w:bookmarkEnd w:id="411"/>
      <w:bookmarkStart w:id="412" w:name="_Toc320622666"/>
      <w:bookmarkEnd w:id="412"/>
      <w:bookmarkStart w:id="413" w:name="_Toc320622678"/>
      <w:bookmarkEnd w:id="413"/>
      <w:bookmarkStart w:id="414" w:name="_Toc320622703"/>
      <w:bookmarkEnd w:id="414"/>
      <w:bookmarkStart w:id="415" w:name="_Toc320622727"/>
      <w:bookmarkEnd w:id="415"/>
      <w:bookmarkStart w:id="416" w:name="_Toc320622707"/>
      <w:bookmarkEnd w:id="416"/>
      <w:bookmarkStart w:id="417" w:name="_Toc320622712"/>
      <w:bookmarkEnd w:id="417"/>
      <w:bookmarkStart w:id="418" w:name="_Toc320622693"/>
      <w:bookmarkEnd w:id="418"/>
      <w:bookmarkStart w:id="419" w:name="_Toc320622774"/>
      <w:bookmarkEnd w:id="419"/>
      <w:bookmarkStart w:id="420" w:name="_Toc320622662"/>
      <w:bookmarkEnd w:id="420"/>
      <w:bookmarkStart w:id="421" w:name="_Toc320622708"/>
      <w:bookmarkEnd w:id="421"/>
      <w:bookmarkStart w:id="422" w:name="_Toc320622709"/>
      <w:bookmarkEnd w:id="422"/>
      <w:bookmarkStart w:id="423" w:name="_Toc320622726"/>
      <w:bookmarkEnd w:id="423"/>
      <w:bookmarkStart w:id="424" w:name="_Toc320622748"/>
      <w:bookmarkEnd w:id="424"/>
      <w:bookmarkStart w:id="425" w:name="_Toc320622701"/>
      <w:bookmarkEnd w:id="425"/>
      <w:bookmarkStart w:id="426" w:name="_Toc320622679"/>
      <w:bookmarkEnd w:id="426"/>
      <w:bookmarkStart w:id="427" w:name="_Toc320622747"/>
      <w:bookmarkEnd w:id="427"/>
      <w:bookmarkStart w:id="428" w:name="_Toc320622660"/>
      <w:bookmarkEnd w:id="428"/>
      <w:bookmarkStart w:id="429" w:name="_Toc320622657"/>
      <w:bookmarkEnd w:id="429"/>
      <w:bookmarkStart w:id="430" w:name="_Toc320622682"/>
      <w:bookmarkEnd w:id="430"/>
      <w:bookmarkStart w:id="431" w:name="_Toc320622777"/>
      <w:bookmarkEnd w:id="431"/>
      <w:bookmarkStart w:id="432" w:name="_Toc320622725"/>
      <w:bookmarkEnd w:id="432"/>
      <w:bookmarkStart w:id="433" w:name="_Toc320622685"/>
      <w:bookmarkEnd w:id="433"/>
      <w:bookmarkStart w:id="434" w:name="_Toc320622736"/>
      <w:bookmarkEnd w:id="434"/>
      <w:bookmarkStart w:id="435" w:name="_Toc320622715"/>
      <w:bookmarkEnd w:id="435"/>
      <w:bookmarkStart w:id="436" w:name="_Toc320622664"/>
      <w:bookmarkEnd w:id="436"/>
      <w:bookmarkStart w:id="437" w:name="_Toc320622667"/>
      <w:bookmarkEnd w:id="437"/>
      <w:bookmarkStart w:id="438" w:name="_Toc320622732"/>
      <w:bookmarkEnd w:id="438"/>
      <w:bookmarkStart w:id="439" w:name="_Toc320622739"/>
      <w:bookmarkEnd w:id="439"/>
      <w:bookmarkStart w:id="440" w:name="_Toc320622658"/>
      <w:bookmarkEnd w:id="440"/>
      <w:bookmarkStart w:id="441" w:name="_Toc320622697"/>
      <w:bookmarkEnd w:id="441"/>
      <w:bookmarkStart w:id="442" w:name="_Toc320622744"/>
      <w:bookmarkEnd w:id="442"/>
      <w:bookmarkStart w:id="443" w:name="_Toc320622671"/>
      <w:bookmarkEnd w:id="443"/>
      <w:bookmarkStart w:id="444" w:name="_Toc320622669"/>
      <w:bookmarkEnd w:id="444"/>
      <w:bookmarkStart w:id="445" w:name="_Toc320622659"/>
      <w:bookmarkEnd w:id="445"/>
      <w:bookmarkStart w:id="446" w:name="_Toc320622674"/>
      <w:bookmarkEnd w:id="446"/>
      <w:bookmarkStart w:id="447" w:name="_Toc320622661"/>
      <w:bookmarkEnd w:id="447"/>
      <w:bookmarkStart w:id="448" w:name="_Toc320622677"/>
      <w:bookmarkEnd w:id="448"/>
      <w:bookmarkStart w:id="449" w:name="_Toc320622733"/>
      <w:bookmarkEnd w:id="449"/>
      <w:bookmarkStart w:id="450" w:name="_Toc320622713"/>
      <w:bookmarkEnd w:id="450"/>
      <w:bookmarkStart w:id="451" w:name="_Toc320622737"/>
      <w:bookmarkEnd w:id="451"/>
      <w:bookmarkStart w:id="452" w:name="_Toc320622778"/>
      <w:bookmarkEnd w:id="452"/>
      <w:bookmarkStart w:id="453" w:name="_Toc320622680"/>
      <w:bookmarkEnd w:id="453"/>
      <w:bookmarkStart w:id="454" w:name="_Toc320622673"/>
      <w:bookmarkEnd w:id="454"/>
      <w:bookmarkStart w:id="455" w:name="_Toc320622696"/>
      <w:bookmarkEnd w:id="455"/>
      <w:bookmarkStart w:id="456" w:name="_Toc320622689"/>
      <w:bookmarkEnd w:id="456"/>
      <w:bookmarkStart w:id="457" w:name="_Toc320622716"/>
      <w:bookmarkEnd w:id="457"/>
      <w:bookmarkStart w:id="458" w:name="_Toc320622655"/>
      <w:bookmarkEnd w:id="458"/>
      <w:bookmarkStart w:id="459" w:name="_Toc320622694"/>
      <w:bookmarkEnd w:id="459"/>
      <w:bookmarkStart w:id="460" w:name="_Toc320622672"/>
      <w:bookmarkEnd w:id="460"/>
      <w:bookmarkStart w:id="461" w:name="_Toc320622686"/>
      <w:bookmarkEnd w:id="461"/>
      <w:bookmarkStart w:id="462" w:name="_Toc320622691"/>
      <w:bookmarkEnd w:id="462"/>
      <w:bookmarkStart w:id="463" w:name="_Toc320622698"/>
      <w:bookmarkEnd w:id="463"/>
      <w:bookmarkStart w:id="464" w:name="_Toc320622700"/>
      <w:bookmarkEnd w:id="464"/>
      <w:bookmarkStart w:id="465" w:name="_Toc320622773"/>
      <w:bookmarkEnd w:id="465"/>
      <w:bookmarkStart w:id="466" w:name="_Toc320622663"/>
      <w:bookmarkEnd w:id="466"/>
      <w:bookmarkStart w:id="467" w:name="_Toc320622720"/>
      <w:bookmarkEnd w:id="467"/>
      <w:bookmarkStart w:id="468" w:name="_Toc320622676"/>
      <w:bookmarkEnd w:id="468"/>
      <w:bookmarkStart w:id="469" w:name="_Toc320622714"/>
      <w:bookmarkEnd w:id="469"/>
      <w:bookmarkStart w:id="470" w:name="_Toc320622688"/>
      <w:bookmarkEnd w:id="470"/>
      <w:bookmarkStart w:id="471" w:name="_Toc320622746"/>
      <w:bookmarkEnd w:id="471"/>
      <w:bookmarkStart w:id="472" w:name="_Toc320622706"/>
      <w:bookmarkEnd w:id="472"/>
      <w:bookmarkStart w:id="473" w:name="_Toc320622699"/>
      <w:bookmarkEnd w:id="473"/>
      <w:bookmarkStart w:id="474" w:name="_Toc320622681"/>
      <w:bookmarkEnd w:id="474"/>
      <w:bookmarkStart w:id="475" w:name="_Toc320622721"/>
      <w:bookmarkEnd w:id="475"/>
      <w:bookmarkStart w:id="476" w:name="_Toc320622738"/>
      <w:bookmarkEnd w:id="476"/>
      <w:bookmarkStart w:id="477" w:name="_Toc320622690"/>
      <w:bookmarkEnd w:id="477"/>
      <w:bookmarkStart w:id="478" w:name="_Toc320622742"/>
      <w:bookmarkEnd w:id="478"/>
      <w:bookmarkStart w:id="479" w:name="_Toc320622724"/>
      <w:bookmarkEnd w:id="479"/>
      <w:bookmarkStart w:id="480" w:name="_Toc320622675"/>
      <w:bookmarkEnd w:id="480"/>
      <w:bookmarkStart w:id="481" w:name="_Toc320622702"/>
      <w:bookmarkEnd w:id="481"/>
      <w:bookmarkStart w:id="482" w:name="_Toc320622665"/>
      <w:bookmarkEnd w:id="482"/>
      <w:bookmarkStart w:id="483" w:name="_Toc320622684"/>
      <w:bookmarkEnd w:id="483"/>
      <w:bookmarkStart w:id="484" w:name="_Toc320622743"/>
      <w:bookmarkEnd w:id="484"/>
      <w:bookmarkStart w:id="485" w:name="_Toc320622730"/>
      <w:bookmarkEnd w:id="485"/>
      <w:bookmarkStart w:id="486" w:name="_Toc320622728"/>
      <w:bookmarkEnd w:id="486"/>
      <w:bookmarkStart w:id="487" w:name="_Toc320622704"/>
      <w:bookmarkEnd w:id="487"/>
      <w:bookmarkStart w:id="488" w:name="_Toc320622719"/>
      <w:bookmarkEnd w:id="488"/>
      <w:bookmarkStart w:id="489" w:name="_Toc320622705"/>
      <w:bookmarkEnd w:id="489"/>
      <w:bookmarkStart w:id="490" w:name="_Toc320622729"/>
      <w:bookmarkEnd w:id="490"/>
      <w:bookmarkStart w:id="491" w:name="_Toc320622710"/>
      <w:bookmarkEnd w:id="491"/>
      <w:bookmarkStart w:id="492" w:name="_Toc320622735"/>
      <w:bookmarkEnd w:id="492"/>
      <w:bookmarkStart w:id="493" w:name="_Toc320622740"/>
      <w:bookmarkEnd w:id="493"/>
      <w:bookmarkStart w:id="494" w:name="_Toc320622683"/>
      <w:bookmarkEnd w:id="494"/>
      <w:bookmarkStart w:id="495" w:name="_Toc320622668"/>
      <w:bookmarkEnd w:id="495"/>
      <w:bookmarkStart w:id="496" w:name="_Toc320622692"/>
      <w:bookmarkEnd w:id="496"/>
      <w:bookmarkStart w:id="497" w:name="_Toc320622722"/>
      <w:bookmarkEnd w:id="497"/>
      <w:bookmarkStart w:id="498" w:name="_Toc320622718"/>
      <w:bookmarkEnd w:id="498"/>
      <w:bookmarkStart w:id="499" w:name="_Toc320622734"/>
      <w:bookmarkEnd w:id="499"/>
      <w:bookmarkStart w:id="500" w:name="_Toc320622695"/>
      <w:bookmarkEnd w:id="500"/>
      <w:bookmarkStart w:id="501" w:name="_Toc320622711"/>
      <w:bookmarkEnd w:id="501"/>
      <w:bookmarkStart w:id="502" w:name="_Toc320622745"/>
      <w:bookmarkEnd w:id="502"/>
      <w:bookmarkStart w:id="503" w:name="_Toc320622656"/>
      <w:bookmarkEnd w:id="503"/>
      <w:bookmarkStart w:id="504" w:name="_Toc320622731"/>
      <w:bookmarkEnd w:id="504"/>
      <w:bookmarkStart w:id="505" w:name="_Toc325356170"/>
      <w:bookmarkStart w:id="506" w:name="_Toc494198616"/>
      <w:r>
        <w:rPr>
          <w:rFonts w:ascii="仿宋" w:eastAsia="仿宋"/>
          <w:b w:val="0"/>
          <w:color w:val="auto"/>
          <w:highlight w:val="none"/>
          <w:lang w:val="en-US"/>
        </w:rPr>
        <w:t xml:space="preserve"> </w:t>
      </w:r>
      <w:bookmarkEnd w:id="505"/>
      <w:bookmarkEnd w:id="506"/>
    </w:p>
    <w:p w14:paraId="6300098C">
      <w:pPr>
        <w:keepNext w:val="0"/>
        <w:keepLines w:val="0"/>
        <w:pageBreakBefore w:val="0"/>
        <w:widowControl w:val="0"/>
        <w:kinsoku/>
        <w:wordWrap/>
        <w:overflowPunct/>
        <w:topLinePunct w:val="0"/>
        <w:bidi w:val="0"/>
        <w:adjustRightInd w:val="0"/>
        <w:snapToGrid w:val="0"/>
        <w:spacing w:beforeAutospacing="0" w:afterAutospacing="0" w:line="440" w:lineRule="exact"/>
        <w:ind w:left="0" w:right="0" w:firstLine="0" w:firstLineChars="0"/>
        <w:rPr>
          <w:rFonts w:hint="eastAsia" w:ascii="仿宋" w:eastAsia="仿宋" w:cs="仿宋"/>
          <w:b w:val="0"/>
          <w:bCs w:val="0"/>
          <w:color w:val="auto"/>
          <w:sz w:val="24"/>
          <w:szCs w:val="24"/>
        </w:rPr>
      </w:pPr>
    </w:p>
    <w:sectPr>
      <w:headerReference r:id="rId14" w:type="first"/>
      <w:footerReference r:id="rId16" w:type="first"/>
      <w:headerReference r:id="rId13" w:type="default"/>
      <w:footerReference r:id="rId15" w:type="default"/>
      <w:pgSz w:w="11906" w:h="16838"/>
      <w:pgMar w:top="1418" w:right="1134" w:bottom="1418" w:left="1701" w:header="850" w:footer="567" w:gutter="0"/>
      <w:cols w:space="720" w:num="1"/>
      <w:titlePg/>
      <w:docGrid w:type="lines" w:linePitch="43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3"/>
      </w:pPr>
      <w:r>
        <w:separator/>
      </w:r>
    </w:p>
  </w:endnote>
  <w:endnote w:type="continuationSeparator" w:id="1">
    <w:p>
      <w:pPr>
        <w:spacing w:line="240" w:lineRule="auto"/>
        <w:ind w:firstLine="64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33C65C-BAEF-44F8-8FF9-080EDFB0490B}"/>
  </w:font>
  <w:font w:name="黑体">
    <w:panose1 w:val="02010609060101010101"/>
    <w:charset w:val="86"/>
    <w:family w:val="auto"/>
    <w:pitch w:val="default"/>
    <w:sig w:usb0="800002BF" w:usb1="38CF7CFA" w:usb2="00000016" w:usb3="00000000" w:csb0="00040001" w:csb1="00000000"/>
    <w:embedRegular r:id="rId2" w:fontKey="{444895FB-342F-4371-9C4A-D66AFF2999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F00935C-6070-4AB1-8C78-C22DF469C63B}"/>
  </w:font>
  <w:font w:name="仿宋">
    <w:panose1 w:val="02010609060101010101"/>
    <w:charset w:val="86"/>
    <w:family w:val="modern"/>
    <w:pitch w:val="default"/>
    <w:sig w:usb0="800002BF" w:usb1="38CF7CFA" w:usb2="00000016" w:usb3="00000000" w:csb0="00040001" w:csb1="00000000"/>
    <w:embedRegular r:id="rId4" w:fontKey="{8F9412FB-EEF9-4261-8F23-F119BBEA3C6F}"/>
  </w:font>
  <w:font w:name="Cambria">
    <w:panose1 w:val="02040503050406030204"/>
    <w:charset w:val="00"/>
    <w:family w:val="auto"/>
    <w:pitch w:val="default"/>
    <w:sig w:usb0="E00006FF" w:usb1="420024FF" w:usb2="02000000" w:usb3="00000000" w:csb0="2000019F" w:csb1="00000000"/>
    <w:embedRegular r:id="rId5" w:fontKey="{B790C85F-44BA-4320-A422-84372E1106C3}"/>
  </w:font>
  <w:font w:name="Arial Narrow">
    <w:altName w:val="Arial"/>
    <w:panose1 w:val="020B0606020202030204"/>
    <w:charset w:val="00"/>
    <w:family w:val="swiss"/>
    <w:pitch w:val="default"/>
    <w:sig w:usb0="00000000"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6" w:fontKey="{0DC4D6AC-41EF-4622-AD19-4F45DF247726}"/>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仿宋">
    <w:altName w:val="仿宋"/>
    <w:panose1 w:val="02010600040101010101"/>
    <w:charset w:val="86"/>
    <w:family w:val="auto"/>
    <w:pitch w:val="default"/>
    <w:sig w:usb0="00000000" w:usb1="00000000" w:usb2="00000000" w:usb3="00000000" w:csb0="0004009F" w:csb1="DFD7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embedRegular r:id="rId7" w:fontKey="{176EC49C-7042-4A05-85CF-6AD8BEE707A0}"/>
  </w:font>
  <w:font w:name="Times New (W1)">
    <w:altName w:val="Times New Roman"/>
    <w:panose1 w:val="00000000000000000000"/>
    <w:charset w:val="00"/>
    <w:family w:val="auto"/>
    <w:pitch w:val="default"/>
    <w:sig w:usb0="00000000" w:usb1="00000000" w:usb2="00000008" w:usb3="00000000" w:csb0="000001FF" w:csb1="00000000"/>
  </w:font>
  <w:font w:name="新宋体">
    <w:panose1 w:val="02010609030101010101"/>
    <w:charset w:val="86"/>
    <w:family w:val="auto"/>
    <w:pitch w:val="default"/>
    <w:sig w:usb0="00000203" w:usb1="288F0000" w:usb2="0000000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H Yg 2gj">
    <w:altName w:val="宋体"/>
    <w:panose1 w:val="00000000000000000000"/>
    <w:charset w:val="86"/>
    <w:family w:val="swiss"/>
    <w:pitch w:val="default"/>
    <w:sig w:usb0="00000000" w:usb1="00000000" w:usb2="00000010" w:usb3="00000000" w:csb0="00040000" w:csb1="00000000"/>
  </w:font>
  <w:font w:name="经典美黑简">
    <w:altName w:val="黑体"/>
    <w:panose1 w:val="02010609000101010101"/>
    <w:charset w:val="86"/>
    <w:family w:val="modern"/>
    <w:pitch w:val="default"/>
    <w:sig w:usb0="00000000" w:usb1="00000000" w:usb2="0000001E" w:usb3="00000000" w:csb0="20040000" w:csb1="00000000"/>
    <w:embedRegular r:id="rId8" w:fontKey="{8112F200-1B45-4BBE-9631-6C9852AF6B03}"/>
  </w:font>
  <w:font w:name="新宋体-18030">
    <w:altName w:val="宋体"/>
    <w:panose1 w:val="02010600060101010101"/>
    <w:charset w:val="86"/>
    <w:family w:val="auto"/>
    <w:pitch w:val="default"/>
    <w:sig w:usb0="00000000" w:usb1="00000000" w:usb2="0000001E" w:usb3="00000000" w:csb0="003C0041" w:csb1="00000000"/>
    <w:embedRegular r:id="rId9" w:fontKey="{7EA49938-74FE-434F-856D-30A8F27ED97F}"/>
  </w:font>
  <w:font w:name="方正小标宋简体">
    <w:panose1 w:val="02000000000000000000"/>
    <w:charset w:val="86"/>
    <w:family w:val="auto"/>
    <w:pitch w:val="default"/>
    <w:sig w:usb0="00000001" w:usb1="08000000" w:usb2="00000000" w:usb3="00000000" w:csb0="00040000" w:csb1="00000000"/>
    <w:embedRegular r:id="rId10" w:fontKey="{B776FA84-7CB4-4AC3-8042-C851AB7A6195}"/>
  </w:font>
  <w:font w:name="微软雅黑">
    <w:panose1 w:val="020B0503020204020204"/>
    <w:charset w:val="86"/>
    <w:family w:val="auto"/>
    <w:pitch w:val="default"/>
    <w:sig w:usb0="80000287" w:usb1="2ACF3C50" w:usb2="00000016" w:usb3="00000000" w:csb0="0004001F" w:csb1="00000000"/>
    <w:embedRegular r:id="rId11" w:fontKey="{34825F40-CDAE-4095-9635-68955A09B328}"/>
  </w:font>
  <w:font w:name="WPSEMBED1">
    <w:panose1 w:val="0201050906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277D1">
    <w:pPr>
      <w:pStyle w:val="53"/>
      <w:rPr>
        <w:rFonts w:hint="eastAsia"/>
      </w:rP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292735" cy="234315"/>
              <wp:effectExtent l="0" t="0" r="0" b="0"/>
              <wp:wrapNone/>
              <wp:docPr id="9" name="矩形 9"/>
              <wp:cNvGraphicFramePr/>
              <a:graphic xmlns:a="http://schemas.openxmlformats.org/drawingml/2006/main">
                <a:graphicData uri="http://schemas.microsoft.com/office/word/2010/wordprocessingShape">
                  <wps:wsp>
                    <wps:cNvSpPr/>
                    <wps:spPr>
                      <a:xfrm>
                        <a:off x="0" y="0"/>
                        <a:ext cx="292735" cy="234315"/>
                      </a:xfrm>
                      <a:prstGeom prst="rect">
                        <a:avLst/>
                      </a:prstGeom>
                      <a:noFill/>
                      <a:ln w="15875" cap="flat" cmpd="sng">
                        <a:noFill/>
                        <a:prstDash val="solid"/>
                        <a:miter/>
                      </a:ln>
                    </wps:spPr>
                    <wps:txbx>
                      <w:txbxContent>
                        <w:p w14:paraId="7BDA8191">
                          <w:pPr>
                            <w:pStyle w:val="5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8.45pt;width:23.05pt;mso-position-horizontal:center;mso-position-horizontal-relative:margin;mso-wrap-style:none;z-index:251659264;mso-width-relative:page;mso-height-relative:page;" filled="f" stroked="f" coordsize="21600,21600" o:gfxdata="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o+P29MAAAADAQAADwAAAAAAAAABACAAAAAiAAAAZHJzL2Rvd25yZXYu&#10;eG1sUEsBAhQAFAAAAAgAh07iQOD+V0IAAgAA8gMAAA4AAAAAAAAAAQAgAAAAIgEAAGRycy9lMm9E&#10;b2MueG1sUEsFBgAAAAAGAAYAWQEAAJQFAAAAAA==&#10;">
              <v:fill on="f" focussize="0,0"/>
              <v:stroke on="f" weight="1.25pt" joinstyle="miter"/>
              <v:imagedata o:title=""/>
              <o:lock v:ext="edit" aspectratio="f"/>
              <v:textbox inset="0mm,0mm,0mm,0mm" style="mso-fit-shape-to-text:t;">
                <w:txbxContent>
                  <w:p w14:paraId="7BDA8191">
                    <w:pPr>
                      <w:pStyle w:val="53"/>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ED175">
    <w:pPr>
      <w:pStyle w:val="53"/>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292735" cy="234315"/>
              <wp:effectExtent l="0" t="0" r="0" b="0"/>
              <wp:wrapNone/>
              <wp:docPr id="12" name="矩形 12"/>
              <wp:cNvGraphicFramePr/>
              <a:graphic xmlns:a="http://schemas.openxmlformats.org/drawingml/2006/main">
                <a:graphicData uri="http://schemas.microsoft.com/office/word/2010/wordprocessingShape">
                  <wps:wsp>
                    <wps:cNvSpPr/>
                    <wps:spPr>
                      <a:xfrm>
                        <a:off x="0" y="0"/>
                        <a:ext cx="292735" cy="234315"/>
                      </a:xfrm>
                      <a:prstGeom prst="rect">
                        <a:avLst/>
                      </a:prstGeom>
                      <a:noFill/>
                      <a:ln w="15875" cap="flat" cmpd="sng">
                        <a:noFill/>
                        <a:prstDash val="solid"/>
                        <a:miter/>
                      </a:ln>
                    </wps:spPr>
                    <wps:txbx>
                      <w:txbxContent>
                        <w:p w14:paraId="1AD272FB">
                          <w:pPr>
                            <w:pStyle w:val="5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8.45pt;width:23.05pt;mso-position-horizontal:center;mso-position-horizontal-relative:margin;mso-wrap-style:none;z-index:251659264;mso-width-relative:page;mso-height-relative:page;" filled="f" stroked="f" coordsize="21600,21600" o:gfxdata="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j4/b0wAAAAMBAAAPAAAAAAAAAAEAIAAAACIAAABkcnMvZG93bnJldi54&#10;bWxQSwECFAAUAAAACACHTuJAYyBbD/8BAAD0AwAADgAAAAAAAAABACAAAAAiAQAAZHJzL2Uyb0Rv&#10;Yy54bWxQSwUGAAAAAAYABgBZAQAAkwUAAAAA&#10;">
              <v:fill on="f" focussize="0,0"/>
              <v:stroke on="f" weight="1.25pt" joinstyle="miter"/>
              <v:imagedata o:title=""/>
              <o:lock v:ext="edit" aspectratio="f"/>
              <v:textbox inset="0mm,0mm,0mm,0mm" style="mso-fit-shape-to-text:t;">
                <w:txbxContent>
                  <w:p w14:paraId="1AD272FB">
                    <w:pPr>
                      <w:pStyle w:val="53"/>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9B016">
    <w:pPr>
      <w:pStyle w:val="53"/>
      <w:jc w:val="center"/>
      <w:rPr>
        <w:rFonts w:eastAsia="宋体" w:cs="Times New Roman"/>
        <w:sz w:val="21"/>
        <w:szCs w:val="21"/>
        <w:lang w:val="en-US" w:eastAsia="zh-CN"/>
      </w:rPr>
    </w:pPr>
    <w:r>
      <w:rPr>
        <w:sz w:val="21"/>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292735" cy="234315"/>
              <wp:effectExtent l="0" t="0" r="0" b="0"/>
              <wp:wrapNone/>
              <wp:docPr id="89" name="矩形 89"/>
              <wp:cNvGraphicFramePr/>
              <a:graphic xmlns:a="http://schemas.openxmlformats.org/drawingml/2006/main">
                <a:graphicData uri="http://schemas.microsoft.com/office/word/2010/wordprocessingShape">
                  <wps:wsp>
                    <wps:cNvSpPr/>
                    <wps:spPr>
                      <a:xfrm>
                        <a:off x="0" y="0"/>
                        <a:ext cx="292735" cy="234315"/>
                      </a:xfrm>
                      <a:prstGeom prst="rect">
                        <a:avLst/>
                      </a:prstGeom>
                      <a:noFill/>
                      <a:ln w="15875" cap="flat" cmpd="sng">
                        <a:noFill/>
                        <a:prstDash val="solid"/>
                        <a:miter/>
                      </a:ln>
                    </wps:spPr>
                    <wps:txbx>
                      <w:txbxContent>
                        <w:p w14:paraId="69176E8A">
                          <w:pPr>
                            <w:pStyle w:val="5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8.45pt;width:23.05pt;mso-position-horizontal:center;mso-position-horizontal-relative:margin;mso-wrap-style:none;z-index:251659264;mso-width-relative:page;mso-height-relative:page;" filled="f" stroked="f" coordsize="21600,21600" o:gfxdata="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aPj9vTAAAAAwEAAA8AAAAAAAAAAQAgAAAAIgAAAGRycy9kb3ducmV2&#10;LnhtbFBLAQIUABQAAAAIAIdO4kDf66I8AQIAAPQDAAAOAAAAAAAAAAEAIAAAACIBAABkcnMvZTJv&#10;RG9jLnhtbFBLBQYAAAAABgAGAFkBAACVBQAAAAA=&#10;">
              <v:fill on="f" focussize="0,0"/>
              <v:stroke on="f" weight="1.25pt" joinstyle="miter"/>
              <v:imagedata o:title=""/>
              <o:lock v:ext="edit" aspectratio="f"/>
              <v:textbox inset="0mm,0mm,0mm,0mm" style="mso-fit-shape-to-text:t;">
                <w:txbxContent>
                  <w:p w14:paraId="69176E8A">
                    <w:pPr>
                      <w:pStyle w:val="53"/>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A411E">
    <w:pPr>
      <w:pStyle w:val="53"/>
      <w:jc w:val="center"/>
      <w:rPr>
        <w:rFonts w:eastAsia="宋体"/>
        <w:lang w:val="en-US" w:eastAsia="zh-CN"/>
      </w:rP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356870" cy="234315"/>
              <wp:effectExtent l="0" t="0" r="0" b="0"/>
              <wp:wrapNone/>
              <wp:docPr id="92" name="矩形 92"/>
              <wp:cNvGraphicFramePr/>
              <a:graphic xmlns:a="http://schemas.openxmlformats.org/drawingml/2006/main">
                <a:graphicData uri="http://schemas.microsoft.com/office/word/2010/wordprocessingShape">
                  <wps:wsp>
                    <wps:cNvSpPr/>
                    <wps:spPr>
                      <a:xfrm>
                        <a:off x="0" y="0"/>
                        <a:ext cx="356870" cy="234315"/>
                      </a:xfrm>
                      <a:prstGeom prst="rect">
                        <a:avLst/>
                      </a:prstGeom>
                      <a:noFill/>
                      <a:ln w="15875" cap="flat" cmpd="sng">
                        <a:noFill/>
                        <a:prstDash val="solid"/>
                        <a:miter/>
                      </a:ln>
                    </wps:spPr>
                    <wps:txbx>
                      <w:txbxContent>
                        <w:p w14:paraId="7E8E1803">
                          <w:pPr>
                            <w:pStyle w:val="53"/>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1">
                      <a:spAutoFit/>
                    </wps:bodyPr>
                  </wps:wsp>
                </a:graphicData>
              </a:graphic>
            </wp:anchor>
          </w:drawing>
        </mc:Choice>
        <mc:Fallback>
          <w:pict>
            <v:rect id="_x0000_s1026" o:spid="_x0000_s1026" o:spt="1" style="position:absolute;left:0pt;margin-top:0pt;height:18.45pt;width:28.1pt;mso-position-horizontal:center;mso-position-horizontal-relative:margin;mso-wrap-style:none;z-index:251659264;mso-width-relative:page;mso-height-relative:page;" filled="f" stroked="f" coordsize="21600,21600" o:gfxdata="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XscC9MAAAADAQAADwAAAAAAAAABACAAAAAiAAAAZHJzL2Rvd25yZXYu&#10;eG1sUEsBAhQAFAAAAAgAh07iQL0+KSQAAgAA9AMAAA4AAAAAAAAAAQAgAAAAIgEAAGRycy9lMm9E&#10;b2MueG1sUEsFBgAAAAAGAAYAWQEAAJQFAAAAAA==&#10;">
              <v:fill on="f" focussize="0,0"/>
              <v:stroke on="f" weight="1.25pt" joinstyle="miter"/>
              <v:imagedata o:title=""/>
              <o:lock v:ext="edit" aspectratio="f"/>
              <v:textbox inset="0mm,0mm,0mm,0mm" style="mso-fit-shape-to-text:t;">
                <w:txbxContent>
                  <w:p w14:paraId="7E8E1803">
                    <w:pPr>
                      <w:pStyle w:val="53"/>
                    </w:pPr>
                    <w:r>
                      <w:fldChar w:fldCharType="begin"/>
                    </w:r>
                    <w:r>
                      <w:instrText xml:space="preserve"> PAGE  \* MERGEFORMAT </w:instrText>
                    </w:r>
                    <w:r>
                      <w:fldChar w:fldCharType="separate"/>
                    </w:r>
                    <w:r>
                      <w:t>81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3"/>
      </w:pPr>
      <w:r>
        <w:separator/>
      </w:r>
    </w:p>
  </w:footnote>
  <w:footnote w:type="continuationSeparator" w:id="1">
    <w:p>
      <w:pPr>
        <w:spacing w:line="360" w:lineRule="auto"/>
        <w:ind w:firstLine="64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0" w:type="auto"/>
      <w:tblInd w:w="0"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5109"/>
      <w:gridCol w:w="3235"/>
    </w:tblGrid>
    <w:tr w14:paraId="1EAB68DC">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Borders>
            <w:tl2br w:val="nil"/>
            <w:tr2bl w:val="nil"/>
          </w:tcBorders>
        </w:tcPr>
        <w:p w14:paraId="0389E1D1">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0" b="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109" w:type="dxa"/>
          <w:tcBorders>
            <w:tl2br w:val="nil"/>
            <w:tr2bl w:val="nil"/>
          </w:tcBorders>
          <w:vAlign w:val="bottom"/>
        </w:tcPr>
        <w:p w14:paraId="68BB46BD">
          <w:pPr>
            <w:tabs>
              <w:tab w:val="center" w:pos="4153"/>
              <w:tab w:val="right" w:pos="8306"/>
            </w:tabs>
            <w:adjustRightInd w:val="0"/>
            <w:snapToGrid w:val="0"/>
            <w:spacing w:line="240" w:lineRule="auto"/>
            <w:ind w:firstLine="0" w:firstLineChars="0"/>
            <w:jc w:val="both"/>
            <w:rPr>
              <w:rFonts w:hint="eastAsia" w:ascii="黑体" w:eastAsia="黑体" w:cs="黑体"/>
              <w:b w:val="0"/>
              <w:color w:val="auto"/>
              <w:kern w:val="2"/>
              <w:sz w:val="18"/>
              <w:szCs w:val="20"/>
              <w:lang w:val="en-US"/>
            </w:rPr>
          </w:pPr>
          <w:r>
            <w:rPr>
              <w:rFonts w:hint="eastAsia" w:ascii="隶书" w:eastAsia="隶书"/>
              <w:color w:val="auto"/>
              <w:kern w:val="2"/>
              <w:sz w:val="24"/>
              <w:szCs w:val="24"/>
              <w:lang w:val="en-US" w:eastAsia="zh-CN"/>
            </w:rPr>
            <w:t>新疆驰珑信诚招标代理有限公司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35" w:type="dxa"/>
          <w:tcBorders>
            <w:tl2br w:val="nil"/>
            <w:tr2bl w:val="nil"/>
          </w:tcBorders>
          <w:vAlign w:val="center"/>
        </w:tcPr>
        <w:p w14:paraId="5A9DFC14">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0E0AC5F5">
    <w:pPr>
      <w:pStyle w:val="55"/>
      <w:pBdr>
        <w:bottom w:val="none" w:color="auto" w:sz="0" w:space="0"/>
      </w:pBd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0" w:type="auto"/>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5109"/>
      <w:gridCol w:w="3235"/>
    </w:tblGrid>
    <w:tr w14:paraId="0364E5A3">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Borders>
            <w:tl2br w:val="nil"/>
            <w:tr2bl w:val="nil"/>
          </w:tcBorders>
        </w:tcPr>
        <w:p w14:paraId="4B0CAB91">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0" b="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109" w:type="dxa"/>
          <w:tcBorders>
            <w:tl2br w:val="nil"/>
            <w:tr2bl w:val="nil"/>
          </w:tcBorders>
          <w:vAlign w:val="bottom"/>
        </w:tcPr>
        <w:p w14:paraId="12266B08">
          <w:pPr>
            <w:tabs>
              <w:tab w:val="center" w:pos="4153"/>
              <w:tab w:val="right" w:pos="8306"/>
            </w:tabs>
            <w:adjustRightInd w:val="0"/>
            <w:snapToGrid w:val="0"/>
            <w:spacing w:line="240" w:lineRule="auto"/>
            <w:ind w:firstLine="0" w:firstLineChars="0"/>
            <w:jc w:val="both"/>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35" w:type="dxa"/>
          <w:tcBorders>
            <w:tl2br w:val="nil"/>
            <w:tr2bl w:val="nil"/>
          </w:tcBorders>
          <w:vAlign w:val="center"/>
        </w:tcPr>
        <w:p w14:paraId="2D740601">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28DF0884">
    <w:pPr>
      <w:pStyle w:val="55"/>
      <w:pBdr>
        <w:bottom w:val="none" w:color="auto" w:sz="0" w:space="0"/>
      </w:pBd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0" w:type="auto"/>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5109"/>
      <w:gridCol w:w="3235"/>
    </w:tblGrid>
    <w:tr w14:paraId="15EF8084">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Borders>
            <w:tl2br w:val="nil"/>
            <w:tr2bl w:val="nil"/>
          </w:tcBorders>
        </w:tcPr>
        <w:p w14:paraId="76DE5C9F">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10160" b="635"/>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109" w:type="dxa"/>
          <w:tcBorders>
            <w:tl2br w:val="nil"/>
            <w:tr2bl w:val="nil"/>
          </w:tcBorders>
        </w:tcPr>
        <w:p w14:paraId="503E5DB8">
          <w:pPr>
            <w:tabs>
              <w:tab w:val="center" w:pos="4153"/>
              <w:tab w:val="right" w:pos="8306"/>
            </w:tabs>
            <w:adjustRightInd w:val="0"/>
            <w:snapToGrid w:val="0"/>
            <w:spacing w:line="240" w:lineRule="auto"/>
            <w:ind w:firstLine="0" w:firstLineChars="0"/>
            <w:jc w:val="left"/>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35" w:type="dxa"/>
          <w:tcBorders>
            <w:tl2br w:val="nil"/>
            <w:tr2bl w:val="nil"/>
          </w:tcBorders>
          <w:vAlign w:val="center"/>
        </w:tcPr>
        <w:p w14:paraId="5B483527">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58674A18">
    <w:pPr>
      <w:pStyle w:val="55"/>
      <w:pBdr>
        <w:bottom w:val="none" w:color="auto" w:sz="0" w:space="0"/>
      </w:pBd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0" w:type="auto"/>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5109"/>
      <w:gridCol w:w="3235"/>
    </w:tblGrid>
    <w:tr w14:paraId="6292CC65">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Borders>
            <w:tl2br w:val="nil"/>
            <w:tr2bl w:val="nil"/>
          </w:tcBorders>
        </w:tcPr>
        <w:p w14:paraId="1BD1C001">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0" b="0"/>
                <wp:docPr id="18" name="图片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109" w:type="dxa"/>
          <w:tcBorders>
            <w:tl2br w:val="nil"/>
            <w:tr2bl w:val="nil"/>
          </w:tcBorders>
        </w:tcPr>
        <w:p w14:paraId="74B42C53">
          <w:pPr>
            <w:tabs>
              <w:tab w:val="center" w:pos="4153"/>
              <w:tab w:val="right" w:pos="8306"/>
            </w:tabs>
            <w:adjustRightInd w:val="0"/>
            <w:snapToGrid w:val="0"/>
            <w:spacing w:line="240" w:lineRule="auto"/>
            <w:ind w:firstLine="0" w:firstLineChars="0"/>
            <w:jc w:val="left"/>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35" w:type="dxa"/>
          <w:tcBorders>
            <w:tl2br w:val="nil"/>
            <w:tr2bl w:val="nil"/>
          </w:tcBorders>
          <w:vAlign w:val="center"/>
        </w:tcPr>
        <w:p w14:paraId="4E5C4805">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64140071">
    <w:pPr>
      <w:pStyle w:val="55"/>
      <w:pBdr>
        <w:bottom w:val="none" w:color="auto" w:sz="0" w:space="0"/>
      </w:pBd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8998" w:type="dxa"/>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9"/>
      <w:gridCol w:w="5082"/>
      <w:gridCol w:w="3217"/>
    </w:tblGrid>
    <w:tr w14:paraId="6BB4447F">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99" w:type="dxa"/>
          <w:tcBorders>
            <w:tl2br w:val="nil"/>
            <w:tr2bl w:val="nil"/>
          </w:tcBorders>
        </w:tcPr>
        <w:p w14:paraId="7278BA39">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0" b="0"/>
                <wp:docPr id="83" name="图片 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082" w:type="dxa"/>
          <w:tcBorders>
            <w:tl2br w:val="nil"/>
            <w:tr2bl w:val="nil"/>
          </w:tcBorders>
          <w:vAlign w:val="bottom"/>
        </w:tcPr>
        <w:p w14:paraId="60E638C3">
          <w:pPr>
            <w:tabs>
              <w:tab w:val="center" w:pos="4153"/>
              <w:tab w:val="right" w:pos="8306"/>
            </w:tabs>
            <w:adjustRightInd w:val="0"/>
            <w:snapToGrid w:val="0"/>
            <w:spacing w:line="240" w:lineRule="auto"/>
            <w:ind w:firstLine="0" w:firstLineChars="0"/>
            <w:jc w:val="both"/>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17" w:type="dxa"/>
          <w:tcBorders>
            <w:tl2br w:val="nil"/>
            <w:tr2bl w:val="nil"/>
          </w:tcBorders>
          <w:vAlign w:val="center"/>
        </w:tcPr>
        <w:p w14:paraId="64F9B8DB">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3F65A223">
    <w:pPr>
      <w:pStyle w:val="55"/>
      <w:pBdr>
        <w:bottom w:val="none" w:color="auto" w:sz="0" w:space="0"/>
      </w:pBd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9038" w:type="dxa"/>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5105"/>
      <w:gridCol w:w="3232"/>
    </w:tblGrid>
    <w:tr w14:paraId="2902F1BF">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701" w:type="dxa"/>
          <w:tcBorders>
            <w:tl2br w:val="nil"/>
            <w:tr2bl w:val="nil"/>
          </w:tcBorders>
        </w:tcPr>
        <w:p w14:paraId="07D1D6EE">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10160" b="825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105" w:type="dxa"/>
          <w:tcBorders>
            <w:tl2br w:val="nil"/>
            <w:tr2bl w:val="nil"/>
          </w:tcBorders>
          <w:vAlign w:val="bottom"/>
        </w:tcPr>
        <w:p w14:paraId="75E29096">
          <w:pPr>
            <w:tabs>
              <w:tab w:val="center" w:pos="4153"/>
              <w:tab w:val="right" w:pos="8306"/>
            </w:tabs>
            <w:adjustRightInd w:val="0"/>
            <w:snapToGrid w:val="0"/>
            <w:spacing w:line="240" w:lineRule="auto"/>
            <w:ind w:firstLine="0" w:firstLineChars="0"/>
            <w:jc w:val="both"/>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32" w:type="dxa"/>
          <w:tcBorders>
            <w:tl2br w:val="nil"/>
            <w:tr2bl w:val="nil"/>
          </w:tcBorders>
          <w:vAlign w:val="center"/>
        </w:tcPr>
        <w:p w14:paraId="61F93E63">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22842025">
    <w:pPr>
      <w:pStyle w:val="55"/>
      <w:pBdr>
        <w:bottom w:val="none" w:color="auto" w:sz="0" w:space="0"/>
      </w:pBd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0" w:type="auto"/>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8"/>
      <w:gridCol w:w="4923"/>
      <w:gridCol w:w="3117"/>
    </w:tblGrid>
    <w:tr w14:paraId="4EC72812">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678" w:type="dxa"/>
          <w:tcBorders>
            <w:tl2br w:val="nil"/>
            <w:tr2bl w:val="nil"/>
          </w:tcBorders>
        </w:tcPr>
        <w:p w14:paraId="58631D57">
          <w:pP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0" b="0"/>
                <wp:docPr id="85" name="图片 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4923" w:type="dxa"/>
          <w:tcBorders>
            <w:tl2br w:val="nil"/>
            <w:tr2bl w:val="nil"/>
          </w:tcBorders>
          <w:vAlign w:val="bottom"/>
        </w:tcPr>
        <w:p w14:paraId="2FC28C1E">
          <w:pPr>
            <w:tabs>
              <w:tab w:val="center" w:pos="4153"/>
              <w:tab w:val="right" w:pos="8306"/>
            </w:tabs>
            <w:adjustRightInd w:val="0"/>
            <w:snapToGrid w:val="0"/>
            <w:spacing w:line="240" w:lineRule="auto"/>
            <w:ind w:firstLine="0" w:firstLineChars="0"/>
            <w:jc w:val="both"/>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117" w:type="dxa"/>
          <w:tcBorders>
            <w:tl2br w:val="nil"/>
            <w:tr2bl w:val="nil"/>
          </w:tcBorders>
          <w:vAlign w:val="center"/>
        </w:tcPr>
        <w:p w14:paraId="59F6B782">
          <w:pP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1BA188A3">
    <w:pPr>
      <w:pStyle w:val="55"/>
      <w:pBdr>
        <w:bottom w:val="none" w:color="auto" w:sz="0" w:space="0"/>
      </w:pBdr>
      <w:ind w:firstLine="0" w:firstLineChars="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0"/>
      <w:tblW w:w="0" w:type="auto"/>
      <w:tblInd w:w="115" w:type="dxa"/>
      <w:tblBorders>
        <w:top w:val="none" w:color="auto" w:sz="0" w:space="0"/>
        <w:left w:val="none" w:color="auto" w:sz="0"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5109"/>
      <w:gridCol w:w="3235"/>
    </w:tblGrid>
    <w:tr w14:paraId="2AEEA86D">
      <w:tblPrEx>
        <w:tblBorders>
          <w:top w:val="none" w:color="auto" w:sz="0" w:space="0"/>
          <w:left w:val="none" w:color="auto" w:sz="0"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Borders>
            <w:tl2br w:val="nil"/>
            <w:tr2bl w:val="nil"/>
          </w:tcBorders>
        </w:tcPr>
        <w:p w14:paraId="16B0BD32">
          <w:pPr>
            <w:pBdr>
              <w:bottom w:val="none" w:color="auto" w:sz="0" w:space="0"/>
            </w:pBdr>
            <w:tabs>
              <w:tab w:val="center" w:pos="4153"/>
              <w:tab w:val="right" w:pos="8306"/>
            </w:tabs>
            <w:spacing w:line="240" w:lineRule="auto"/>
            <w:ind w:firstLine="0" w:firstLineChars="0"/>
            <w:jc w:val="left"/>
            <w:rPr>
              <w:rFonts w:hint="eastAsia" w:ascii="Times New Roman" w:hAnsi="Times New Roman"/>
              <w:b w:val="0"/>
              <w:color w:val="auto"/>
              <w:kern w:val="2"/>
              <w:sz w:val="18"/>
              <w:szCs w:val="20"/>
              <w:lang w:val="en-US"/>
            </w:rPr>
          </w:pPr>
          <w:r>
            <w:rPr>
              <w:rFonts w:hint="eastAsia" w:ascii="宋体" w:eastAsia="宋体" w:cs="宋体"/>
              <w:sz w:val="48"/>
              <w:szCs w:val="48"/>
              <w:lang w:val="en-US" w:eastAsia="zh-CN"/>
            </w:rPr>
            <w:drawing>
              <wp:inline distT="0" distB="0" distL="84455" distR="84455">
                <wp:extent cx="370840" cy="258445"/>
                <wp:effectExtent l="0" t="0" r="0" b="0"/>
                <wp:docPr id="87" name="图片 8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logo"/>
                        <pic:cNvPicPr>
                          <a:picLocks noChangeAspect="1"/>
                        </pic:cNvPicPr>
                      </pic:nvPicPr>
                      <pic:blipFill>
                        <a:blip r:embed="rId1"/>
                        <a:srcRect l="12262" t="12770" r="8282" b="17443"/>
                        <a:stretch>
                          <a:fillRect/>
                        </a:stretch>
                      </pic:blipFill>
                      <pic:spPr>
                        <a:xfrm>
                          <a:off x="0" y="0"/>
                          <a:ext cx="370840" cy="258445"/>
                        </a:xfrm>
                        <a:prstGeom prst="rect">
                          <a:avLst/>
                        </a:prstGeom>
                        <a:noFill/>
                        <a:ln w="12700" cap="flat" cmpd="sng">
                          <a:noFill/>
                          <a:prstDash val="solid"/>
                          <a:miter/>
                        </a:ln>
                      </pic:spPr>
                    </pic:pic>
                  </a:graphicData>
                </a:graphic>
              </wp:inline>
            </w:drawing>
          </w:r>
        </w:p>
      </w:tc>
      <w:tc>
        <w:tcPr>
          <w:tcW w:w="5109" w:type="dxa"/>
          <w:tcBorders>
            <w:tl2br w:val="nil"/>
            <w:tr2bl w:val="nil"/>
          </w:tcBorders>
        </w:tcPr>
        <w:p w14:paraId="42DAD2B5">
          <w:pPr>
            <w:pBdr>
              <w:bottom w:val="none" w:color="auto" w:sz="0" w:space="0"/>
            </w:pBdr>
            <w:tabs>
              <w:tab w:val="center" w:pos="4153"/>
              <w:tab w:val="right" w:pos="8306"/>
            </w:tabs>
            <w:adjustRightInd w:val="0"/>
            <w:snapToGrid w:val="0"/>
            <w:spacing w:line="240" w:lineRule="auto"/>
            <w:ind w:firstLine="0" w:firstLineChars="0"/>
            <w:jc w:val="left"/>
            <w:rPr>
              <w:rFonts w:hint="eastAsia" w:ascii="黑体" w:eastAsia="黑体" w:cs="黑体"/>
              <w:b w:val="0"/>
              <w:color w:val="auto"/>
              <w:kern w:val="2"/>
              <w:sz w:val="18"/>
              <w:szCs w:val="20"/>
              <w:lang w:val="en-US"/>
            </w:rPr>
          </w:pPr>
          <w:r>
            <w:rPr>
              <w:rFonts w:hint="eastAsia" w:ascii="隶书" w:eastAsia="隶书" w:cs="Times New Roman"/>
              <w:b/>
              <w:color w:val="auto"/>
              <w:kern w:val="2"/>
              <w:sz w:val="24"/>
              <w:szCs w:val="24"/>
              <w:lang w:val="en-US" w:eastAsia="zh-CN"/>
            </w:rPr>
            <w:t>新疆驰珑信诚</w:t>
          </w:r>
          <w:r>
            <w:rPr>
              <w:rFonts w:hint="eastAsia" w:ascii="隶书" w:eastAsia="隶书"/>
              <w:color w:val="auto"/>
              <w:kern w:val="2"/>
              <w:sz w:val="24"/>
              <w:szCs w:val="24"/>
              <w:lang w:val="en-US"/>
            </w:rPr>
            <w:t>招标代理有限公司</w:t>
          </w:r>
          <w:r>
            <w:rPr>
              <w:rFonts w:hint="eastAsia" w:ascii="Cambria" w:hAnsi="Cambria" w:eastAsia="黑体" w:cs="黑体"/>
              <w:color w:val="auto"/>
              <w:kern w:val="2"/>
              <w:sz w:val="18"/>
              <w:szCs w:val="18"/>
              <w:lang w:val="en-US"/>
            </w:rPr>
            <w:t xml:space="preserve">   </w:t>
          </w:r>
          <w:r>
            <w:rPr>
              <w:rFonts w:hint="eastAsia" w:ascii="Cambria" w:hAnsi="Cambria" w:eastAsia="黑体" w:cs="黑体"/>
              <w:color w:val="auto"/>
              <w:kern w:val="2"/>
              <w:sz w:val="21"/>
              <w:szCs w:val="21"/>
              <w:lang w:val="en-US"/>
            </w:rPr>
            <w:t xml:space="preserve">                    </w:t>
          </w:r>
        </w:p>
      </w:tc>
      <w:tc>
        <w:tcPr>
          <w:tcW w:w="3235" w:type="dxa"/>
          <w:tcBorders>
            <w:tl2br w:val="nil"/>
            <w:tr2bl w:val="nil"/>
          </w:tcBorders>
          <w:vAlign w:val="center"/>
        </w:tcPr>
        <w:p w14:paraId="5BFAB14E">
          <w:pPr>
            <w:pBdr>
              <w:bottom w:val="none" w:color="auto" w:sz="0" w:space="0"/>
            </w:pBdr>
            <w:tabs>
              <w:tab w:val="center" w:pos="4153"/>
              <w:tab w:val="right" w:pos="8306"/>
            </w:tabs>
            <w:adjustRightInd w:val="0"/>
            <w:snapToGrid w:val="0"/>
            <w:spacing w:line="240" w:lineRule="auto"/>
            <w:ind w:firstLine="0" w:firstLineChars="0"/>
            <w:jc w:val="right"/>
            <w:rPr>
              <w:rFonts w:hint="eastAsia" w:ascii="Cambria" w:hAnsi="Cambria" w:eastAsia="黑体" w:cs="黑体"/>
              <w:color w:val="auto"/>
              <w:kern w:val="2"/>
              <w:sz w:val="18"/>
              <w:szCs w:val="18"/>
              <w:lang w:val="en-US" w:eastAsia="zh-CN"/>
            </w:rPr>
          </w:pPr>
          <w:r>
            <w:rPr>
              <w:rFonts w:hint="eastAsia" w:ascii="黑体" w:eastAsia="黑体" w:cs="黑体"/>
              <w:b w:val="0"/>
              <w:bCs/>
              <w:color w:val="auto"/>
              <w:kern w:val="2"/>
              <w:sz w:val="21"/>
              <w:szCs w:val="21"/>
              <w:lang w:val="en-US" w:eastAsia="zh-CN"/>
            </w:rPr>
            <w:t>严谨</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专业</w:t>
          </w:r>
          <w:r>
            <w:rPr>
              <w:rFonts w:hint="eastAsia" w:ascii="黑体" w:eastAsia="黑体" w:cs="黑体"/>
              <w:b w:val="0"/>
              <w:bCs/>
              <w:color w:val="auto"/>
              <w:kern w:val="2"/>
              <w:sz w:val="21"/>
              <w:szCs w:val="21"/>
              <w:lang w:val="en-US"/>
            </w:rPr>
            <w:t>·</w:t>
          </w:r>
          <w:r>
            <w:rPr>
              <w:rFonts w:hint="eastAsia" w:ascii="黑体" w:eastAsia="黑体" w:cs="黑体"/>
              <w:b w:val="0"/>
              <w:bCs/>
              <w:color w:val="auto"/>
              <w:kern w:val="2"/>
              <w:sz w:val="21"/>
              <w:szCs w:val="21"/>
              <w:lang w:val="en-US" w:eastAsia="zh-CN"/>
            </w:rPr>
            <w:t>诚信</w:t>
          </w:r>
        </w:p>
      </w:tc>
    </w:tr>
  </w:tbl>
  <w:p w14:paraId="29BDAD44">
    <w:pPr>
      <w:pStyle w:val="55"/>
      <w:pBdr>
        <w:bottom w:val="none" w:color="auto" w:sz="0" w:space="0"/>
      </w:pBdr>
      <w:ind w:left="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BAE8C"/>
    <w:multiLevelType w:val="singleLevel"/>
    <w:tmpl w:val="809BAE8C"/>
    <w:lvl w:ilvl="0" w:tentative="0">
      <w:start w:val="1"/>
      <w:numFmt w:val="decimal"/>
      <w:suff w:val="nothing"/>
      <w:lvlText w:val="（%1）"/>
      <w:lvlJc w:val="left"/>
    </w:lvl>
  </w:abstractNum>
  <w:abstractNum w:abstractNumId="1">
    <w:nsid w:val="84994F45"/>
    <w:multiLevelType w:val="multilevel"/>
    <w:tmpl w:val="84994F45"/>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2">
    <w:nsid w:val="898B5A73"/>
    <w:multiLevelType w:val="singleLevel"/>
    <w:tmpl w:val="898B5A73"/>
    <w:lvl w:ilvl="0" w:tentative="0">
      <w:start w:val="1"/>
      <w:numFmt w:val="lowerLetter"/>
      <w:suff w:val="nothing"/>
      <w:lvlText w:val="（%1）"/>
      <w:lvlJc w:val="left"/>
    </w:lvl>
  </w:abstractNum>
  <w:abstractNum w:abstractNumId="3">
    <w:nsid w:val="9017BA21"/>
    <w:multiLevelType w:val="multilevel"/>
    <w:tmpl w:val="9017BA21"/>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4">
    <w:nsid w:val="930EE254"/>
    <w:multiLevelType w:val="multilevel"/>
    <w:tmpl w:val="930EE254"/>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5">
    <w:nsid w:val="941D12A9"/>
    <w:multiLevelType w:val="multilevel"/>
    <w:tmpl w:val="941D12A9"/>
    <w:lvl w:ilvl="0" w:tentative="0">
      <w:start w:val="1"/>
      <w:numFmt w:val="chineseCountingThousand"/>
      <w:lvlText w:val="第%1章"/>
      <w:lvlJc w:val="left"/>
      <w:pPr>
        <w:tabs>
          <w:tab w:val="left" w:pos="0"/>
        </w:tabs>
        <w:ind w:left="397" w:hanging="397"/>
      </w:pPr>
      <w:rPr>
        <w:rFonts w:hint="eastAsia" w:cs="Times New Roman"/>
        <w:sz w:val="28"/>
        <w:szCs w:val="28"/>
      </w:rPr>
    </w:lvl>
    <w:lvl w:ilvl="1" w:tentative="0">
      <w:start w:val="1"/>
      <w:numFmt w:val="decimal"/>
      <w:pStyle w:val="478"/>
      <w:isLgl/>
      <w:lvlText w:val="%1.%2"/>
      <w:lvlJc w:val="left"/>
      <w:pPr>
        <w:tabs>
          <w:tab w:val="left" w:pos="0"/>
        </w:tabs>
        <w:ind w:left="397" w:hanging="397"/>
      </w:pPr>
    </w:lvl>
    <w:lvl w:ilvl="2" w:tentative="0">
      <w:start w:val="1"/>
      <w:numFmt w:val="chineseCountingThousand"/>
      <w:lvlText w:val="%3、"/>
      <w:lvlJc w:val="left"/>
      <w:pPr>
        <w:tabs>
          <w:tab w:val="left" w:pos="0"/>
        </w:tabs>
        <w:ind w:left="397" w:hanging="397"/>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447"/>
      <w:isLgl/>
      <w:lvlText w:val="%1.%2.%3.%4"/>
      <w:lvlJc w:val="left"/>
      <w:pPr>
        <w:tabs>
          <w:tab w:val="left" w:pos="0"/>
        </w:tabs>
        <w:ind w:left="397" w:hanging="397"/>
      </w:pPr>
      <w:rPr>
        <w:rFonts w:hint="eastAsia" w:cs="Times New Roman"/>
      </w:rPr>
    </w:lvl>
    <w:lvl w:ilvl="4" w:tentative="0">
      <w:start w:val="1"/>
      <w:numFmt w:val="decimal"/>
      <w:lvlText w:val="%1.%2.%3.%4.%5"/>
      <w:lvlJc w:val="left"/>
      <w:pPr>
        <w:tabs>
          <w:tab w:val="left" w:pos="0"/>
        </w:tabs>
        <w:ind w:left="2551" w:hanging="850"/>
      </w:pPr>
      <w:rPr>
        <w:rFonts w:hint="eastAsia" w:cs="Times New Roman"/>
      </w:rPr>
    </w:lvl>
    <w:lvl w:ilvl="5" w:tentative="0">
      <w:start w:val="1"/>
      <w:numFmt w:val="decimal"/>
      <w:lvlText w:val="%1.%2.%3.%4.%5.%6"/>
      <w:lvlJc w:val="left"/>
      <w:pPr>
        <w:tabs>
          <w:tab w:val="left" w:pos="0"/>
        </w:tabs>
        <w:ind w:left="3260" w:hanging="1134"/>
      </w:pPr>
      <w:rPr>
        <w:rFonts w:hint="eastAsia" w:cs="Times New Roman"/>
      </w:rPr>
    </w:lvl>
    <w:lvl w:ilvl="6" w:tentative="0">
      <w:start w:val="1"/>
      <w:numFmt w:val="decimal"/>
      <w:lvlText w:val="%1.%2.%3.%4.%5.%6.%7"/>
      <w:lvlJc w:val="left"/>
      <w:pPr>
        <w:tabs>
          <w:tab w:val="left" w:pos="0"/>
        </w:tabs>
        <w:ind w:left="3827" w:hanging="1276"/>
      </w:pPr>
      <w:rPr>
        <w:rFonts w:hint="eastAsia" w:cs="Times New Roman"/>
      </w:rPr>
    </w:lvl>
    <w:lvl w:ilvl="7" w:tentative="0">
      <w:start w:val="1"/>
      <w:numFmt w:val="decimal"/>
      <w:lvlText w:val="%1.%2.%3.%4.%5.%6.%7.%8"/>
      <w:lvlJc w:val="left"/>
      <w:pPr>
        <w:tabs>
          <w:tab w:val="left" w:pos="0"/>
        </w:tabs>
        <w:ind w:left="4394" w:hanging="1418"/>
      </w:pPr>
      <w:rPr>
        <w:rFonts w:hint="eastAsia" w:cs="Times New Roman"/>
      </w:rPr>
    </w:lvl>
    <w:lvl w:ilvl="8" w:tentative="0">
      <w:start w:val="1"/>
      <w:numFmt w:val="decimal"/>
      <w:lvlText w:val="%1.%2.%3.%4.%5.%6.%7.%8.%9"/>
      <w:lvlJc w:val="left"/>
      <w:pPr>
        <w:tabs>
          <w:tab w:val="left" w:pos="0"/>
        </w:tabs>
        <w:ind w:left="5102" w:hanging="1700"/>
      </w:pPr>
      <w:rPr>
        <w:rFonts w:hint="eastAsia" w:cs="Times New Roman"/>
      </w:rPr>
    </w:lvl>
  </w:abstractNum>
  <w:abstractNum w:abstractNumId="6">
    <w:nsid w:val="952530A5"/>
    <w:multiLevelType w:val="multilevel"/>
    <w:tmpl w:val="952530A5"/>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7">
    <w:nsid w:val="96E5236C"/>
    <w:multiLevelType w:val="multilevel"/>
    <w:tmpl w:val="96E5236C"/>
    <w:lvl w:ilvl="0" w:tentative="0">
      <w:start w:val="1"/>
      <w:numFmt w:val="decimal"/>
      <w:lvlText w:val="%1."/>
      <w:lvlJc w:val="left"/>
      <w:pPr>
        <w:tabs>
          <w:tab w:val="left" w:pos="0"/>
        </w:tabs>
        <w:ind w:left="900" w:hanging="420"/>
      </w:pPr>
    </w:lvl>
    <w:lvl w:ilvl="1" w:tentative="0">
      <w:start w:val="1"/>
      <w:numFmt w:val="decimal"/>
      <w:lvlText w:val="%2．"/>
      <w:lvlJc w:val="left"/>
      <w:pPr>
        <w:tabs>
          <w:tab w:val="left" w:pos="0"/>
        </w:tabs>
        <w:ind w:left="1320" w:hanging="420"/>
      </w:pPr>
      <w:rPr>
        <w:rFonts w:hint="eastAsia"/>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8">
    <w:nsid w:val="9C919DE1"/>
    <w:multiLevelType w:val="multilevel"/>
    <w:tmpl w:val="9C919DE1"/>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9">
    <w:nsid w:val="9CD0C84A"/>
    <w:multiLevelType w:val="multilevel"/>
    <w:tmpl w:val="9CD0C84A"/>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0">
    <w:nsid w:val="9D9F4F4D"/>
    <w:multiLevelType w:val="multilevel"/>
    <w:tmpl w:val="9D9F4F4D"/>
    <w:lvl w:ilvl="0" w:tentative="0">
      <w:start w:val="1"/>
      <w:numFmt w:val="japaneseCounting"/>
      <w:lvlText w:val="%1、"/>
      <w:lvlJc w:val="left"/>
      <w:pPr>
        <w:tabs>
          <w:tab w:val="left" w:pos="0"/>
        </w:tabs>
        <w:ind w:left="510" w:hanging="51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1">
    <w:nsid w:val="9F91FE98"/>
    <w:multiLevelType w:val="multilevel"/>
    <w:tmpl w:val="9F91FE98"/>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2">
    <w:nsid w:val="A0F25EF7"/>
    <w:multiLevelType w:val="multilevel"/>
    <w:tmpl w:val="A0F25EF7"/>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3895"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3">
    <w:nsid w:val="A5435042"/>
    <w:multiLevelType w:val="multilevel"/>
    <w:tmpl w:val="A5435042"/>
    <w:lvl w:ilvl="0" w:tentative="0">
      <w:start w:val="1"/>
      <w:numFmt w:val="chineseCountingThousand"/>
      <w:suff w:val="nothing"/>
      <w:lvlText w:val="(%1)"/>
      <w:lvlJc w:val="left"/>
      <w:pPr>
        <w:tabs>
          <w:tab w:val="left" w:pos="0"/>
        </w:tabs>
        <w:ind w:left="420" w:hanging="420"/>
      </w:pPr>
      <w:rPr>
        <w:rFonts w:hint="eastAsia"/>
        <w:sz w:val="21"/>
        <w:szCs w:val="21"/>
      </w:rPr>
    </w:lvl>
    <w:lvl w:ilvl="1" w:tentative="0">
      <w:start w:val="1"/>
      <w:numFmt w:val="lowerLetter"/>
      <w:pStyle w:val="291"/>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4">
    <w:nsid w:val="AC38AFEB"/>
    <w:multiLevelType w:val="multilevel"/>
    <w:tmpl w:val="AC38AFEB"/>
    <w:lvl w:ilvl="0" w:tentative="0">
      <w:start w:val="1"/>
      <w:numFmt w:val="decimal"/>
      <w:lvlText w:val="%1."/>
      <w:lvlJc w:val="left"/>
      <w:pPr>
        <w:tabs>
          <w:tab w:val="left" w:pos="0"/>
        </w:tabs>
        <w:ind w:left="900" w:hanging="420"/>
      </w:pPr>
    </w:lvl>
    <w:lvl w:ilvl="1" w:tentative="0">
      <w:start w:val="1"/>
      <w:numFmt w:val="decimal"/>
      <w:lvlText w:val="%2．"/>
      <w:lvlJc w:val="left"/>
      <w:pPr>
        <w:tabs>
          <w:tab w:val="left" w:pos="0"/>
        </w:tabs>
        <w:ind w:left="1320" w:hanging="420"/>
      </w:pPr>
      <w:rPr>
        <w:rFonts w:hint="eastAsia"/>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5">
    <w:nsid w:val="B0082E4F"/>
    <w:multiLevelType w:val="multilevel"/>
    <w:tmpl w:val="B0082E4F"/>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16">
    <w:nsid w:val="B1CC6FF1"/>
    <w:multiLevelType w:val="multilevel"/>
    <w:tmpl w:val="B1CC6FF1"/>
    <w:lvl w:ilvl="0" w:tentative="0">
      <w:start w:val="1"/>
      <w:numFmt w:val="decimal"/>
      <w:pStyle w:val="29"/>
      <w:suff w:val="nothing"/>
      <w:lvlText w:val="%1."/>
      <w:lvlJc w:val="left"/>
      <w:pPr>
        <w:tabs>
          <w:tab w:val="left" w:pos="0"/>
        </w:tabs>
        <w:ind w:left="988" w:hanging="420"/>
      </w:pPr>
      <w:rPr>
        <w:rFonts w:hint="eastAsia"/>
      </w:rPr>
    </w:lvl>
    <w:lvl w:ilvl="1" w:tentative="0">
      <w:start w:val="1"/>
      <w:numFmt w:val="decimal"/>
      <w:isLgl/>
      <w:lvlText w:val="%1.%2"/>
      <w:lvlJc w:val="left"/>
      <w:pPr>
        <w:tabs>
          <w:tab w:val="left" w:pos="0"/>
        </w:tabs>
        <w:ind w:left="1528" w:hanging="960"/>
      </w:pPr>
      <w:rPr>
        <w:rFonts w:hint="default"/>
      </w:rPr>
    </w:lvl>
    <w:lvl w:ilvl="2" w:tentative="0">
      <w:start w:val="1"/>
      <w:numFmt w:val="decimal"/>
      <w:isLgl/>
      <w:lvlText w:val="%1.%2.%3"/>
      <w:lvlJc w:val="left"/>
      <w:pPr>
        <w:tabs>
          <w:tab w:val="left" w:pos="0"/>
        </w:tabs>
        <w:ind w:left="1528" w:hanging="960"/>
      </w:pPr>
      <w:rPr>
        <w:rFonts w:hint="default"/>
      </w:rPr>
    </w:lvl>
    <w:lvl w:ilvl="3" w:tentative="0">
      <w:start w:val="1"/>
      <w:numFmt w:val="decimal"/>
      <w:isLgl/>
      <w:lvlText w:val="%1.%2.%3.%4"/>
      <w:lvlJc w:val="left"/>
      <w:pPr>
        <w:tabs>
          <w:tab w:val="left" w:pos="0"/>
        </w:tabs>
        <w:ind w:left="1648" w:hanging="1080"/>
      </w:pPr>
      <w:rPr>
        <w:rFonts w:hint="default"/>
      </w:rPr>
    </w:lvl>
    <w:lvl w:ilvl="4" w:tentative="0">
      <w:start w:val="1"/>
      <w:numFmt w:val="decimal"/>
      <w:isLgl/>
      <w:lvlText w:val="%1.%2.%3.%4.%5"/>
      <w:lvlJc w:val="left"/>
      <w:pPr>
        <w:tabs>
          <w:tab w:val="left" w:pos="0"/>
        </w:tabs>
        <w:ind w:left="1648" w:hanging="1080"/>
      </w:pPr>
      <w:rPr>
        <w:rFonts w:hint="default"/>
      </w:rPr>
    </w:lvl>
    <w:lvl w:ilvl="5" w:tentative="0">
      <w:start w:val="1"/>
      <w:numFmt w:val="decimal"/>
      <w:isLgl/>
      <w:lvlText w:val="%1.%2.%3.%4.%5.%6"/>
      <w:lvlJc w:val="left"/>
      <w:pPr>
        <w:tabs>
          <w:tab w:val="left" w:pos="0"/>
        </w:tabs>
        <w:ind w:left="2008" w:hanging="1440"/>
      </w:pPr>
      <w:rPr>
        <w:rFonts w:hint="default"/>
      </w:rPr>
    </w:lvl>
    <w:lvl w:ilvl="6" w:tentative="0">
      <w:start w:val="1"/>
      <w:numFmt w:val="decimal"/>
      <w:isLgl/>
      <w:lvlText w:val="%1.%2.%3.%4.%5.%6.%7"/>
      <w:lvlJc w:val="left"/>
      <w:pPr>
        <w:tabs>
          <w:tab w:val="left" w:pos="0"/>
        </w:tabs>
        <w:ind w:left="2368" w:hanging="1800"/>
      </w:pPr>
      <w:rPr>
        <w:rFonts w:hint="default"/>
      </w:rPr>
    </w:lvl>
    <w:lvl w:ilvl="7" w:tentative="0">
      <w:start w:val="1"/>
      <w:numFmt w:val="decimal"/>
      <w:isLgl/>
      <w:lvlText w:val="%1.%2.%3.%4.%5.%6.%7.%8"/>
      <w:lvlJc w:val="left"/>
      <w:pPr>
        <w:tabs>
          <w:tab w:val="left" w:pos="0"/>
        </w:tabs>
        <w:ind w:left="2368" w:hanging="1800"/>
      </w:pPr>
      <w:rPr>
        <w:rFonts w:hint="default"/>
      </w:rPr>
    </w:lvl>
    <w:lvl w:ilvl="8" w:tentative="0">
      <w:start w:val="1"/>
      <w:numFmt w:val="decimal"/>
      <w:isLgl/>
      <w:lvlText w:val="%1.%2.%3.%4.%5.%6.%7.%8.%9"/>
      <w:lvlJc w:val="left"/>
      <w:pPr>
        <w:tabs>
          <w:tab w:val="left" w:pos="0"/>
        </w:tabs>
        <w:ind w:left="2728" w:hanging="2160"/>
      </w:pPr>
      <w:rPr>
        <w:rFonts w:hint="default"/>
      </w:rPr>
    </w:lvl>
  </w:abstractNum>
  <w:abstractNum w:abstractNumId="17">
    <w:nsid w:val="B3592F2E"/>
    <w:multiLevelType w:val="singleLevel"/>
    <w:tmpl w:val="B3592F2E"/>
    <w:lvl w:ilvl="0" w:tentative="0">
      <w:start w:val="1"/>
      <w:numFmt w:val="chineseCounting"/>
      <w:suff w:val="nothing"/>
      <w:lvlText w:val="%1、"/>
      <w:lvlJc w:val="left"/>
      <w:pPr>
        <w:ind w:left="140" w:leftChars="0" w:firstLine="0" w:firstLineChars="0"/>
      </w:pPr>
      <w:rPr>
        <w:rFonts w:hint="eastAsia"/>
      </w:rPr>
    </w:lvl>
  </w:abstractNum>
  <w:abstractNum w:abstractNumId="18">
    <w:nsid w:val="B4E02BC3"/>
    <w:multiLevelType w:val="multilevel"/>
    <w:tmpl w:val="B4E02BC3"/>
    <w:lvl w:ilvl="0" w:tentative="0">
      <w:start w:val="1"/>
      <w:numFmt w:val="chineseCountingThousand"/>
      <w:pStyle w:val="14"/>
      <w:lvlText w:val="(%1)"/>
      <w:lvlJc w:val="left"/>
      <w:pPr>
        <w:tabs>
          <w:tab w:val="left" w:pos="0"/>
        </w:tabs>
        <w:ind w:left="420" w:hanging="420"/>
      </w:pPr>
    </w:lvl>
    <w:lvl w:ilvl="1" w:tentative="0">
      <w:start w:val="1"/>
      <w:numFmt w:val="decimal"/>
      <w:suff w:val="nothing"/>
      <w:lvlText w:val="(%2)"/>
      <w:lvlJc w:val="left"/>
      <w:pPr>
        <w:tabs>
          <w:tab w:val="left" w:pos="0"/>
        </w:tabs>
        <w:ind w:left="840" w:hanging="420"/>
      </w:pPr>
      <w:rPr>
        <w:rFonts w:hint="default" w:ascii="Times New Roman" w:hAnsi="Times New Roman"/>
        <w:sz w:val="28"/>
        <w:szCs w:val="28"/>
      </w:rPr>
    </w:lvl>
    <w:lvl w:ilvl="2" w:tentative="0">
      <w:start w:val="1"/>
      <w:numFmt w:val="decimal"/>
      <w:lvlText w:val="%3．"/>
      <w:lvlJc w:val="left"/>
      <w:pPr>
        <w:tabs>
          <w:tab w:val="left" w:pos="0"/>
        </w:tabs>
        <w:ind w:left="1560" w:hanging="720"/>
      </w:pPr>
      <w:rPr>
        <w:rFonts w:hint="default"/>
      </w:rPr>
    </w:lvl>
    <w:lvl w:ilvl="3" w:tentative="0">
      <w:start w:val="1"/>
      <w:numFmt w:val="japaneseCounting"/>
      <w:lvlText w:val="（%4）"/>
      <w:lvlJc w:val="left"/>
      <w:pPr>
        <w:tabs>
          <w:tab w:val="left" w:pos="0"/>
        </w:tabs>
        <w:ind w:left="1980" w:hanging="720"/>
      </w:pPr>
      <w:rPr>
        <w:rFonts w:hint="default"/>
      </w:r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9">
    <w:nsid w:val="B5601969"/>
    <w:multiLevelType w:val="multilevel"/>
    <w:tmpl w:val="B5601969"/>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846"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20">
    <w:nsid w:val="B5CF74F5"/>
    <w:multiLevelType w:val="multilevel"/>
    <w:tmpl w:val="B5CF74F5"/>
    <w:lvl w:ilvl="0" w:tentative="0">
      <w:start w:val="1"/>
      <w:numFmt w:val="decimal"/>
      <w:lvlText w:val="%1．"/>
      <w:lvlJc w:val="left"/>
      <w:pPr>
        <w:tabs>
          <w:tab w:val="left" w:pos="0"/>
        </w:tabs>
        <w:ind w:left="1808" w:hanging="420"/>
      </w:pPr>
      <w:rPr>
        <w:rFonts w:hint="eastAsia"/>
      </w:rPr>
    </w:lvl>
    <w:lvl w:ilvl="1" w:tentative="0">
      <w:start w:val="1"/>
      <w:numFmt w:val="lowerLetter"/>
      <w:lvlText w:val="%2)"/>
      <w:lvlJc w:val="left"/>
      <w:pPr>
        <w:tabs>
          <w:tab w:val="left" w:pos="0"/>
        </w:tabs>
        <w:ind w:left="2228" w:hanging="420"/>
      </w:pPr>
    </w:lvl>
    <w:lvl w:ilvl="2" w:tentative="0">
      <w:start w:val="1"/>
      <w:numFmt w:val="lowerRoman"/>
      <w:lvlText w:val="%3."/>
      <w:lvlJc w:val="right"/>
      <w:pPr>
        <w:tabs>
          <w:tab w:val="left" w:pos="0"/>
        </w:tabs>
        <w:ind w:left="2648" w:hanging="420"/>
      </w:pPr>
    </w:lvl>
    <w:lvl w:ilvl="3" w:tentative="0">
      <w:start w:val="1"/>
      <w:numFmt w:val="decimal"/>
      <w:lvlText w:val="%4."/>
      <w:lvlJc w:val="left"/>
      <w:pPr>
        <w:tabs>
          <w:tab w:val="left" w:pos="0"/>
        </w:tabs>
        <w:ind w:left="3068" w:hanging="420"/>
      </w:pPr>
    </w:lvl>
    <w:lvl w:ilvl="4" w:tentative="0">
      <w:start w:val="1"/>
      <w:numFmt w:val="lowerLetter"/>
      <w:lvlText w:val="%5)"/>
      <w:lvlJc w:val="left"/>
      <w:pPr>
        <w:tabs>
          <w:tab w:val="left" w:pos="0"/>
        </w:tabs>
        <w:ind w:left="3488" w:hanging="420"/>
      </w:pPr>
    </w:lvl>
    <w:lvl w:ilvl="5" w:tentative="0">
      <w:start w:val="1"/>
      <w:numFmt w:val="lowerRoman"/>
      <w:lvlText w:val="%6."/>
      <w:lvlJc w:val="right"/>
      <w:pPr>
        <w:tabs>
          <w:tab w:val="left" w:pos="0"/>
        </w:tabs>
        <w:ind w:left="3908" w:hanging="420"/>
      </w:pPr>
    </w:lvl>
    <w:lvl w:ilvl="6" w:tentative="0">
      <w:start w:val="1"/>
      <w:numFmt w:val="decimal"/>
      <w:lvlText w:val="%7."/>
      <w:lvlJc w:val="left"/>
      <w:pPr>
        <w:tabs>
          <w:tab w:val="left" w:pos="0"/>
        </w:tabs>
        <w:ind w:left="4328" w:hanging="420"/>
      </w:pPr>
    </w:lvl>
    <w:lvl w:ilvl="7" w:tentative="0">
      <w:start w:val="1"/>
      <w:numFmt w:val="lowerLetter"/>
      <w:lvlText w:val="%8)"/>
      <w:lvlJc w:val="left"/>
      <w:pPr>
        <w:tabs>
          <w:tab w:val="left" w:pos="0"/>
        </w:tabs>
        <w:ind w:left="4748" w:hanging="420"/>
      </w:pPr>
    </w:lvl>
    <w:lvl w:ilvl="8" w:tentative="0">
      <w:start w:val="1"/>
      <w:numFmt w:val="lowerRoman"/>
      <w:lvlText w:val="%9."/>
      <w:lvlJc w:val="right"/>
      <w:pPr>
        <w:tabs>
          <w:tab w:val="left" w:pos="0"/>
        </w:tabs>
        <w:ind w:left="5168" w:hanging="420"/>
      </w:pPr>
    </w:lvl>
  </w:abstractNum>
  <w:abstractNum w:abstractNumId="21">
    <w:nsid w:val="B99465BD"/>
    <w:multiLevelType w:val="multilevel"/>
    <w:tmpl w:val="B99465BD"/>
    <w:lvl w:ilvl="0" w:tentative="0">
      <w:start w:val="1"/>
      <w:numFmt w:val="decimal"/>
      <w:lvlText w:val="%1．"/>
      <w:lvlJc w:val="left"/>
      <w:pPr>
        <w:tabs>
          <w:tab w:val="left" w:pos="0"/>
        </w:tabs>
        <w:ind w:left="9291" w:hanging="360"/>
      </w:pPr>
      <w:rPr>
        <w:rFonts w:hint="default"/>
        <w:color w:val="000000"/>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22">
    <w:nsid w:val="BC837A95"/>
    <w:multiLevelType w:val="multilevel"/>
    <w:tmpl w:val="BC837A95"/>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988"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23">
    <w:nsid w:val="C0283A65"/>
    <w:multiLevelType w:val="multilevel"/>
    <w:tmpl w:val="C0283A65"/>
    <w:lvl w:ilvl="0" w:tentative="0">
      <w:start w:val="1"/>
      <w:numFmt w:val="bullet"/>
      <w:lvlText w:val=""/>
      <w:lvlJc w:val="left"/>
      <w:pPr>
        <w:tabs>
          <w:tab w:val="left" w:pos="0"/>
        </w:tabs>
        <w:ind w:left="840" w:hanging="420"/>
      </w:pPr>
      <w:rPr>
        <w:rFonts w:hint="default" w:ascii="Wingdings" w:hAnsi="Wingdings"/>
      </w:rPr>
    </w:lvl>
    <w:lvl w:ilvl="1" w:tentative="0">
      <w:start w:val="1"/>
      <w:numFmt w:val="decimal"/>
      <w:lvlText w:val="%2."/>
      <w:lvlJc w:val="left"/>
      <w:pPr>
        <w:tabs>
          <w:tab w:val="left" w:pos="0"/>
        </w:tabs>
        <w:ind w:left="1260" w:hanging="420"/>
      </w:pPr>
      <w:rPr>
        <w:rFonts w:hint="default"/>
      </w:rPr>
    </w:lvl>
    <w:lvl w:ilvl="2" w:tentative="0">
      <w:start w:val="1"/>
      <w:numFmt w:val="decimal"/>
      <w:pStyle w:val="202"/>
      <w:lvlText w:val="%3."/>
      <w:lvlJc w:val="left"/>
      <w:pPr>
        <w:tabs>
          <w:tab w:val="left" w:pos="0"/>
        </w:tabs>
        <w:ind w:left="900" w:hanging="360"/>
      </w:pPr>
      <w:rPr>
        <w:rFonts w:hint="eastAsia"/>
      </w:rPr>
    </w:lvl>
    <w:lvl w:ilvl="3" w:tentative="0">
      <w:start w:val="1"/>
      <w:numFmt w:val="bullet"/>
      <w:lvlText w:val=""/>
      <w:lvlJc w:val="left"/>
      <w:pPr>
        <w:tabs>
          <w:tab w:val="left" w:pos="0"/>
        </w:tabs>
        <w:ind w:left="2100" w:hanging="420"/>
      </w:pPr>
      <w:rPr>
        <w:rFonts w:hint="default" w:ascii="Wingdings" w:hAnsi="Wingdings"/>
      </w:rPr>
    </w:lvl>
    <w:lvl w:ilvl="4" w:tentative="0">
      <w:start w:val="1"/>
      <w:numFmt w:val="bullet"/>
      <w:lvlText w:val=""/>
      <w:lvlJc w:val="left"/>
      <w:pPr>
        <w:tabs>
          <w:tab w:val="left" w:pos="0"/>
        </w:tabs>
        <w:ind w:left="2520" w:hanging="420"/>
      </w:pPr>
      <w:rPr>
        <w:rFonts w:hint="default" w:ascii="Wingdings" w:hAnsi="Wingdings"/>
      </w:rPr>
    </w:lvl>
    <w:lvl w:ilvl="5" w:tentative="0">
      <w:start w:val="1"/>
      <w:numFmt w:val="bullet"/>
      <w:lvlText w:val=""/>
      <w:lvlJc w:val="left"/>
      <w:pPr>
        <w:tabs>
          <w:tab w:val="left" w:pos="0"/>
        </w:tabs>
        <w:ind w:left="2940" w:hanging="420"/>
      </w:pPr>
      <w:rPr>
        <w:rFonts w:hint="default" w:ascii="Wingdings" w:hAnsi="Wingdings"/>
      </w:rPr>
    </w:lvl>
    <w:lvl w:ilvl="6" w:tentative="0">
      <w:start w:val="1"/>
      <w:numFmt w:val="bullet"/>
      <w:lvlText w:val=""/>
      <w:lvlJc w:val="left"/>
      <w:pPr>
        <w:tabs>
          <w:tab w:val="left" w:pos="0"/>
        </w:tabs>
        <w:ind w:left="3360" w:hanging="420"/>
      </w:pPr>
      <w:rPr>
        <w:rFonts w:hint="default" w:ascii="Wingdings" w:hAnsi="Wingdings"/>
      </w:rPr>
    </w:lvl>
    <w:lvl w:ilvl="7" w:tentative="0">
      <w:start w:val="1"/>
      <w:numFmt w:val="bullet"/>
      <w:lvlText w:val=""/>
      <w:lvlJc w:val="left"/>
      <w:pPr>
        <w:tabs>
          <w:tab w:val="left" w:pos="0"/>
        </w:tabs>
        <w:ind w:left="3780" w:hanging="420"/>
      </w:pPr>
      <w:rPr>
        <w:rFonts w:hint="default" w:ascii="Wingdings" w:hAnsi="Wingdings"/>
      </w:rPr>
    </w:lvl>
    <w:lvl w:ilvl="8" w:tentative="0">
      <w:start w:val="1"/>
      <w:numFmt w:val="bullet"/>
      <w:lvlText w:val=""/>
      <w:lvlJc w:val="left"/>
      <w:pPr>
        <w:tabs>
          <w:tab w:val="left" w:pos="0"/>
        </w:tabs>
        <w:ind w:left="4200" w:hanging="420"/>
      </w:pPr>
      <w:rPr>
        <w:rFonts w:hint="default" w:ascii="Wingdings" w:hAnsi="Wingdings"/>
      </w:rPr>
    </w:lvl>
  </w:abstractNum>
  <w:abstractNum w:abstractNumId="24">
    <w:nsid w:val="C156A014"/>
    <w:multiLevelType w:val="singleLevel"/>
    <w:tmpl w:val="C156A014"/>
    <w:lvl w:ilvl="0" w:tentative="0">
      <w:start w:val="1"/>
      <w:numFmt w:val="decimal"/>
      <w:suff w:val="nothing"/>
      <w:lvlText w:val="%1、"/>
      <w:lvlJc w:val="left"/>
    </w:lvl>
  </w:abstractNum>
  <w:abstractNum w:abstractNumId="25">
    <w:nsid w:val="C560BE57"/>
    <w:multiLevelType w:val="singleLevel"/>
    <w:tmpl w:val="C560BE57"/>
    <w:lvl w:ilvl="0" w:tentative="0">
      <w:start w:val="1"/>
      <w:numFmt w:val="chineseCounting"/>
      <w:suff w:val="nothing"/>
      <w:lvlText w:val="%1、"/>
      <w:lvlJc w:val="left"/>
      <w:pPr>
        <w:tabs>
          <w:tab w:val="left" w:pos="0"/>
        </w:tabs>
        <w:ind w:left="0" w:firstLine="0"/>
      </w:pPr>
      <w:rPr>
        <w:rFonts w:hint="eastAsia"/>
      </w:rPr>
    </w:lvl>
  </w:abstractNum>
  <w:abstractNum w:abstractNumId="26">
    <w:nsid w:val="CB0CECA5"/>
    <w:multiLevelType w:val="multilevel"/>
    <w:tmpl w:val="CB0CECA5"/>
    <w:lvl w:ilvl="0" w:tentative="0">
      <w:start w:val="1"/>
      <w:numFmt w:val="decimal"/>
      <w:lvlText w:val="%1．"/>
      <w:lvlJc w:val="left"/>
      <w:pPr>
        <w:tabs>
          <w:tab w:val="left" w:pos="0"/>
        </w:tabs>
        <w:ind w:left="900" w:hanging="420"/>
      </w:pPr>
      <w:rPr>
        <w:rFonts w:hint="eastAsia"/>
      </w:rPr>
    </w:lvl>
    <w:lvl w:ilvl="1" w:tentative="0">
      <w:start w:val="1"/>
      <w:numFmt w:val="japaneseCounting"/>
      <w:lvlText w:val="（%2）"/>
      <w:lvlJc w:val="left"/>
      <w:pPr>
        <w:tabs>
          <w:tab w:val="left" w:pos="0"/>
        </w:tabs>
        <w:ind w:left="1620" w:hanging="720"/>
      </w:pPr>
      <w:rPr>
        <w:rFonts w:hint="default"/>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27">
    <w:nsid w:val="CB94649F"/>
    <w:multiLevelType w:val="singleLevel"/>
    <w:tmpl w:val="CB94649F"/>
    <w:lvl w:ilvl="0" w:tentative="0">
      <w:start w:val="6"/>
      <w:numFmt w:val="chineseCounting"/>
      <w:suff w:val="nothing"/>
      <w:lvlText w:val="%1、"/>
      <w:lvlJc w:val="left"/>
      <w:pPr>
        <w:tabs>
          <w:tab w:val="left" w:pos="0"/>
        </w:tabs>
        <w:ind w:left="0" w:firstLine="0"/>
      </w:pPr>
      <w:rPr>
        <w:rFonts w:hint="eastAsia"/>
      </w:rPr>
    </w:lvl>
  </w:abstractNum>
  <w:abstractNum w:abstractNumId="28">
    <w:nsid w:val="D5F12F34"/>
    <w:multiLevelType w:val="multilevel"/>
    <w:tmpl w:val="D5F12F34"/>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3294" w:hanging="420"/>
      </w:pPr>
      <w:rPr>
        <w:rFonts w:hint="eastAsia"/>
      </w:r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29">
    <w:nsid w:val="DC238B55"/>
    <w:multiLevelType w:val="singleLevel"/>
    <w:tmpl w:val="DC238B55"/>
    <w:lvl w:ilvl="0" w:tentative="0">
      <w:start w:val="1"/>
      <w:numFmt w:val="decimal"/>
      <w:suff w:val="nothing"/>
      <w:lvlText w:val="（%1）"/>
      <w:lvlJc w:val="left"/>
    </w:lvl>
  </w:abstractNum>
  <w:abstractNum w:abstractNumId="30">
    <w:nsid w:val="E4D85DB5"/>
    <w:multiLevelType w:val="multilevel"/>
    <w:tmpl w:val="E4D85DB5"/>
    <w:lvl w:ilvl="0" w:tentative="0">
      <w:start w:val="1"/>
      <w:numFmt w:val="decimal"/>
      <w:lvlText w:val="%1．"/>
      <w:lvlJc w:val="left"/>
      <w:pPr>
        <w:tabs>
          <w:tab w:val="left" w:pos="0"/>
        </w:tabs>
        <w:ind w:left="1808" w:hanging="420"/>
      </w:pPr>
      <w:rPr>
        <w:rFonts w:hint="eastAsia"/>
      </w:rPr>
    </w:lvl>
    <w:lvl w:ilvl="1" w:tentative="0">
      <w:start w:val="1"/>
      <w:numFmt w:val="lowerLetter"/>
      <w:lvlText w:val="%2)"/>
      <w:lvlJc w:val="left"/>
      <w:pPr>
        <w:tabs>
          <w:tab w:val="left" w:pos="0"/>
        </w:tabs>
        <w:ind w:left="2228" w:hanging="420"/>
      </w:pPr>
    </w:lvl>
    <w:lvl w:ilvl="2" w:tentative="0">
      <w:start w:val="1"/>
      <w:numFmt w:val="lowerRoman"/>
      <w:lvlText w:val="%3."/>
      <w:lvlJc w:val="right"/>
      <w:pPr>
        <w:tabs>
          <w:tab w:val="left" w:pos="0"/>
        </w:tabs>
        <w:ind w:left="2648" w:hanging="420"/>
      </w:pPr>
    </w:lvl>
    <w:lvl w:ilvl="3" w:tentative="0">
      <w:start w:val="1"/>
      <w:numFmt w:val="decimal"/>
      <w:lvlText w:val="%4."/>
      <w:lvlJc w:val="left"/>
      <w:pPr>
        <w:tabs>
          <w:tab w:val="left" w:pos="0"/>
        </w:tabs>
        <w:ind w:left="3068" w:hanging="420"/>
      </w:pPr>
    </w:lvl>
    <w:lvl w:ilvl="4" w:tentative="0">
      <w:start w:val="1"/>
      <w:numFmt w:val="lowerLetter"/>
      <w:lvlText w:val="%5)"/>
      <w:lvlJc w:val="left"/>
      <w:pPr>
        <w:tabs>
          <w:tab w:val="left" w:pos="0"/>
        </w:tabs>
        <w:ind w:left="3488" w:hanging="420"/>
      </w:pPr>
    </w:lvl>
    <w:lvl w:ilvl="5" w:tentative="0">
      <w:start w:val="1"/>
      <w:numFmt w:val="lowerRoman"/>
      <w:lvlText w:val="%6."/>
      <w:lvlJc w:val="right"/>
      <w:pPr>
        <w:tabs>
          <w:tab w:val="left" w:pos="0"/>
        </w:tabs>
        <w:ind w:left="3908" w:hanging="420"/>
      </w:pPr>
    </w:lvl>
    <w:lvl w:ilvl="6" w:tentative="0">
      <w:start w:val="1"/>
      <w:numFmt w:val="decimal"/>
      <w:lvlText w:val="%7."/>
      <w:lvlJc w:val="left"/>
      <w:pPr>
        <w:tabs>
          <w:tab w:val="left" w:pos="0"/>
        </w:tabs>
        <w:ind w:left="4328" w:hanging="420"/>
      </w:pPr>
    </w:lvl>
    <w:lvl w:ilvl="7" w:tentative="0">
      <w:start w:val="1"/>
      <w:numFmt w:val="lowerLetter"/>
      <w:lvlText w:val="%8)"/>
      <w:lvlJc w:val="left"/>
      <w:pPr>
        <w:tabs>
          <w:tab w:val="left" w:pos="0"/>
        </w:tabs>
        <w:ind w:left="4748" w:hanging="420"/>
      </w:pPr>
    </w:lvl>
    <w:lvl w:ilvl="8" w:tentative="0">
      <w:start w:val="1"/>
      <w:numFmt w:val="lowerRoman"/>
      <w:lvlText w:val="%9."/>
      <w:lvlJc w:val="right"/>
      <w:pPr>
        <w:tabs>
          <w:tab w:val="left" w:pos="0"/>
        </w:tabs>
        <w:ind w:left="5168" w:hanging="420"/>
      </w:pPr>
    </w:lvl>
  </w:abstractNum>
  <w:abstractNum w:abstractNumId="31">
    <w:nsid w:val="E6E98F67"/>
    <w:multiLevelType w:val="singleLevel"/>
    <w:tmpl w:val="E6E98F67"/>
    <w:lvl w:ilvl="0" w:tentative="0">
      <w:start w:val="1"/>
      <w:numFmt w:val="decimal"/>
      <w:suff w:val="nothing"/>
      <w:lvlText w:val="%1．"/>
      <w:lvlJc w:val="left"/>
      <w:pPr>
        <w:tabs>
          <w:tab w:val="left" w:pos="0"/>
        </w:tabs>
        <w:ind w:left="0" w:firstLine="0"/>
      </w:pPr>
    </w:lvl>
  </w:abstractNum>
  <w:abstractNum w:abstractNumId="32">
    <w:nsid w:val="E93EBC56"/>
    <w:multiLevelType w:val="multilevel"/>
    <w:tmpl w:val="E93EBC56"/>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33">
    <w:nsid w:val="EFCECDC7"/>
    <w:multiLevelType w:val="multilevel"/>
    <w:tmpl w:val="EFCECDC7"/>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34">
    <w:nsid w:val="F066642F"/>
    <w:multiLevelType w:val="multilevel"/>
    <w:tmpl w:val="F066642F"/>
    <w:lvl w:ilvl="0" w:tentative="0">
      <w:start w:val="1"/>
      <w:numFmt w:val="upperLetter"/>
      <w:pStyle w:val="496"/>
      <w:suff w:val="nothing"/>
      <w:lvlText w:val="附　录　%1"/>
      <w:lvlJc w:val="left"/>
      <w:pPr>
        <w:tabs>
          <w:tab w:val="left" w:pos="0"/>
        </w:tabs>
        <w:ind w:left="0" w:firstLine="0"/>
      </w:pPr>
      <w:rPr>
        <w:rFonts w:hint="eastAsia" w:ascii="黑体" w:hAnsi="黑体" w:eastAsia="黑体"/>
        <w:b w:val="0"/>
        <w:i w:val="0"/>
        <w:sz w:val="21"/>
      </w:rPr>
    </w:lvl>
    <w:lvl w:ilvl="1" w:tentative="0">
      <w:start w:val="1"/>
      <w:numFmt w:val="decimal"/>
      <w:pStyle w:val="262"/>
      <w:suff w:val="nothing"/>
      <w:lvlText w:val="%1.%2　"/>
      <w:lvlJc w:val="left"/>
      <w:pPr>
        <w:tabs>
          <w:tab w:val="left" w:pos="0"/>
        </w:tabs>
        <w:ind w:left="0" w:firstLine="0"/>
      </w:pPr>
      <w:rPr>
        <w:rFonts w:hint="eastAsia" w:ascii="黑体" w:hAnsi="黑体" w:eastAsia="黑体"/>
        <w:b w:val="0"/>
        <w:i w:val="0"/>
        <w:snapToGrid/>
        <w:spacing w:val="0"/>
        <w:w w:val="100"/>
        <w:kern w:val="21"/>
        <w:sz w:val="21"/>
      </w:rPr>
    </w:lvl>
    <w:lvl w:ilvl="2" w:tentative="0">
      <w:start w:val="1"/>
      <w:numFmt w:val="decimal"/>
      <w:pStyle w:val="263"/>
      <w:suff w:val="nothing"/>
      <w:lvlText w:val="%1.%2.%3　"/>
      <w:lvlJc w:val="left"/>
      <w:pPr>
        <w:tabs>
          <w:tab w:val="left" w:pos="0"/>
        </w:tabs>
        <w:ind w:left="0" w:firstLine="0"/>
      </w:pPr>
      <w:rPr>
        <w:rFonts w:hint="eastAsia" w:ascii="黑体" w:hAnsi="黑体" w:eastAsia="黑体"/>
        <w:b w:val="0"/>
        <w:i w:val="0"/>
        <w:sz w:val="21"/>
      </w:rPr>
    </w:lvl>
    <w:lvl w:ilvl="3" w:tentative="0">
      <w:start w:val="1"/>
      <w:numFmt w:val="decimal"/>
      <w:pStyle w:val="264"/>
      <w:suff w:val="nothing"/>
      <w:lvlText w:val="%1.%2.%3.%4　"/>
      <w:lvlJc w:val="left"/>
      <w:pPr>
        <w:tabs>
          <w:tab w:val="left" w:pos="0"/>
        </w:tabs>
        <w:ind w:left="0" w:firstLine="0"/>
      </w:pPr>
      <w:rPr>
        <w:rFonts w:hint="eastAsia" w:ascii="黑体" w:hAnsi="黑体" w:eastAsia="黑体"/>
        <w:b w:val="0"/>
        <w:i w:val="0"/>
        <w:sz w:val="21"/>
      </w:rPr>
    </w:lvl>
    <w:lvl w:ilvl="4" w:tentative="0">
      <w:start w:val="1"/>
      <w:numFmt w:val="decimal"/>
      <w:pStyle w:val="265"/>
      <w:suff w:val="nothing"/>
      <w:lvlText w:val="%1.%2.%3.%4.%5　"/>
      <w:lvlJc w:val="left"/>
      <w:pPr>
        <w:tabs>
          <w:tab w:val="left" w:pos="0"/>
        </w:tabs>
        <w:ind w:left="0" w:firstLine="0"/>
      </w:pPr>
      <w:rPr>
        <w:rFonts w:hint="eastAsia" w:ascii="黑体" w:hAnsi="黑体" w:eastAsia="黑体"/>
        <w:b w:val="0"/>
        <w:i w:val="0"/>
        <w:sz w:val="21"/>
      </w:rPr>
    </w:lvl>
    <w:lvl w:ilvl="5" w:tentative="0">
      <w:start w:val="1"/>
      <w:numFmt w:val="decimal"/>
      <w:pStyle w:val="266"/>
      <w:suff w:val="nothing"/>
      <w:lvlText w:val="%1.%2.%3.%4.%5.%6　"/>
      <w:lvlJc w:val="left"/>
      <w:pPr>
        <w:tabs>
          <w:tab w:val="left" w:pos="0"/>
        </w:tabs>
        <w:ind w:left="0" w:firstLine="0"/>
      </w:pPr>
      <w:rPr>
        <w:rFonts w:hint="eastAsia" w:ascii="黑体" w:hAnsi="黑体" w:eastAsia="黑体"/>
        <w:b w:val="0"/>
        <w:i w:val="0"/>
        <w:sz w:val="21"/>
      </w:rPr>
    </w:lvl>
    <w:lvl w:ilvl="6" w:tentative="0">
      <w:start w:val="1"/>
      <w:numFmt w:val="decimal"/>
      <w:pStyle w:val="413"/>
      <w:suff w:val="nothing"/>
      <w:lvlText w:val="%1.%2.%3.%4.%5.%6.%7　"/>
      <w:lvlJc w:val="left"/>
      <w:pPr>
        <w:tabs>
          <w:tab w:val="left" w:pos="0"/>
        </w:tabs>
        <w:ind w:left="0" w:firstLine="0"/>
      </w:pPr>
      <w:rPr>
        <w:rFonts w:hint="eastAsia" w:ascii="黑体" w:hAnsi="黑体" w:eastAsia="黑体"/>
        <w:b w:val="0"/>
        <w:i w:val="0"/>
        <w:sz w:val="21"/>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35">
    <w:nsid w:val="F2A81E1A"/>
    <w:multiLevelType w:val="multilevel"/>
    <w:tmpl w:val="F2A81E1A"/>
    <w:lvl w:ilvl="0" w:tentative="0">
      <w:start w:val="1"/>
      <w:numFmt w:val="decimal"/>
      <w:pStyle w:val="17"/>
      <w:lvlText w:val="%1."/>
      <w:lvlJc w:val="left"/>
      <w:pPr>
        <w:tabs>
          <w:tab w:val="left" w:pos="0"/>
        </w:tabs>
        <w:ind w:left="420" w:hanging="420"/>
      </w:pPr>
    </w:lvl>
    <w:lvl w:ilvl="1" w:tentative="0">
      <w:start w:val="1"/>
      <w:numFmt w:val="decimal"/>
      <w:suff w:val="nothing"/>
      <w:lvlText w:val="%2."/>
      <w:lvlJc w:val="left"/>
      <w:pPr>
        <w:tabs>
          <w:tab w:val="left" w:pos="0"/>
        </w:tabs>
        <w:ind w:left="704" w:hanging="420"/>
      </w:pPr>
      <w:rPr>
        <w:rFonts w:hint="eastAsia"/>
      </w:r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6">
    <w:nsid w:val="F30FC083"/>
    <w:multiLevelType w:val="multilevel"/>
    <w:tmpl w:val="F30FC083"/>
    <w:lvl w:ilvl="0" w:tentative="0">
      <w:start w:val="2"/>
      <w:numFmt w:val="decimal"/>
      <w:lvlText w:val="%1．"/>
      <w:lvlJc w:val="left"/>
      <w:pPr>
        <w:tabs>
          <w:tab w:val="left" w:pos="0"/>
        </w:tabs>
        <w:ind w:left="2122" w:hanging="420"/>
      </w:pPr>
      <w:rPr>
        <w:rFonts w:hint="eastAsia"/>
        <w:b/>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7">
    <w:nsid w:val="F411B296"/>
    <w:multiLevelType w:val="multilevel"/>
    <w:tmpl w:val="F411B296"/>
    <w:lvl w:ilvl="0" w:tentative="0">
      <w:start w:val="1"/>
      <w:numFmt w:val="decimal"/>
      <w:lvlText w:val="%1．"/>
      <w:lvlJc w:val="left"/>
      <w:pPr>
        <w:tabs>
          <w:tab w:val="left" w:pos="0"/>
        </w:tabs>
        <w:ind w:left="1320" w:hanging="420"/>
      </w:pPr>
      <w:rPr>
        <w:rFonts w:hint="eastAsia"/>
        <w:kern w:val="2"/>
      </w:rPr>
    </w:lvl>
    <w:lvl w:ilvl="1" w:tentative="0">
      <w:start w:val="1"/>
      <w:numFmt w:val="lowerLetter"/>
      <w:lvlText w:val="%2)"/>
      <w:lvlJc w:val="left"/>
      <w:pPr>
        <w:tabs>
          <w:tab w:val="left" w:pos="0"/>
        </w:tabs>
        <w:ind w:left="1740" w:hanging="420"/>
      </w:pPr>
    </w:lvl>
    <w:lvl w:ilvl="2" w:tentative="0">
      <w:start w:val="1"/>
      <w:numFmt w:val="lowerRoman"/>
      <w:lvlText w:val="%3."/>
      <w:lvlJc w:val="right"/>
      <w:pPr>
        <w:tabs>
          <w:tab w:val="left" w:pos="0"/>
        </w:tabs>
        <w:ind w:left="2160" w:hanging="420"/>
      </w:pPr>
    </w:lvl>
    <w:lvl w:ilvl="3" w:tentative="0">
      <w:start w:val="1"/>
      <w:numFmt w:val="decimal"/>
      <w:lvlText w:val="%4."/>
      <w:lvlJc w:val="left"/>
      <w:pPr>
        <w:tabs>
          <w:tab w:val="left" w:pos="0"/>
        </w:tabs>
        <w:ind w:left="2580" w:hanging="420"/>
      </w:pPr>
    </w:lvl>
    <w:lvl w:ilvl="4" w:tentative="0">
      <w:start w:val="1"/>
      <w:numFmt w:val="lowerLetter"/>
      <w:lvlText w:val="%5)"/>
      <w:lvlJc w:val="left"/>
      <w:pPr>
        <w:tabs>
          <w:tab w:val="left" w:pos="0"/>
        </w:tabs>
        <w:ind w:left="3000" w:hanging="420"/>
      </w:pPr>
    </w:lvl>
    <w:lvl w:ilvl="5" w:tentative="0">
      <w:start w:val="1"/>
      <w:numFmt w:val="lowerRoman"/>
      <w:lvlText w:val="%6."/>
      <w:lvlJc w:val="right"/>
      <w:pPr>
        <w:tabs>
          <w:tab w:val="left" w:pos="0"/>
        </w:tabs>
        <w:ind w:left="3420" w:hanging="420"/>
      </w:pPr>
    </w:lvl>
    <w:lvl w:ilvl="6" w:tentative="0">
      <w:start w:val="1"/>
      <w:numFmt w:val="decimal"/>
      <w:lvlText w:val="%7."/>
      <w:lvlJc w:val="left"/>
      <w:pPr>
        <w:tabs>
          <w:tab w:val="left" w:pos="0"/>
        </w:tabs>
        <w:ind w:left="3840" w:hanging="420"/>
      </w:pPr>
    </w:lvl>
    <w:lvl w:ilvl="7" w:tentative="0">
      <w:start w:val="1"/>
      <w:numFmt w:val="lowerLetter"/>
      <w:lvlText w:val="%8)"/>
      <w:lvlJc w:val="left"/>
      <w:pPr>
        <w:tabs>
          <w:tab w:val="left" w:pos="0"/>
        </w:tabs>
        <w:ind w:left="4260" w:hanging="420"/>
      </w:pPr>
    </w:lvl>
    <w:lvl w:ilvl="8" w:tentative="0">
      <w:start w:val="1"/>
      <w:numFmt w:val="lowerRoman"/>
      <w:lvlText w:val="%9."/>
      <w:lvlJc w:val="right"/>
      <w:pPr>
        <w:tabs>
          <w:tab w:val="left" w:pos="0"/>
        </w:tabs>
        <w:ind w:left="4680" w:hanging="420"/>
      </w:pPr>
    </w:lvl>
  </w:abstractNum>
  <w:abstractNum w:abstractNumId="38">
    <w:nsid w:val="F9718D3C"/>
    <w:multiLevelType w:val="multilevel"/>
    <w:tmpl w:val="F9718D3C"/>
    <w:lvl w:ilvl="0" w:tentative="0">
      <w:start w:val="1"/>
      <w:numFmt w:val="decimal"/>
      <w:suff w:val="nothing"/>
      <w:lvlText w:val="%1."/>
      <w:lvlJc w:val="left"/>
      <w:pPr>
        <w:tabs>
          <w:tab w:val="left" w:pos="0"/>
        </w:tabs>
        <w:ind w:left="1413" w:hanging="420"/>
      </w:pPr>
      <w:rPr>
        <w:rFonts w:hint="eastAsia"/>
      </w:rPr>
    </w:lvl>
    <w:lvl w:ilvl="1" w:tentative="0">
      <w:start w:val="1"/>
      <w:numFmt w:val="lowerLetter"/>
      <w:pStyle w:val="120"/>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39">
    <w:nsid w:val="F97CED97"/>
    <w:multiLevelType w:val="singleLevel"/>
    <w:tmpl w:val="F97CED97"/>
    <w:lvl w:ilvl="0" w:tentative="0">
      <w:start w:val="1"/>
      <w:numFmt w:val="chineseCounting"/>
      <w:suff w:val="space"/>
      <w:lvlText w:val="第%1节"/>
      <w:lvlJc w:val="left"/>
      <w:pPr>
        <w:tabs>
          <w:tab w:val="left" w:pos="0"/>
        </w:tabs>
        <w:ind w:left="0" w:firstLine="0"/>
      </w:pPr>
      <w:rPr>
        <w:rFonts w:hint="eastAsia"/>
      </w:rPr>
    </w:lvl>
  </w:abstractNum>
  <w:abstractNum w:abstractNumId="40">
    <w:nsid w:val="FCC85EE2"/>
    <w:multiLevelType w:val="multilevel"/>
    <w:tmpl w:val="FCC85EE2"/>
    <w:lvl w:ilvl="0" w:tentative="0">
      <w:start w:val="1"/>
      <w:numFmt w:val="decimal"/>
      <w:lvlText w:val="%1．"/>
      <w:lvlJc w:val="left"/>
      <w:pPr>
        <w:tabs>
          <w:tab w:val="left" w:pos="0"/>
        </w:tabs>
        <w:ind w:left="1320" w:hanging="420"/>
      </w:pPr>
      <w:rPr>
        <w:rFonts w:hint="eastAsia"/>
      </w:rPr>
    </w:lvl>
    <w:lvl w:ilvl="1" w:tentative="0">
      <w:start w:val="1"/>
      <w:numFmt w:val="lowerLetter"/>
      <w:lvlText w:val="%2)"/>
      <w:lvlJc w:val="left"/>
      <w:pPr>
        <w:tabs>
          <w:tab w:val="left" w:pos="0"/>
        </w:tabs>
        <w:ind w:left="1740" w:hanging="420"/>
      </w:pPr>
    </w:lvl>
    <w:lvl w:ilvl="2" w:tentative="0">
      <w:start w:val="1"/>
      <w:numFmt w:val="lowerRoman"/>
      <w:lvlText w:val="%3."/>
      <w:lvlJc w:val="right"/>
      <w:pPr>
        <w:tabs>
          <w:tab w:val="left" w:pos="0"/>
        </w:tabs>
        <w:ind w:left="2160" w:hanging="420"/>
      </w:pPr>
    </w:lvl>
    <w:lvl w:ilvl="3" w:tentative="0">
      <w:start w:val="1"/>
      <w:numFmt w:val="decimal"/>
      <w:lvlText w:val="%4."/>
      <w:lvlJc w:val="left"/>
      <w:pPr>
        <w:tabs>
          <w:tab w:val="left" w:pos="0"/>
        </w:tabs>
        <w:ind w:left="2580" w:hanging="420"/>
      </w:pPr>
    </w:lvl>
    <w:lvl w:ilvl="4" w:tentative="0">
      <w:start w:val="1"/>
      <w:numFmt w:val="lowerLetter"/>
      <w:lvlText w:val="%5)"/>
      <w:lvlJc w:val="left"/>
      <w:pPr>
        <w:tabs>
          <w:tab w:val="left" w:pos="0"/>
        </w:tabs>
        <w:ind w:left="3000" w:hanging="420"/>
      </w:pPr>
    </w:lvl>
    <w:lvl w:ilvl="5" w:tentative="0">
      <w:start w:val="1"/>
      <w:numFmt w:val="lowerRoman"/>
      <w:lvlText w:val="%6."/>
      <w:lvlJc w:val="right"/>
      <w:pPr>
        <w:tabs>
          <w:tab w:val="left" w:pos="0"/>
        </w:tabs>
        <w:ind w:left="3420" w:hanging="420"/>
      </w:pPr>
    </w:lvl>
    <w:lvl w:ilvl="6" w:tentative="0">
      <w:start w:val="1"/>
      <w:numFmt w:val="decimal"/>
      <w:lvlText w:val="%7."/>
      <w:lvlJc w:val="left"/>
      <w:pPr>
        <w:tabs>
          <w:tab w:val="left" w:pos="0"/>
        </w:tabs>
        <w:ind w:left="3840" w:hanging="420"/>
      </w:pPr>
    </w:lvl>
    <w:lvl w:ilvl="7" w:tentative="0">
      <w:start w:val="1"/>
      <w:numFmt w:val="lowerLetter"/>
      <w:lvlText w:val="%8)"/>
      <w:lvlJc w:val="left"/>
      <w:pPr>
        <w:tabs>
          <w:tab w:val="left" w:pos="0"/>
        </w:tabs>
        <w:ind w:left="4260" w:hanging="420"/>
      </w:pPr>
    </w:lvl>
    <w:lvl w:ilvl="8" w:tentative="0">
      <w:start w:val="1"/>
      <w:numFmt w:val="lowerRoman"/>
      <w:lvlText w:val="%9."/>
      <w:lvlJc w:val="right"/>
      <w:pPr>
        <w:tabs>
          <w:tab w:val="left" w:pos="0"/>
        </w:tabs>
        <w:ind w:left="4680" w:hanging="420"/>
      </w:pPr>
    </w:lvl>
  </w:abstractNum>
  <w:abstractNum w:abstractNumId="41">
    <w:nsid w:val="0569D053"/>
    <w:multiLevelType w:val="singleLevel"/>
    <w:tmpl w:val="0569D053"/>
    <w:lvl w:ilvl="0" w:tentative="0">
      <w:start w:val="1"/>
      <w:numFmt w:val="decimal"/>
      <w:suff w:val="nothing"/>
      <w:lvlText w:val="%1、"/>
      <w:lvlJc w:val="left"/>
    </w:lvl>
  </w:abstractNum>
  <w:abstractNum w:abstractNumId="42">
    <w:nsid w:val="07F2E950"/>
    <w:multiLevelType w:val="multilevel"/>
    <w:tmpl w:val="07F2E950"/>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43">
    <w:nsid w:val="07F5BCC3"/>
    <w:multiLevelType w:val="multilevel"/>
    <w:tmpl w:val="07F5BCC3"/>
    <w:lvl w:ilvl="0" w:tentative="0">
      <w:start w:val="1"/>
      <w:numFmt w:val="decimal"/>
      <w:suff w:val="space"/>
      <w:lvlText w:val="%1"/>
      <w:lvlJc w:val="left"/>
      <w:pPr>
        <w:tabs>
          <w:tab w:val="left" w:pos="0"/>
        </w:tabs>
        <w:ind w:left="0" w:firstLine="0"/>
      </w:pPr>
      <w:rPr>
        <w:rFonts w:hint="eastAsia"/>
        <w:sz w:val="32"/>
      </w:rPr>
    </w:lvl>
    <w:lvl w:ilvl="1" w:tentative="0">
      <w:start w:val="1"/>
      <w:numFmt w:val="decimal"/>
      <w:suff w:val="space"/>
      <w:lvlText w:val="%1.%2"/>
      <w:lvlJc w:val="left"/>
      <w:pPr>
        <w:tabs>
          <w:tab w:val="left" w:pos="0"/>
        </w:tabs>
        <w:ind w:left="3686" w:firstLine="0"/>
      </w:pPr>
    </w:lvl>
    <w:lvl w:ilvl="2" w:tentative="0">
      <w:start w:val="1"/>
      <w:numFmt w:val="decimal"/>
      <w:suff w:val="space"/>
      <w:lvlText w:val="%1.%2.%3"/>
      <w:lvlJc w:val="left"/>
      <w:pPr>
        <w:tabs>
          <w:tab w:val="left" w:pos="0"/>
        </w:tabs>
        <w:ind w:left="0" w:firstLine="0"/>
      </w:pPr>
      <w:rPr>
        <w:rFonts w:ascii="仿宋" w:hAnsi="仿宋" w:eastAsia="仿宋"/>
      </w:rPr>
    </w:lvl>
    <w:lvl w:ilvl="3" w:tentative="0">
      <w:start w:val="1"/>
      <w:numFmt w:val="decimal"/>
      <w:pStyle w:val="6"/>
      <w:suff w:val="space"/>
      <w:lvlText w:val="%1.%2.%3.%4"/>
      <w:lvlJc w:val="left"/>
      <w:pPr>
        <w:tabs>
          <w:tab w:val="left" w:pos="0"/>
        </w:tabs>
        <w:ind w:left="0" w:firstLine="0"/>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44">
    <w:nsid w:val="13660E3F"/>
    <w:multiLevelType w:val="multilevel"/>
    <w:tmpl w:val="13660E3F"/>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988"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45">
    <w:nsid w:val="1483906D"/>
    <w:multiLevelType w:val="singleLevel"/>
    <w:tmpl w:val="1483906D"/>
    <w:lvl w:ilvl="0" w:tentative="0">
      <w:start w:val="1"/>
      <w:numFmt w:val="decimal"/>
      <w:pStyle w:val="46"/>
      <w:lvlText w:val="%1."/>
      <w:lvlJc w:val="left"/>
      <w:pPr>
        <w:tabs>
          <w:tab w:val="left" w:pos="0"/>
        </w:tabs>
        <w:ind w:left="1620" w:hanging="360"/>
      </w:pPr>
    </w:lvl>
  </w:abstractNum>
  <w:abstractNum w:abstractNumId="46">
    <w:nsid w:val="192B173A"/>
    <w:multiLevelType w:val="singleLevel"/>
    <w:tmpl w:val="192B173A"/>
    <w:lvl w:ilvl="0" w:tentative="0">
      <w:start w:val="1"/>
      <w:numFmt w:val="decimal"/>
      <w:suff w:val="nothing"/>
      <w:lvlText w:val="%1．"/>
      <w:lvlJc w:val="left"/>
      <w:pPr>
        <w:tabs>
          <w:tab w:val="left" w:pos="0"/>
        </w:tabs>
        <w:ind w:left="0" w:firstLine="0"/>
      </w:pPr>
    </w:lvl>
  </w:abstractNum>
  <w:abstractNum w:abstractNumId="47">
    <w:nsid w:val="1B3FCE26"/>
    <w:multiLevelType w:val="multilevel"/>
    <w:tmpl w:val="1B3FCE26"/>
    <w:lvl w:ilvl="0" w:tentative="0">
      <w:start w:val="1"/>
      <w:numFmt w:val="decimal"/>
      <w:pStyle w:val="45"/>
      <w:lvlText w:val="%1."/>
      <w:lvlJc w:val="left"/>
      <w:pPr>
        <w:tabs>
          <w:tab w:val="left" w:pos="0"/>
        </w:tabs>
        <w:ind w:left="425" w:hanging="425"/>
      </w:pPr>
      <w:rPr>
        <w:rFonts w:hint="default"/>
      </w:rPr>
    </w:lvl>
    <w:lvl w:ilvl="1" w:tentative="0">
      <w:start w:val="1"/>
      <w:numFmt w:val="decimal"/>
      <w:lvlText w:val="%1.%2."/>
      <w:lvlJc w:val="left"/>
      <w:pPr>
        <w:tabs>
          <w:tab w:val="left" w:pos="0"/>
        </w:tabs>
        <w:ind w:left="567" w:hanging="567"/>
      </w:pPr>
    </w:lvl>
    <w:lvl w:ilvl="2" w:tentative="0">
      <w:start w:val="1"/>
      <w:numFmt w:val="decimal"/>
      <w:lvlText w:val="%1.%2.%3."/>
      <w:lvlJc w:val="left"/>
      <w:pPr>
        <w:tabs>
          <w:tab w:val="left" w:pos="0"/>
        </w:tabs>
        <w:ind w:left="709"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lvlText w:val="%1.%2.%3.%4.%5.%6."/>
      <w:lvlJc w:val="left"/>
      <w:pPr>
        <w:tabs>
          <w:tab w:val="left" w:pos="0"/>
        </w:tabs>
        <w:ind w:left="1134" w:hanging="1134"/>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48">
    <w:nsid w:val="1C01D09A"/>
    <w:multiLevelType w:val="multilevel"/>
    <w:tmpl w:val="1C01D09A"/>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49">
    <w:nsid w:val="1D14E024"/>
    <w:multiLevelType w:val="singleLevel"/>
    <w:tmpl w:val="1D14E024"/>
    <w:lvl w:ilvl="0" w:tentative="0">
      <w:start w:val="1"/>
      <w:numFmt w:val="decimal"/>
      <w:suff w:val="nothing"/>
      <w:lvlText w:val="%1、"/>
      <w:lvlJc w:val="left"/>
    </w:lvl>
  </w:abstractNum>
  <w:abstractNum w:abstractNumId="50">
    <w:nsid w:val="1DEB737C"/>
    <w:multiLevelType w:val="singleLevel"/>
    <w:tmpl w:val="1DEB737C"/>
    <w:lvl w:ilvl="0" w:tentative="0">
      <w:start w:val="1"/>
      <w:numFmt w:val="decimal"/>
      <w:suff w:val="nothing"/>
      <w:lvlText w:val="%1．"/>
      <w:lvlJc w:val="left"/>
      <w:pPr>
        <w:tabs>
          <w:tab w:val="left" w:pos="0"/>
        </w:tabs>
        <w:ind w:left="0" w:firstLine="400"/>
      </w:pPr>
      <w:rPr>
        <w:rFonts w:hint="default"/>
        <w:b w:val="0"/>
        <w:bCs w:val="0"/>
      </w:rPr>
    </w:lvl>
  </w:abstractNum>
  <w:abstractNum w:abstractNumId="51">
    <w:nsid w:val="252BF6AB"/>
    <w:multiLevelType w:val="multilevel"/>
    <w:tmpl w:val="252BF6AB"/>
    <w:lvl w:ilvl="0" w:tentative="0">
      <w:start w:val="1"/>
      <w:numFmt w:val="decimal"/>
      <w:pStyle w:val="19"/>
      <w:suff w:val="nothing"/>
      <w:lvlText w:val="%1."/>
      <w:lvlJc w:val="left"/>
      <w:pPr>
        <w:tabs>
          <w:tab w:val="left" w:pos="0"/>
        </w:tabs>
        <w:ind w:left="900" w:hanging="420"/>
      </w:pPr>
      <w:rPr>
        <w:rFonts w:hint="eastAsia"/>
      </w:rPr>
    </w:lvl>
    <w:lvl w:ilvl="1" w:tentative="0">
      <w:start w:val="1"/>
      <w:numFmt w:val="lowerLetter"/>
      <w:lvlText w:val="%2)"/>
      <w:lvlJc w:val="left"/>
      <w:pPr>
        <w:tabs>
          <w:tab w:val="left" w:pos="0"/>
        </w:tabs>
        <w:ind w:left="1548" w:hanging="420"/>
      </w:pPr>
    </w:lvl>
    <w:lvl w:ilvl="2" w:tentative="0">
      <w:start w:val="1"/>
      <w:numFmt w:val="lowerRoman"/>
      <w:lvlText w:val="%3."/>
      <w:lvlJc w:val="right"/>
      <w:pPr>
        <w:tabs>
          <w:tab w:val="left" w:pos="0"/>
        </w:tabs>
        <w:ind w:left="1968" w:hanging="420"/>
      </w:pPr>
    </w:lvl>
    <w:lvl w:ilvl="3" w:tentative="0">
      <w:start w:val="1"/>
      <w:numFmt w:val="decimal"/>
      <w:lvlText w:val="%4."/>
      <w:lvlJc w:val="left"/>
      <w:pPr>
        <w:tabs>
          <w:tab w:val="left" w:pos="0"/>
        </w:tabs>
        <w:ind w:left="2388" w:hanging="420"/>
      </w:pPr>
    </w:lvl>
    <w:lvl w:ilvl="4" w:tentative="0">
      <w:start w:val="1"/>
      <w:numFmt w:val="lowerLetter"/>
      <w:lvlText w:val="%5)"/>
      <w:lvlJc w:val="left"/>
      <w:pPr>
        <w:tabs>
          <w:tab w:val="left" w:pos="0"/>
        </w:tabs>
        <w:ind w:left="2808" w:hanging="420"/>
      </w:pPr>
    </w:lvl>
    <w:lvl w:ilvl="5" w:tentative="0">
      <w:start w:val="1"/>
      <w:numFmt w:val="lowerRoman"/>
      <w:lvlText w:val="%6."/>
      <w:lvlJc w:val="right"/>
      <w:pPr>
        <w:tabs>
          <w:tab w:val="left" w:pos="0"/>
        </w:tabs>
        <w:ind w:left="3228" w:hanging="420"/>
      </w:pPr>
    </w:lvl>
    <w:lvl w:ilvl="6" w:tentative="0">
      <w:start w:val="1"/>
      <w:numFmt w:val="decimal"/>
      <w:lvlText w:val="%7."/>
      <w:lvlJc w:val="left"/>
      <w:pPr>
        <w:tabs>
          <w:tab w:val="left" w:pos="0"/>
        </w:tabs>
        <w:ind w:left="3648" w:hanging="420"/>
      </w:pPr>
    </w:lvl>
    <w:lvl w:ilvl="7" w:tentative="0">
      <w:start w:val="1"/>
      <w:numFmt w:val="lowerLetter"/>
      <w:lvlText w:val="%8)"/>
      <w:lvlJc w:val="left"/>
      <w:pPr>
        <w:tabs>
          <w:tab w:val="left" w:pos="0"/>
        </w:tabs>
        <w:ind w:left="4068" w:hanging="420"/>
      </w:pPr>
    </w:lvl>
    <w:lvl w:ilvl="8" w:tentative="0">
      <w:start w:val="1"/>
      <w:numFmt w:val="lowerRoman"/>
      <w:lvlText w:val="%9."/>
      <w:lvlJc w:val="right"/>
      <w:pPr>
        <w:tabs>
          <w:tab w:val="left" w:pos="0"/>
        </w:tabs>
        <w:ind w:left="4488" w:hanging="420"/>
      </w:pPr>
    </w:lvl>
  </w:abstractNum>
  <w:abstractNum w:abstractNumId="52">
    <w:nsid w:val="269945CE"/>
    <w:multiLevelType w:val="multilevel"/>
    <w:tmpl w:val="269945CE"/>
    <w:lvl w:ilvl="0" w:tentative="0">
      <w:start w:val="1"/>
      <w:numFmt w:val="chineseCountingThousand"/>
      <w:pStyle w:val="308"/>
      <w:suff w:val="nothing"/>
      <w:lvlText w:val="%1、"/>
      <w:lvlJc w:val="left"/>
      <w:pPr>
        <w:tabs>
          <w:tab w:val="left" w:pos="0"/>
        </w:tabs>
        <w:ind w:left="988" w:hanging="420"/>
      </w:pPr>
      <w:rPr>
        <w:rFonts w:hint="eastAsia"/>
        <w:b/>
      </w:rPr>
    </w:lvl>
    <w:lvl w:ilvl="1" w:tentative="0">
      <w:start w:val="1"/>
      <w:numFmt w:val="decimal"/>
      <w:lvlText w:val="%2、"/>
      <w:lvlJc w:val="left"/>
      <w:pPr>
        <w:tabs>
          <w:tab w:val="left" w:pos="0"/>
        </w:tabs>
        <w:ind w:left="2112" w:hanging="1125"/>
      </w:pPr>
      <w:rPr>
        <w:rFonts w:hint="default"/>
      </w:rPr>
    </w:lvl>
    <w:lvl w:ilvl="2" w:tentative="0">
      <w:start w:val="1"/>
      <w:numFmt w:val="lowerRoman"/>
      <w:lvlText w:val="%3."/>
      <w:lvlJc w:val="right"/>
      <w:pPr>
        <w:tabs>
          <w:tab w:val="left" w:pos="0"/>
        </w:tabs>
        <w:ind w:left="1827" w:hanging="420"/>
      </w:pPr>
    </w:lvl>
    <w:lvl w:ilvl="3" w:tentative="0">
      <w:start w:val="1"/>
      <w:numFmt w:val="decimal"/>
      <w:lvlText w:val="%4."/>
      <w:lvlJc w:val="left"/>
      <w:pPr>
        <w:tabs>
          <w:tab w:val="left" w:pos="0"/>
        </w:tabs>
        <w:ind w:left="2247" w:hanging="420"/>
      </w:pPr>
    </w:lvl>
    <w:lvl w:ilvl="4" w:tentative="0">
      <w:start w:val="1"/>
      <w:numFmt w:val="lowerLetter"/>
      <w:lvlText w:val="%5)"/>
      <w:lvlJc w:val="left"/>
      <w:pPr>
        <w:tabs>
          <w:tab w:val="left" w:pos="0"/>
        </w:tabs>
        <w:ind w:left="2667" w:hanging="420"/>
      </w:pPr>
    </w:lvl>
    <w:lvl w:ilvl="5" w:tentative="0">
      <w:start w:val="1"/>
      <w:numFmt w:val="lowerRoman"/>
      <w:lvlText w:val="%6."/>
      <w:lvlJc w:val="right"/>
      <w:pPr>
        <w:tabs>
          <w:tab w:val="left" w:pos="0"/>
        </w:tabs>
        <w:ind w:left="3087" w:hanging="420"/>
      </w:pPr>
    </w:lvl>
    <w:lvl w:ilvl="6" w:tentative="0">
      <w:start w:val="1"/>
      <w:numFmt w:val="decimal"/>
      <w:lvlText w:val="%7."/>
      <w:lvlJc w:val="left"/>
      <w:pPr>
        <w:tabs>
          <w:tab w:val="left" w:pos="0"/>
        </w:tabs>
        <w:ind w:left="3507" w:hanging="420"/>
      </w:pPr>
    </w:lvl>
    <w:lvl w:ilvl="7" w:tentative="0">
      <w:start w:val="1"/>
      <w:numFmt w:val="lowerLetter"/>
      <w:lvlText w:val="%8)"/>
      <w:lvlJc w:val="left"/>
      <w:pPr>
        <w:tabs>
          <w:tab w:val="left" w:pos="0"/>
        </w:tabs>
        <w:ind w:left="3927" w:hanging="420"/>
      </w:pPr>
    </w:lvl>
    <w:lvl w:ilvl="8" w:tentative="0">
      <w:start w:val="1"/>
      <w:numFmt w:val="lowerRoman"/>
      <w:lvlText w:val="%9."/>
      <w:lvlJc w:val="right"/>
      <w:pPr>
        <w:tabs>
          <w:tab w:val="left" w:pos="0"/>
        </w:tabs>
        <w:ind w:left="4347" w:hanging="420"/>
      </w:pPr>
    </w:lvl>
  </w:abstractNum>
  <w:abstractNum w:abstractNumId="53">
    <w:nsid w:val="274D3D9B"/>
    <w:multiLevelType w:val="multilevel"/>
    <w:tmpl w:val="274D3D9B"/>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pStyle w:val="250"/>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54">
    <w:nsid w:val="27A7797C"/>
    <w:multiLevelType w:val="singleLevel"/>
    <w:tmpl w:val="27A7797C"/>
    <w:lvl w:ilvl="0" w:tentative="0">
      <w:start w:val="1"/>
      <w:numFmt w:val="decimal"/>
      <w:lvlText w:val="(%1)"/>
      <w:lvlJc w:val="left"/>
      <w:pPr>
        <w:tabs>
          <w:tab w:val="left" w:pos="312"/>
        </w:tabs>
      </w:pPr>
    </w:lvl>
  </w:abstractNum>
  <w:abstractNum w:abstractNumId="55">
    <w:nsid w:val="2C714252"/>
    <w:multiLevelType w:val="singleLevel"/>
    <w:tmpl w:val="2C714252"/>
    <w:lvl w:ilvl="0" w:tentative="0">
      <w:start w:val="1"/>
      <w:numFmt w:val="decimal"/>
      <w:suff w:val="nothing"/>
      <w:lvlText w:val="（%1）"/>
      <w:lvlJc w:val="left"/>
    </w:lvl>
  </w:abstractNum>
  <w:abstractNum w:abstractNumId="56">
    <w:nsid w:val="2F91CD12"/>
    <w:multiLevelType w:val="singleLevel"/>
    <w:tmpl w:val="2F91CD12"/>
    <w:lvl w:ilvl="0" w:tentative="0">
      <w:start w:val="2"/>
      <w:numFmt w:val="decimal"/>
      <w:suff w:val="nothing"/>
      <w:lvlText w:val="%1、"/>
      <w:lvlJc w:val="left"/>
    </w:lvl>
  </w:abstractNum>
  <w:abstractNum w:abstractNumId="57">
    <w:nsid w:val="3287CD95"/>
    <w:multiLevelType w:val="multilevel"/>
    <w:tmpl w:val="3287CD95"/>
    <w:lvl w:ilvl="0" w:tentative="0">
      <w:start w:val="1"/>
      <w:numFmt w:val="decimal"/>
      <w:lvlText w:val="第%1章"/>
      <w:lvlJc w:val="left"/>
      <w:pPr>
        <w:tabs>
          <w:tab w:val="left" w:pos="0"/>
        </w:tabs>
        <w:ind w:left="709" w:hanging="425"/>
      </w:pPr>
      <w:rPr>
        <w:rFonts w:hint="default" w:ascii="Times New Roman" w:hAnsi="Times New Roman" w:eastAsia="宋体"/>
        <w:b/>
        <w:i w:val="0"/>
        <w:sz w:val="32"/>
        <w:szCs w:val="32"/>
      </w:rPr>
    </w:lvl>
    <w:lvl w:ilvl="1" w:tentative="0">
      <w:start w:val="1"/>
      <w:numFmt w:val="decimal"/>
      <w:suff w:val="nothing"/>
      <w:lvlText w:val="%1.%2"/>
      <w:lvlJc w:val="left"/>
      <w:pPr>
        <w:tabs>
          <w:tab w:val="left" w:pos="0"/>
        </w:tabs>
        <w:ind w:left="851" w:hanging="567"/>
      </w:pPr>
      <w:rPr>
        <w:rFonts w:hint="default" w:ascii="Times New Roman" w:hAnsi="Times New Roman" w:eastAsia="宋体"/>
        <w:b/>
        <w:i w:val="0"/>
        <w:color w:val="auto"/>
        <w:sz w:val="36"/>
        <w:szCs w:val="36"/>
      </w:rPr>
    </w:lvl>
    <w:lvl w:ilvl="2" w:tentative="0">
      <w:start w:val="1"/>
      <w:numFmt w:val="decimal"/>
      <w:suff w:val="space"/>
      <w:lvlText w:val="%1.%2.%3"/>
      <w:lvlJc w:val="left"/>
      <w:pPr>
        <w:tabs>
          <w:tab w:val="left" w:pos="0"/>
        </w:tabs>
        <w:ind w:left="851" w:hanging="567"/>
      </w:pPr>
      <w:rPr>
        <w:rFonts w:hint="default" w:ascii="Times New Roman" w:hAnsi="Times New Roman" w:cs="Times New Roman"/>
        <w:b/>
        <w:i w:val="0"/>
        <w:sz w:val="24"/>
        <w:szCs w:val="24"/>
      </w:rPr>
    </w:lvl>
    <w:lvl w:ilvl="3" w:tentative="0">
      <w:start w:val="1"/>
      <w:numFmt w:val="decimal"/>
      <w:suff w:val="nothing"/>
      <w:lvlText w:val="%1.%2.%3.%4"/>
      <w:lvlJc w:val="left"/>
      <w:pPr>
        <w:tabs>
          <w:tab w:val="left" w:pos="0"/>
        </w:tabs>
        <w:ind w:left="1701" w:hanging="708"/>
      </w:pPr>
      <w:rPr>
        <w:rFonts w:hint="default" w:ascii="Times New Roman" w:hAnsi="Times New Roman" w:eastAsia="宋体" w:cs="Calibri"/>
        <w:b/>
        <w:bCs w:val="0"/>
        <w:color w:val="auto"/>
        <w:sz w:val="24"/>
        <w:szCs w:val="28"/>
      </w:rPr>
    </w:lvl>
    <w:lvl w:ilvl="4" w:tentative="0">
      <w:start w:val="1"/>
      <w:numFmt w:val="decimal"/>
      <w:lvlText w:val="%1.%2.%3.%4.%5"/>
      <w:lvlJc w:val="left"/>
      <w:pPr>
        <w:tabs>
          <w:tab w:val="left" w:pos="0"/>
        </w:tabs>
        <w:ind w:left="2551" w:hanging="850"/>
      </w:pPr>
      <w:rPr>
        <w:rFonts w:hint="default" w:ascii="Times New Roman" w:hAnsi="Times New Roman" w:cs="Times New Roman"/>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58">
    <w:nsid w:val="329A4FD1"/>
    <w:multiLevelType w:val="singleLevel"/>
    <w:tmpl w:val="329A4FD1"/>
    <w:lvl w:ilvl="0" w:tentative="0">
      <w:start w:val="1"/>
      <w:numFmt w:val="decimal"/>
      <w:lvlText w:val="%1."/>
      <w:lvlJc w:val="left"/>
      <w:pPr>
        <w:tabs>
          <w:tab w:val="left" w:pos="0"/>
        </w:tabs>
        <w:ind w:left="0" w:firstLine="0"/>
      </w:pPr>
    </w:lvl>
  </w:abstractNum>
  <w:abstractNum w:abstractNumId="59">
    <w:nsid w:val="333E8B90"/>
    <w:multiLevelType w:val="multilevel"/>
    <w:tmpl w:val="333E8B90"/>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846"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60">
    <w:nsid w:val="34743D81"/>
    <w:multiLevelType w:val="singleLevel"/>
    <w:tmpl w:val="34743D81"/>
    <w:lvl w:ilvl="0" w:tentative="0">
      <w:start w:val="14"/>
      <w:numFmt w:val="chineseCounting"/>
      <w:suff w:val="nothing"/>
      <w:lvlText w:val="%1、"/>
      <w:lvlJc w:val="left"/>
      <w:rPr>
        <w:rFonts w:hint="eastAsia"/>
      </w:rPr>
    </w:lvl>
  </w:abstractNum>
  <w:abstractNum w:abstractNumId="61">
    <w:nsid w:val="35ECE9CB"/>
    <w:multiLevelType w:val="multilevel"/>
    <w:tmpl w:val="35ECE9CB"/>
    <w:lvl w:ilvl="0" w:tentative="0">
      <w:start w:val="1"/>
      <w:numFmt w:val="chineseCountingThousand"/>
      <w:pStyle w:val="362"/>
      <w:lvlText w:val="第%1章."/>
      <w:lvlJc w:val="left"/>
      <w:pPr>
        <w:tabs>
          <w:tab w:val="left" w:pos="0"/>
        </w:tabs>
        <w:ind w:left="1145" w:hanging="425"/>
      </w:pPr>
      <w:rPr>
        <w:rFonts w:hint="eastAsia" w:eastAsia="黑体"/>
        <w:color w:val="auto"/>
      </w:rPr>
    </w:lvl>
    <w:lvl w:ilvl="1" w:tentative="0">
      <w:start w:val="1"/>
      <w:numFmt w:val="decimal"/>
      <w:isLgl/>
      <w:lvlText w:val="%1.%2."/>
      <w:lvlJc w:val="left"/>
      <w:pPr>
        <w:tabs>
          <w:tab w:val="left" w:pos="0"/>
        </w:tabs>
        <w:ind w:left="567" w:hanging="567"/>
      </w:pPr>
      <w:rPr>
        <w:rFonts w:hint="eastAsia" w:ascii="黑体" w:hAnsi="黑体" w:eastAsia="黑体"/>
        <w:b/>
        <w:sz w:val="32"/>
        <w:szCs w:val="32"/>
      </w:rPr>
    </w:lvl>
    <w:lvl w:ilvl="2" w:tentative="0">
      <w:start w:val="1"/>
      <w:numFmt w:val="decimal"/>
      <w:pStyle w:val="210"/>
      <w:isLgl/>
      <w:lvlText w:val="%1.%2.%3."/>
      <w:lvlJc w:val="left"/>
      <w:pPr>
        <w:tabs>
          <w:tab w:val="left" w:pos="0"/>
        </w:tabs>
        <w:ind w:left="889" w:hanging="709"/>
      </w:pPr>
      <w:rPr>
        <w:color w:val="auto"/>
      </w:rPr>
    </w:lvl>
    <w:lvl w:ilvl="3" w:tentative="0">
      <w:start w:val="1"/>
      <w:numFmt w:val="decimal"/>
      <w:pStyle w:val="123"/>
      <w:isLgl/>
      <w:lvlText w:val="%1.%2.%3.%4."/>
      <w:lvlJc w:val="left"/>
      <w:pPr>
        <w:tabs>
          <w:tab w:val="left" w:pos="0"/>
        </w:tabs>
        <w:ind w:left="1211" w:hanging="851"/>
      </w:pPr>
      <w:rPr>
        <w:rFonts w:hint="eastAsia" w:ascii="宋体" w:hAnsi="宋体" w:eastAsia="宋体"/>
      </w:rPr>
    </w:lvl>
    <w:lvl w:ilvl="4" w:tentative="0">
      <w:start w:val="1"/>
      <w:numFmt w:val="decimal"/>
      <w:isLgl/>
      <w:lvlText w:val="%1.%2.%3.%4.%5."/>
      <w:lvlJc w:val="left"/>
      <w:pPr>
        <w:tabs>
          <w:tab w:val="left" w:pos="0"/>
        </w:tabs>
        <w:ind w:left="992" w:hanging="992"/>
      </w:pPr>
      <w:rPr>
        <w:rFonts w:hint="eastAsia"/>
      </w:rPr>
    </w:lvl>
    <w:lvl w:ilvl="5" w:tentative="0">
      <w:start w:val="1"/>
      <w:numFmt w:val="decimal"/>
      <w:isLg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62">
    <w:nsid w:val="37586248"/>
    <w:multiLevelType w:val="singleLevel"/>
    <w:tmpl w:val="37586248"/>
    <w:lvl w:ilvl="0" w:tentative="0">
      <w:start w:val="2"/>
      <w:numFmt w:val="chineseCounting"/>
      <w:suff w:val="nothing"/>
      <w:lvlText w:val="%1、"/>
      <w:lvlJc w:val="left"/>
      <w:pPr>
        <w:ind w:left="840" w:firstLine="0"/>
      </w:pPr>
      <w:rPr>
        <w:rFonts w:hint="eastAsia"/>
      </w:rPr>
    </w:lvl>
  </w:abstractNum>
  <w:abstractNum w:abstractNumId="63">
    <w:nsid w:val="3D950AF9"/>
    <w:multiLevelType w:val="multilevel"/>
    <w:tmpl w:val="3D950AF9"/>
    <w:lvl w:ilvl="0" w:tentative="0">
      <w:start w:val="1"/>
      <w:numFmt w:val="decimal"/>
      <w:pStyle w:val="36"/>
      <w:suff w:val="nothing"/>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64">
    <w:nsid w:val="408860E8"/>
    <w:multiLevelType w:val="singleLevel"/>
    <w:tmpl w:val="408860E8"/>
    <w:lvl w:ilvl="0" w:tentative="0">
      <w:start w:val="1"/>
      <w:numFmt w:val="bullet"/>
      <w:pStyle w:val="244"/>
      <w:lvlText w:val=""/>
      <w:lvlJc w:val="left"/>
      <w:pPr>
        <w:tabs>
          <w:tab w:val="left" w:pos="0"/>
        </w:tabs>
        <w:ind w:left="737" w:hanging="453"/>
      </w:pPr>
      <w:rPr>
        <w:rFonts w:hint="default" w:ascii="Wingdings" w:hAnsi="Wingdings"/>
      </w:rPr>
    </w:lvl>
  </w:abstractNum>
  <w:abstractNum w:abstractNumId="65">
    <w:nsid w:val="429CD0B5"/>
    <w:multiLevelType w:val="multilevel"/>
    <w:tmpl w:val="429CD0B5"/>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66">
    <w:nsid w:val="4AD1D84F"/>
    <w:multiLevelType w:val="multilevel"/>
    <w:tmpl w:val="4AD1D84F"/>
    <w:lvl w:ilvl="0" w:tentative="0">
      <w:start w:val="1"/>
      <w:numFmt w:val="decimal"/>
      <w:pStyle w:val="396"/>
      <w:suff w:val="nothing"/>
      <w:lvlText w:val="%1."/>
      <w:lvlJc w:val="left"/>
      <w:pPr>
        <w:tabs>
          <w:tab w:val="left" w:pos="0"/>
        </w:tabs>
        <w:ind w:left="1413"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67">
    <w:nsid w:val="4D154441"/>
    <w:multiLevelType w:val="singleLevel"/>
    <w:tmpl w:val="4D154441"/>
    <w:lvl w:ilvl="0" w:tentative="0">
      <w:start w:val="1"/>
      <w:numFmt w:val="decimal"/>
      <w:suff w:val="nothing"/>
      <w:lvlText w:val="%1、"/>
      <w:lvlJc w:val="left"/>
    </w:lvl>
  </w:abstractNum>
  <w:abstractNum w:abstractNumId="68">
    <w:nsid w:val="4DF42106"/>
    <w:multiLevelType w:val="singleLevel"/>
    <w:tmpl w:val="4DF42106"/>
    <w:lvl w:ilvl="0" w:tentative="0">
      <w:start w:val="1"/>
      <w:numFmt w:val="decimal"/>
      <w:suff w:val="nothing"/>
      <w:lvlText w:val="（%1）"/>
      <w:lvlJc w:val="left"/>
    </w:lvl>
  </w:abstractNum>
  <w:abstractNum w:abstractNumId="69">
    <w:nsid w:val="4E709187"/>
    <w:multiLevelType w:val="multilevel"/>
    <w:tmpl w:val="4E709187"/>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70">
    <w:nsid w:val="4EA76503"/>
    <w:multiLevelType w:val="multilevel"/>
    <w:tmpl w:val="4EA76503"/>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71">
    <w:nsid w:val="4F00C6B4"/>
    <w:multiLevelType w:val="multilevel"/>
    <w:tmpl w:val="4F00C6B4"/>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72">
    <w:nsid w:val="4FA7FC34"/>
    <w:multiLevelType w:val="multilevel"/>
    <w:tmpl w:val="4FA7FC34"/>
    <w:lvl w:ilvl="0" w:tentative="0">
      <w:start w:val="1"/>
      <w:numFmt w:val="decimal"/>
      <w:lvlText w:val="%1、"/>
      <w:lvlJc w:val="left"/>
      <w:pPr>
        <w:tabs>
          <w:tab w:val="left" w:pos="0"/>
        </w:tabs>
        <w:ind w:left="718" w:hanging="360"/>
      </w:pPr>
      <w:rPr>
        <w:rFonts w:hint="default"/>
      </w:rPr>
    </w:lvl>
    <w:lvl w:ilvl="1" w:tentative="0">
      <w:start w:val="1"/>
      <w:numFmt w:val="japaneseCounting"/>
      <w:pStyle w:val="207"/>
      <w:lvlText w:val="%2、"/>
      <w:lvlJc w:val="left"/>
      <w:pPr>
        <w:tabs>
          <w:tab w:val="left" w:pos="0"/>
        </w:tabs>
        <w:ind w:left="1258" w:hanging="480"/>
      </w:pPr>
      <w:rPr>
        <w:rFonts w:hint="default"/>
      </w:rPr>
    </w:lvl>
    <w:lvl w:ilvl="2" w:tentative="0">
      <w:start w:val="1"/>
      <w:numFmt w:val="lowerRoman"/>
      <w:lvlText w:val="%3."/>
      <w:lvlJc w:val="right"/>
      <w:pPr>
        <w:tabs>
          <w:tab w:val="left" w:pos="0"/>
        </w:tabs>
        <w:ind w:left="1618" w:hanging="420"/>
      </w:pPr>
    </w:lvl>
    <w:lvl w:ilvl="3" w:tentative="0">
      <w:start w:val="1"/>
      <w:numFmt w:val="decimal"/>
      <w:lvlText w:val="%4."/>
      <w:lvlJc w:val="left"/>
      <w:pPr>
        <w:tabs>
          <w:tab w:val="left" w:pos="0"/>
        </w:tabs>
        <w:ind w:left="2038" w:hanging="420"/>
      </w:pPr>
    </w:lvl>
    <w:lvl w:ilvl="4" w:tentative="0">
      <w:start w:val="1"/>
      <w:numFmt w:val="lowerLetter"/>
      <w:lvlText w:val="%5)"/>
      <w:lvlJc w:val="left"/>
      <w:pPr>
        <w:tabs>
          <w:tab w:val="left" w:pos="0"/>
        </w:tabs>
        <w:ind w:left="2458" w:hanging="420"/>
      </w:pPr>
    </w:lvl>
    <w:lvl w:ilvl="5" w:tentative="0">
      <w:start w:val="1"/>
      <w:numFmt w:val="lowerRoman"/>
      <w:lvlText w:val="%6."/>
      <w:lvlJc w:val="right"/>
      <w:pPr>
        <w:tabs>
          <w:tab w:val="left" w:pos="0"/>
        </w:tabs>
        <w:ind w:left="2878" w:hanging="420"/>
      </w:pPr>
    </w:lvl>
    <w:lvl w:ilvl="6" w:tentative="0">
      <w:start w:val="1"/>
      <w:numFmt w:val="decimal"/>
      <w:lvlText w:val="%7."/>
      <w:lvlJc w:val="left"/>
      <w:pPr>
        <w:tabs>
          <w:tab w:val="left" w:pos="0"/>
        </w:tabs>
        <w:ind w:left="3298" w:hanging="420"/>
      </w:pPr>
    </w:lvl>
    <w:lvl w:ilvl="7" w:tentative="0">
      <w:start w:val="1"/>
      <w:numFmt w:val="lowerLetter"/>
      <w:lvlText w:val="%8)"/>
      <w:lvlJc w:val="left"/>
      <w:pPr>
        <w:tabs>
          <w:tab w:val="left" w:pos="0"/>
        </w:tabs>
        <w:ind w:left="3718" w:hanging="420"/>
      </w:pPr>
    </w:lvl>
    <w:lvl w:ilvl="8" w:tentative="0">
      <w:start w:val="1"/>
      <w:numFmt w:val="lowerRoman"/>
      <w:lvlText w:val="%9."/>
      <w:lvlJc w:val="right"/>
      <w:pPr>
        <w:tabs>
          <w:tab w:val="left" w:pos="0"/>
        </w:tabs>
        <w:ind w:left="4138" w:hanging="420"/>
      </w:pPr>
    </w:lvl>
  </w:abstractNum>
  <w:abstractNum w:abstractNumId="73">
    <w:nsid w:val="54561631"/>
    <w:multiLevelType w:val="singleLevel"/>
    <w:tmpl w:val="54561631"/>
    <w:lvl w:ilvl="0" w:tentative="0">
      <w:start w:val="1"/>
      <w:numFmt w:val="decimal"/>
      <w:suff w:val="nothing"/>
      <w:lvlText w:val="%1、"/>
      <w:lvlJc w:val="left"/>
    </w:lvl>
  </w:abstractNum>
  <w:abstractNum w:abstractNumId="74">
    <w:nsid w:val="598DAF6D"/>
    <w:multiLevelType w:val="multilevel"/>
    <w:tmpl w:val="598DAF6D"/>
    <w:lvl w:ilvl="0" w:tentative="0">
      <w:start w:val="1"/>
      <w:numFmt w:val="decimal"/>
      <w:lvlText w:val="%1．"/>
      <w:lvlJc w:val="left"/>
      <w:pPr>
        <w:tabs>
          <w:tab w:val="left" w:pos="0"/>
        </w:tabs>
        <w:ind w:left="900" w:hanging="420"/>
      </w:pPr>
      <w:rPr>
        <w:rFonts w:hint="eastAsia"/>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75">
    <w:nsid w:val="5A8377A7"/>
    <w:multiLevelType w:val="multilevel"/>
    <w:tmpl w:val="5A8377A7"/>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76">
    <w:nsid w:val="63B12E74"/>
    <w:multiLevelType w:val="singleLevel"/>
    <w:tmpl w:val="63B12E74"/>
    <w:lvl w:ilvl="0" w:tentative="0">
      <w:start w:val="1"/>
      <w:numFmt w:val="decimal"/>
      <w:suff w:val="nothing"/>
      <w:lvlText w:val="%1、"/>
      <w:lvlJc w:val="left"/>
      <w:pPr>
        <w:tabs>
          <w:tab w:val="left" w:pos="0"/>
        </w:tabs>
        <w:ind w:left="0" w:firstLine="0"/>
      </w:pPr>
    </w:lvl>
  </w:abstractNum>
  <w:abstractNum w:abstractNumId="77">
    <w:nsid w:val="64C0CB79"/>
    <w:multiLevelType w:val="multilevel"/>
    <w:tmpl w:val="64C0CB79"/>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78">
    <w:nsid w:val="651422BE"/>
    <w:multiLevelType w:val="multilevel"/>
    <w:tmpl w:val="651422BE"/>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79">
    <w:nsid w:val="653FDDFD"/>
    <w:multiLevelType w:val="singleLevel"/>
    <w:tmpl w:val="653FDDFD"/>
    <w:lvl w:ilvl="0" w:tentative="0">
      <w:start w:val="1"/>
      <w:numFmt w:val="decimal"/>
      <w:suff w:val="nothing"/>
      <w:lvlText w:val="（%1）"/>
      <w:lvlJc w:val="left"/>
    </w:lvl>
  </w:abstractNum>
  <w:abstractNum w:abstractNumId="80">
    <w:nsid w:val="659EB354"/>
    <w:multiLevelType w:val="multilevel"/>
    <w:tmpl w:val="659EB354"/>
    <w:lvl w:ilvl="0" w:tentative="0">
      <w:start w:val="1"/>
      <w:numFmt w:val="decimal"/>
      <w:lvlText w:val="第%1章"/>
      <w:lvlJc w:val="left"/>
      <w:pPr>
        <w:tabs>
          <w:tab w:val="left" w:pos="0"/>
        </w:tabs>
        <w:ind w:left="709" w:hanging="425"/>
      </w:pPr>
      <w:rPr>
        <w:rFonts w:hint="default" w:ascii="Times New Roman" w:hAnsi="Times New Roman" w:eastAsia="宋体"/>
        <w:b/>
        <w:i w:val="0"/>
        <w:sz w:val="32"/>
        <w:szCs w:val="32"/>
      </w:rPr>
    </w:lvl>
    <w:lvl w:ilvl="1" w:tentative="0">
      <w:start w:val="1"/>
      <w:numFmt w:val="decimal"/>
      <w:suff w:val="nothing"/>
      <w:lvlText w:val="%1.%2"/>
      <w:lvlJc w:val="left"/>
      <w:pPr>
        <w:tabs>
          <w:tab w:val="left" w:pos="0"/>
        </w:tabs>
        <w:ind w:left="851" w:hanging="567"/>
      </w:pPr>
      <w:rPr>
        <w:rFonts w:hint="default" w:ascii="Times New Roman" w:hAnsi="Times New Roman" w:eastAsia="宋体"/>
        <w:b/>
        <w:i w:val="0"/>
        <w:color w:val="auto"/>
        <w:sz w:val="24"/>
        <w:szCs w:val="24"/>
      </w:rPr>
    </w:lvl>
    <w:lvl w:ilvl="2" w:tentative="0">
      <w:start w:val="1"/>
      <w:numFmt w:val="decimal"/>
      <w:suff w:val="space"/>
      <w:lvlText w:val="%1.%2.%3"/>
      <w:lvlJc w:val="left"/>
      <w:pPr>
        <w:tabs>
          <w:tab w:val="left" w:pos="0"/>
        </w:tabs>
        <w:ind w:left="851" w:hanging="567"/>
      </w:pPr>
      <w:rPr>
        <w:rFonts w:hint="default" w:ascii="Times New Roman" w:hAnsi="Times New Roman" w:cs="Times New Roman"/>
        <w:b/>
        <w:i w:val="0"/>
        <w:sz w:val="24"/>
        <w:szCs w:val="24"/>
      </w:rPr>
    </w:lvl>
    <w:lvl w:ilvl="3" w:tentative="0">
      <w:start w:val="1"/>
      <w:numFmt w:val="decimal"/>
      <w:suff w:val="nothing"/>
      <w:lvlText w:val="%1.%2.%3.%4"/>
      <w:lvlJc w:val="left"/>
      <w:pPr>
        <w:tabs>
          <w:tab w:val="left" w:pos="0"/>
        </w:tabs>
        <w:ind w:left="0" w:firstLine="283"/>
      </w:pPr>
      <w:rPr>
        <w:rFonts w:hint="default" w:ascii="Times New Roman" w:hAnsi="Times New Roman" w:eastAsia="宋体" w:cs="Calibri"/>
        <w:b/>
        <w:bCs w:val="0"/>
        <w:color w:val="auto"/>
        <w:sz w:val="24"/>
        <w:szCs w:val="28"/>
      </w:rPr>
    </w:lvl>
    <w:lvl w:ilvl="4" w:tentative="0">
      <w:start w:val="1"/>
      <w:numFmt w:val="decimal"/>
      <w:lvlText w:val="%1.%2.%3.%4.%5"/>
      <w:lvlJc w:val="left"/>
      <w:pPr>
        <w:tabs>
          <w:tab w:val="left" w:pos="0"/>
        </w:tabs>
        <w:ind w:left="2551" w:hanging="850"/>
      </w:pPr>
      <w:rPr>
        <w:rFonts w:hint="default" w:ascii="Times New Roman" w:hAnsi="Times New Roman" w:cs="Times New Roman"/>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81">
    <w:nsid w:val="6B5122EC"/>
    <w:multiLevelType w:val="singleLevel"/>
    <w:tmpl w:val="6B5122EC"/>
    <w:lvl w:ilvl="0" w:tentative="0">
      <w:start w:val="1"/>
      <w:numFmt w:val="chineseCounting"/>
      <w:suff w:val="nothing"/>
      <w:lvlText w:val="%1、"/>
      <w:lvlJc w:val="left"/>
      <w:rPr>
        <w:rFonts w:hint="eastAsia"/>
      </w:rPr>
    </w:lvl>
  </w:abstractNum>
  <w:abstractNum w:abstractNumId="82">
    <w:nsid w:val="6C0BE2D1"/>
    <w:multiLevelType w:val="multilevel"/>
    <w:tmpl w:val="6C0BE2D1"/>
    <w:lvl w:ilvl="0" w:tentative="0">
      <w:start w:val="1"/>
      <w:numFmt w:val="decimal"/>
      <w:lvlText w:val="%1."/>
      <w:lvlJc w:val="left"/>
      <w:pPr>
        <w:tabs>
          <w:tab w:val="left" w:pos="0"/>
        </w:tabs>
        <w:ind w:left="1680" w:hanging="420"/>
      </w:pPr>
    </w:lvl>
    <w:lvl w:ilvl="1" w:tentative="0">
      <w:start w:val="1"/>
      <w:numFmt w:val="lowerLetter"/>
      <w:pStyle w:val="363"/>
      <w:lvlText w:val="%2)"/>
      <w:lvlJc w:val="left"/>
      <w:pPr>
        <w:tabs>
          <w:tab w:val="left" w:pos="0"/>
        </w:tabs>
        <w:ind w:left="2100" w:hanging="420"/>
      </w:pPr>
    </w:lvl>
    <w:lvl w:ilvl="2" w:tentative="0">
      <w:start w:val="1"/>
      <w:numFmt w:val="lowerRoman"/>
      <w:lvlText w:val="%3."/>
      <w:lvlJc w:val="right"/>
      <w:pPr>
        <w:tabs>
          <w:tab w:val="left" w:pos="0"/>
        </w:tabs>
        <w:ind w:left="2520" w:hanging="420"/>
      </w:pPr>
    </w:lvl>
    <w:lvl w:ilvl="3" w:tentative="0">
      <w:start w:val="1"/>
      <w:numFmt w:val="decimal"/>
      <w:lvlText w:val="%4."/>
      <w:lvlJc w:val="left"/>
      <w:pPr>
        <w:tabs>
          <w:tab w:val="left" w:pos="0"/>
        </w:tabs>
        <w:ind w:left="2940" w:hanging="420"/>
      </w:pPr>
    </w:lvl>
    <w:lvl w:ilvl="4" w:tentative="0">
      <w:start w:val="1"/>
      <w:numFmt w:val="lowerLetter"/>
      <w:lvlText w:val="%5)"/>
      <w:lvlJc w:val="left"/>
      <w:pPr>
        <w:tabs>
          <w:tab w:val="left" w:pos="0"/>
        </w:tabs>
        <w:ind w:left="3360" w:hanging="420"/>
      </w:pPr>
    </w:lvl>
    <w:lvl w:ilvl="5" w:tentative="0">
      <w:start w:val="1"/>
      <w:numFmt w:val="lowerRoman"/>
      <w:lvlText w:val="%6."/>
      <w:lvlJc w:val="right"/>
      <w:pPr>
        <w:tabs>
          <w:tab w:val="left" w:pos="0"/>
        </w:tabs>
        <w:ind w:left="3780" w:hanging="420"/>
      </w:pPr>
    </w:lvl>
    <w:lvl w:ilvl="6" w:tentative="0">
      <w:start w:val="1"/>
      <w:numFmt w:val="decimal"/>
      <w:lvlText w:val="%7."/>
      <w:lvlJc w:val="left"/>
      <w:pPr>
        <w:tabs>
          <w:tab w:val="left" w:pos="0"/>
        </w:tabs>
        <w:ind w:left="4200" w:hanging="420"/>
      </w:pPr>
    </w:lvl>
    <w:lvl w:ilvl="7" w:tentative="0">
      <w:start w:val="1"/>
      <w:numFmt w:val="lowerLetter"/>
      <w:lvlText w:val="%8)"/>
      <w:lvlJc w:val="left"/>
      <w:pPr>
        <w:tabs>
          <w:tab w:val="left" w:pos="0"/>
        </w:tabs>
        <w:ind w:left="4620" w:hanging="420"/>
      </w:pPr>
    </w:lvl>
    <w:lvl w:ilvl="8" w:tentative="0">
      <w:start w:val="1"/>
      <w:numFmt w:val="lowerRoman"/>
      <w:lvlText w:val="%9."/>
      <w:lvlJc w:val="right"/>
      <w:pPr>
        <w:tabs>
          <w:tab w:val="left" w:pos="0"/>
        </w:tabs>
        <w:ind w:left="5040" w:hanging="420"/>
      </w:pPr>
    </w:lvl>
  </w:abstractNum>
  <w:abstractNum w:abstractNumId="83">
    <w:nsid w:val="70F95E71"/>
    <w:multiLevelType w:val="multilevel"/>
    <w:tmpl w:val="70F95E71"/>
    <w:lvl w:ilvl="0" w:tentative="0">
      <w:start w:val="1"/>
      <w:numFmt w:val="decimal"/>
      <w:lvlText w:val="%1."/>
      <w:lvlJc w:val="left"/>
      <w:pPr>
        <w:tabs>
          <w:tab w:val="left" w:pos="0"/>
        </w:tabs>
        <w:ind w:left="980" w:hanging="420"/>
      </w:pPr>
      <w:rPr>
        <w:rFonts w:hint="eastAsia"/>
      </w:rPr>
    </w:lvl>
    <w:lvl w:ilvl="1" w:tentative="0">
      <w:start w:val="1"/>
      <w:numFmt w:val="decimal"/>
      <w:lvlText w:val="%2．"/>
      <w:lvlJc w:val="left"/>
      <w:pPr>
        <w:tabs>
          <w:tab w:val="left" w:pos="0"/>
        </w:tabs>
        <w:ind w:left="1400" w:hanging="420"/>
      </w:pPr>
      <w:rPr>
        <w:rFonts w:hint="eastAsia"/>
      </w:rPr>
    </w:lvl>
    <w:lvl w:ilvl="2" w:tentative="0">
      <w:start w:val="3"/>
      <w:numFmt w:val="decimal"/>
      <w:lvlText w:val="%3"/>
      <w:lvlJc w:val="left"/>
      <w:pPr>
        <w:tabs>
          <w:tab w:val="left" w:pos="0"/>
        </w:tabs>
        <w:ind w:left="1760" w:hanging="360"/>
      </w:pPr>
      <w:rPr>
        <w:rFonts w:hint="default"/>
      </w:rPr>
    </w:lvl>
    <w:lvl w:ilvl="3" w:tentative="0">
      <w:start w:val="1"/>
      <w:numFmt w:val="decimal"/>
      <w:lvlText w:val="%4."/>
      <w:lvlJc w:val="left"/>
      <w:pPr>
        <w:tabs>
          <w:tab w:val="left" w:pos="0"/>
        </w:tabs>
        <w:ind w:left="2240" w:hanging="420"/>
      </w:pPr>
    </w:lvl>
    <w:lvl w:ilvl="4" w:tentative="0">
      <w:start w:val="1"/>
      <w:numFmt w:val="lowerLetter"/>
      <w:lvlText w:val="%5)"/>
      <w:lvlJc w:val="left"/>
      <w:pPr>
        <w:tabs>
          <w:tab w:val="left" w:pos="0"/>
        </w:tabs>
        <w:ind w:left="2660" w:hanging="420"/>
      </w:pPr>
    </w:lvl>
    <w:lvl w:ilvl="5" w:tentative="0">
      <w:start w:val="1"/>
      <w:numFmt w:val="lowerRoman"/>
      <w:lvlText w:val="%6."/>
      <w:lvlJc w:val="right"/>
      <w:pPr>
        <w:tabs>
          <w:tab w:val="left" w:pos="0"/>
        </w:tabs>
        <w:ind w:left="3080" w:hanging="420"/>
      </w:pPr>
    </w:lvl>
    <w:lvl w:ilvl="6" w:tentative="0">
      <w:start w:val="1"/>
      <w:numFmt w:val="decimal"/>
      <w:lvlText w:val="%7."/>
      <w:lvlJc w:val="left"/>
      <w:pPr>
        <w:tabs>
          <w:tab w:val="left" w:pos="0"/>
        </w:tabs>
        <w:ind w:left="3500" w:hanging="420"/>
      </w:pPr>
    </w:lvl>
    <w:lvl w:ilvl="7" w:tentative="0">
      <w:start w:val="1"/>
      <w:numFmt w:val="lowerLetter"/>
      <w:lvlText w:val="%8)"/>
      <w:lvlJc w:val="left"/>
      <w:pPr>
        <w:tabs>
          <w:tab w:val="left" w:pos="0"/>
        </w:tabs>
        <w:ind w:left="3920" w:hanging="420"/>
      </w:pPr>
    </w:lvl>
    <w:lvl w:ilvl="8" w:tentative="0">
      <w:start w:val="1"/>
      <w:numFmt w:val="lowerRoman"/>
      <w:lvlText w:val="%9."/>
      <w:lvlJc w:val="right"/>
      <w:pPr>
        <w:tabs>
          <w:tab w:val="left" w:pos="0"/>
        </w:tabs>
        <w:ind w:left="4340" w:hanging="420"/>
      </w:pPr>
    </w:lvl>
  </w:abstractNum>
  <w:abstractNum w:abstractNumId="84">
    <w:nsid w:val="744F3566"/>
    <w:multiLevelType w:val="singleLevel"/>
    <w:tmpl w:val="744F3566"/>
    <w:lvl w:ilvl="0" w:tentative="0">
      <w:start w:val="2"/>
      <w:numFmt w:val="decimal"/>
      <w:suff w:val="nothing"/>
      <w:lvlText w:val="%1．"/>
      <w:lvlJc w:val="left"/>
      <w:pPr>
        <w:tabs>
          <w:tab w:val="left" w:pos="0"/>
        </w:tabs>
        <w:ind w:left="0" w:firstLine="0"/>
      </w:pPr>
    </w:lvl>
  </w:abstractNum>
  <w:abstractNum w:abstractNumId="85">
    <w:nsid w:val="7499D7B3"/>
    <w:multiLevelType w:val="multilevel"/>
    <w:tmpl w:val="7499D7B3"/>
    <w:lvl w:ilvl="0" w:tentative="0">
      <w:start w:val="1"/>
      <w:numFmt w:val="decimal"/>
      <w:lvlText w:val="第%1章"/>
      <w:lvlJc w:val="left"/>
      <w:pPr>
        <w:tabs>
          <w:tab w:val="left" w:pos="0"/>
        </w:tabs>
        <w:ind w:left="709" w:hanging="425"/>
      </w:pPr>
      <w:rPr>
        <w:rFonts w:hint="default" w:ascii="Times New Roman" w:hAnsi="Times New Roman" w:eastAsia="宋体"/>
        <w:b/>
        <w:i w:val="0"/>
        <w:sz w:val="32"/>
        <w:szCs w:val="32"/>
      </w:rPr>
    </w:lvl>
    <w:lvl w:ilvl="1" w:tentative="0">
      <w:start w:val="1"/>
      <w:numFmt w:val="decimal"/>
      <w:suff w:val="nothing"/>
      <w:lvlText w:val="%1.%2"/>
      <w:lvlJc w:val="left"/>
      <w:pPr>
        <w:tabs>
          <w:tab w:val="left" w:pos="0"/>
        </w:tabs>
        <w:ind w:left="851" w:hanging="567"/>
      </w:pPr>
      <w:rPr>
        <w:rFonts w:hint="default" w:ascii="Times New Roman" w:hAnsi="Times New Roman" w:eastAsia="宋体"/>
        <w:b/>
        <w:i w:val="0"/>
        <w:color w:val="auto"/>
        <w:sz w:val="36"/>
        <w:szCs w:val="36"/>
      </w:rPr>
    </w:lvl>
    <w:lvl w:ilvl="2" w:tentative="0">
      <w:start w:val="1"/>
      <w:numFmt w:val="decimal"/>
      <w:suff w:val="space"/>
      <w:lvlText w:val="%1.%2.%3"/>
      <w:lvlJc w:val="left"/>
      <w:pPr>
        <w:tabs>
          <w:tab w:val="left" w:pos="0"/>
        </w:tabs>
        <w:ind w:left="851" w:hanging="567"/>
      </w:pPr>
      <w:rPr>
        <w:rFonts w:hint="default" w:ascii="Times New Roman" w:hAnsi="Times New Roman" w:cs="Times New Roman"/>
        <w:b/>
        <w:i w:val="0"/>
        <w:sz w:val="24"/>
        <w:szCs w:val="24"/>
      </w:rPr>
    </w:lvl>
    <w:lvl w:ilvl="3" w:tentative="0">
      <w:start w:val="1"/>
      <w:numFmt w:val="decimal"/>
      <w:suff w:val="nothing"/>
      <w:lvlText w:val="%1.%2.%3.%4"/>
      <w:lvlJc w:val="left"/>
      <w:pPr>
        <w:tabs>
          <w:tab w:val="left" w:pos="0"/>
        </w:tabs>
        <w:ind w:left="1701" w:hanging="708"/>
      </w:pPr>
      <w:rPr>
        <w:rFonts w:hint="default" w:ascii="Times New Roman" w:hAnsi="Times New Roman" w:eastAsia="宋体" w:cs="Calibri"/>
        <w:b/>
        <w:color w:val="auto"/>
        <w:sz w:val="24"/>
        <w:szCs w:val="28"/>
      </w:rPr>
    </w:lvl>
    <w:lvl w:ilvl="4" w:tentative="0">
      <w:start w:val="1"/>
      <w:numFmt w:val="decimal"/>
      <w:pStyle w:val="304"/>
      <w:lvlText w:val="%1.%2.%3.%4.%5"/>
      <w:lvlJc w:val="left"/>
      <w:pPr>
        <w:tabs>
          <w:tab w:val="left" w:pos="0"/>
        </w:tabs>
        <w:ind w:left="2551" w:hanging="850"/>
      </w:pPr>
      <w:rPr>
        <w:rFonts w:hint="default" w:ascii="Times New Roman" w:hAnsi="Times New Roman" w:cs="Times New Roman"/>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num w:numId="1">
    <w:abstractNumId w:val="43"/>
  </w:num>
  <w:num w:numId="2">
    <w:abstractNumId w:val="18"/>
  </w:num>
  <w:num w:numId="3">
    <w:abstractNumId w:val="35"/>
  </w:num>
  <w:num w:numId="4">
    <w:abstractNumId w:val="51"/>
  </w:num>
  <w:num w:numId="5">
    <w:abstractNumId w:val="66"/>
  </w:num>
  <w:num w:numId="6">
    <w:abstractNumId w:val="16"/>
  </w:num>
  <w:num w:numId="7">
    <w:abstractNumId w:val="63"/>
  </w:num>
  <w:num w:numId="8">
    <w:abstractNumId w:val="47"/>
  </w:num>
  <w:num w:numId="9">
    <w:abstractNumId w:val="45"/>
  </w:num>
  <w:num w:numId="10">
    <w:abstractNumId w:val="38"/>
  </w:num>
  <w:num w:numId="11">
    <w:abstractNumId w:val="61"/>
  </w:num>
  <w:num w:numId="12">
    <w:abstractNumId w:val="23"/>
  </w:num>
  <w:num w:numId="13">
    <w:abstractNumId w:val="72"/>
  </w:num>
  <w:num w:numId="14">
    <w:abstractNumId w:val="64"/>
  </w:num>
  <w:num w:numId="15">
    <w:abstractNumId w:val="53"/>
  </w:num>
  <w:num w:numId="16">
    <w:abstractNumId w:val="34"/>
  </w:num>
  <w:num w:numId="17">
    <w:abstractNumId w:val="13"/>
  </w:num>
  <w:num w:numId="18">
    <w:abstractNumId w:val="85"/>
  </w:num>
  <w:num w:numId="19">
    <w:abstractNumId w:val="52"/>
  </w:num>
  <w:num w:numId="20">
    <w:abstractNumId w:val="82"/>
  </w:num>
  <w:num w:numId="21">
    <w:abstractNumId w:val="5"/>
  </w:num>
  <w:num w:numId="22">
    <w:abstractNumId w:val="80"/>
  </w:num>
  <w:num w:numId="23">
    <w:abstractNumId w:val="27"/>
  </w:num>
  <w:num w:numId="24">
    <w:abstractNumId w:val="76"/>
  </w:num>
  <w:num w:numId="25">
    <w:abstractNumId w:val="81"/>
  </w:num>
  <w:num w:numId="26">
    <w:abstractNumId w:val="58"/>
  </w:num>
  <w:num w:numId="27">
    <w:abstractNumId w:val="84"/>
  </w:num>
  <w:num w:numId="28">
    <w:abstractNumId w:val="83"/>
  </w:num>
  <w:num w:numId="29">
    <w:abstractNumId w:val="28"/>
  </w:num>
  <w:num w:numId="30">
    <w:abstractNumId w:val="36"/>
  </w:num>
  <w:num w:numId="31">
    <w:abstractNumId w:val="40"/>
  </w:num>
  <w:num w:numId="32">
    <w:abstractNumId w:val="4"/>
  </w:num>
  <w:num w:numId="33">
    <w:abstractNumId w:val="19"/>
  </w:num>
  <w:num w:numId="34">
    <w:abstractNumId w:val="65"/>
  </w:num>
  <w:num w:numId="35">
    <w:abstractNumId w:val="20"/>
  </w:num>
  <w:num w:numId="36">
    <w:abstractNumId w:val="77"/>
  </w:num>
  <w:num w:numId="37">
    <w:abstractNumId w:val="71"/>
  </w:num>
  <w:num w:numId="38">
    <w:abstractNumId w:val="75"/>
  </w:num>
  <w:num w:numId="39">
    <w:abstractNumId w:val="22"/>
  </w:num>
  <w:num w:numId="40">
    <w:abstractNumId w:val="59"/>
  </w:num>
  <w:num w:numId="41">
    <w:abstractNumId w:val="32"/>
  </w:num>
  <w:num w:numId="42">
    <w:abstractNumId w:val="48"/>
  </w:num>
  <w:num w:numId="43">
    <w:abstractNumId w:val="1"/>
  </w:num>
  <w:num w:numId="44">
    <w:abstractNumId w:val="15"/>
  </w:num>
  <w:num w:numId="45">
    <w:abstractNumId w:val="44"/>
  </w:num>
  <w:num w:numId="46">
    <w:abstractNumId w:val="70"/>
  </w:num>
  <w:num w:numId="47">
    <w:abstractNumId w:val="78"/>
  </w:num>
  <w:num w:numId="48">
    <w:abstractNumId w:val="21"/>
  </w:num>
  <w:num w:numId="49">
    <w:abstractNumId w:val="10"/>
  </w:num>
  <w:num w:numId="50">
    <w:abstractNumId w:val="46"/>
  </w:num>
  <w:num w:numId="51">
    <w:abstractNumId w:val="39"/>
  </w:num>
  <w:num w:numId="52">
    <w:abstractNumId w:val="17"/>
  </w:num>
  <w:num w:numId="53">
    <w:abstractNumId w:val="67"/>
  </w:num>
  <w:num w:numId="54">
    <w:abstractNumId w:val="0"/>
  </w:num>
  <w:num w:numId="55">
    <w:abstractNumId w:val="55"/>
  </w:num>
  <w:num w:numId="56">
    <w:abstractNumId w:val="79"/>
  </w:num>
  <w:num w:numId="57">
    <w:abstractNumId w:val="68"/>
  </w:num>
  <w:num w:numId="58">
    <w:abstractNumId w:val="41"/>
  </w:num>
  <w:num w:numId="59">
    <w:abstractNumId w:val="2"/>
  </w:num>
  <w:num w:numId="60">
    <w:abstractNumId w:val="24"/>
  </w:num>
  <w:num w:numId="61">
    <w:abstractNumId w:val="49"/>
  </w:num>
  <w:num w:numId="62">
    <w:abstractNumId w:val="54"/>
  </w:num>
  <w:num w:numId="63">
    <w:abstractNumId w:val="73"/>
  </w:num>
  <w:num w:numId="64">
    <w:abstractNumId w:val="29"/>
  </w:num>
  <w:num w:numId="65">
    <w:abstractNumId w:val="60"/>
  </w:num>
  <w:num w:numId="66">
    <w:abstractNumId w:val="74"/>
  </w:num>
  <w:num w:numId="67">
    <w:abstractNumId w:val="11"/>
  </w:num>
  <w:num w:numId="68">
    <w:abstractNumId w:val="3"/>
  </w:num>
  <w:num w:numId="69">
    <w:abstractNumId w:val="69"/>
  </w:num>
  <w:num w:numId="70">
    <w:abstractNumId w:val="9"/>
  </w:num>
  <w:num w:numId="71">
    <w:abstractNumId w:val="42"/>
  </w:num>
  <w:num w:numId="72">
    <w:abstractNumId w:val="33"/>
  </w:num>
  <w:num w:numId="73">
    <w:abstractNumId w:val="8"/>
  </w:num>
  <w:num w:numId="74">
    <w:abstractNumId w:val="6"/>
  </w:num>
  <w:num w:numId="75">
    <w:abstractNumId w:val="26"/>
  </w:num>
  <w:num w:numId="76">
    <w:abstractNumId w:val="7"/>
  </w:num>
  <w:num w:numId="77">
    <w:abstractNumId w:val="14"/>
  </w:num>
  <w:num w:numId="78">
    <w:abstractNumId w:val="62"/>
  </w:num>
  <w:num w:numId="79">
    <w:abstractNumId w:val="25"/>
  </w:num>
  <w:num w:numId="80">
    <w:abstractNumId w:val="50"/>
  </w:num>
  <w:num w:numId="81">
    <w:abstractNumId w:val="30"/>
  </w:num>
  <w:num w:numId="82">
    <w:abstractNumId w:val="56"/>
  </w:num>
  <w:num w:numId="83">
    <w:abstractNumId w:val="31"/>
  </w:num>
  <w:num w:numId="84">
    <w:abstractNumId w:val="57"/>
  </w:num>
  <w:num w:numId="85">
    <w:abstractNumId w:val="37"/>
  </w:num>
  <w:num w:numId="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51"/>
  <w:drawingGridHorizontalSpacing w:val="321"/>
  <w:drawingGridVerticalSpacing w:val="22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4"/>
  </w:compat>
  <w:docVars>
    <w:docVar w:name="commondata" w:val="eyJoZGlkIjoiMjY1M2MwNWUxNmMyYzc0YjZiZjE4YmE4NWQyYzZjODAifQ=="/>
  </w:docVars>
  <w:rsids>
    <w:rsidRoot w:val="00000000"/>
    <w:rsid w:val="00337586"/>
    <w:rsid w:val="00704336"/>
    <w:rsid w:val="00A67D58"/>
    <w:rsid w:val="00FC3E1B"/>
    <w:rsid w:val="016142BD"/>
    <w:rsid w:val="01620D06"/>
    <w:rsid w:val="017B16DC"/>
    <w:rsid w:val="01AB335C"/>
    <w:rsid w:val="03280EF8"/>
    <w:rsid w:val="03BD5AE4"/>
    <w:rsid w:val="05ED32BD"/>
    <w:rsid w:val="06BD0B7D"/>
    <w:rsid w:val="08F33D56"/>
    <w:rsid w:val="098E1A6C"/>
    <w:rsid w:val="0A927844"/>
    <w:rsid w:val="0B7359A8"/>
    <w:rsid w:val="0C6F167F"/>
    <w:rsid w:val="0CA422C8"/>
    <w:rsid w:val="0CFE7810"/>
    <w:rsid w:val="0DC108C7"/>
    <w:rsid w:val="0EDB1D81"/>
    <w:rsid w:val="0F6C5FBE"/>
    <w:rsid w:val="0FC401FA"/>
    <w:rsid w:val="0FFC7181"/>
    <w:rsid w:val="10312B4B"/>
    <w:rsid w:val="105B5E7F"/>
    <w:rsid w:val="107E2A9F"/>
    <w:rsid w:val="108160EB"/>
    <w:rsid w:val="124E5164"/>
    <w:rsid w:val="13451652"/>
    <w:rsid w:val="13511DA5"/>
    <w:rsid w:val="13C12EF3"/>
    <w:rsid w:val="163C27B6"/>
    <w:rsid w:val="16C52DE3"/>
    <w:rsid w:val="16DB6AC8"/>
    <w:rsid w:val="177469AA"/>
    <w:rsid w:val="187D2890"/>
    <w:rsid w:val="195E346D"/>
    <w:rsid w:val="197D3DE3"/>
    <w:rsid w:val="198F7ACB"/>
    <w:rsid w:val="19924EC5"/>
    <w:rsid w:val="1AC50222"/>
    <w:rsid w:val="1B1B2B6E"/>
    <w:rsid w:val="1CA53161"/>
    <w:rsid w:val="1CAE7EB9"/>
    <w:rsid w:val="1D863B00"/>
    <w:rsid w:val="1F212F73"/>
    <w:rsid w:val="20B10327"/>
    <w:rsid w:val="232C638A"/>
    <w:rsid w:val="24AF4B7D"/>
    <w:rsid w:val="253F4153"/>
    <w:rsid w:val="25AB17E9"/>
    <w:rsid w:val="25DD15C5"/>
    <w:rsid w:val="270F7B55"/>
    <w:rsid w:val="276E2ACE"/>
    <w:rsid w:val="29500764"/>
    <w:rsid w:val="29A17DE1"/>
    <w:rsid w:val="29D95CF3"/>
    <w:rsid w:val="2C8B5ED0"/>
    <w:rsid w:val="2D371BB4"/>
    <w:rsid w:val="2DF86A5D"/>
    <w:rsid w:val="30C916BD"/>
    <w:rsid w:val="32BC3287"/>
    <w:rsid w:val="335B2446"/>
    <w:rsid w:val="33893030"/>
    <w:rsid w:val="33D939C5"/>
    <w:rsid w:val="33DF6B01"/>
    <w:rsid w:val="34DF500B"/>
    <w:rsid w:val="34DF5708"/>
    <w:rsid w:val="36E136C4"/>
    <w:rsid w:val="3702309F"/>
    <w:rsid w:val="374D654E"/>
    <w:rsid w:val="37F724C5"/>
    <w:rsid w:val="39550B5F"/>
    <w:rsid w:val="39BE5B37"/>
    <w:rsid w:val="3C813F33"/>
    <w:rsid w:val="3D673DEF"/>
    <w:rsid w:val="3DD31E29"/>
    <w:rsid w:val="3E126451"/>
    <w:rsid w:val="3E3445AF"/>
    <w:rsid w:val="3FA01349"/>
    <w:rsid w:val="41257814"/>
    <w:rsid w:val="42FE392C"/>
    <w:rsid w:val="43B753A5"/>
    <w:rsid w:val="44366C11"/>
    <w:rsid w:val="45224346"/>
    <w:rsid w:val="462638EC"/>
    <w:rsid w:val="46E83D20"/>
    <w:rsid w:val="48142DC6"/>
    <w:rsid w:val="4CD57E92"/>
    <w:rsid w:val="4CF3744D"/>
    <w:rsid w:val="4E0769D3"/>
    <w:rsid w:val="4E0B21B7"/>
    <w:rsid w:val="4E597784"/>
    <w:rsid w:val="4FBF2ED5"/>
    <w:rsid w:val="501D1893"/>
    <w:rsid w:val="505758FC"/>
    <w:rsid w:val="51C05DA5"/>
    <w:rsid w:val="535838AF"/>
    <w:rsid w:val="53B449FF"/>
    <w:rsid w:val="53D77AC9"/>
    <w:rsid w:val="550513F1"/>
    <w:rsid w:val="56E24164"/>
    <w:rsid w:val="5881407B"/>
    <w:rsid w:val="59DC5CA4"/>
    <w:rsid w:val="5AA77AC9"/>
    <w:rsid w:val="5B933F7A"/>
    <w:rsid w:val="5BBB3030"/>
    <w:rsid w:val="5BBD2D03"/>
    <w:rsid w:val="5BC278ED"/>
    <w:rsid w:val="5C2A2760"/>
    <w:rsid w:val="5D4A23CF"/>
    <w:rsid w:val="5ED2711B"/>
    <w:rsid w:val="5EE563AD"/>
    <w:rsid w:val="610E16A8"/>
    <w:rsid w:val="62C70D09"/>
    <w:rsid w:val="634A36E8"/>
    <w:rsid w:val="6360669F"/>
    <w:rsid w:val="63A27AEF"/>
    <w:rsid w:val="63C92321"/>
    <w:rsid w:val="644D348F"/>
    <w:rsid w:val="65527A91"/>
    <w:rsid w:val="66952ECC"/>
    <w:rsid w:val="67A535E2"/>
    <w:rsid w:val="67C46177"/>
    <w:rsid w:val="68EE30EC"/>
    <w:rsid w:val="6A4914B5"/>
    <w:rsid w:val="6C965672"/>
    <w:rsid w:val="6D417F70"/>
    <w:rsid w:val="6D4D4500"/>
    <w:rsid w:val="6FEF50B2"/>
    <w:rsid w:val="70F158F3"/>
    <w:rsid w:val="71171F73"/>
    <w:rsid w:val="71BC14DC"/>
    <w:rsid w:val="721675B7"/>
    <w:rsid w:val="727D24DE"/>
    <w:rsid w:val="735107F8"/>
    <w:rsid w:val="73A85BA3"/>
    <w:rsid w:val="7437133B"/>
    <w:rsid w:val="751A78E9"/>
    <w:rsid w:val="75647243"/>
    <w:rsid w:val="75671ED7"/>
    <w:rsid w:val="759E7696"/>
    <w:rsid w:val="75B6295B"/>
    <w:rsid w:val="77361931"/>
    <w:rsid w:val="78F75435"/>
    <w:rsid w:val="793B1D14"/>
    <w:rsid w:val="79E21722"/>
    <w:rsid w:val="7A756E44"/>
    <w:rsid w:val="7B0012DD"/>
    <w:rsid w:val="7C582E95"/>
    <w:rsid w:val="7C6D0E65"/>
    <w:rsid w:val="7CAF0AC1"/>
    <w:rsid w:val="7CEA3B1A"/>
    <w:rsid w:val="7D566D23"/>
    <w:rsid w:val="7D822A8A"/>
    <w:rsid w:val="7DEE13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宋体" w:hAnsi="Times New Roman" w:eastAsia="宋体" w:cs="Times New Roman"/>
      <w:b/>
      <w:color w:val="000000"/>
      <w:sz w:val="32"/>
      <w:szCs w:val="32"/>
      <w:lang w:val="zh-CN" w:eastAsia="zh-CN" w:bidi="ar-SA"/>
    </w:rPr>
  </w:style>
  <w:style w:type="paragraph" w:styleId="2">
    <w:name w:val="heading 1"/>
    <w:basedOn w:val="1"/>
    <w:next w:val="1"/>
    <w:qFormat/>
    <w:uiPriority w:val="0"/>
    <w:pPr>
      <w:keepNext/>
      <w:keepLines/>
      <w:widowControl w:val="0"/>
      <w:tabs>
        <w:tab w:val="left" w:pos="709"/>
      </w:tabs>
      <w:spacing w:before="340" w:after="330" w:line="400" w:lineRule="exact"/>
      <w:ind w:firstLine="0" w:firstLineChars="0"/>
      <w:jc w:val="center"/>
      <w:outlineLvl w:val="0"/>
    </w:pPr>
    <w:rPr>
      <w:b w:val="0"/>
      <w:color w:val="000000"/>
      <w:kern w:val="44"/>
    </w:rPr>
  </w:style>
  <w:style w:type="paragraph" w:styleId="3">
    <w:name w:val="heading 2"/>
    <w:basedOn w:val="1"/>
    <w:next w:val="4"/>
    <w:qFormat/>
    <w:uiPriority w:val="0"/>
    <w:pPr>
      <w:keepNext/>
      <w:widowControl w:val="0"/>
      <w:tabs>
        <w:tab w:val="left" w:pos="567"/>
      </w:tabs>
      <w:spacing w:before="260" w:after="260" w:line="360" w:lineRule="auto"/>
      <w:jc w:val="left"/>
      <w:outlineLvl w:val="1"/>
    </w:pPr>
    <w:rPr>
      <w:rFonts w:ascii="宋体" w:eastAsia="宋体"/>
      <w:b w:val="0"/>
      <w:bCs/>
      <w:sz w:val="28"/>
      <w:szCs w:val="28"/>
    </w:rPr>
  </w:style>
  <w:style w:type="paragraph" w:styleId="5">
    <w:name w:val="heading 3"/>
    <w:basedOn w:val="1"/>
    <w:next w:val="1"/>
    <w:qFormat/>
    <w:uiPriority w:val="0"/>
    <w:pPr>
      <w:keepNext/>
      <w:keepLines/>
      <w:widowControl w:val="0"/>
      <w:tabs>
        <w:tab w:val="left" w:pos="709"/>
      </w:tabs>
      <w:jc w:val="center"/>
      <w:outlineLvl w:val="2"/>
    </w:pPr>
    <w:rPr>
      <w:rFonts w:ascii="Times New Roman" w:hAnsi="Times New Roman" w:eastAsia="仿宋"/>
      <w:bCs/>
      <w:color w:val="000000"/>
      <w:kern w:val="2"/>
      <w:sz w:val="30"/>
      <w:szCs w:val="28"/>
    </w:rPr>
  </w:style>
  <w:style w:type="paragraph" w:styleId="6">
    <w:name w:val="heading 4"/>
    <w:basedOn w:val="1"/>
    <w:next w:val="1"/>
    <w:qFormat/>
    <w:uiPriority w:val="0"/>
    <w:pPr>
      <w:keepNext/>
      <w:keepLines/>
      <w:widowControl w:val="0"/>
      <w:numPr>
        <w:ilvl w:val="3"/>
        <w:numId w:val="1"/>
      </w:numPr>
      <w:spacing w:before="280" w:after="290" w:line="377" w:lineRule="auto"/>
      <w:ind w:firstLineChars="0"/>
      <w:outlineLvl w:val="3"/>
    </w:pPr>
    <w:rPr>
      <w:b w:val="0"/>
      <w:bCs/>
      <w:color w:val="auto"/>
      <w:kern w:val="2"/>
      <w:sz w:val="28"/>
      <w:szCs w:val="28"/>
    </w:rPr>
  </w:style>
  <w:style w:type="paragraph" w:styleId="7">
    <w:name w:val="heading 5"/>
    <w:basedOn w:val="1"/>
    <w:next w:val="1"/>
    <w:qFormat/>
    <w:uiPriority w:val="0"/>
    <w:pPr>
      <w:tabs>
        <w:tab w:val="left" w:pos="992"/>
        <w:tab w:val="left" w:pos="1134"/>
      </w:tabs>
      <w:spacing w:before="280" w:after="290" w:line="360" w:lineRule="auto"/>
      <w:ind w:left="992"/>
      <w:outlineLvl w:val="4"/>
    </w:pPr>
    <w:rPr>
      <w:rFonts w:ascii="Times New Roman" w:hAnsi="Times New Roman"/>
      <w:bCs/>
      <w:color w:val="auto"/>
      <w:sz w:val="28"/>
      <w:szCs w:val="28"/>
    </w:rPr>
  </w:style>
  <w:style w:type="paragraph" w:styleId="8">
    <w:name w:val="heading 6"/>
    <w:basedOn w:val="1"/>
    <w:next w:val="1"/>
    <w:qFormat/>
    <w:uiPriority w:val="0"/>
    <w:pPr>
      <w:keepNext/>
      <w:keepLines/>
      <w:widowControl w:val="0"/>
      <w:tabs>
        <w:tab w:val="left" w:pos="1134"/>
      </w:tabs>
      <w:spacing w:before="240" w:after="64" w:line="317" w:lineRule="auto"/>
      <w:ind w:left="1134"/>
      <w:outlineLvl w:val="5"/>
    </w:pPr>
    <w:rPr>
      <w:rFonts w:ascii="Arial" w:hAnsi="Arial"/>
      <w:bCs/>
      <w:color w:val="auto"/>
      <w:sz w:val="28"/>
      <w:szCs w:val="18"/>
    </w:rPr>
  </w:style>
  <w:style w:type="paragraph" w:styleId="9">
    <w:name w:val="heading 7"/>
    <w:basedOn w:val="1"/>
    <w:next w:val="1"/>
    <w:qFormat/>
    <w:uiPriority w:val="0"/>
    <w:pPr>
      <w:keepNext/>
      <w:keepLines/>
      <w:widowControl w:val="0"/>
      <w:spacing w:before="240" w:after="64" w:line="319" w:lineRule="auto"/>
      <w:outlineLvl w:val="6"/>
    </w:pPr>
    <w:rPr>
      <w:rFonts w:ascii="Times New Roman" w:hAnsi="Times New Roman"/>
      <w:bCs/>
      <w:color w:val="auto"/>
      <w:kern w:val="2"/>
      <w:sz w:val="24"/>
      <w:szCs w:val="24"/>
    </w:rPr>
  </w:style>
  <w:style w:type="paragraph" w:styleId="10">
    <w:name w:val="heading 8"/>
    <w:basedOn w:val="1"/>
    <w:next w:val="1"/>
    <w:qFormat/>
    <w:uiPriority w:val="0"/>
    <w:pPr>
      <w:keepNext/>
      <w:keepLines/>
      <w:widowControl w:val="0"/>
      <w:spacing w:before="240" w:after="64" w:line="319" w:lineRule="auto"/>
      <w:outlineLvl w:val="7"/>
    </w:pPr>
    <w:rPr>
      <w:rFonts w:ascii="Cambria" w:hAnsi="Cambria"/>
      <w:b w:val="0"/>
      <w:color w:val="auto"/>
      <w:kern w:val="2"/>
      <w:sz w:val="24"/>
      <w:szCs w:val="24"/>
    </w:rPr>
  </w:style>
  <w:style w:type="paragraph" w:styleId="11">
    <w:name w:val="heading 9"/>
    <w:basedOn w:val="1"/>
    <w:next w:val="1"/>
    <w:qFormat/>
    <w:uiPriority w:val="0"/>
    <w:pPr>
      <w:keepNext/>
      <w:keepLines/>
      <w:widowControl w:val="0"/>
      <w:spacing w:before="240" w:after="64" w:line="319" w:lineRule="auto"/>
      <w:outlineLvl w:val="8"/>
    </w:pPr>
    <w:rPr>
      <w:rFonts w:ascii="Arial" w:hAnsi="Arial" w:eastAsia="黑体"/>
      <w:b w:val="0"/>
      <w:color w:val="auto"/>
      <w:kern w:val="2"/>
      <w:sz w:val="21"/>
      <w:szCs w:val="21"/>
    </w:rPr>
  </w:style>
  <w:style w:type="character" w:default="1" w:styleId="82">
    <w:name w:val="Default Paragraph Font"/>
    <w:qFormat/>
    <w:uiPriority w:val="0"/>
  </w:style>
  <w:style w:type="table" w:default="1" w:styleId="8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200" w:firstLineChars="200"/>
    </w:pPr>
    <w:rPr>
      <w:rFonts w:ascii="Times New Roman" w:hAnsi="Times New Roman"/>
      <w:b w:val="0"/>
      <w:color w:val="auto"/>
      <w:kern w:val="2"/>
      <w:sz w:val="21"/>
      <w:szCs w:val="24"/>
      <w:lang w:val="en-US"/>
    </w:rPr>
  </w:style>
  <w:style w:type="paragraph" w:styleId="12">
    <w:name w:val="List 3"/>
    <w:basedOn w:val="1"/>
    <w:qFormat/>
    <w:uiPriority w:val="0"/>
    <w:pPr>
      <w:ind w:left="600" w:leftChars="400" w:hanging="200" w:hangingChars="200"/>
    </w:pPr>
    <w:rPr>
      <w:rFonts w:ascii="Calibri" w:hAnsi="Calibri"/>
      <w:szCs w:val="22"/>
    </w:rPr>
  </w:style>
  <w:style w:type="paragraph" w:styleId="13">
    <w:name w:val="toc 7"/>
    <w:basedOn w:val="1"/>
    <w:next w:val="1"/>
    <w:qFormat/>
    <w:uiPriority w:val="0"/>
    <w:pPr>
      <w:ind w:left="1920"/>
      <w:jc w:val="left"/>
    </w:pPr>
    <w:rPr>
      <w:rFonts w:ascii="Calibri" w:hAnsi="Calibri"/>
      <w:b w:val="0"/>
      <w:sz w:val="18"/>
      <w:szCs w:val="18"/>
    </w:rPr>
  </w:style>
  <w:style w:type="paragraph" w:styleId="14">
    <w:name w:val="List Number 2"/>
    <w:basedOn w:val="1"/>
    <w:qFormat/>
    <w:uiPriority w:val="0"/>
    <w:pPr>
      <w:numPr>
        <w:ilvl w:val="0"/>
        <w:numId w:val="2"/>
      </w:numPr>
      <w:tabs>
        <w:tab w:val="left" w:pos="780"/>
      </w:tabs>
      <w:ind w:firstLineChars="0"/>
    </w:pPr>
    <w:rPr>
      <w:rFonts w:ascii="Calibri" w:hAnsi="Calibri"/>
      <w:szCs w:val="22"/>
    </w:rPr>
  </w:style>
  <w:style w:type="paragraph" w:styleId="15">
    <w:name w:val="table of authorities"/>
    <w:basedOn w:val="1"/>
    <w:next w:val="1"/>
    <w:qFormat/>
    <w:uiPriority w:val="0"/>
    <w:pPr>
      <w:ind w:left="200" w:leftChars="200"/>
    </w:pPr>
    <w:rPr>
      <w:sz w:val="21"/>
    </w:rPr>
  </w:style>
  <w:style w:type="paragraph" w:styleId="16">
    <w:name w:val="Note Heading"/>
    <w:basedOn w:val="1"/>
    <w:next w:val="1"/>
    <w:qFormat/>
    <w:uiPriority w:val="0"/>
    <w:pPr>
      <w:jc w:val="center"/>
    </w:pPr>
    <w:rPr>
      <w:rFonts w:ascii="Calibri" w:hAnsi="Calibri"/>
      <w:b w:val="0"/>
      <w:color w:val="auto"/>
      <w:kern w:val="2"/>
      <w:sz w:val="21"/>
      <w:szCs w:val="22"/>
    </w:rPr>
  </w:style>
  <w:style w:type="paragraph" w:styleId="17">
    <w:name w:val="List Bullet 4"/>
    <w:basedOn w:val="1"/>
    <w:qFormat/>
    <w:uiPriority w:val="0"/>
    <w:pPr>
      <w:numPr>
        <w:ilvl w:val="0"/>
        <w:numId w:val="3"/>
      </w:numPr>
      <w:tabs>
        <w:tab w:val="left" w:pos="1620"/>
      </w:tabs>
      <w:ind w:firstLineChars="0"/>
    </w:pPr>
    <w:rPr>
      <w:rFonts w:ascii="Calibri" w:hAnsi="Calibri"/>
      <w:szCs w:val="22"/>
    </w:rPr>
  </w:style>
  <w:style w:type="paragraph" w:styleId="18">
    <w:name w:val="E-mail Signature"/>
    <w:basedOn w:val="1"/>
    <w:qFormat/>
    <w:uiPriority w:val="0"/>
    <w:rPr>
      <w:rFonts w:ascii="Calibri" w:hAnsi="Calibri"/>
      <w:b w:val="0"/>
      <w:color w:val="auto"/>
      <w:kern w:val="2"/>
      <w:sz w:val="21"/>
      <w:szCs w:val="22"/>
    </w:rPr>
  </w:style>
  <w:style w:type="paragraph" w:styleId="19">
    <w:name w:val="List Number"/>
    <w:basedOn w:val="1"/>
    <w:qFormat/>
    <w:uiPriority w:val="0"/>
    <w:pPr>
      <w:numPr>
        <w:ilvl w:val="0"/>
        <w:numId w:val="4"/>
      </w:numPr>
      <w:tabs>
        <w:tab w:val="left" w:pos="360"/>
      </w:tabs>
      <w:ind w:firstLineChars="0"/>
    </w:pPr>
    <w:rPr>
      <w:rFonts w:ascii="Calibri" w:hAnsi="Calibri"/>
      <w:szCs w:val="22"/>
    </w:rPr>
  </w:style>
  <w:style w:type="paragraph" w:styleId="20">
    <w:name w:val="caption"/>
    <w:basedOn w:val="1"/>
    <w:next w:val="1"/>
    <w:qFormat/>
    <w:uiPriority w:val="0"/>
    <w:pPr>
      <w:spacing w:before="152" w:after="160" w:line="360" w:lineRule="auto"/>
    </w:pPr>
    <w:rPr>
      <w:rFonts w:ascii="Arial" w:hAnsi="Arial" w:eastAsia="黑体" w:cs="Arial"/>
      <w:sz w:val="20"/>
      <w:szCs w:val="20"/>
    </w:rPr>
  </w:style>
  <w:style w:type="paragraph" w:styleId="21">
    <w:name w:val="List Bullet"/>
    <w:basedOn w:val="1"/>
    <w:qFormat/>
    <w:uiPriority w:val="0"/>
    <w:pPr>
      <w:numPr>
        <w:ilvl w:val="0"/>
        <w:numId w:val="5"/>
      </w:numPr>
      <w:tabs>
        <w:tab w:val="left" w:pos="360"/>
      </w:tabs>
      <w:ind w:firstLineChars="0"/>
    </w:pPr>
    <w:rPr>
      <w:rFonts w:ascii="Calibri" w:hAnsi="Calibri"/>
      <w:szCs w:val="22"/>
    </w:rPr>
  </w:style>
  <w:style w:type="paragraph" w:styleId="22">
    <w:name w:val="envelope address"/>
    <w:basedOn w:val="1"/>
    <w:qFormat/>
    <w:uiPriority w:val="0"/>
    <w:pPr>
      <w:snapToGrid w:val="0"/>
      <w:ind w:left="1400" w:leftChars="1400"/>
    </w:pPr>
    <w:rPr>
      <w:rFonts w:ascii="Arial" w:hAnsi="Arial" w:cs="Arial"/>
      <w:sz w:val="24"/>
    </w:rPr>
  </w:style>
  <w:style w:type="paragraph" w:styleId="23">
    <w:name w:val="Document Map"/>
    <w:basedOn w:val="1"/>
    <w:qFormat/>
    <w:uiPriority w:val="0"/>
    <w:rPr>
      <w:b w:val="0"/>
      <w:color w:val="auto"/>
      <w:kern w:val="2"/>
      <w:sz w:val="18"/>
      <w:szCs w:val="18"/>
    </w:rPr>
  </w:style>
  <w:style w:type="paragraph" w:styleId="24">
    <w:name w:val="toa heading"/>
    <w:basedOn w:val="1"/>
    <w:next w:val="1"/>
    <w:qFormat/>
    <w:uiPriority w:val="0"/>
    <w:pPr>
      <w:spacing w:before="120"/>
    </w:pPr>
    <w:rPr>
      <w:rFonts w:ascii="Arial" w:hAnsi="Arial" w:eastAsia="仿宋"/>
      <w:sz w:val="24"/>
      <w:szCs w:val="20"/>
    </w:rPr>
  </w:style>
  <w:style w:type="paragraph" w:styleId="25">
    <w:name w:val="annotation text"/>
    <w:basedOn w:val="1"/>
    <w:qFormat/>
    <w:uiPriority w:val="0"/>
    <w:pPr>
      <w:jc w:val="left"/>
    </w:pPr>
  </w:style>
  <w:style w:type="paragraph" w:styleId="26">
    <w:name w:val="Salutation"/>
    <w:basedOn w:val="1"/>
    <w:next w:val="1"/>
    <w:qFormat/>
    <w:uiPriority w:val="0"/>
    <w:rPr>
      <w:rFonts w:ascii="Times New Roman" w:hAnsi="Times New Roman" w:eastAsia="黑体"/>
      <w:b w:val="0"/>
      <w:color w:val="auto"/>
      <w:kern w:val="2"/>
      <w:sz w:val="24"/>
      <w:szCs w:val="24"/>
    </w:rPr>
  </w:style>
  <w:style w:type="paragraph" w:styleId="27">
    <w:name w:val="Body Text 3"/>
    <w:basedOn w:val="1"/>
    <w:qFormat/>
    <w:uiPriority w:val="0"/>
    <w:pPr>
      <w:widowControl/>
      <w:spacing w:after="120"/>
      <w:jc w:val="left"/>
    </w:pPr>
    <w:rPr>
      <w:rFonts w:ascii="Times New Roman" w:hAnsi="Times New Roman"/>
      <w:b w:val="0"/>
      <w:color w:val="auto"/>
      <w:sz w:val="16"/>
      <w:szCs w:val="16"/>
    </w:rPr>
  </w:style>
  <w:style w:type="paragraph" w:styleId="28">
    <w:name w:val="Closing"/>
    <w:basedOn w:val="1"/>
    <w:qFormat/>
    <w:uiPriority w:val="0"/>
    <w:pPr>
      <w:ind w:left="2100" w:leftChars="2100"/>
    </w:pPr>
    <w:rPr>
      <w:rFonts w:ascii="Calibri" w:hAnsi="Calibri"/>
      <w:b w:val="0"/>
      <w:color w:val="auto"/>
      <w:kern w:val="2"/>
      <w:sz w:val="21"/>
      <w:szCs w:val="22"/>
    </w:rPr>
  </w:style>
  <w:style w:type="paragraph" w:styleId="29">
    <w:name w:val="List Bullet 3"/>
    <w:basedOn w:val="1"/>
    <w:qFormat/>
    <w:uiPriority w:val="0"/>
    <w:pPr>
      <w:numPr>
        <w:ilvl w:val="0"/>
        <w:numId w:val="6"/>
      </w:numPr>
      <w:tabs>
        <w:tab w:val="left" w:pos="1200"/>
      </w:tabs>
      <w:ind w:firstLineChars="0"/>
    </w:pPr>
    <w:rPr>
      <w:rFonts w:ascii="Calibri" w:hAnsi="Calibri"/>
      <w:szCs w:val="22"/>
    </w:rPr>
  </w:style>
  <w:style w:type="paragraph" w:styleId="30">
    <w:name w:val="Body Text"/>
    <w:basedOn w:val="1"/>
    <w:next w:val="31"/>
    <w:qFormat/>
    <w:uiPriority w:val="0"/>
    <w:pPr>
      <w:spacing w:after="120"/>
    </w:pPr>
    <w:rPr>
      <w:rFonts w:ascii="Times New Roman" w:hAnsi="Times New Roman"/>
      <w:b w:val="0"/>
      <w:color w:val="auto"/>
      <w:kern w:val="2"/>
      <w:sz w:val="21"/>
      <w:szCs w:val="24"/>
    </w:rPr>
  </w:style>
  <w:style w:type="paragraph" w:customStyle="1" w:styleId="31">
    <w:name w:val="Default"/>
    <w:basedOn w:val="32"/>
    <w:next w:val="33"/>
    <w:qFormat/>
    <w:uiPriority w:val="0"/>
    <w:pPr>
      <w:widowControl w:val="0"/>
      <w:autoSpaceDE w:val="0"/>
      <w:autoSpaceDN w:val="0"/>
      <w:adjustRightInd w:val="0"/>
      <w:snapToGrid w:val="0"/>
    </w:pPr>
    <w:rPr>
      <w:rFonts w:ascii="Arial" w:hAnsi="Arial" w:cs="Arial"/>
      <w:color w:val="000000"/>
      <w:sz w:val="24"/>
      <w:szCs w:val="24"/>
      <w:lang w:val="en-US" w:eastAsia="zh-CN" w:bidi="ar-SA"/>
    </w:rPr>
  </w:style>
  <w:style w:type="paragraph" w:styleId="32">
    <w:name w:val="Title"/>
    <w:basedOn w:val="1"/>
    <w:next w:val="1"/>
    <w:qFormat/>
    <w:uiPriority w:val="0"/>
    <w:pPr>
      <w:spacing w:before="240" w:after="60"/>
      <w:jc w:val="center"/>
      <w:outlineLvl w:val="0"/>
    </w:pPr>
    <w:rPr>
      <w:rFonts w:ascii="Arial" w:hAnsi="Arial"/>
      <w:bCs/>
      <w:color w:val="auto"/>
      <w:kern w:val="2"/>
      <w:sz w:val="44"/>
    </w:rPr>
  </w:style>
  <w:style w:type="paragraph" w:customStyle="1" w:styleId="33">
    <w:name w:val="大标题"/>
    <w:basedOn w:val="1"/>
    <w:next w:val="34"/>
    <w:qFormat/>
    <w:uiPriority w:val="0"/>
    <w:pPr>
      <w:jc w:val="center"/>
    </w:pPr>
    <w:rPr>
      <w:rFonts w:ascii="宋体"/>
      <w:sz w:val="72"/>
    </w:rPr>
  </w:style>
  <w:style w:type="paragraph" w:styleId="34">
    <w:name w:val="Body Text First Indent 2"/>
    <w:basedOn w:val="35"/>
    <w:next w:val="1"/>
    <w:qFormat/>
    <w:uiPriority w:val="0"/>
    <w:pPr>
      <w:spacing w:after="120"/>
      <w:ind w:left="200" w:leftChars="200" w:firstLine="200" w:firstLineChars="200"/>
    </w:pPr>
    <w:rPr>
      <w:rFonts w:ascii="Calibri" w:hAnsi="Calibri"/>
      <w:kern w:val="2"/>
      <w:sz w:val="21"/>
      <w:szCs w:val="22"/>
    </w:rPr>
  </w:style>
  <w:style w:type="paragraph" w:styleId="35">
    <w:name w:val="Body Text Indent"/>
    <w:basedOn w:val="1"/>
    <w:next w:val="31"/>
    <w:qFormat/>
    <w:uiPriority w:val="0"/>
    <w:rPr>
      <w:rFonts w:ascii="Times New Roman" w:hAnsi="Times New Roman"/>
      <w:b w:val="0"/>
      <w:color w:val="auto"/>
      <w:sz w:val="20"/>
      <w:szCs w:val="24"/>
    </w:rPr>
  </w:style>
  <w:style w:type="paragraph" w:styleId="36">
    <w:name w:val="List Number 3"/>
    <w:basedOn w:val="1"/>
    <w:qFormat/>
    <w:uiPriority w:val="0"/>
    <w:pPr>
      <w:numPr>
        <w:ilvl w:val="0"/>
        <w:numId w:val="7"/>
      </w:numPr>
      <w:tabs>
        <w:tab w:val="left" w:pos="1200"/>
      </w:tabs>
      <w:ind w:firstLineChars="0"/>
    </w:pPr>
    <w:rPr>
      <w:rFonts w:ascii="Calibri" w:hAnsi="Calibri"/>
      <w:szCs w:val="22"/>
    </w:rPr>
  </w:style>
  <w:style w:type="paragraph" w:styleId="37">
    <w:name w:val="List 2"/>
    <w:basedOn w:val="1"/>
    <w:qFormat/>
    <w:uiPriority w:val="0"/>
    <w:pPr>
      <w:ind w:left="400" w:leftChars="200" w:hanging="200" w:hangingChars="200"/>
    </w:pPr>
    <w:rPr>
      <w:rFonts w:ascii="Calibri" w:hAnsi="Calibri"/>
      <w:szCs w:val="22"/>
    </w:rPr>
  </w:style>
  <w:style w:type="paragraph" w:styleId="38">
    <w:name w:val="List Continue"/>
    <w:basedOn w:val="1"/>
    <w:qFormat/>
    <w:uiPriority w:val="0"/>
    <w:pPr>
      <w:spacing w:after="120"/>
      <w:ind w:left="200" w:leftChars="200"/>
    </w:pPr>
    <w:rPr>
      <w:rFonts w:ascii="Calibri" w:hAnsi="Calibri"/>
      <w:szCs w:val="22"/>
    </w:rPr>
  </w:style>
  <w:style w:type="paragraph" w:styleId="39">
    <w:name w:val="Block Text"/>
    <w:basedOn w:val="1"/>
    <w:qFormat/>
    <w:uiPriority w:val="0"/>
    <w:pPr>
      <w:ind w:left="-257" w:leftChars="-257" w:right="-159" w:rightChars="-159" w:firstLine="180" w:firstLineChars="180"/>
    </w:pPr>
    <w:rPr>
      <w:sz w:val="30"/>
    </w:rPr>
  </w:style>
  <w:style w:type="paragraph" w:styleId="40">
    <w:name w:val="List Bullet 2"/>
    <w:basedOn w:val="1"/>
    <w:qFormat/>
    <w:uiPriority w:val="0"/>
    <w:pPr>
      <w:widowControl/>
      <w:adjustRightInd w:val="0"/>
      <w:snapToGrid w:val="0"/>
      <w:spacing w:before="120" w:line="360" w:lineRule="auto"/>
      <w:ind w:firstLine="200" w:firstLineChars="200"/>
      <w:jc w:val="left"/>
    </w:pPr>
    <w:rPr>
      <w:rFonts w:ascii="宋体"/>
      <w:spacing w:val="-5"/>
      <w:kern w:val="0"/>
      <w:sz w:val="28"/>
    </w:rPr>
  </w:style>
  <w:style w:type="paragraph" w:styleId="41">
    <w:name w:val="HTML Address"/>
    <w:basedOn w:val="1"/>
    <w:qFormat/>
    <w:uiPriority w:val="0"/>
    <w:rPr>
      <w:rFonts w:ascii="Calibri" w:hAnsi="Calibri"/>
      <w:b w:val="0"/>
      <w:i/>
      <w:iCs/>
      <w:color w:val="auto"/>
      <w:kern w:val="2"/>
      <w:sz w:val="21"/>
      <w:szCs w:val="22"/>
    </w:rPr>
  </w:style>
  <w:style w:type="paragraph" w:styleId="42">
    <w:name w:val="toc 5"/>
    <w:basedOn w:val="1"/>
    <w:next w:val="1"/>
    <w:qFormat/>
    <w:uiPriority w:val="0"/>
    <w:pPr>
      <w:ind w:left="1280"/>
      <w:jc w:val="left"/>
    </w:pPr>
    <w:rPr>
      <w:rFonts w:ascii="Calibri" w:hAnsi="Calibri"/>
      <w:b w:val="0"/>
      <w:sz w:val="18"/>
      <w:szCs w:val="18"/>
    </w:rPr>
  </w:style>
  <w:style w:type="paragraph" w:styleId="43">
    <w:name w:val="toc 3"/>
    <w:basedOn w:val="1"/>
    <w:next w:val="1"/>
    <w:qFormat/>
    <w:uiPriority w:val="0"/>
    <w:pPr>
      <w:ind w:left="640"/>
      <w:jc w:val="left"/>
    </w:pPr>
    <w:rPr>
      <w:rFonts w:ascii="Calibri" w:hAnsi="Calibri"/>
      <w:b w:val="0"/>
      <w:i/>
      <w:iCs/>
      <w:sz w:val="20"/>
      <w:szCs w:val="20"/>
    </w:rPr>
  </w:style>
  <w:style w:type="paragraph" w:styleId="44">
    <w:name w:val="Plain Text"/>
    <w:basedOn w:val="1"/>
    <w:qFormat/>
    <w:uiPriority w:val="0"/>
    <w:rPr>
      <w:b w:val="0"/>
      <w:color w:val="auto"/>
      <w:kern w:val="2"/>
      <w:sz w:val="21"/>
      <w:szCs w:val="20"/>
      <w:lang w:val="en-US"/>
    </w:rPr>
  </w:style>
  <w:style w:type="paragraph" w:styleId="45">
    <w:name w:val="List Bullet 5"/>
    <w:basedOn w:val="1"/>
    <w:qFormat/>
    <w:uiPriority w:val="0"/>
    <w:pPr>
      <w:numPr>
        <w:ilvl w:val="0"/>
        <w:numId w:val="8"/>
      </w:numPr>
      <w:tabs>
        <w:tab w:val="left" w:pos="2040"/>
      </w:tabs>
      <w:ind w:firstLineChars="0"/>
    </w:pPr>
    <w:rPr>
      <w:rFonts w:ascii="Calibri" w:hAnsi="Calibri"/>
      <w:szCs w:val="22"/>
    </w:rPr>
  </w:style>
  <w:style w:type="paragraph" w:styleId="46">
    <w:name w:val="List Number 4"/>
    <w:basedOn w:val="1"/>
    <w:qFormat/>
    <w:uiPriority w:val="0"/>
    <w:pPr>
      <w:numPr>
        <w:ilvl w:val="0"/>
        <w:numId w:val="9"/>
      </w:numPr>
      <w:ind w:firstLineChars="0"/>
    </w:pPr>
    <w:rPr>
      <w:sz w:val="28"/>
      <w:szCs w:val="21"/>
    </w:rPr>
  </w:style>
  <w:style w:type="paragraph" w:styleId="47">
    <w:name w:val="toc 8"/>
    <w:basedOn w:val="1"/>
    <w:next w:val="1"/>
    <w:qFormat/>
    <w:uiPriority w:val="0"/>
    <w:pPr>
      <w:ind w:left="2240"/>
      <w:jc w:val="left"/>
    </w:pPr>
    <w:rPr>
      <w:rFonts w:ascii="Calibri" w:hAnsi="Calibri"/>
      <w:b w:val="0"/>
      <w:sz w:val="18"/>
      <w:szCs w:val="18"/>
    </w:rPr>
  </w:style>
  <w:style w:type="paragraph" w:styleId="48">
    <w:name w:val="index 3"/>
    <w:basedOn w:val="1"/>
    <w:next w:val="1"/>
    <w:qFormat/>
    <w:uiPriority w:val="0"/>
    <w:pPr>
      <w:ind w:left="400" w:leftChars="400"/>
    </w:pPr>
    <w:rPr>
      <w:sz w:val="24"/>
    </w:rPr>
  </w:style>
  <w:style w:type="paragraph" w:styleId="49">
    <w:name w:val="Date"/>
    <w:basedOn w:val="1"/>
    <w:next w:val="1"/>
    <w:qFormat/>
    <w:uiPriority w:val="0"/>
    <w:pPr>
      <w:ind w:left="2500" w:leftChars="2500"/>
    </w:pPr>
    <w:rPr>
      <w:rFonts w:ascii="Times New Roman" w:hAnsi="Times New Roman"/>
      <w:b w:val="0"/>
      <w:color w:val="auto"/>
      <w:kern w:val="2"/>
      <w:sz w:val="24"/>
      <w:szCs w:val="24"/>
    </w:rPr>
  </w:style>
  <w:style w:type="paragraph" w:styleId="50">
    <w:name w:val="Body Text Indent 2"/>
    <w:basedOn w:val="1"/>
    <w:qFormat/>
    <w:uiPriority w:val="0"/>
    <w:pPr>
      <w:spacing w:after="120" w:line="480" w:lineRule="auto"/>
      <w:ind w:left="200" w:leftChars="200"/>
    </w:pPr>
  </w:style>
  <w:style w:type="paragraph" w:styleId="51">
    <w:name w:val="List Continue 5"/>
    <w:basedOn w:val="1"/>
    <w:qFormat/>
    <w:uiPriority w:val="0"/>
    <w:pPr>
      <w:spacing w:after="120"/>
      <w:ind w:left="1000" w:leftChars="1000"/>
    </w:pPr>
    <w:rPr>
      <w:rFonts w:ascii="Calibri" w:hAnsi="Calibri"/>
      <w:szCs w:val="22"/>
    </w:rPr>
  </w:style>
  <w:style w:type="paragraph" w:styleId="52">
    <w:name w:val="Balloon Text"/>
    <w:basedOn w:val="1"/>
    <w:qFormat/>
    <w:uiPriority w:val="0"/>
    <w:rPr>
      <w:rFonts w:ascii="Times New Roman" w:hAnsi="Times New Roman"/>
      <w:b w:val="0"/>
      <w:color w:val="auto"/>
      <w:kern w:val="2"/>
      <w:sz w:val="18"/>
      <w:szCs w:val="18"/>
    </w:rPr>
  </w:style>
  <w:style w:type="paragraph" w:styleId="53">
    <w:name w:val="footer"/>
    <w:basedOn w:val="1"/>
    <w:qFormat/>
    <w:uiPriority w:val="0"/>
    <w:pPr>
      <w:tabs>
        <w:tab w:val="center" w:pos="4153"/>
        <w:tab w:val="right" w:pos="8306"/>
      </w:tabs>
      <w:snapToGrid w:val="0"/>
      <w:jc w:val="left"/>
    </w:pPr>
    <w:rPr>
      <w:rFonts w:ascii="Times New Roman" w:hAnsi="Times New Roman"/>
      <w:b w:val="0"/>
      <w:color w:val="auto"/>
      <w:kern w:val="2"/>
      <w:sz w:val="18"/>
      <w:szCs w:val="20"/>
    </w:rPr>
  </w:style>
  <w:style w:type="paragraph" w:styleId="54">
    <w:name w:val="envelope return"/>
    <w:basedOn w:val="1"/>
    <w:qFormat/>
    <w:uiPriority w:val="0"/>
    <w:pPr>
      <w:snapToGrid w:val="0"/>
    </w:pPr>
    <w:rPr>
      <w:rFonts w:ascii="Arial" w:hAnsi="Arial" w:cs="Arial"/>
      <w:szCs w:val="22"/>
    </w:rPr>
  </w:style>
  <w:style w:type="paragraph" w:styleId="55">
    <w:name w:val="header"/>
    <w:basedOn w:val="1"/>
    <w:qFormat/>
    <w:uiPriority w:val="0"/>
    <w:pPr>
      <w:pBdr>
        <w:bottom w:val="single" w:color="auto" w:sz="6" w:space="1"/>
      </w:pBdr>
      <w:tabs>
        <w:tab w:val="center" w:pos="4153"/>
        <w:tab w:val="right" w:pos="8306"/>
      </w:tabs>
      <w:snapToGrid w:val="0"/>
      <w:jc w:val="center"/>
    </w:pPr>
    <w:rPr>
      <w:rFonts w:ascii="Times New Roman" w:hAnsi="Times New Roman"/>
      <w:b w:val="0"/>
      <w:color w:val="auto"/>
      <w:kern w:val="2"/>
      <w:sz w:val="18"/>
      <w:szCs w:val="20"/>
    </w:rPr>
  </w:style>
  <w:style w:type="paragraph" w:styleId="56">
    <w:name w:val="Signature"/>
    <w:basedOn w:val="1"/>
    <w:qFormat/>
    <w:uiPriority w:val="0"/>
    <w:pPr>
      <w:ind w:left="2100" w:leftChars="2100"/>
    </w:pPr>
    <w:rPr>
      <w:rFonts w:ascii="Calibri" w:hAnsi="Calibri"/>
      <w:b w:val="0"/>
      <w:color w:val="auto"/>
      <w:kern w:val="2"/>
      <w:sz w:val="21"/>
      <w:szCs w:val="22"/>
    </w:rPr>
  </w:style>
  <w:style w:type="paragraph" w:styleId="57">
    <w:name w:val="toc 1"/>
    <w:basedOn w:val="1"/>
    <w:next w:val="1"/>
    <w:qFormat/>
    <w:uiPriority w:val="0"/>
    <w:pPr>
      <w:spacing w:before="120" w:after="120"/>
      <w:jc w:val="left"/>
    </w:pPr>
    <w:rPr>
      <w:rFonts w:ascii="Calibri" w:hAnsi="Calibri"/>
      <w:bCs/>
      <w:caps/>
      <w:sz w:val="20"/>
      <w:szCs w:val="20"/>
    </w:rPr>
  </w:style>
  <w:style w:type="paragraph" w:styleId="58">
    <w:name w:val="List Continue 4"/>
    <w:basedOn w:val="1"/>
    <w:qFormat/>
    <w:uiPriority w:val="0"/>
    <w:pPr>
      <w:spacing w:after="120"/>
      <w:ind w:left="800" w:leftChars="800"/>
    </w:pPr>
    <w:rPr>
      <w:rFonts w:ascii="Calibri" w:hAnsi="Calibri"/>
      <w:szCs w:val="22"/>
    </w:rPr>
  </w:style>
  <w:style w:type="paragraph" w:styleId="59">
    <w:name w:val="toc 4"/>
    <w:basedOn w:val="1"/>
    <w:next w:val="1"/>
    <w:qFormat/>
    <w:uiPriority w:val="0"/>
    <w:pPr>
      <w:ind w:left="960"/>
      <w:jc w:val="left"/>
    </w:pPr>
    <w:rPr>
      <w:rFonts w:ascii="Calibri" w:hAnsi="Calibri"/>
      <w:b w:val="0"/>
      <w:sz w:val="18"/>
      <w:szCs w:val="18"/>
    </w:rPr>
  </w:style>
  <w:style w:type="paragraph" w:styleId="60">
    <w:name w:val="Subtitle"/>
    <w:basedOn w:val="1"/>
    <w:qFormat/>
    <w:uiPriority w:val="0"/>
    <w:pPr>
      <w:spacing w:before="240" w:after="60" w:line="312" w:lineRule="auto"/>
      <w:jc w:val="center"/>
      <w:outlineLvl w:val="1"/>
    </w:pPr>
    <w:rPr>
      <w:rFonts w:ascii="Arial" w:hAnsi="Arial"/>
      <w:bCs/>
      <w:color w:val="auto"/>
      <w:kern w:val="28"/>
    </w:rPr>
  </w:style>
  <w:style w:type="paragraph" w:styleId="61">
    <w:name w:val="List Number 5"/>
    <w:basedOn w:val="1"/>
    <w:qFormat/>
    <w:uiPriority w:val="0"/>
    <w:pPr>
      <w:tabs>
        <w:tab w:val="left" w:pos="1521"/>
        <w:tab w:val="left" w:pos="2040"/>
      </w:tabs>
      <w:ind w:left="1521"/>
    </w:pPr>
    <w:rPr>
      <w:rFonts w:ascii="Calibri" w:hAnsi="Calibri"/>
      <w:szCs w:val="22"/>
    </w:rPr>
  </w:style>
  <w:style w:type="paragraph" w:styleId="62">
    <w:name w:val="List"/>
    <w:basedOn w:val="1"/>
    <w:qFormat/>
    <w:uiPriority w:val="0"/>
    <w:pPr>
      <w:snapToGrid w:val="0"/>
      <w:ind w:left="200" w:hanging="200" w:hangingChars="200"/>
      <w:contextualSpacing/>
    </w:pPr>
    <w:rPr>
      <w:sz w:val="18"/>
      <w:szCs w:val="18"/>
    </w:rPr>
  </w:style>
  <w:style w:type="paragraph" w:styleId="63">
    <w:name w:val="footnote text"/>
    <w:basedOn w:val="1"/>
    <w:qFormat/>
    <w:uiPriority w:val="0"/>
    <w:pPr>
      <w:snapToGrid w:val="0"/>
      <w:spacing w:line="360" w:lineRule="auto"/>
      <w:ind w:firstLine="200" w:firstLineChars="200"/>
      <w:jc w:val="left"/>
    </w:pPr>
    <w:rPr>
      <w:rFonts w:ascii="Times New Roman" w:hAnsi="Times New Roman"/>
      <w:b w:val="0"/>
      <w:color w:val="auto"/>
      <w:kern w:val="2"/>
      <w:sz w:val="18"/>
      <w:szCs w:val="18"/>
    </w:rPr>
  </w:style>
  <w:style w:type="paragraph" w:styleId="64">
    <w:name w:val="toc 6"/>
    <w:basedOn w:val="1"/>
    <w:next w:val="1"/>
    <w:qFormat/>
    <w:uiPriority w:val="0"/>
    <w:pPr>
      <w:ind w:left="1600"/>
      <w:jc w:val="left"/>
    </w:pPr>
    <w:rPr>
      <w:rFonts w:ascii="Calibri" w:hAnsi="Calibri"/>
      <w:b w:val="0"/>
      <w:sz w:val="18"/>
      <w:szCs w:val="18"/>
    </w:rPr>
  </w:style>
  <w:style w:type="paragraph" w:styleId="65">
    <w:name w:val="List 5"/>
    <w:basedOn w:val="1"/>
    <w:qFormat/>
    <w:uiPriority w:val="0"/>
    <w:pPr>
      <w:ind w:left="1000" w:leftChars="800" w:hanging="200" w:hangingChars="200"/>
    </w:pPr>
    <w:rPr>
      <w:rFonts w:ascii="Calibri" w:hAnsi="Calibri"/>
      <w:szCs w:val="22"/>
    </w:rPr>
  </w:style>
  <w:style w:type="paragraph" w:styleId="66">
    <w:name w:val="Body Text Indent 3"/>
    <w:basedOn w:val="1"/>
    <w:qFormat/>
    <w:uiPriority w:val="0"/>
    <w:pPr>
      <w:spacing w:after="120"/>
      <w:ind w:left="200" w:leftChars="200"/>
    </w:pPr>
    <w:rPr>
      <w:rFonts w:ascii="Times New Roman" w:hAnsi="Times New Roman"/>
      <w:b w:val="0"/>
      <w:color w:val="auto"/>
      <w:kern w:val="2"/>
      <w:sz w:val="16"/>
      <w:szCs w:val="16"/>
    </w:rPr>
  </w:style>
  <w:style w:type="paragraph" w:styleId="67">
    <w:name w:val="table of figures"/>
    <w:basedOn w:val="1"/>
    <w:next w:val="1"/>
    <w:qFormat/>
    <w:uiPriority w:val="0"/>
    <w:pPr>
      <w:spacing w:line="360" w:lineRule="auto"/>
    </w:pPr>
  </w:style>
  <w:style w:type="paragraph" w:styleId="68">
    <w:name w:val="toc 2"/>
    <w:basedOn w:val="1"/>
    <w:next w:val="1"/>
    <w:qFormat/>
    <w:uiPriority w:val="0"/>
    <w:pPr>
      <w:ind w:left="320"/>
      <w:jc w:val="left"/>
    </w:pPr>
    <w:rPr>
      <w:rFonts w:ascii="Calibri" w:hAnsi="Calibri"/>
      <w:b w:val="0"/>
      <w:smallCaps/>
      <w:sz w:val="20"/>
      <w:szCs w:val="20"/>
    </w:rPr>
  </w:style>
  <w:style w:type="paragraph" w:styleId="69">
    <w:name w:val="toc 9"/>
    <w:basedOn w:val="1"/>
    <w:next w:val="1"/>
    <w:qFormat/>
    <w:uiPriority w:val="0"/>
    <w:pPr>
      <w:ind w:left="2560"/>
      <w:jc w:val="left"/>
    </w:pPr>
    <w:rPr>
      <w:rFonts w:ascii="Calibri" w:hAnsi="Calibri"/>
      <w:b w:val="0"/>
      <w:sz w:val="18"/>
      <w:szCs w:val="18"/>
    </w:rPr>
  </w:style>
  <w:style w:type="paragraph" w:styleId="70">
    <w:name w:val="Body Text 2"/>
    <w:basedOn w:val="1"/>
    <w:qFormat/>
    <w:uiPriority w:val="0"/>
    <w:pPr>
      <w:spacing w:after="120" w:line="480" w:lineRule="auto"/>
    </w:pPr>
    <w:rPr>
      <w:rFonts w:ascii="Times New Roman" w:hAnsi="Times New Roman"/>
      <w:b w:val="0"/>
      <w:color w:val="auto"/>
      <w:kern w:val="2"/>
      <w:sz w:val="18"/>
      <w:szCs w:val="18"/>
    </w:rPr>
  </w:style>
  <w:style w:type="paragraph" w:styleId="71">
    <w:name w:val="List 4"/>
    <w:basedOn w:val="1"/>
    <w:qFormat/>
    <w:uiPriority w:val="0"/>
    <w:pPr>
      <w:ind w:left="800" w:leftChars="600" w:hanging="200" w:hangingChars="200"/>
    </w:pPr>
    <w:rPr>
      <w:rFonts w:ascii="Calibri" w:hAnsi="Calibri"/>
      <w:szCs w:val="22"/>
    </w:rPr>
  </w:style>
  <w:style w:type="paragraph" w:styleId="72">
    <w:name w:val="List Continue 2"/>
    <w:basedOn w:val="1"/>
    <w:qFormat/>
    <w:uiPriority w:val="0"/>
    <w:pPr>
      <w:spacing w:after="120"/>
      <w:ind w:left="400" w:leftChars="400"/>
    </w:pPr>
    <w:rPr>
      <w:rFonts w:ascii="Calibri" w:hAnsi="Calibri"/>
      <w:szCs w:val="22"/>
    </w:rPr>
  </w:style>
  <w:style w:type="paragraph" w:styleId="73">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Arial" w:hAnsi="Arial"/>
      <w:b w:val="0"/>
      <w:color w:val="auto"/>
      <w:kern w:val="2"/>
      <w:sz w:val="24"/>
      <w:szCs w:val="24"/>
      <w:shd w:val="pct20" w:color="auto" w:fill="auto"/>
    </w:rPr>
  </w:style>
  <w:style w:type="paragraph" w:styleId="74">
    <w:name w:val="HTML Preformatted"/>
    <w:basedOn w:val="1"/>
    <w:qFormat/>
    <w:uiPriority w:val="0"/>
    <w:rPr>
      <w:rFonts w:ascii="Courier New" w:hAnsi="Courier New"/>
      <w:b w:val="0"/>
      <w:color w:val="auto"/>
      <w:kern w:val="2"/>
      <w:sz w:val="20"/>
      <w:szCs w:val="20"/>
    </w:rPr>
  </w:style>
  <w:style w:type="paragraph" w:styleId="75">
    <w:name w:val="Normal (Web)"/>
    <w:basedOn w:val="1"/>
    <w:qFormat/>
    <w:uiPriority w:val="0"/>
    <w:pPr>
      <w:widowControl/>
      <w:spacing w:before="100" w:beforeAutospacing="1" w:after="100" w:afterAutospacing="1"/>
      <w:jc w:val="left"/>
    </w:pPr>
    <w:rPr>
      <w:rFonts w:ascii="宋体"/>
      <w:kern w:val="0"/>
      <w:sz w:val="18"/>
      <w:szCs w:val="18"/>
    </w:rPr>
  </w:style>
  <w:style w:type="paragraph" w:styleId="76">
    <w:name w:val="List Continue 3"/>
    <w:basedOn w:val="1"/>
    <w:qFormat/>
    <w:uiPriority w:val="0"/>
    <w:pPr>
      <w:spacing w:after="120"/>
      <w:ind w:left="600" w:leftChars="600"/>
    </w:pPr>
    <w:rPr>
      <w:rFonts w:ascii="Calibri" w:hAnsi="Calibri"/>
      <w:szCs w:val="22"/>
    </w:rPr>
  </w:style>
  <w:style w:type="paragraph" w:styleId="77">
    <w:name w:val="index 1"/>
    <w:basedOn w:val="1"/>
    <w:next w:val="1"/>
    <w:qFormat/>
    <w:uiPriority w:val="0"/>
    <w:rPr>
      <w:szCs w:val="20"/>
    </w:rPr>
  </w:style>
  <w:style w:type="paragraph" w:styleId="78">
    <w:name w:val="annotation subject"/>
    <w:basedOn w:val="25"/>
    <w:next w:val="25"/>
    <w:qFormat/>
    <w:uiPriority w:val="0"/>
    <w:rPr>
      <w:rFonts w:ascii="Times New Roman" w:hAnsi="Times New Roman"/>
      <w:bCs/>
      <w:color w:val="auto"/>
      <w:kern w:val="2"/>
      <w:sz w:val="18"/>
      <w:szCs w:val="18"/>
    </w:rPr>
  </w:style>
  <w:style w:type="paragraph" w:styleId="79">
    <w:name w:val="Body Text First Indent"/>
    <w:basedOn w:val="30"/>
    <w:next w:val="64"/>
    <w:qFormat/>
    <w:uiPriority w:val="0"/>
    <w:pPr>
      <w:ind w:firstLine="100" w:firstLineChars="100"/>
    </w:pPr>
    <w:rPr>
      <w:sz w:val="18"/>
      <w:szCs w:val="18"/>
    </w:rPr>
  </w:style>
  <w:style w:type="table" w:styleId="81">
    <w:name w:val="Table Grid"/>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3">
    <w:name w:val="Strong"/>
    <w:qFormat/>
    <w:uiPriority w:val="0"/>
    <w:rPr>
      <w:b/>
      <w:bCs/>
    </w:rPr>
  </w:style>
  <w:style w:type="character" w:styleId="84">
    <w:name w:val="page number"/>
    <w:qFormat/>
    <w:uiPriority w:val="0"/>
  </w:style>
  <w:style w:type="character" w:styleId="85">
    <w:name w:val="FollowedHyperlink"/>
    <w:qFormat/>
    <w:uiPriority w:val="0"/>
    <w:rPr>
      <w:color w:val="800080"/>
      <w:u w:val="single"/>
    </w:rPr>
  </w:style>
  <w:style w:type="character" w:styleId="86">
    <w:name w:val="Emphasis"/>
    <w:qFormat/>
    <w:uiPriority w:val="0"/>
    <w:rPr>
      <w:i/>
      <w:iCs/>
    </w:rPr>
  </w:style>
  <w:style w:type="character" w:styleId="87">
    <w:name w:val="line number"/>
    <w:qFormat/>
    <w:uiPriority w:val="0"/>
  </w:style>
  <w:style w:type="character" w:styleId="88">
    <w:name w:val="HTML Definition"/>
    <w:qFormat/>
    <w:uiPriority w:val="0"/>
    <w:rPr>
      <w:i/>
      <w:iCs/>
    </w:rPr>
  </w:style>
  <w:style w:type="character" w:styleId="89">
    <w:name w:val="HTML Typewriter"/>
    <w:qFormat/>
    <w:uiPriority w:val="0"/>
    <w:rPr>
      <w:rFonts w:ascii="Courier New" w:hAnsi="Courier New" w:cs="Courier New"/>
      <w:sz w:val="20"/>
      <w:szCs w:val="20"/>
    </w:rPr>
  </w:style>
  <w:style w:type="character" w:styleId="90">
    <w:name w:val="HTML Acronym"/>
    <w:qFormat/>
    <w:uiPriority w:val="0"/>
  </w:style>
  <w:style w:type="character" w:styleId="91">
    <w:name w:val="HTML Variable"/>
    <w:qFormat/>
    <w:uiPriority w:val="0"/>
    <w:rPr>
      <w:i/>
      <w:iCs/>
    </w:rPr>
  </w:style>
  <w:style w:type="character" w:styleId="92">
    <w:name w:val="Hyperlink"/>
    <w:basedOn w:val="82"/>
    <w:qFormat/>
    <w:uiPriority w:val="0"/>
    <w:rPr>
      <w:color w:val="0000FF"/>
      <w:u w:val="single"/>
    </w:rPr>
  </w:style>
  <w:style w:type="character" w:styleId="93">
    <w:name w:val="HTML Code"/>
    <w:qFormat/>
    <w:uiPriority w:val="0"/>
    <w:rPr>
      <w:rFonts w:ascii="Courier New" w:hAnsi="Courier New" w:cs="Courier New"/>
      <w:sz w:val="20"/>
      <w:szCs w:val="20"/>
    </w:rPr>
  </w:style>
  <w:style w:type="character" w:styleId="94">
    <w:name w:val="annotation reference"/>
    <w:qFormat/>
    <w:uiPriority w:val="0"/>
    <w:rPr>
      <w:sz w:val="21"/>
      <w:szCs w:val="21"/>
    </w:rPr>
  </w:style>
  <w:style w:type="character" w:styleId="95">
    <w:name w:val="HTML Cite"/>
    <w:qFormat/>
    <w:uiPriority w:val="0"/>
    <w:rPr>
      <w:i/>
      <w:iCs/>
    </w:rPr>
  </w:style>
  <w:style w:type="character" w:styleId="96">
    <w:name w:val="HTML Keyboard"/>
    <w:qFormat/>
    <w:uiPriority w:val="0"/>
    <w:rPr>
      <w:rFonts w:ascii="Courier New" w:hAnsi="Courier New" w:cs="Courier New"/>
      <w:sz w:val="20"/>
      <w:szCs w:val="20"/>
    </w:rPr>
  </w:style>
  <w:style w:type="character" w:styleId="97">
    <w:name w:val="HTML Sample"/>
    <w:qFormat/>
    <w:uiPriority w:val="0"/>
    <w:rPr>
      <w:rFonts w:ascii="Courier New" w:hAnsi="Courier New" w:cs="Courier New"/>
    </w:rPr>
  </w:style>
  <w:style w:type="character" w:customStyle="1" w:styleId="98">
    <w:name w:val="标题 2 Char"/>
    <w:qFormat/>
    <w:uiPriority w:val="0"/>
    <w:rPr>
      <w:rFonts w:ascii="Arial" w:hAnsi="Arial"/>
      <w:b/>
      <w:bCs/>
      <w:sz w:val="28"/>
      <w:szCs w:val="32"/>
    </w:rPr>
  </w:style>
  <w:style w:type="paragraph" w:customStyle="1" w:styleId="99">
    <w:name w:val="样式 正文缩进 + 首行缩进:  2 字符"/>
    <w:basedOn w:val="4"/>
    <w:qFormat/>
    <w:uiPriority w:val="0"/>
    <w:rPr>
      <w:rFonts w:cs="宋体"/>
    </w:rPr>
  </w:style>
  <w:style w:type="paragraph" w:customStyle="1" w:styleId="100">
    <w:name w:val="无间隔1"/>
    <w:basedOn w:val="1"/>
    <w:qFormat/>
    <w:uiPriority w:val="0"/>
    <w:pPr>
      <w:spacing w:line="400" w:lineRule="exact"/>
    </w:pPr>
    <w:rPr>
      <w:sz w:val="24"/>
    </w:rPr>
  </w:style>
  <w:style w:type="paragraph" w:customStyle="1" w:styleId="101">
    <w:name w:val="Plain Text1"/>
    <w:basedOn w:val="1"/>
    <w:qFormat/>
    <w:uiPriority w:val="0"/>
    <w:rPr>
      <w:rFonts w:cs="Courier New"/>
      <w:szCs w:val="21"/>
    </w:rPr>
  </w:style>
  <w:style w:type="paragraph" w:customStyle="1" w:styleId="102">
    <w:name w:val="style4"/>
    <w:basedOn w:val="1"/>
    <w:next w:val="103"/>
    <w:qFormat/>
    <w:uiPriority w:val="0"/>
    <w:pPr>
      <w:widowControl/>
      <w:spacing w:before="280" w:after="280"/>
    </w:pPr>
    <w:rPr>
      <w:rFonts w:ascii="宋体"/>
      <w:sz w:val="18"/>
    </w:rPr>
  </w:style>
  <w:style w:type="paragraph" w:customStyle="1" w:styleId="103">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10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5">
    <w:name w:val="_Style 3"/>
    <w:qFormat/>
    <w:uiPriority w:val="0"/>
    <w:pPr>
      <w:widowControl w:val="0"/>
      <w:jc w:val="both"/>
    </w:pPr>
    <w:rPr>
      <w:rFonts w:ascii="Times New Roman" w:hAnsi="Times New Roman" w:eastAsia="宋体" w:cs="黑体"/>
      <w:kern w:val="2"/>
      <w:sz w:val="21"/>
      <w:szCs w:val="22"/>
      <w:lang w:val="en-US" w:eastAsia="zh-CN" w:bidi="ar-SA"/>
    </w:rPr>
  </w:style>
  <w:style w:type="character" w:customStyle="1" w:styleId="106">
    <w:name w:val="标题 2 Char1"/>
    <w:qFormat/>
    <w:uiPriority w:val="0"/>
    <w:rPr>
      <w:rFonts w:ascii="Cambria" w:hAnsi="Cambria" w:eastAsia="宋体" w:cs="Times New Roman"/>
      <w:b/>
      <w:bCs/>
      <w:kern w:val="2"/>
      <w:sz w:val="32"/>
      <w:szCs w:val="32"/>
    </w:rPr>
  </w:style>
  <w:style w:type="character" w:customStyle="1" w:styleId="107">
    <w:name w:val="WW8Num9z0"/>
    <w:qFormat/>
    <w:uiPriority w:val="0"/>
    <w:rPr>
      <w:rFonts w:ascii="Wingdings" w:hAnsi="Wingdings"/>
    </w:rPr>
  </w:style>
  <w:style w:type="character" w:customStyle="1" w:styleId="108">
    <w:name w:val="grame"/>
    <w:qFormat/>
    <w:uiPriority w:val="0"/>
  </w:style>
  <w:style w:type="character" w:customStyle="1" w:styleId="109">
    <w:name w:val="标题 Char1"/>
    <w:qFormat/>
    <w:uiPriority w:val="0"/>
    <w:rPr>
      <w:rFonts w:ascii="Cambria" w:hAnsi="Cambria" w:cs="Times New Roman"/>
      <w:b/>
      <w:bCs/>
      <w:kern w:val="2"/>
      <w:sz w:val="32"/>
      <w:szCs w:val="32"/>
    </w:rPr>
  </w:style>
  <w:style w:type="paragraph" w:customStyle="1" w:styleId="110">
    <w:name w:val="正文首行缩进两字符"/>
    <w:basedOn w:val="1"/>
    <w:qFormat/>
    <w:uiPriority w:val="0"/>
    <w:pPr>
      <w:spacing w:line="360" w:lineRule="auto"/>
      <w:ind w:firstLine="200" w:firstLineChars="200"/>
    </w:pPr>
    <w:rPr>
      <w:rFonts w:ascii="Times New Roman" w:hAnsi="Times New Roman"/>
      <w:b w:val="0"/>
      <w:color w:val="auto"/>
      <w:kern w:val="2"/>
      <w:sz w:val="21"/>
      <w:szCs w:val="24"/>
    </w:rPr>
  </w:style>
  <w:style w:type="character" w:customStyle="1" w:styleId="111">
    <w:name w:val="Char Char3"/>
    <w:qFormat/>
    <w:uiPriority w:val="0"/>
    <w:rPr>
      <w:b/>
      <w:bCs/>
      <w:kern w:val="2"/>
      <w:sz w:val="18"/>
      <w:szCs w:val="18"/>
    </w:rPr>
  </w:style>
  <w:style w:type="character" w:customStyle="1" w:styleId="112">
    <w:name w:val="textnorm_chn1"/>
    <w:qFormat/>
    <w:uiPriority w:val="0"/>
    <w:rPr>
      <w:rFonts w:ascii="Arial" w:hAnsi="Arial" w:cs="Arial"/>
      <w:color w:val="21254A"/>
      <w:sz w:val="22"/>
      <w:szCs w:val="22"/>
    </w:rPr>
  </w:style>
  <w:style w:type="character" w:customStyle="1" w:styleId="113">
    <w:name w:val=" Char Char7"/>
    <w:qFormat/>
    <w:uiPriority w:val="0"/>
    <w:rPr>
      <w:rFonts w:ascii="Arial" w:hAnsi="Arial" w:eastAsia="宋体" w:cs="Arial"/>
      <w:b/>
      <w:bCs/>
      <w:sz w:val="32"/>
      <w:szCs w:val="32"/>
    </w:rPr>
  </w:style>
  <w:style w:type="character" w:customStyle="1" w:styleId="114">
    <w:name w:val="keyword"/>
    <w:qFormat/>
    <w:uiPriority w:val="0"/>
  </w:style>
  <w:style w:type="character" w:customStyle="1" w:styleId="115">
    <w:name w:val="纯文本 Char1"/>
    <w:qFormat/>
    <w:uiPriority w:val="0"/>
    <w:rPr>
      <w:rFonts w:ascii="宋体" w:eastAsia="宋体"/>
      <w:szCs w:val="18"/>
    </w:rPr>
  </w:style>
  <w:style w:type="character" w:customStyle="1" w:styleId="116">
    <w:name w:val="Char Char5"/>
    <w:qFormat/>
    <w:uiPriority w:val="0"/>
    <w:rPr>
      <w:kern w:val="2"/>
      <w:sz w:val="21"/>
      <w:szCs w:val="24"/>
    </w:rPr>
  </w:style>
  <w:style w:type="character" w:customStyle="1" w:styleId="117">
    <w:name w:val="unnamed31"/>
    <w:qFormat/>
    <w:uiPriority w:val="0"/>
    <w:rPr>
      <w:sz w:val="22"/>
      <w:szCs w:val="22"/>
    </w:rPr>
  </w:style>
  <w:style w:type="character" w:customStyle="1" w:styleId="118">
    <w:name w:val="正文首行缩进 2 Char1"/>
    <w:qFormat/>
    <w:uiPriority w:val="0"/>
    <w:rPr>
      <w:kern w:val="2"/>
      <w:sz w:val="21"/>
      <w:szCs w:val="24"/>
    </w:rPr>
  </w:style>
  <w:style w:type="character" w:customStyle="1" w:styleId="119">
    <w:name w:val="Char Char8"/>
    <w:qFormat/>
    <w:uiPriority w:val="0"/>
    <w:rPr>
      <w:rFonts w:ascii="宋体" w:eastAsia="宋体"/>
      <w:kern w:val="2"/>
      <w:sz w:val="28"/>
      <w:szCs w:val="28"/>
    </w:rPr>
  </w:style>
  <w:style w:type="paragraph" w:customStyle="1" w:styleId="120">
    <w:name w:val="（符号）三标题1.1"/>
    <w:basedOn w:val="1"/>
    <w:qFormat/>
    <w:uiPriority w:val="0"/>
    <w:pPr>
      <w:numPr>
        <w:ilvl w:val="1"/>
        <w:numId w:val="10"/>
      </w:numPr>
      <w:tabs>
        <w:tab w:val="left" w:pos="700"/>
      </w:tabs>
      <w:spacing w:line="500" w:lineRule="exact"/>
      <w:ind w:firstLineChars="0"/>
    </w:pPr>
    <w:rPr>
      <w:b w:val="0"/>
      <w:color w:val="auto"/>
      <w:kern w:val="2"/>
      <w:sz w:val="24"/>
      <w:szCs w:val="22"/>
    </w:rPr>
  </w:style>
  <w:style w:type="character" w:customStyle="1" w:styleId="121">
    <w:name w:val="正文文本 2 Char1"/>
    <w:qFormat/>
    <w:uiPriority w:val="0"/>
    <w:rPr>
      <w:kern w:val="2"/>
      <w:sz w:val="21"/>
      <w:szCs w:val="24"/>
    </w:rPr>
  </w:style>
  <w:style w:type="character" w:customStyle="1" w:styleId="122">
    <w:name w:val="Char Char2"/>
    <w:qFormat/>
    <w:uiPriority w:val="0"/>
    <w:rPr>
      <w:kern w:val="2"/>
      <w:sz w:val="18"/>
      <w:szCs w:val="18"/>
    </w:rPr>
  </w:style>
  <w:style w:type="paragraph" w:customStyle="1" w:styleId="123">
    <w:name w:val="样式 标题 4(一)1.11。1h4H4Ref Heading 1rh1Heading sqlsect 1.2...2"/>
    <w:basedOn w:val="6"/>
    <w:qFormat/>
    <w:uiPriority w:val="0"/>
    <w:pPr>
      <w:numPr>
        <w:ilvl w:val="3"/>
        <w:numId w:val="11"/>
      </w:numPr>
      <w:tabs>
        <w:tab w:val="left" w:pos="315"/>
        <w:tab w:val="left" w:pos="851"/>
      </w:tabs>
      <w:spacing w:before="40" w:after="40" w:line="300" w:lineRule="auto"/>
    </w:pPr>
    <w:rPr>
      <w:rFonts w:ascii="Arial" w:hAnsi="Arial" w:eastAsia="黑体"/>
      <w:b/>
      <w:sz w:val="30"/>
    </w:rPr>
  </w:style>
  <w:style w:type="character" w:customStyle="1" w:styleId="124">
    <w:name w:val=" Char Char21"/>
    <w:qFormat/>
    <w:uiPriority w:val="0"/>
    <w:rPr>
      <w:rFonts w:ascii="Arial Narrow" w:hAnsi="Arial Narrow" w:eastAsia="宋体" w:cs="Times New Roman"/>
      <w:b/>
      <w:bCs/>
      <w:iCs/>
      <w:kern w:val="0"/>
      <w:sz w:val="20"/>
      <w:szCs w:val="24"/>
      <w:lang w:eastAsia="en-US"/>
    </w:rPr>
  </w:style>
  <w:style w:type="character" w:customStyle="1" w:styleId="125">
    <w:name w:val="正文文本 3 Char1"/>
    <w:qFormat/>
    <w:uiPriority w:val="0"/>
    <w:rPr>
      <w:kern w:val="2"/>
      <w:sz w:val="16"/>
      <w:szCs w:val="16"/>
    </w:rPr>
  </w:style>
  <w:style w:type="paragraph" w:customStyle="1" w:styleId="126">
    <w:name w:val="MM Topic 3"/>
    <w:basedOn w:val="5"/>
    <w:qFormat/>
    <w:uiPriority w:val="0"/>
    <w:pPr>
      <w:tabs>
        <w:tab w:val="left" w:pos="1418"/>
        <w:tab w:val="clear" w:pos="709"/>
      </w:tabs>
      <w:spacing w:before="260" w:after="260" w:line="415" w:lineRule="auto"/>
    </w:pPr>
    <w:rPr>
      <w:rFonts w:ascii="宋体" w:hAnsi="宋体"/>
    </w:rPr>
  </w:style>
  <w:style w:type="paragraph" w:customStyle="1" w:styleId="127">
    <w:name w:val="！标题2"/>
    <w:basedOn w:val="3"/>
    <w:qFormat/>
    <w:uiPriority w:val="0"/>
    <w:pPr>
      <w:tabs>
        <w:tab w:val="left" w:pos="993"/>
        <w:tab w:val="left" w:pos="1200"/>
        <w:tab w:val="left" w:pos="2007"/>
        <w:tab w:val="clear" w:pos="567"/>
      </w:tabs>
      <w:spacing w:line="415" w:lineRule="auto"/>
      <w:ind w:left="600" w:leftChars="400" w:hanging="200" w:hangingChars="200"/>
      <w:jc w:val="both"/>
    </w:pPr>
    <w:rPr>
      <w:rFonts w:ascii="Arial" w:hAnsi="Arial"/>
      <w:b/>
      <w:color w:val="000000"/>
      <w:kern w:val="2"/>
      <w:szCs w:val="32"/>
    </w:rPr>
  </w:style>
  <w:style w:type="character" w:customStyle="1" w:styleId="128">
    <w:name w:val="标题 3 Char1"/>
    <w:qFormat/>
    <w:uiPriority w:val="0"/>
    <w:rPr>
      <w:b/>
      <w:bCs/>
      <w:kern w:val="2"/>
      <w:sz w:val="32"/>
      <w:szCs w:val="32"/>
    </w:rPr>
  </w:style>
  <w:style w:type="character" w:customStyle="1" w:styleId="129">
    <w:name w:val=" Char Char4"/>
    <w:qFormat/>
    <w:uiPriority w:val="0"/>
    <w:rPr>
      <w:rFonts w:ascii="宋体" w:eastAsia="宋体"/>
      <w:kern w:val="2"/>
      <w:sz w:val="21"/>
      <w:lang w:val="en-US" w:eastAsia="zh-CN"/>
    </w:rPr>
  </w:style>
  <w:style w:type="character" w:customStyle="1" w:styleId="130">
    <w:name w:val="fontblank12"/>
    <w:qFormat/>
    <w:uiPriority w:val="0"/>
  </w:style>
  <w:style w:type="character" w:customStyle="1" w:styleId="131">
    <w:name w:val="HTML 预设格式 Char1"/>
    <w:qFormat/>
    <w:uiPriority w:val="0"/>
    <w:rPr>
      <w:rFonts w:ascii="Courier New" w:hAnsi="Courier New" w:cs="Courier New"/>
      <w:kern w:val="2"/>
    </w:rPr>
  </w:style>
  <w:style w:type="character" w:customStyle="1" w:styleId="132">
    <w:name w:val="标书（正文） Char Char"/>
    <w:qFormat/>
    <w:uiPriority w:val="0"/>
    <w:rPr>
      <w:rFonts w:ascii="宋体" w:eastAsia="宋体"/>
      <w:b/>
      <w:kern w:val="10"/>
      <w:sz w:val="21"/>
      <w:szCs w:val="21"/>
      <w:lang w:val="en-US" w:eastAsia="zh-CN" w:bidi="ar-SA"/>
    </w:rPr>
  </w:style>
  <w:style w:type="character" w:customStyle="1" w:styleId="133">
    <w:name w:val="签名 Char1"/>
    <w:qFormat/>
    <w:uiPriority w:val="0"/>
    <w:rPr>
      <w:kern w:val="2"/>
      <w:sz w:val="21"/>
      <w:szCs w:val="24"/>
    </w:rPr>
  </w:style>
  <w:style w:type="character" w:customStyle="1" w:styleId="134">
    <w:name w:val="line2"/>
    <w:qFormat/>
    <w:uiPriority w:val="0"/>
  </w:style>
  <w:style w:type="character" w:customStyle="1" w:styleId="135">
    <w:name w:val="脚注文本 Char1"/>
    <w:qFormat/>
    <w:uiPriority w:val="0"/>
    <w:rPr>
      <w:kern w:val="2"/>
      <w:sz w:val="18"/>
      <w:szCs w:val="18"/>
    </w:rPr>
  </w:style>
  <w:style w:type="character" w:customStyle="1" w:styleId="136">
    <w:name w:val="批注主题 Char1"/>
    <w:qFormat/>
    <w:uiPriority w:val="0"/>
    <w:rPr>
      <w:b/>
      <w:bCs/>
      <w:kern w:val="2"/>
      <w:sz w:val="21"/>
      <w:szCs w:val="22"/>
    </w:rPr>
  </w:style>
  <w:style w:type="character" w:customStyle="1" w:styleId="137">
    <w:name w:val="magic-list1"/>
    <w:qFormat/>
    <w:uiPriority w:val="0"/>
    <w:rPr>
      <w:rFonts w:ascii="ˎ̥" w:hAnsi="ˎ̥"/>
      <w:color w:val="000000"/>
      <w:sz w:val="20"/>
      <w:u w:val="none"/>
    </w:rPr>
  </w:style>
  <w:style w:type="character" w:customStyle="1" w:styleId="138">
    <w:name w:val="apple-converted-space"/>
    <w:qFormat/>
    <w:uiPriority w:val="0"/>
  </w:style>
  <w:style w:type="character" w:customStyle="1" w:styleId="139">
    <w:name w:val=" Char Char12"/>
    <w:qFormat/>
    <w:uiPriority w:val="0"/>
    <w:rPr>
      <w:rFonts w:ascii="Times New Roman" w:hAnsi="Times New Roman" w:eastAsia="宋体" w:cs="Times New Roman"/>
      <w:szCs w:val="24"/>
    </w:rPr>
  </w:style>
  <w:style w:type="paragraph" w:customStyle="1" w:styleId="140">
    <w:name w:val="*正文"/>
    <w:basedOn w:val="1"/>
    <w:qFormat/>
    <w:uiPriority w:val="0"/>
    <w:pPr>
      <w:spacing w:line="360" w:lineRule="auto"/>
      <w:ind w:firstLine="200" w:firstLineChars="200"/>
    </w:pPr>
    <w:rPr>
      <w:b w:val="0"/>
      <w:color w:val="auto"/>
      <w:sz w:val="22"/>
      <w:szCs w:val="24"/>
    </w:rPr>
  </w:style>
  <w:style w:type="character" w:customStyle="1" w:styleId="141">
    <w:name w:val="表正文 Char1"/>
    <w:qFormat/>
    <w:uiPriority w:val="0"/>
    <w:rPr>
      <w:kern w:val="2"/>
      <w:sz w:val="32"/>
      <w:szCs w:val="32"/>
    </w:rPr>
  </w:style>
  <w:style w:type="character" w:customStyle="1" w:styleId="142">
    <w:name w:val="批注文字 Char1"/>
    <w:qFormat/>
    <w:uiPriority w:val="0"/>
    <w:rPr>
      <w:kern w:val="2"/>
      <w:sz w:val="21"/>
      <w:szCs w:val="22"/>
    </w:rPr>
  </w:style>
  <w:style w:type="character" w:customStyle="1" w:styleId="143">
    <w:name w:val="特点标题 Char"/>
    <w:qFormat/>
    <w:uiPriority w:val="0"/>
    <w:rPr>
      <w:rFonts w:ascii="Times New Roman" w:hAnsi="Times New Roman" w:eastAsia="宋体" w:cs="Times New Roman"/>
      <w:szCs w:val="24"/>
    </w:rPr>
  </w:style>
  <w:style w:type="character" w:customStyle="1" w:styleId="144">
    <w:name w:val="Char Char7"/>
    <w:qFormat/>
    <w:uiPriority w:val="0"/>
    <w:rPr>
      <w:kern w:val="2"/>
      <w:sz w:val="18"/>
      <w:szCs w:val="18"/>
    </w:rPr>
  </w:style>
  <w:style w:type="character" w:customStyle="1" w:styleId="145">
    <w:name w:val=" Char Char18"/>
    <w:qFormat/>
    <w:uiPriority w:val="0"/>
    <w:rPr>
      <w:sz w:val="18"/>
      <w:szCs w:val="18"/>
    </w:rPr>
  </w:style>
  <w:style w:type="character" w:customStyle="1" w:styleId="146">
    <w:name w:val=" Char Char3"/>
    <w:qFormat/>
    <w:uiPriority w:val="0"/>
    <w:rPr>
      <w:rFonts w:ascii="Times New Roman" w:hAnsi="Times New Roman"/>
      <w:sz w:val="16"/>
      <w:szCs w:val="16"/>
    </w:rPr>
  </w:style>
  <w:style w:type="character" w:customStyle="1" w:styleId="147">
    <w:name w:val="正文文本 Char1"/>
    <w:qFormat/>
    <w:uiPriority w:val="0"/>
    <w:rPr>
      <w:rFonts w:ascii="Times New Roman" w:hAnsi="Times New Roman"/>
      <w:kern w:val="2"/>
      <w:sz w:val="21"/>
      <w:szCs w:val="24"/>
    </w:rPr>
  </w:style>
  <w:style w:type="character" w:customStyle="1" w:styleId="148">
    <w:name w:val=" Char Char5"/>
    <w:qFormat/>
    <w:uiPriority w:val="0"/>
    <w:rPr>
      <w:rFonts w:ascii="Times New Roman" w:hAnsi="Times New Roman" w:eastAsia="黑体" w:cs="Times New Roman"/>
      <w:sz w:val="24"/>
      <w:szCs w:val="24"/>
    </w:rPr>
  </w:style>
  <w:style w:type="character" w:customStyle="1" w:styleId="149">
    <w:name w:val="结束语 Char1"/>
    <w:qFormat/>
    <w:uiPriority w:val="0"/>
    <w:rPr>
      <w:kern w:val="2"/>
      <w:sz w:val="21"/>
      <w:szCs w:val="24"/>
    </w:rPr>
  </w:style>
  <w:style w:type="paragraph" w:customStyle="1" w:styleId="150">
    <w:name w:val="图文"/>
    <w:basedOn w:val="1"/>
    <w:qFormat/>
    <w:uiPriority w:val="0"/>
    <w:pPr>
      <w:jc w:val="center"/>
    </w:pPr>
    <w:rPr>
      <w:rFonts w:ascii="Times New Roman" w:hAnsi="Times New Roman"/>
      <w:b w:val="0"/>
      <w:color w:val="auto"/>
      <w:kern w:val="2"/>
      <w:sz w:val="21"/>
      <w:szCs w:val="20"/>
    </w:rPr>
  </w:style>
  <w:style w:type="paragraph" w:customStyle="1" w:styleId="151">
    <w:name w:val="正文1"/>
    <w:basedOn w:val="1"/>
    <w:qFormat/>
    <w:uiPriority w:val="0"/>
    <w:pPr>
      <w:spacing w:line="360" w:lineRule="auto"/>
      <w:ind w:firstLine="200" w:firstLineChars="200"/>
    </w:pPr>
    <w:rPr>
      <w:rFonts w:ascii="Arial" w:hAnsi="Arial"/>
      <w:b w:val="0"/>
      <w:bCs/>
      <w:color w:val="000000"/>
      <w:sz w:val="30"/>
      <w:szCs w:val="30"/>
    </w:rPr>
  </w:style>
  <w:style w:type="character" w:customStyle="1" w:styleId="152">
    <w:name w:val="正文文本缩进 2 Char1"/>
    <w:qFormat/>
    <w:uiPriority w:val="0"/>
    <w:rPr>
      <w:rFonts w:ascii="Times New Roman" w:hAnsi="Times New Roman"/>
      <w:kern w:val="2"/>
      <w:sz w:val="21"/>
      <w:szCs w:val="24"/>
    </w:rPr>
  </w:style>
  <w:style w:type="paragraph" w:customStyle="1" w:styleId="153">
    <w:name w:val="22222"/>
    <w:basedOn w:val="1"/>
    <w:qFormat/>
    <w:uiPriority w:val="0"/>
    <w:pPr>
      <w:tabs>
        <w:tab w:val="left" w:pos="420"/>
      </w:tabs>
      <w:adjustRightInd w:val="0"/>
      <w:snapToGrid w:val="0"/>
      <w:spacing w:line="360" w:lineRule="auto"/>
      <w:ind w:left="420" w:right="17" w:rightChars="17"/>
    </w:pPr>
    <w:rPr>
      <w:b w:val="0"/>
      <w:color w:val="auto"/>
      <w:kern w:val="2"/>
      <w:sz w:val="30"/>
      <w:szCs w:val="30"/>
    </w:rPr>
  </w:style>
  <w:style w:type="character" w:customStyle="1" w:styleId="154">
    <w:name w:val="注释标题 Char1"/>
    <w:qFormat/>
    <w:uiPriority w:val="0"/>
    <w:rPr>
      <w:kern w:val="2"/>
      <w:sz w:val="21"/>
      <w:szCs w:val="24"/>
    </w:rPr>
  </w:style>
  <w:style w:type="paragraph" w:customStyle="1" w:styleId="155">
    <w:name w:val="列表段落"/>
    <w:basedOn w:val="1"/>
    <w:qFormat/>
    <w:uiPriority w:val="0"/>
    <w:pPr>
      <w:ind w:firstLine="200" w:firstLineChars="200"/>
    </w:pPr>
    <w:rPr>
      <w:rFonts w:ascii="Calibri" w:hAnsi="Calibri"/>
      <w:b w:val="0"/>
      <w:color w:val="auto"/>
      <w:kern w:val="2"/>
      <w:sz w:val="21"/>
      <w:szCs w:val="22"/>
    </w:rPr>
  </w:style>
  <w:style w:type="character" w:customStyle="1" w:styleId="156">
    <w:name w:val="标题 3 Char Char Char"/>
    <w:qFormat/>
    <w:uiPriority w:val="0"/>
    <w:rPr>
      <w:rFonts w:eastAsia="宋体"/>
      <w:b/>
      <w:kern w:val="2"/>
      <w:sz w:val="32"/>
      <w:lang w:val="en-US" w:eastAsia="zh-CN" w:bidi="ar-SA"/>
    </w:rPr>
  </w:style>
  <w:style w:type="paragraph" w:customStyle="1" w:styleId="157">
    <w:name w:val="样式 正文首行缩进 + 首行缩进:  2 字符 Char"/>
    <w:basedOn w:val="79"/>
    <w:qFormat/>
    <w:uiPriority w:val="0"/>
    <w:pPr>
      <w:spacing w:line="300" w:lineRule="auto"/>
      <w:ind w:firstLine="200" w:firstLineChars="200"/>
    </w:pPr>
    <w:rPr>
      <w:sz w:val="21"/>
      <w:szCs w:val="20"/>
    </w:rPr>
  </w:style>
  <w:style w:type="character" w:customStyle="1" w:styleId="158">
    <w:name w:val="页脚 Char1"/>
    <w:qFormat/>
    <w:uiPriority w:val="0"/>
    <w:rPr>
      <w:rFonts w:ascii="Times New Roman" w:hAnsi="Times New Roman" w:eastAsia="宋体" w:cs="Times New Roman"/>
      <w:kern w:val="2"/>
      <w:sz w:val="18"/>
      <w:szCs w:val="18"/>
    </w:rPr>
  </w:style>
  <w:style w:type="character" w:customStyle="1" w:styleId="159">
    <w:name w:val=" Char Char20"/>
    <w:qFormat/>
    <w:uiPriority w:val="0"/>
    <w:rPr>
      <w:rFonts w:ascii="Arial" w:hAnsi="Arial" w:eastAsia="黑体" w:cs="Times New Roman"/>
      <w:sz w:val="24"/>
      <w:szCs w:val="24"/>
    </w:rPr>
  </w:style>
  <w:style w:type="paragraph" w:customStyle="1" w:styleId="160">
    <w:name w:val="(符号)五标题1.1.1"/>
    <w:basedOn w:val="1"/>
    <w:qFormat/>
    <w:uiPriority w:val="0"/>
    <w:pPr>
      <w:tabs>
        <w:tab w:val="left" w:pos="1000"/>
      </w:tabs>
      <w:spacing w:line="500" w:lineRule="exact"/>
      <w:ind w:left="1000"/>
    </w:pPr>
    <w:rPr>
      <w:b w:val="0"/>
      <w:color w:val="000000"/>
      <w:kern w:val="2"/>
      <w:sz w:val="24"/>
      <w:szCs w:val="20"/>
    </w:rPr>
  </w:style>
  <w:style w:type="character" w:customStyle="1" w:styleId="161">
    <w:name w:val=" Char Char43"/>
    <w:qFormat/>
    <w:uiPriority w:val="0"/>
    <w:rPr>
      <w:kern w:val="2"/>
      <w:sz w:val="21"/>
      <w:szCs w:val="24"/>
    </w:rPr>
  </w:style>
  <w:style w:type="character" w:customStyle="1" w:styleId="162">
    <w:name w:val=" Char Char6"/>
    <w:qFormat/>
    <w:uiPriority w:val="0"/>
    <w:rPr>
      <w:rFonts w:ascii="宋体" w:eastAsia="宋体" w:cs="Times New Roman"/>
      <w:szCs w:val="24"/>
    </w:rPr>
  </w:style>
  <w:style w:type="character" w:customStyle="1" w:styleId="163">
    <w:name w:val="Header Char3"/>
    <w:qFormat/>
    <w:uiPriority w:val="0"/>
    <w:rPr>
      <w:rFonts w:ascii="Times New Roman" w:hAnsi="Times New Roman" w:cs="Times New Roman"/>
      <w:sz w:val="18"/>
      <w:szCs w:val="18"/>
    </w:rPr>
  </w:style>
  <w:style w:type="character" w:customStyle="1" w:styleId="164">
    <w:name w:val=" Char Char13"/>
    <w:qFormat/>
    <w:uiPriority w:val="0"/>
    <w:rPr>
      <w:rFonts w:ascii="Times New Roman" w:hAnsi="Times New Roman" w:eastAsia="宋体" w:cs="Times New Roman"/>
      <w:sz w:val="18"/>
      <w:szCs w:val="18"/>
    </w:rPr>
  </w:style>
  <w:style w:type="character" w:customStyle="1" w:styleId="165">
    <w:name w:val="文章正文 Char Char"/>
    <w:qFormat/>
    <w:uiPriority w:val="0"/>
    <w:rPr>
      <w:rFonts w:ascii="宋体" w:eastAsia="宋体"/>
      <w:kern w:val="2"/>
      <w:sz w:val="24"/>
      <w:szCs w:val="24"/>
      <w:lang w:val="en-US" w:eastAsia="zh-CN" w:bidi="ar-SA"/>
    </w:rPr>
  </w:style>
  <w:style w:type="character" w:customStyle="1" w:styleId="166">
    <w:name w:val="Char Char9"/>
    <w:qFormat/>
    <w:uiPriority w:val="0"/>
    <w:rPr>
      <w:kern w:val="2"/>
      <w:sz w:val="18"/>
      <w:szCs w:val="18"/>
    </w:rPr>
  </w:style>
  <w:style w:type="character" w:customStyle="1" w:styleId="167">
    <w:name w:val="批注框文本 Char1"/>
    <w:qFormat/>
    <w:uiPriority w:val="0"/>
    <w:rPr>
      <w:rFonts w:ascii="Times New Roman" w:hAnsi="Times New Roman" w:eastAsia="宋体" w:cs="Times New Roman"/>
      <w:sz w:val="18"/>
      <w:szCs w:val="18"/>
    </w:rPr>
  </w:style>
  <w:style w:type="paragraph" w:customStyle="1" w:styleId="168">
    <w:name w:val="正文文字"/>
    <w:basedOn w:val="1"/>
    <w:qFormat/>
    <w:uiPriority w:val="0"/>
    <w:pPr>
      <w:ind w:firstLine="200" w:firstLineChars="200"/>
    </w:pPr>
    <w:rPr>
      <w:rFonts w:ascii="Times New Roman" w:hAnsi="Times New Roman"/>
      <w:b w:val="0"/>
      <w:color w:val="auto"/>
      <w:kern w:val="2"/>
      <w:sz w:val="24"/>
    </w:rPr>
  </w:style>
  <w:style w:type="paragraph" w:customStyle="1" w:styleId="169">
    <w:name w:val="普通正文"/>
    <w:basedOn w:val="1"/>
    <w:qFormat/>
    <w:uiPriority w:val="0"/>
    <w:pPr>
      <w:spacing w:line="440" w:lineRule="exact"/>
      <w:ind w:firstLine="200" w:firstLineChars="200"/>
    </w:pPr>
    <w:rPr>
      <w:rFonts w:ascii="仿宋_GB2312" w:eastAsia="仿宋_GB2312"/>
      <w:b w:val="0"/>
      <w:color w:val="auto"/>
      <w:kern w:val="2"/>
      <w:sz w:val="28"/>
      <w:szCs w:val="20"/>
    </w:rPr>
  </w:style>
  <w:style w:type="paragraph" w:customStyle="1" w:styleId="170">
    <w:name w:val="33333"/>
    <w:basedOn w:val="1"/>
    <w:qFormat/>
    <w:uiPriority w:val="0"/>
    <w:pPr>
      <w:ind w:firstLine="200" w:firstLineChars="200"/>
    </w:pPr>
    <w:rPr>
      <w:b w:val="0"/>
      <w:color w:val="auto"/>
      <w:kern w:val="2"/>
      <w:sz w:val="28"/>
      <w:szCs w:val="30"/>
    </w:rPr>
  </w:style>
  <w:style w:type="character" w:customStyle="1" w:styleId="171">
    <w:name w:val=" Char Char16"/>
    <w:qFormat/>
    <w:uiPriority w:val="0"/>
    <w:rPr>
      <w:rFonts w:ascii="Times New Roman" w:hAnsi="Times New Roman" w:eastAsia="宋体" w:cs="Times New Roman"/>
      <w:sz w:val="18"/>
      <w:szCs w:val="18"/>
      <w:shd w:val="clear" w:color="auto" w:fill="000080"/>
    </w:rPr>
  </w:style>
  <w:style w:type="character" w:customStyle="1" w:styleId="172">
    <w:name w:val=" Char Char14"/>
    <w:qFormat/>
    <w:uiPriority w:val="0"/>
    <w:rPr>
      <w:rFonts w:ascii="宋体" w:eastAsia="宋体" w:cs="Times New Roman"/>
      <w:sz w:val="28"/>
      <w:szCs w:val="28"/>
    </w:rPr>
  </w:style>
  <w:style w:type="character" w:customStyle="1" w:styleId="173">
    <w:name w:val="small"/>
    <w:qFormat/>
    <w:uiPriority w:val="0"/>
  </w:style>
  <w:style w:type="paragraph" w:customStyle="1" w:styleId="174">
    <w:name w:val="简单回函地址"/>
    <w:basedOn w:val="1"/>
    <w:qFormat/>
    <w:uiPriority w:val="0"/>
    <w:rPr>
      <w:rFonts w:ascii="Times New Roman" w:hAnsi="Times New Roman"/>
      <w:b w:val="0"/>
      <w:color w:val="auto"/>
      <w:sz w:val="21"/>
      <w:szCs w:val="20"/>
    </w:rPr>
  </w:style>
  <w:style w:type="character" w:customStyle="1" w:styleId="175">
    <w:name w:val=" Char Char8"/>
    <w:qFormat/>
    <w:uiPriority w:val="0"/>
    <w:rPr>
      <w:rFonts w:ascii="Times New Roman" w:hAnsi="Times New Roman" w:eastAsia="宋体" w:cs="Times New Roman"/>
      <w:b/>
      <w:bCs/>
      <w:sz w:val="18"/>
      <w:szCs w:val="18"/>
    </w:rPr>
  </w:style>
  <w:style w:type="character" w:customStyle="1" w:styleId="176">
    <w:name w:val=" Char Char17"/>
    <w:qFormat/>
    <w:uiPriority w:val="0"/>
    <w:rPr>
      <w:sz w:val="18"/>
      <w:szCs w:val="18"/>
    </w:rPr>
  </w:style>
  <w:style w:type="character" w:customStyle="1" w:styleId="177">
    <w:name w:val="页眉 Char1"/>
    <w:qFormat/>
    <w:uiPriority w:val="0"/>
    <w:rPr>
      <w:rFonts w:ascii="Times New Roman" w:hAnsi="Times New Roman" w:eastAsia="宋体" w:cs="Times New Roman"/>
      <w:kern w:val="2"/>
      <w:sz w:val="18"/>
      <w:szCs w:val="18"/>
    </w:rPr>
  </w:style>
  <w:style w:type="character" w:customStyle="1" w:styleId="178">
    <w:name w:val="批注文字 字符"/>
    <w:qFormat/>
    <w:uiPriority w:val="0"/>
    <w:rPr>
      <w:rFonts w:ascii="Arial" w:hAnsi="Arial" w:cs="Arial"/>
      <w:sz w:val="18"/>
    </w:rPr>
  </w:style>
  <w:style w:type="paragraph" w:customStyle="1" w:styleId="179">
    <w:name w:val="MM Topic 4"/>
    <w:basedOn w:val="6"/>
    <w:qFormat/>
    <w:uiPriority w:val="0"/>
    <w:pPr>
      <w:numPr>
        <w:ilvl w:val="0"/>
        <w:numId w:val="0"/>
      </w:numPr>
      <w:tabs>
        <w:tab w:val="left" w:pos="851"/>
        <w:tab w:val="left" w:pos="1984"/>
      </w:tabs>
    </w:pPr>
    <w:rPr>
      <w:rFonts w:ascii="Arial" w:hAnsi="Arial"/>
      <w:b/>
    </w:rPr>
  </w:style>
  <w:style w:type="character" w:customStyle="1" w:styleId="180">
    <w:name w:val="textnormchn1"/>
    <w:qFormat/>
    <w:uiPriority w:val="0"/>
  </w:style>
  <w:style w:type="character" w:customStyle="1" w:styleId="181">
    <w:name w:val="apple-style-span"/>
    <w:qFormat/>
    <w:uiPriority w:val="0"/>
  </w:style>
  <w:style w:type="character" w:customStyle="1" w:styleId="182">
    <w:name w:val="副标题 Char1"/>
    <w:qFormat/>
    <w:uiPriority w:val="0"/>
    <w:rPr>
      <w:rFonts w:ascii="Cambria" w:hAnsi="Cambria" w:cs="Times New Roman"/>
      <w:b/>
      <w:bCs/>
      <w:kern w:val="28"/>
      <w:sz w:val="32"/>
      <w:szCs w:val="32"/>
    </w:rPr>
  </w:style>
  <w:style w:type="character" w:customStyle="1" w:styleId="183">
    <w:name w:val="信息标题 Char1"/>
    <w:qFormat/>
    <w:uiPriority w:val="0"/>
    <w:rPr>
      <w:rFonts w:ascii="Cambria" w:hAnsi="Cambria" w:eastAsia="宋体" w:cs="Times New Roman"/>
      <w:kern w:val="2"/>
      <w:sz w:val="24"/>
      <w:szCs w:val="24"/>
      <w:shd w:val="pct20" w:color="auto" w:fill="auto"/>
    </w:rPr>
  </w:style>
  <w:style w:type="paragraph" w:customStyle="1" w:styleId="184">
    <w:name w:val="文章正文"/>
    <w:basedOn w:val="1"/>
    <w:qFormat/>
    <w:uiPriority w:val="0"/>
    <w:pPr>
      <w:spacing w:line="360" w:lineRule="auto"/>
    </w:pPr>
    <w:rPr>
      <w:rFonts w:ascii="Times New Roman" w:hAnsi="Times New Roman"/>
      <w:b w:val="0"/>
      <w:color w:val="auto"/>
      <w:kern w:val="2"/>
      <w:sz w:val="24"/>
      <w:szCs w:val="24"/>
    </w:rPr>
  </w:style>
  <w:style w:type="character" w:customStyle="1" w:styleId="185">
    <w:name w:val="style31"/>
    <w:qFormat/>
    <w:uiPriority w:val="0"/>
    <w:rPr>
      <w:rFonts w:ascii="Verdana" w:hAnsi="Verdana" w:eastAsia="宋体"/>
      <w:sz w:val="22"/>
      <w:szCs w:val="22"/>
      <w:lang w:val="en-US" w:eastAsia="en-US" w:bidi="ar-SA"/>
    </w:rPr>
  </w:style>
  <w:style w:type="paragraph" w:customStyle="1" w:styleId="186">
    <w:name w:val="List Paragraph"/>
    <w:basedOn w:val="1"/>
    <w:qFormat/>
    <w:uiPriority w:val="0"/>
    <w:pPr>
      <w:widowControl/>
      <w:snapToGrid w:val="0"/>
      <w:spacing w:after="200" w:line="276" w:lineRule="auto"/>
      <w:ind w:left="720"/>
      <w:contextualSpacing/>
      <w:jc w:val="left"/>
    </w:pPr>
    <w:rPr>
      <w:rFonts w:ascii="Times New Roman" w:hAnsi="Times New Roman"/>
      <w:b w:val="0"/>
      <w:color w:val="auto"/>
      <w:sz w:val="22"/>
      <w:szCs w:val="20"/>
    </w:rPr>
  </w:style>
  <w:style w:type="paragraph" w:customStyle="1" w:styleId="187">
    <w:name w:val="1.1.1.1.1"/>
    <w:basedOn w:val="6"/>
    <w:qFormat/>
    <w:uiPriority w:val="0"/>
    <w:pPr>
      <w:tabs>
        <w:tab w:val="left" w:pos="851"/>
        <w:tab w:val="left" w:pos="1211"/>
      </w:tabs>
      <w:spacing w:line="377" w:lineRule="auto"/>
      <w:ind w:left="1211" w:hanging="1211"/>
    </w:pPr>
    <w:rPr>
      <w:rFonts w:ascii="Arial" w:hAnsi="Arial"/>
      <w:b/>
      <w:kern w:val="10"/>
    </w:rPr>
  </w:style>
  <w:style w:type="character" w:customStyle="1" w:styleId="188">
    <w:name w:val="文档结构图 Char1"/>
    <w:qFormat/>
    <w:uiPriority w:val="0"/>
    <w:rPr>
      <w:rFonts w:ascii="宋体" w:eastAsia="宋体" w:cs="Times New Roman"/>
      <w:sz w:val="18"/>
      <w:szCs w:val="18"/>
    </w:rPr>
  </w:style>
  <w:style w:type="character" w:customStyle="1" w:styleId="189">
    <w:name w:val="日期 Char1"/>
    <w:qFormat/>
    <w:uiPriority w:val="0"/>
    <w:rPr>
      <w:kern w:val="2"/>
      <w:sz w:val="21"/>
      <w:szCs w:val="22"/>
    </w:rPr>
  </w:style>
  <w:style w:type="character" w:customStyle="1" w:styleId="190">
    <w:name w:val="Char Char11"/>
    <w:qFormat/>
    <w:uiPriority w:val="0"/>
    <w:rPr>
      <w:rFonts w:ascii="Arial Narrow" w:hAnsi="Arial Narrow"/>
      <w:b/>
      <w:bCs/>
      <w:iCs/>
      <w:szCs w:val="24"/>
      <w:lang w:eastAsia="en-US"/>
    </w:rPr>
  </w:style>
  <w:style w:type="character" w:customStyle="1" w:styleId="191">
    <w:name w:val="标书正文:  0.74 厘米 Char Char"/>
    <w:qFormat/>
    <w:uiPriority w:val="0"/>
    <w:rPr>
      <w:kern w:val="2"/>
      <w:sz w:val="24"/>
    </w:rPr>
  </w:style>
  <w:style w:type="character" w:customStyle="1" w:styleId="192">
    <w:name w:val="MM Topic 3 Char"/>
    <w:qFormat/>
    <w:uiPriority w:val="0"/>
    <w:rPr>
      <w:b/>
      <w:sz w:val="32"/>
    </w:rPr>
  </w:style>
  <w:style w:type="paragraph" w:customStyle="1" w:styleId="193">
    <w:name w:val="正文格式"/>
    <w:basedOn w:val="1"/>
    <w:qFormat/>
    <w:uiPriority w:val="0"/>
    <w:pPr>
      <w:widowControl/>
      <w:adjustRightInd w:val="0"/>
      <w:snapToGrid w:val="0"/>
      <w:spacing w:before="100" w:beforeAutospacing="1" w:after="100" w:afterAutospacing="1" w:line="440" w:lineRule="exact"/>
      <w:textAlignment w:val="baseline"/>
    </w:pPr>
    <w:rPr>
      <w:b w:val="0"/>
      <w:bCs/>
      <w:color w:val="000000"/>
      <w:sz w:val="24"/>
      <w:szCs w:val="24"/>
    </w:rPr>
  </w:style>
  <w:style w:type="character" w:customStyle="1" w:styleId="194">
    <w:name w:val="Char Char10"/>
    <w:qFormat/>
    <w:uiPriority w:val="0"/>
    <w:rPr>
      <w:kern w:val="2"/>
      <w:sz w:val="24"/>
      <w:szCs w:val="24"/>
    </w:rPr>
  </w:style>
  <w:style w:type="paragraph" w:customStyle="1" w:styleId="195">
    <w:name w:val="Body"/>
    <w:basedOn w:val="1"/>
    <w:qFormat/>
    <w:uiPriority w:val="0"/>
    <w:pPr>
      <w:widowControl/>
      <w:tabs>
        <w:tab w:val="left" w:pos="8835"/>
      </w:tabs>
      <w:spacing w:before="80" w:after="80" w:line="288" w:lineRule="auto"/>
      <w:ind w:firstLine="150" w:firstLineChars="150"/>
    </w:pPr>
    <w:rPr>
      <w:rFonts w:ascii="仿宋_GB2312" w:eastAsia="仿宋_GB2312"/>
      <w:b w:val="0"/>
      <w:color w:val="auto"/>
      <w:sz w:val="28"/>
      <w:szCs w:val="20"/>
    </w:rPr>
  </w:style>
  <w:style w:type="character" w:customStyle="1" w:styleId="196">
    <w:name w:val=" Char Char11"/>
    <w:qFormat/>
    <w:uiPriority w:val="0"/>
    <w:rPr>
      <w:rFonts w:ascii="Times New Roman" w:hAnsi="Times New Roman" w:eastAsia="宋体" w:cs="Times New Roman"/>
      <w:szCs w:val="24"/>
    </w:rPr>
  </w:style>
  <w:style w:type="character" w:customStyle="1" w:styleId="197">
    <w:name w:val=" Char Char2"/>
    <w:qFormat/>
    <w:uiPriority w:val="0"/>
    <w:rPr>
      <w:rFonts w:eastAsia="宋体"/>
      <w:sz w:val="24"/>
      <w:szCs w:val="24"/>
      <w:lang w:val="en-US" w:eastAsia="zh-CN" w:bidi="ar-SA"/>
    </w:rPr>
  </w:style>
  <w:style w:type="character" w:customStyle="1" w:styleId="198">
    <w:name w:val="0921 Char"/>
    <w:qFormat/>
    <w:uiPriority w:val="0"/>
    <w:rPr>
      <w:rFonts w:ascii="宋体" w:eastAsia="宋体" w:cs="Courier New"/>
      <w:kern w:val="2"/>
      <w:sz w:val="21"/>
      <w:szCs w:val="21"/>
      <w:lang w:val="en-US" w:eastAsia="zh-CN" w:bidi="ar-SA"/>
    </w:rPr>
  </w:style>
  <w:style w:type="character" w:customStyle="1" w:styleId="199">
    <w:name w:val="正文文本缩进 3 Char1"/>
    <w:qFormat/>
    <w:uiPriority w:val="0"/>
    <w:rPr>
      <w:rFonts w:ascii="Times New Roman" w:hAnsi="Times New Roman" w:eastAsia="宋体" w:cs="Times New Roman"/>
      <w:sz w:val="16"/>
      <w:szCs w:val="16"/>
    </w:rPr>
  </w:style>
  <w:style w:type="character" w:customStyle="1" w:styleId="200">
    <w:name w:val=" Char Char10"/>
    <w:qFormat/>
    <w:uiPriority w:val="0"/>
    <w:rPr>
      <w:rFonts w:ascii="Times New Roman" w:hAnsi="Times New Roman" w:eastAsia="宋体" w:cs="Times New Roman"/>
      <w:sz w:val="18"/>
      <w:szCs w:val="18"/>
    </w:rPr>
  </w:style>
  <w:style w:type="character" w:customStyle="1" w:styleId="201">
    <w:name w:val="Char Char6"/>
    <w:qFormat/>
    <w:uiPriority w:val="0"/>
    <w:rPr>
      <w:kern w:val="2"/>
      <w:sz w:val="21"/>
      <w:szCs w:val="24"/>
    </w:rPr>
  </w:style>
  <w:style w:type="paragraph" w:customStyle="1" w:styleId="202">
    <w:name w:val="55555"/>
    <w:basedOn w:val="4"/>
    <w:qFormat/>
    <w:uiPriority w:val="0"/>
    <w:pPr>
      <w:numPr>
        <w:ilvl w:val="2"/>
        <w:numId w:val="12"/>
      </w:numPr>
      <w:ind w:firstLineChars="0"/>
    </w:pPr>
    <w:rPr>
      <w:rFonts w:eastAsia="仿宋_GB2312"/>
      <w:sz w:val="30"/>
      <w:szCs w:val="30"/>
    </w:rPr>
  </w:style>
  <w:style w:type="character" w:customStyle="1" w:styleId="203">
    <w:name w:val="HTML 地址 Char1"/>
    <w:qFormat/>
    <w:uiPriority w:val="0"/>
    <w:rPr>
      <w:i/>
      <w:iCs/>
      <w:kern w:val="2"/>
      <w:sz w:val="21"/>
      <w:szCs w:val="24"/>
    </w:rPr>
  </w:style>
  <w:style w:type="character" w:customStyle="1" w:styleId="204">
    <w:name w:val="样式 小四2 Char Char"/>
    <w:qFormat/>
    <w:uiPriority w:val="0"/>
    <w:rPr>
      <w:rFonts w:ascii="宋体" w:eastAsia="宋体"/>
      <w:kern w:val="2"/>
      <w:sz w:val="24"/>
      <w:szCs w:val="24"/>
    </w:rPr>
  </w:style>
  <w:style w:type="character" w:customStyle="1" w:styleId="205">
    <w:name w:val="Footer Char2"/>
    <w:qFormat/>
    <w:uiPriority w:val="0"/>
    <w:rPr>
      <w:rFonts w:ascii="Times New Roman" w:hAnsi="Times New Roman" w:cs="Times New Roman"/>
      <w:sz w:val="18"/>
      <w:szCs w:val="18"/>
    </w:rPr>
  </w:style>
  <w:style w:type="paragraph" w:customStyle="1" w:styleId="206">
    <w:name w:val="表头文字"/>
    <w:basedOn w:val="1"/>
    <w:qFormat/>
    <w:uiPriority w:val="0"/>
    <w:pPr>
      <w:keepNext/>
      <w:widowControl w:val="0"/>
      <w:spacing w:before="40" w:after="40"/>
      <w:jc w:val="center"/>
    </w:pPr>
    <w:rPr>
      <w:rFonts w:ascii="Times New Roman" w:hAnsi="Times New Roman"/>
      <w:color w:val="auto"/>
      <w:sz w:val="18"/>
      <w:szCs w:val="20"/>
    </w:rPr>
  </w:style>
  <w:style w:type="paragraph" w:customStyle="1" w:styleId="207">
    <w:name w:val="样式 标题 2H2节Heading 2 HiddenHeading 2 CCBSTitle2PIM22nd lev...2 Char Char"/>
    <w:basedOn w:val="3"/>
    <w:qFormat/>
    <w:uiPriority w:val="0"/>
    <w:pPr>
      <w:numPr>
        <w:ilvl w:val="1"/>
        <w:numId w:val="13"/>
      </w:numPr>
      <w:tabs>
        <w:tab w:val="left" w:pos="210"/>
        <w:tab w:val="clear" w:pos="567"/>
      </w:tabs>
      <w:spacing w:before="160" w:after="160" w:line="300" w:lineRule="auto"/>
      <w:ind w:firstLineChars="0"/>
      <w:jc w:val="both"/>
    </w:pPr>
    <w:rPr>
      <w:rFonts w:ascii="Arial" w:hAnsi="Arial" w:eastAsia="黑体"/>
      <w:b/>
      <w:color w:val="000000"/>
      <w:kern w:val="2"/>
      <w:sz w:val="32"/>
      <w:szCs w:val="32"/>
    </w:rPr>
  </w:style>
  <w:style w:type="character" w:customStyle="1" w:styleId="208">
    <w:name w:val="正文文本缩进 Char1"/>
    <w:qFormat/>
    <w:uiPriority w:val="0"/>
    <w:rPr>
      <w:rFonts w:ascii="Times New Roman" w:hAnsi="Times New Roman" w:eastAsia="宋体" w:cs="Times New Roman"/>
      <w:sz w:val="32"/>
      <w:szCs w:val="20"/>
    </w:rPr>
  </w:style>
  <w:style w:type="paragraph" w:customStyle="1" w:styleId="209">
    <w:name w:val="图例"/>
    <w:basedOn w:val="1"/>
    <w:qFormat/>
    <w:uiPriority w:val="0"/>
    <w:pPr>
      <w:spacing w:line="360" w:lineRule="auto"/>
      <w:jc w:val="center"/>
    </w:pPr>
    <w:rPr>
      <w:rFonts w:ascii="仿宋_GB2312" w:eastAsia="仿宋_GB2312"/>
      <w:b w:val="0"/>
      <w:color w:val="auto"/>
      <w:kern w:val="2"/>
      <w:sz w:val="24"/>
      <w:szCs w:val="24"/>
    </w:rPr>
  </w:style>
  <w:style w:type="paragraph" w:customStyle="1" w:styleId="210">
    <w:name w:val="样式 样式 样式 标题 3Sectionh3H3level_3PIM 3Level 3 HeadHeading 3 - old....1"/>
    <w:basedOn w:val="1"/>
    <w:qFormat/>
    <w:uiPriority w:val="0"/>
    <w:pPr>
      <w:keepNext/>
      <w:keepLines/>
      <w:widowControl w:val="0"/>
      <w:numPr>
        <w:ilvl w:val="2"/>
        <w:numId w:val="11"/>
      </w:numPr>
      <w:tabs>
        <w:tab w:val="left" w:pos="315"/>
      </w:tabs>
      <w:spacing w:before="40" w:after="40" w:line="300" w:lineRule="auto"/>
      <w:ind w:firstLineChars="0"/>
      <w:outlineLvl w:val="2"/>
    </w:pPr>
    <w:rPr>
      <w:rFonts w:ascii="Arial" w:hAnsi="Arial" w:eastAsia="黑体"/>
      <w:bCs/>
      <w:color w:val="auto"/>
      <w:sz w:val="30"/>
      <w:szCs w:val="28"/>
    </w:rPr>
  </w:style>
  <w:style w:type="paragraph" w:customStyle="1" w:styleId="211">
    <w:name w:val="11111"/>
    <w:basedOn w:val="1"/>
    <w:qFormat/>
    <w:uiPriority w:val="0"/>
    <w:pPr>
      <w:tabs>
        <w:tab w:val="left" w:pos="425"/>
      </w:tabs>
      <w:adjustRightInd w:val="0"/>
      <w:snapToGrid w:val="0"/>
      <w:spacing w:line="360" w:lineRule="auto"/>
      <w:ind w:left="425" w:right="17" w:rightChars="17"/>
      <w:outlineLvl w:val="1"/>
    </w:pPr>
    <w:rPr>
      <w:color w:val="auto"/>
      <w:kern w:val="2"/>
      <w:sz w:val="30"/>
      <w:szCs w:val="30"/>
    </w:rPr>
  </w:style>
  <w:style w:type="character" w:customStyle="1" w:styleId="212">
    <w:name w:val=" Char Char9"/>
    <w:qFormat/>
    <w:uiPriority w:val="0"/>
    <w:rPr>
      <w:rFonts w:ascii="Times New Roman" w:hAnsi="Times New Roman" w:eastAsia="宋体" w:cs="Times New Roman"/>
      <w:sz w:val="18"/>
      <w:szCs w:val="18"/>
    </w:rPr>
  </w:style>
  <w:style w:type="character" w:customStyle="1" w:styleId="213">
    <w:name w:val=" Char Char Char"/>
    <w:qFormat/>
    <w:uiPriority w:val="0"/>
    <w:rPr>
      <w:rFonts w:eastAsia="宋体"/>
      <w:sz w:val="18"/>
      <w:szCs w:val="18"/>
      <w:lang w:val="en-US" w:eastAsia="zh-CN" w:bidi="ar-SA"/>
    </w:rPr>
  </w:style>
  <w:style w:type="character" w:customStyle="1" w:styleId="214">
    <w:name w:val=" Char Char15"/>
    <w:qFormat/>
    <w:uiPriority w:val="0"/>
    <w:rPr>
      <w:rFonts w:ascii="Times New Roman" w:hAnsi="Times New Roman" w:eastAsia="宋体" w:cs="Times New Roman"/>
      <w:sz w:val="24"/>
      <w:szCs w:val="24"/>
    </w:rPr>
  </w:style>
  <w:style w:type="character" w:customStyle="1" w:styleId="215">
    <w:name w:val="Header Char2"/>
    <w:qFormat/>
    <w:uiPriority w:val="0"/>
    <w:rPr>
      <w:rFonts w:ascii="Times New Roman" w:hAnsi="Times New Roman" w:cs="Times New Roman"/>
      <w:sz w:val="18"/>
      <w:szCs w:val="18"/>
    </w:rPr>
  </w:style>
  <w:style w:type="character" w:customStyle="1" w:styleId="216">
    <w:name w:val=" Char Char19"/>
    <w:qFormat/>
    <w:uiPriority w:val="0"/>
    <w:rPr>
      <w:rFonts w:ascii="Arial" w:hAnsi="Arial" w:eastAsia="黑体" w:cs="Times New Roman"/>
      <w:szCs w:val="21"/>
    </w:rPr>
  </w:style>
  <w:style w:type="paragraph" w:customStyle="1" w:styleId="217">
    <w:name w:val="CD正文"/>
    <w:basedOn w:val="1"/>
    <w:qFormat/>
    <w:uiPriority w:val="0"/>
    <w:pPr>
      <w:spacing w:line="360" w:lineRule="auto"/>
    </w:pPr>
    <w:rPr>
      <w:rFonts w:ascii="Times New Roman" w:hAnsi="Times New Roman"/>
      <w:b w:val="0"/>
      <w:color w:val="auto"/>
      <w:kern w:val="2"/>
      <w:sz w:val="24"/>
      <w:szCs w:val="20"/>
    </w:rPr>
  </w:style>
  <w:style w:type="character" w:customStyle="1" w:styleId="218">
    <w:name w:val="indent"/>
    <w:qFormat/>
    <w:uiPriority w:val="0"/>
    <w:rPr>
      <w:rFonts w:ascii="Verdana" w:hAnsi="Verdana" w:eastAsia="宋体"/>
      <w:lang w:val="en-US" w:eastAsia="en-US" w:bidi="ar-SA"/>
    </w:rPr>
  </w:style>
  <w:style w:type="paragraph" w:customStyle="1" w:styleId="219">
    <w:name w:val="44444"/>
    <w:basedOn w:val="1"/>
    <w:qFormat/>
    <w:uiPriority w:val="0"/>
    <w:pPr>
      <w:spacing w:before="312" w:after="312" w:line="360" w:lineRule="auto"/>
      <w:jc w:val="left"/>
      <w:outlineLvl w:val="2"/>
    </w:pPr>
    <w:rPr>
      <w:color w:val="auto"/>
      <w:kern w:val="2"/>
      <w:sz w:val="30"/>
      <w:szCs w:val="30"/>
    </w:rPr>
  </w:style>
  <w:style w:type="character" w:customStyle="1" w:styleId="220">
    <w:name w:val="Char Char4"/>
    <w:qFormat/>
    <w:uiPriority w:val="0"/>
    <w:rPr>
      <w:kern w:val="2"/>
      <w:sz w:val="18"/>
      <w:szCs w:val="18"/>
    </w:rPr>
  </w:style>
  <w:style w:type="character" w:customStyle="1" w:styleId="221">
    <w:name w:val="ziti12hei"/>
    <w:qFormat/>
    <w:uiPriority w:val="0"/>
  </w:style>
  <w:style w:type="character" w:customStyle="1" w:styleId="222">
    <w:name w:val="称呼 Char1"/>
    <w:qFormat/>
    <w:uiPriority w:val="0"/>
    <w:rPr>
      <w:kern w:val="2"/>
      <w:sz w:val="21"/>
      <w:szCs w:val="24"/>
    </w:rPr>
  </w:style>
  <w:style w:type="character" w:customStyle="1" w:styleId="223">
    <w:name w:val="正文首行缩进 Char1"/>
    <w:qFormat/>
    <w:uiPriority w:val="0"/>
  </w:style>
  <w:style w:type="paragraph" w:customStyle="1" w:styleId="224">
    <w:name w:val="表格内文字"/>
    <w:basedOn w:val="1"/>
    <w:qFormat/>
    <w:uiPriority w:val="0"/>
    <w:pPr>
      <w:keepLines/>
      <w:widowControl w:val="0"/>
      <w:spacing w:before="40" w:after="40"/>
      <w:textAlignment w:val="top"/>
    </w:pPr>
    <w:rPr>
      <w:rFonts w:ascii="Arial" w:hAnsi="Arial"/>
      <w:b w:val="0"/>
      <w:color w:val="auto"/>
      <w:sz w:val="18"/>
      <w:szCs w:val="18"/>
    </w:rPr>
  </w:style>
  <w:style w:type="character" w:customStyle="1" w:styleId="225">
    <w:name w:val="电子邮件签名 Char1"/>
    <w:qFormat/>
    <w:uiPriority w:val="0"/>
    <w:rPr>
      <w:kern w:val="2"/>
      <w:sz w:val="21"/>
      <w:szCs w:val="24"/>
    </w:rPr>
  </w:style>
  <w:style w:type="character" w:customStyle="1" w:styleId="226">
    <w:name w:val="脚注文本 Char2"/>
    <w:qFormat/>
    <w:uiPriority w:val="0"/>
    <w:rPr>
      <w:kern w:val="2"/>
      <w:sz w:val="18"/>
      <w:szCs w:val="18"/>
    </w:rPr>
  </w:style>
  <w:style w:type="character" w:customStyle="1" w:styleId="227">
    <w:name w:val="para_small productdetailstext"/>
    <w:qFormat/>
    <w:uiPriority w:val="0"/>
  </w:style>
  <w:style w:type="character" w:customStyle="1" w:styleId="228">
    <w:name w:val="CD正文 Char"/>
    <w:qFormat/>
    <w:uiPriority w:val="0"/>
    <w:rPr>
      <w:rFonts w:ascii="Times New Roman" w:hAnsi="Times New Roman"/>
      <w:sz w:val="28"/>
    </w:rPr>
  </w:style>
  <w:style w:type="character" w:customStyle="1" w:styleId="229">
    <w:name w:val="（符号）邀请函中一、"/>
    <w:qFormat/>
    <w:uiPriority w:val="0"/>
    <w:rPr>
      <w:rFonts w:ascii="黑体" w:eastAsia="黑体"/>
      <w:b/>
      <w:bCs/>
      <w:sz w:val="24"/>
    </w:rPr>
  </w:style>
  <w:style w:type="paragraph" w:customStyle="1" w:styleId="230">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231">
    <w:name w:val="列出段落1"/>
    <w:basedOn w:val="1"/>
    <w:qFormat/>
    <w:uiPriority w:val="0"/>
    <w:pPr>
      <w:ind w:firstLine="200" w:firstLineChars="200"/>
    </w:pPr>
    <w:rPr>
      <w:rFonts w:ascii="Calibri" w:hAnsi="Calibri"/>
      <w:szCs w:val="22"/>
    </w:rPr>
  </w:style>
  <w:style w:type="paragraph" w:customStyle="1" w:styleId="232">
    <w:name w:val=" Char Char Char Char Char Char"/>
    <w:basedOn w:val="1"/>
    <w:qFormat/>
    <w:uiPriority w:val="0"/>
    <w:rPr>
      <w:rFonts w:ascii="Tahoma" w:hAnsi="Tahoma"/>
      <w:sz w:val="24"/>
      <w:szCs w:val="20"/>
    </w:rPr>
  </w:style>
  <w:style w:type="paragraph" w:customStyle="1" w:styleId="233">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234">
    <w:name w:val="封面部门名"/>
    <w:basedOn w:val="1"/>
    <w:qFormat/>
    <w:uiPriority w:val="0"/>
    <w:pPr>
      <w:wordWrap w:val="0"/>
      <w:jc w:val="center"/>
    </w:pPr>
    <w:rPr>
      <w:rFonts w:ascii="宋体"/>
      <w:b w:val="0"/>
      <w:bCs/>
      <w:sz w:val="44"/>
    </w:rPr>
  </w:style>
  <w:style w:type="paragraph" w:customStyle="1" w:styleId="235">
    <w:name w:val="默认段落字体 Para Char Char Char Char Char Char Char Char Char1 Char Char Char Char"/>
    <w:basedOn w:val="1"/>
    <w:qFormat/>
    <w:uiPriority w:val="0"/>
    <w:rPr>
      <w:rFonts w:ascii="Tahoma" w:hAnsi="Tahoma"/>
      <w:sz w:val="24"/>
      <w:szCs w:val="20"/>
    </w:rPr>
  </w:style>
  <w:style w:type="paragraph" w:customStyle="1" w:styleId="236">
    <w:name w:val="xl190"/>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kern w:val="0"/>
      <w:sz w:val="18"/>
      <w:szCs w:val="18"/>
    </w:rPr>
  </w:style>
  <w:style w:type="paragraph" w:customStyle="1" w:styleId="237">
    <w:name w:val="程序"/>
    <w:basedOn w:val="44"/>
    <w:qFormat/>
    <w:uiPriority w:val="0"/>
    <w:pPr>
      <w:spacing w:line="329" w:lineRule="exact"/>
    </w:pPr>
    <w:rPr>
      <w:rFonts w:ascii="Courier New" w:hAnsi="Courier New"/>
    </w:rPr>
  </w:style>
  <w:style w:type="paragraph" w:customStyle="1" w:styleId="238">
    <w:name w:val="xl76"/>
    <w:basedOn w:val="1"/>
    <w:qFormat/>
    <w:uiPriority w:val="0"/>
    <w:pPr>
      <w:widowControl/>
      <w:spacing w:before="100" w:beforeAutospacing="1" w:after="100" w:afterAutospacing="1"/>
      <w:jc w:val="left"/>
    </w:pPr>
    <w:rPr>
      <w:color w:val="000000"/>
      <w:kern w:val="0"/>
      <w:sz w:val="20"/>
      <w:szCs w:val="20"/>
    </w:rPr>
  </w:style>
  <w:style w:type="paragraph" w:customStyle="1" w:styleId="239">
    <w:name w:val="无间隔"/>
    <w:qFormat/>
    <w:uiPriority w:val="0"/>
    <w:pPr>
      <w:widowControl w:val="0"/>
      <w:spacing w:line="300" w:lineRule="auto"/>
    </w:pPr>
    <w:rPr>
      <w:rFonts w:ascii="Times New Roman" w:hAnsi="Times New Roman" w:eastAsia="华文仿宋" w:cs="Times New Roman"/>
      <w:kern w:val="2"/>
      <w:sz w:val="24"/>
      <w:szCs w:val="21"/>
      <w:lang w:val="en-US" w:eastAsia="zh-CN" w:bidi="ar-SA"/>
    </w:rPr>
  </w:style>
  <w:style w:type="paragraph" w:customStyle="1" w:styleId="240">
    <w:name w:val="项目符号：一级"/>
    <w:basedOn w:val="193"/>
    <w:next w:val="193"/>
    <w:qFormat/>
    <w:uiPriority w:val="0"/>
    <w:pPr>
      <w:tabs>
        <w:tab w:val="left" w:pos="700"/>
      </w:tabs>
      <w:spacing w:before="0"/>
      <w:ind w:left="630"/>
    </w:pPr>
    <w:rPr>
      <w:bCs w:val="0"/>
    </w:rPr>
  </w:style>
  <w:style w:type="paragraph" w:customStyle="1" w:styleId="241">
    <w:name w:val="È±Ê¡ÎÄ±¾"/>
    <w:basedOn w:val="1"/>
    <w:qFormat/>
    <w:uiPriority w:val="0"/>
    <w:pPr>
      <w:widowControl/>
      <w:overflowPunct w:val="0"/>
      <w:autoSpaceDE w:val="0"/>
      <w:autoSpaceDN w:val="0"/>
      <w:adjustRightInd w:val="0"/>
      <w:snapToGrid w:val="0"/>
      <w:ind w:firstLine="200" w:firstLineChars="200"/>
      <w:jc w:val="left"/>
      <w:textAlignment w:val="baseline"/>
    </w:pPr>
    <w:rPr>
      <w:bCs/>
      <w:kern w:val="0"/>
      <w:sz w:val="24"/>
    </w:rPr>
  </w:style>
  <w:style w:type="paragraph" w:customStyle="1" w:styleId="242">
    <w:name w:val="RFI Heading 3rd Level"/>
    <w:basedOn w:val="1"/>
    <w:qFormat/>
    <w:uiPriority w:val="0"/>
    <w:pPr>
      <w:widowControl/>
      <w:tabs>
        <w:tab w:val="left" w:pos="720"/>
      </w:tabs>
      <w:ind w:left="720"/>
      <w:jc w:val="left"/>
    </w:pPr>
    <w:rPr>
      <w:rFonts w:ascii="Arial (W1)" w:hAnsi="Arial (W1)"/>
      <w:color w:val="000000"/>
      <w:kern w:val="0"/>
      <w:sz w:val="24"/>
      <w:lang w:val="en-GB" w:eastAsia="en-US"/>
    </w:rPr>
  </w:style>
  <w:style w:type="paragraph" w:customStyle="1" w:styleId="243">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244">
    <w:name w:val="细目"/>
    <w:qFormat/>
    <w:uiPriority w:val="0"/>
    <w:pPr>
      <w:numPr>
        <w:ilvl w:val="0"/>
        <w:numId w:val="14"/>
      </w:numPr>
      <w:spacing w:before="312" w:line="360" w:lineRule="auto"/>
    </w:pPr>
    <w:rPr>
      <w:rFonts w:ascii="Times New Roman" w:hAnsi="Times New Roman" w:eastAsia="宋体" w:cs="Times New Roman"/>
      <w:sz w:val="24"/>
      <w:lang w:val="en-US" w:eastAsia="zh-CN" w:bidi="ar-SA"/>
    </w:rPr>
  </w:style>
  <w:style w:type="paragraph" w:customStyle="1" w:styleId="245">
    <w:name w:val="细目加粗"/>
    <w:basedOn w:val="244"/>
    <w:qFormat/>
    <w:uiPriority w:val="0"/>
    <w:pPr>
      <w:tabs>
        <w:tab w:val="left" w:pos="737"/>
      </w:tabs>
    </w:pPr>
    <w:rPr>
      <w:b/>
    </w:rPr>
  </w:style>
  <w:style w:type="paragraph" w:customStyle="1" w:styleId="246">
    <w:name w:val="样式 标题 2H2第一章 标题 2Heading 2 HiddenHeading 2 CCBSheading 2h2..."/>
    <w:basedOn w:val="3"/>
    <w:qFormat/>
    <w:uiPriority w:val="0"/>
    <w:pPr>
      <w:tabs>
        <w:tab w:val="left" w:pos="993"/>
        <w:tab w:val="clear" w:pos="567"/>
      </w:tabs>
      <w:ind w:left="993"/>
      <w:jc w:val="both"/>
    </w:pPr>
    <w:rPr>
      <w:rFonts w:ascii="宋体" w:cs="宋体"/>
      <w:color w:val="000000"/>
      <w:szCs w:val="20"/>
    </w:rPr>
  </w:style>
  <w:style w:type="paragraph" w:customStyle="1" w:styleId="247">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248">
    <w:name w:val="xl144"/>
    <w:basedOn w:val="1"/>
    <w:qFormat/>
    <w:uiPriority w:val="0"/>
    <w:pPr>
      <w:widowControl/>
      <w:pBdr>
        <w:left w:val="single" w:color="auto" w:sz="4" w:space="0"/>
      </w:pBdr>
      <w:spacing w:before="100" w:beforeAutospacing="1" w:after="100" w:afterAutospacing="1"/>
      <w:jc w:val="left"/>
    </w:pPr>
    <w:rPr>
      <w:rFonts w:ascii="宋体" w:cs="宋体"/>
      <w:color w:val="000000"/>
      <w:kern w:val="0"/>
      <w:sz w:val="18"/>
      <w:szCs w:val="18"/>
    </w:rPr>
  </w:style>
  <w:style w:type="paragraph" w:customStyle="1" w:styleId="249">
    <w:name w:val="样式1"/>
    <w:basedOn w:val="1"/>
    <w:qFormat/>
    <w:uiPriority w:val="0"/>
    <w:rPr>
      <w:rFonts w:eastAsia="隶书"/>
      <w:i/>
      <w:dstrike/>
      <w:sz w:val="28"/>
      <w:szCs w:val="18"/>
    </w:rPr>
  </w:style>
  <w:style w:type="paragraph" w:customStyle="1" w:styleId="250">
    <w:name w:val="列表1"/>
    <w:basedOn w:val="1"/>
    <w:qFormat/>
    <w:uiPriority w:val="0"/>
    <w:pPr>
      <w:numPr>
        <w:ilvl w:val="1"/>
        <w:numId w:val="15"/>
      </w:numPr>
      <w:adjustRightInd w:val="0"/>
      <w:snapToGrid w:val="0"/>
      <w:ind w:firstLineChars="0"/>
      <w:textAlignment w:val="baseline"/>
    </w:pPr>
    <w:rPr>
      <w:kern w:val="0"/>
      <w:sz w:val="24"/>
      <w:szCs w:val="20"/>
    </w:rPr>
  </w:style>
  <w:style w:type="paragraph" w:customStyle="1" w:styleId="251">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252">
    <w:name w:val="表栏名"/>
    <w:basedOn w:val="1"/>
    <w:next w:val="253"/>
    <w:qFormat/>
    <w:uiPriority w:val="0"/>
    <w:pPr>
      <w:jc w:val="center"/>
    </w:pPr>
    <w:rPr>
      <w:b w:val="0"/>
    </w:rPr>
  </w:style>
  <w:style w:type="paragraph" w:customStyle="1" w:styleId="253">
    <w:name w:val="表格文字"/>
    <w:basedOn w:val="1"/>
    <w:qFormat/>
    <w:uiPriority w:val="0"/>
    <w:pPr>
      <w:spacing w:before="78" w:after="78"/>
    </w:pPr>
    <w:rPr>
      <w:rFonts w:ascii="Times New (W1)" w:hAnsi="Times New (W1)"/>
      <w:spacing w:val="10"/>
    </w:rPr>
  </w:style>
  <w:style w:type="paragraph" w:customStyle="1" w:styleId="254">
    <w:name w:val="表题"/>
    <w:next w:val="253"/>
    <w:qFormat/>
    <w:uiPriority w:val="0"/>
    <w:pPr>
      <w:spacing w:line="360" w:lineRule="auto"/>
      <w:jc w:val="center"/>
      <w:outlineLvl w:val="5"/>
    </w:pPr>
    <w:rPr>
      <w:rFonts w:ascii="Times New Roman" w:hAnsi="Times New Roman" w:eastAsia="宋体" w:cs="Times New Roman"/>
      <w:sz w:val="24"/>
      <w:lang w:val="en-US" w:eastAsia="zh-CN" w:bidi="ar-SA"/>
    </w:rPr>
  </w:style>
  <w:style w:type="paragraph" w:customStyle="1" w:styleId="255">
    <w:name w:val="样式 宋体 小四 行距: 1.5 倍行距"/>
    <w:basedOn w:val="1"/>
    <w:qFormat/>
    <w:uiPriority w:val="0"/>
    <w:pPr>
      <w:tabs>
        <w:tab w:val="left" w:pos="5190"/>
      </w:tabs>
      <w:spacing w:before="100" w:beforeAutospacing="1" w:after="100" w:afterAutospacing="1" w:line="288" w:lineRule="auto"/>
    </w:pPr>
    <w:rPr>
      <w:rFonts w:ascii="宋体"/>
      <w:bCs/>
      <w:sz w:val="24"/>
    </w:rPr>
  </w:style>
  <w:style w:type="paragraph" w:customStyle="1" w:styleId="256">
    <w:name w:val="gb_master正文"/>
    <w:basedOn w:val="1"/>
    <w:qFormat/>
    <w:uiPriority w:val="0"/>
    <w:pPr>
      <w:ind w:firstLine="200" w:firstLineChars="200"/>
    </w:pPr>
  </w:style>
  <w:style w:type="paragraph" w:customStyle="1" w:styleId="257">
    <w:name w:val="样式 正文缩进 + (中文) 仿宋_GB2312 小四 Char"/>
    <w:basedOn w:val="4"/>
    <w:qFormat/>
    <w:uiPriority w:val="0"/>
    <w:pPr>
      <w:spacing w:line="360" w:lineRule="auto"/>
    </w:pPr>
    <w:rPr>
      <w:rFonts w:ascii="宋体"/>
      <w:sz w:val="24"/>
    </w:rPr>
  </w:style>
  <w:style w:type="paragraph" w:customStyle="1" w:styleId="258">
    <w:name w:val=" Char"/>
    <w:basedOn w:val="1"/>
    <w:next w:val="1"/>
    <w:qFormat/>
    <w:uiPriority w:val="0"/>
    <w:pPr>
      <w:spacing w:line="240" w:lineRule="atLeast"/>
      <w:ind w:left="420"/>
      <w:jc w:val="left"/>
    </w:pPr>
    <w:rPr>
      <w:kern w:val="0"/>
      <w:szCs w:val="21"/>
    </w:rPr>
  </w:style>
  <w:style w:type="paragraph" w:customStyle="1" w:styleId="25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sz w:val="24"/>
    </w:rPr>
  </w:style>
  <w:style w:type="paragraph" w:customStyle="1" w:styleId="260">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261">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cs="宋体"/>
      <w:color w:val="000000"/>
      <w:kern w:val="0"/>
      <w:sz w:val="18"/>
      <w:szCs w:val="18"/>
    </w:rPr>
  </w:style>
  <w:style w:type="paragraph" w:customStyle="1" w:styleId="262">
    <w:name w:val="附录章标题"/>
    <w:next w:val="6"/>
    <w:qFormat/>
    <w:uiPriority w:val="0"/>
    <w:pPr>
      <w:numPr>
        <w:ilvl w:val="1"/>
        <w:numId w:val="16"/>
      </w:numPr>
      <w:wordWrap w:val="0"/>
      <w:overflowPunct w:val="0"/>
      <w:autoSpaceDE w:val="0"/>
      <w:spacing w:before="156" w:after="156"/>
      <w:jc w:val="both"/>
      <w:textAlignment w:val="baseline"/>
      <w:outlineLvl w:val="1"/>
    </w:pPr>
    <w:rPr>
      <w:rFonts w:ascii="黑体" w:hAnsi="Times New Roman" w:eastAsia="黑体" w:cs="Times New Roman"/>
      <w:kern w:val="21"/>
      <w:sz w:val="21"/>
      <w:lang w:val="en-US" w:eastAsia="zh-CN" w:bidi="ar-SA"/>
    </w:rPr>
  </w:style>
  <w:style w:type="paragraph" w:customStyle="1" w:styleId="263">
    <w:name w:val="附录一级条标题"/>
    <w:basedOn w:val="262"/>
    <w:next w:val="6"/>
    <w:qFormat/>
    <w:uiPriority w:val="0"/>
    <w:pPr>
      <w:numPr>
        <w:ilvl w:val="2"/>
        <w:numId w:val="16"/>
      </w:numPr>
      <w:wordWrap w:val="0"/>
      <w:overflowPunct w:val="0"/>
      <w:autoSpaceDE w:val="0"/>
      <w:autoSpaceDN w:val="0"/>
      <w:spacing w:before="0" w:after="0"/>
      <w:outlineLvl w:val="2"/>
    </w:pPr>
  </w:style>
  <w:style w:type="paragraph" w:customStyle="1" w:styleId="264">
    <w:name w:val="附录二级条标题"/>
    <w:basedOn w:val="263"/>
    <w:next w:val="6"/>
    <w:qFormat/>
    <w:uiPriority w:val="0"/>
    <w:pPr>
      <w:numPr>
        <w:ilvl w:val="3"/>
        <w:numId w:val="16"/>
      </w:numPr>
      <w:outlineLvl w:val="3"/>
    </w:pPr>
  </w:style>
  <w:style w:type="paragraph" w:customStyle="1" w:styleId="265">
    <w:name w:val="附录三级条标题"/>
    <w:basedOn w:val="264"/>
    <w:next w:val="6"/>
    <w:qFormat/>
    <w:uiPriority w:val="0"/>
    <w:pPr>
      <w:numPr>
        <w:ilvl w:val="4"/>
        <w:numId w:val="16"/>
      </w:numPr>
      <w:outlineLvl w:val="4"/>
    </w:pPr>
  </w:style>
  <w:style w:type="paragraph" w:customStyle="1" w:styleId="266">
    <w:name w:val="附录四级条标题"/>
    <w:basedOn w:val="265"/>
    <w:next w:val="6"/>
    <w:qFormat/>
    <w:uiPriority w:val="0"/>
    <w:pPr>
      <w:numPr>
        <w:ilvl w:val="5"/>
        <w:numId w:val="16"/>
      </w:numPr>
      <w:outlineLvl w:val="5"/>
    </w:pPr>
  </w:style>
  <w:style w:type="paragraph" w:customStyle="1" w:styleId="267">
    <w:name w:val="font6"/>
    <w:basedOn w:val="1"/>
    <w:qFormat/>
    <w:uiPriority w:val="0"/>
    <w:pPr>
      <w:widowControl/>
      <w:spacing w:before="100" w:beforeAutospacing="1" w:after="100" w:afterAutospacing="1"/>
      <w:jc w:val="left"/>
    </w:pPr>
    <w:rPr>
      <w:rFonts w:ascii="宋体" w:cs="宋体"/>
      <w:kern w:val="0"/>
      <w:sz w:val="18"/>
      <w:szCs w:val="18"/>
    </w:rPr>
  </w:style>
  <w:style w:type="paragraph" w:customStyle="1" w:styleId="268">
    <w:name w:val="标题1"/>
    <w:basedOn w:val="2"/>
    <w:qFormat/>
    <w:uiPriority w:val="0"/>
    <w:pPr>
      <w:spacing w:before="0" w:after="0"/>
    </w:pPr>
    <w:rPr>
      <w:bCs/>
      <w:color w:val="auto"/>
    </w:rPr>
  </w:style>
  <w:style w:type="paragraph" w:customStyle="1" w:styleId="269">
    <w:name w:val="正文段落"/>
    <w:basedOn w:val="1"/>
    <w:qFormat/>
    <w:uiPriority w:val="0"/>
    <w:pPr>
      <w:spacing w:line="300" w:lineRule="auto"/>
    </w:pPr>
    <w:rPr>
      <w:sz w:val="24"/>
      <w:szCs w:val="20"/>
    </w:rPr>
  </w:style>
  <w:style w:type="paragraph" w:customStyle="1" w:styleId="27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szCs w:val="20"/>
    </w:rPr>
  </w:style>
  <w:style w:type="paragraph" w:customStyle="1" w:styleId="271">
    <w:name w:val="正文 首行缩进:  2 字符 Char Char"/>
    <w:basedOn w:val="1"/>
    <w:qFormat/>
    <w:uiPriority w:val="0"/>
    <w:pPr>
      <w:spacing w:line="360" w:lineRule="auto"/>
    </w:pPr>
    <w:rPr>
      <w:rFonts w:cs="宋体"/>
      <w:sz w:val="24"/>
      <w:szCs w:val="20"/>
    </w:rPr>
  </w:style>
  <w:style w:type="paragraph" w:customStyle="1" w:styleId="27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27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274">
    <w:name w:val=" Char1"/>
    <w:basedOn w:val="1"/>
    <w:next w:val="1"/>
    <w:qFormat/>
    <w:uiPriority w:val="0"/>
    <w:pPr>
      <w:spacing w:line="240" w:lineRule="atLeast"/>
      <w:ind w:left="420"/>
      <w:jc w:val="left"/>
    </w:pPr>
    <w:rPr>
      <w:kern w:val="0"/>
      <w:szCs w:val="21"/>
    </w:rPr>
  </w:style>
  <w:style w:type="paragraph" w:customStyle="1" w:styleId="275">
    <w:name w:val="表格中条目序号"/>
    <w:basedOn w:val="1"/>
    <w:qFormat/>
    <w:uiPriority w:val="0"/>
    <w:pPr>
      <w:spacing w:line="288" w:lineRule="auto"/>
      <w:jc w:val="center"/>
    </w:pPr>
    <w:rPr>
      <w:rFonts w:ascii="新宋体" w:eastAsia="新宋体" w:cs="宋体"/>
      <w:sz w:val="24"/>
    </w:rPr>
  </w:style>
  <w:style w:type="paragraph" w:customStyle="1" w:styleId="276">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27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27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279">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280">
    <w:name w:val="文档正文"/>
    <w:basedOn w:val="1"/>
    <w:qFormat/>
    <w:uiPriority w:val="0"/>
    <w:pPr>
      <w:ind w:firstLine="200" w:firstLineChars="200"/>
    </w:pPr>
    <w:rPr>
      <w:rFonts w:ascii="宋体" w:cs="Arial"/>
      <w:bCs/>
      <w:sz w:val="24"/>
    </w:rPr>
  </w:style>
  <w:style w:type="paragraph" w:customStyle="1" w:styleId="281">
    <w:name w:val="表格(五号)"/>
    <w:basedOn w:val="1"/>
    <w:qFormat/>
    <w:uiPriority w:val="0"/>
    <w:pPr>
      <w:adjustRightInd w:val="0"/>
      <w:snapToGrid w:val="0"/>
      <w:spacing w:before="60" w:after="60"/>
      <w:ind w:left="11"/>
      <w:jc w:val="center"/>
    </w:pPr>
    <w:rPr>
      <w:kern w:val="0"/>
      <w:szCs w:val="21"/>
      <w:lang w:val="en-US" w:eastAsia="zh-CN"/>
    </w:rPr>
  </w:style>
  <w:style w:type="paragraph" w:customStyle="1" w:styleId="282">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8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val="0"/>
      <w:bCs/>
      <w:color w:val="000000"/>
      <w:kern w:val="0"/>
      <w:sz w:val="20"/>
      <w:szCs w:val="20"/>
    </w:rPr>
  </w:style>
  <w:style w:type="paragraph" w:customStyle="1" w:styleId="28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285">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kern w:val="0"/>
      <w:sz w:val="18"/>
      <w:szCs w:val="18"/>
    </w:rPr>
  </w:style>
  <w:style w:type="paragraph" w:customStyle="1" w:styleId="286">
    <w:name w:val="表格"/>
    <w:basedOn w:val="1"/>
    <w:qFormat/>
    <w:uiPriority w:val="0"/>
    <w:pPr>
      <w:spacing w:line="400" w:lineRule="exact"/>
    </w:pPr>
    <w:rPr>
      <w:sz w:val="24"/>
    </w:rPr>
  </w:style>
  <w:style w:type="paragraph" w:customStyle="1" w:styleId="28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88">
    <w:name w:val="xl115"/>
    <w:basedOn w:val="1"/>
    <w:qFormat/>
    <w:uiPriority w:val="0"/>
    <w:pPr>
      <w:widowControl/>
      <w:pBdr>
        <w:left w:val="single" w:color="auto" w:sz="4" w:space="0"/>
      </w:pBdr>
      <w:spacing w:before="100" w:beforeAutospacing="1" w:after="100" w:afterAutospacing="1"/>
      <w:jc w:val="left"/>
    </w:pPr>
    <w:rPr>
      <w:rFonts w:ascii="宋体" w:cs="宋体"/>
      <w:color w:val="000000"/>
      <w:kern w:val="0"/>
      <w:sz w:val="18"/>
      <w:szCs w:val="18"/>
    </w:rPr>
  </w:style>
  <w:style w:type="paragraph" w:customStyle="1" w:styleId="28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eastAsia="Arial Unicode MS" w:cs="Arial Unicode MS"/>
      <w:b w:val="0"/>
      <w:bCs/>
      <w:color w:val="000000"/>
      <w:kern w:val="0"/>
      <w:sz w:val="20"/>
      <w:szCs w:val="20"/>
    </w:rPr>
  </w:style>
  <w:style w:type="paragraph" w:customStyle="1" w:styleId="290">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cs="宋体"/>
      <w:color w:val="000000"/>
      <w:kern w:val="0"/>
      <w:sz w:val="18"/>
      <w:szCs w:val="18"/>
    </w:rPr>
  </w:style>
  <w:style w:type="paragraph" w:customStyle="1" w:styleId="291">
    <w:name w:val="标题 2 + 楷体_GB2312"/>
    <w:basedOn w:val="3"/>
    <w:qFormat/>
    <w:uiPriority w:val="0"/>
    <w:pPr>
      <w:numPr>
        <w:ilvl w:val="1"/>
        <w:numId w:val="17"/>
      </w:numPr>
      <w:tabs>
        <w:tab w:val="left" w:pos="576"/>
        <w:tab w:val="clear" w:pos="567"/>
      </w:tabs>
      <w:spacing w:before="0" w:after="0"/>
      <w:ind w:firstLineChars="0"/>
      <w:jc w:val="both"/>
    </w:pPr>
    <w:rPr>
      <w:rFonts w:ascii="楷体_GB2312" w:eastAsia="楷体_GB2312"/>
      <w:b/>
      <w:bCs w:val="0"/>
      <w:i/>
      <w:sz w:val="24"/>
      <w:szCs w:val="20"/>
    </w:rPr>
  </w:style>
  <w:style w:type="paragraph" w:customStyle="1" w:styleId="292">
    <w:name w:val=" Char2"/>
    <w:basedOn w:val="23"/>
    <w:qFormat/>
    <w:uiPriority w:val="0"/>
    <w:pPr>
      <w:shd w:val="clear" w:color="auto" w:fill="000080"/>
    </w:pPr>
    <w:rPr>
      <w:rFonts w:ascii="Tahoma" w:hAnsi="Tahoma"/>
      <w:sz w:val="24"/>
      <w:szCs w:val="24"/>
      <w:lang w:val="en-US" w:eastAsia="zh-CN"/>
    </w:rPr>
  </w:style>
  <w:style w:type="paragraph" w:customStyle="1" w:styleId="293">
    <w:name w:val="标题2-1"/>
    <w:basedOn w:val="1"/>
    <w:qFormat/>
    <w:uiPriority w:val="0"/>
    <w:pPr>
      <w:tabs>
        <w:tab w:val="left" w:pos="0"/>
      </w:tabs>
      <w:autoSpaceDE w:val="0"/>
      <w:autoSpaceDN w:val="0"/>
      <w:adjustRightInd w:val="0"/>
      <w:snapToGrid w:val="0"/>
      <w:spacing w:before="156"/>
      <w:jc w:val="left"/>
      <w:outlineLvl w:val="1"/>
    </w:pPr>
    <w:rPr>
      <w:rFonts w:ascii="Arial" w:hAnsi="Arial" w:cs="Arial"/>
      <w:b w:val="0"/>
      <w:bCs/>
      <w:color w:val="292929"/>
      <w:kern w:val="0"/>
      <w:sz w:val="28"/>
      <w:szCs w:val="28"/>
    </w:rPr>
  </w:style>
  <w:style w:type="paragraph" w:customStyle="1" w:styleId="294">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295">
    <w:name w:val="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6">
    <w:name w:val="修订"/>
    <w:qFormat/>
    <w:uiPriority w:val="0"/>
    <w:rPr>
      <w:rFonts w:ascii="Times New Roman" w:hAnsi="Times New Roman" w:eastAsia="宋体" w:cs="Times New Roman"/>
      <w:kern w:val="2"/>
      <w:sz w:val="21"/>
      <w:lang w:val="en-US" w:eastAsia="zh-CN" w:bidi="ar-SA"/>
    </w:rPr>
  </w:style>
  <w:style w:type="paragraph" w:customStyle="1" w:styleId="297">
    <w:name w:val="xl107"/>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298">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299">
    <w:name w:val=" Char1 Char Char Char"/>
    <w:basedOn w:val="1"/>
    <w:next w:val="1"/>
    <w:qFormat/>
    <w:uiPriority w:val="0"/>
    <w:pPr>
      <w:spacing w:line="240" w:lineRule="atLeast"/>
      <w:ind w:left="420"/>
      <w:jc w:val="left"/>
    </w:pPr>
    <w:rPr>
      <w:kern w:val="0"/>
      <w:szCs w:val="20"/>
    </w:rPr>
  </w:style>
  <w:style w:type="paragraph" w:customStyle="1" w:styleId="300">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eastAsia="Arial Unicode MS" w:cs="Arial Unicode MS"/>
      <w:b w:val="0"/>
      <w:bCs/>
      <w:color w:val="000000"/>
      <w:kern w:val="0"/>
      <w:sz w:val="20"/>
      <w:szCs w:val="20"/>
    </w:rPr>
  </w:style>
  <w:style w:type="paragraph" w:customStyle="1" w:styleId="301">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302">
    <w:name w:val="p5"/>
    <w:basedOn w:val="1"/>
    <w:qFormat/>
    <w:uiPriority w:val="0"/>
    <w:pPr>
      <w:tabs>
        <w:tab w:val="left" w:pos="720"/>
      </w:tabs>
      <w:spacing w:line="240" w:lineRule="atLeast"/>
      <w:jc w:val="left"/>
    </w:pPr>
    <w:rPr>
      <w:snapToGrid w:val="0"/>
      <w:kern w:val="0"/>
      <w:sz w:val="24"/>
      <w:szCs w:val="20"/>
      <w:lang w:val="en-GB" w:eastAsia="de-DE"/>
    </w:rPr>
  </w:style>
  <w:style w:type="paragraph" w:customStyle="1" w:styleId="303">
    <w:name w:val="MM Title"/>
    <w:basedOn w:val="1"/>
    <w:qFormat/>
    <w:uiPriority w:val="0"/>
    <w:pPr>
      <w:spacing w:before="240" w:after="60"/>
      <w:jc w:val="center"/>
      <w:outlineLvl w:val="0"/>
    </w:pPr>
    <w:rPr>
      <w:rFonts w:ascii="Arial" w:hAnsi="Arial" w:cs="Arial"/>
      <w:b w:val="0"/>
      <w:bCs/>
      <w:sz w:val="32"/>
      <w:szCs w:val="32"/>
    </w:rPr>
  </w:style>
  <w:style w:type="paragraph" w:customStyle="1" w:styleId="304">
    <w:name w:val="标题 5 + 首行缩进:  2 字符"/>
    <w:basedOn w:val="7"/>
    <w:next w:val="35"/>
    <w:qFormat/>
    <w:uiPriority w:val="0"/>
    <w:pPr>
      <w:numPr>
        <w:ilvl w:val="4"/>
        <w:numId w:val="18"/>
      </w:numPr>
      <w:tabs>
        <w:tab w:val="left" w:pos="1560"/>
        <w:tab w:val="clear" w:pos="992"/>
        <w:tab w:val="clear" w:pos="1134"/>
      </w:tabs>
      <w:spacing w:before="156" w:after="156"/>
      <w:ind w:left="2551" w:hanging="850" w:firstLineChars="0"/>
    </w:pPr>
    <w:rPr>
      <w:rFonts w:ascii="Calibri" w:hAnsi="Calibri"/>
      <w:color w:val="000000"/>
      <w:szCs w:val="20"/>
    </w:rPr>
  </w:style>
  <w:style w:type="paragraph" w:customStyle="1" w:styleId="305">
    <w:name w:val="表格标题"/>
    <w:basedOn w:val="1"/>
    <w:qFormat/>
    <w:uiPriority w:val="0"/>
    <w:pPr>
      <w:jc w:val="center"/>
    </w:pPr>
    <w:rPr>
      <w:rFonts w:eastAsia="仿宋_GB2312" w:cs="宋体"/>
      <w:b w:val="0"/>
      <w:bCs/>
      <w:color w:val="000000"/>
      <w:kern w:val="0"/>
      <w:szCs w:val="21"/>
    </w:rPr>
  </w:style>
  <w:style w:type="paragraph" w:customStyle="1" w:styleId="306">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307">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cs="宋体"/>
      <w:color w:val="000000"/>
      <w:kern w:val="0"/>
      <w:sz w:val="18"/>
      <w:szCs w:val="18"/>
    </w:rPr>
  </w:style>
  <w:style w:type="paragraph" w:customStyle="1" w:styleId="308">
    <w:name w:val="！标题1"/>
    <w:basedOn w:val="2"/>
    <w:qFormat/>
    <w:uiPriority w:val="0"/>
    <w:pPr>
      <w:numPr>
        <w:ilvl w:val="0"/>
        <w:numId w:val="19"/>
      </w:numPr>
      <w:tabs>
        <w:tab w:val="left" w:pos="1200"/>
        <w:tab w:val="clear" w:pos="709"/>
      </w:tabs>
      <w:spacing w:line="576" w:lineRule="auto"/>
      <w:ind w:left="600" w:leftChars="400" w:hanging="200" w:hangingChars="200"/>
      <w:jc w:val="both"/>
    </w:pPr>
    <w:rPr>
      <w:rFonts w:ascii="Times New Roman" w:hAnsi="Times New Roman"/>
      <w:bCs/>
      <w:color w:val="auto"/>
      <w:szCs w:val="44"/>
    </w:rPr>
  </w:style>
  <w:style w:type="paragraph" w:customStyle="1" w:styleId="30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31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11">
    <w:name w:val="xl135"/>
    <w:basedOn w:val="1"/>
    <w:qFormat/>
    <w:uiPriority w:val="0"/>
    <w:pPr>
      <w:widowControl/>
      <w:pBdr>
        <w:left w:val="single" w:color="auto" w:sz="4" w:space="0"/>
      </w:pBdr>
      <w:spacing w:before="100" w:beforeAutospacing="1" w:after="100" w:afterAutospacing="1"/>
      <w:jc w:val="left"/>
    </w:pPr>
    <w:rPr>
      <w:rFonts w:ascii="宋体" w:cs="宋体"/>
      <w:color w:val="000000"/>
      <w:kern w:val="0"/>
      <w:sz w:val="18"/>
      <w:szCs w:val="18"/>
    </w:rPr>
  </w:style>
  <w:style w:type="paragraph" w:customStyle="1" w:styleId="312">
    <w:name w:val="样式 标题 1 + 宋体 居中 段前: 17 磅 段后: 16.5 磅"/>
    <w:basedOn w:val="2"/>
    <w:qFormat/>
    <w:uiPriority w:val="0"/>
    <w:pPr>
      <w:keepNext/>
      <w:keepLines/>
      <w:pageBreakBefore/>
      <w:widowControl/>
      <w:tabs>
        <w:tab w:val="left" w:pos="840"/>
        <w:tab w:val="clear" w:pos="709"/>
      </w:tabs>
      <w:snapToGrid w:val="0"/>
      <w:ind w:left="840" w:hanging="420"/>
    </w:pPr>
    <w:rPr>
      <w:rFonts w:ascii="华文中宋" w:eastAsia="华文中宋" w:cs="宋体"/>
      <w:bCs/>
      <w:sz w:val="28"/>
      <w:szCs w:val="20"/>
    </w:rPr>
  </w:style>
  <w:style w:type="paragraph" w:customStyle="1" w:styleId="31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314">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15">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16">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317">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18">
    <w:name w:val="正文标书"/>
    <w:basedOn w:val="1"/>
    <w:qFormat/>
    <w:uiPriority w:val="0"/>
    <w:pPr>
      <w:spacing w:line="560" w:lineRule="exact"/>
      <w:ind w:firstLine="200" w:firstLineChars="200"/>
    </w:pPr>
    <w:rPr>
      <w:rFonts w:ascii="宋体"/>
      <w:sz w:val="28"/>
      <w:szCs w:val="28"/>
    </w:rPr>
  </w:style>
  <w:style w:type="paragraph" w:customStyle="1" w:styleId="319">
    <w:name w:val="a0"/>
    <w:basedOn w:val="1"/>
    <w:qFormat/>
    <w:uiPriority w:val="0"/>
    <w:pPr>
      <w:widowControl/>
      <w:spacing w:before="100" w:beforeAutospacing="1" w:after="100" w:afterAutospacing="1"/>
      <w:jc w:val="left"/>
    </w:pPr>
    <w:rPr>
      <w:rFonts w:ascii="宋体" w:cs="宋体"/>
      <w:kern w:val="0"/>
      <w:sz w:val="24"/>
    </w:rPr>
  </w:style>
  <w:style w:type="paragraph" w:customStyle="1" w:styleId="320">
    <w:name w:val="Char"/>
    <w:basedOn w:val="1"/>
    <w:next w:val="1"/>
    <w:qFormat/>
    <w:uiPriority w:val="0"/>
    <w:pPr>
      <w:spacing w:line="240" w:lineRule="atLeast"/>
      <w:ind w:left="420"/>
      <w:jc w:val="left"/>
    </w:pPr>
    <w:rPr>
      <w:kern w:val="0"/>
      <w:szCs w:val="21"/>
    </w:rPr>
  </w:style>
  <w:style w:type="paragraph" w:customStyle="1" w:styleId="321">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2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32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cs="Arial Unicode MS"/>
      <w:b w:val="0"/>
      <w:bCs/>
      <w:color w:val="000000"/>
      <w:kern w:val="0"/>
      <w:sz w:val="22"/>
      <w:szCs w:val="22"/>
    </w:rPr>
  </w:style>
  <w:style w:type="paragraph" w:customStyle="1" w:styleId="324">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cs="宋体"/>
      <w:kern w:val="0"/>
      <w:sz w:val="22"/>
      <w:szCs w:val="22"/>
    </w:rPr>
  </w:style>
  <w:style w:type="paragraph" w:customStyle="1" w:styleId="325">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326">
    <w:name w:val="正文 + 宋体"/>
    <w:basedOn w:val="1"/>
    <w:qFormat/>
    <w:uiPriority w:val="0"/>
    <w:pPr>
      <w:widowControl/>
      <w:ind w:left="360"/>
      <w:jc w:val="left"/>
    </w:pPr>
    <w:rPr>
      <w:rFonts w:ascii="宋体" w:cs="宋体"/>
      <w:b w:val="0"/>
      <w:bCs/>
      <w:color w:val="000000"/>
      <w:kern w:val="0"/>
      <w:sz w:val="18"/>
      <w:szCs w:val="18"/>
    </w:rPr>
  </w:style>
  <w:style w:type="paragraph" w:customStyle="1" w:styleId="327">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FF0000"/>
      <w:kern w:val="0"/>
      <w:sz w:val="18"/>
      <w:szCs w:val="18"/>
    </w:rPr>
  </w:style>
  <w:style w:type="paragraph" w:customStyle="1" w:styleId="328">
    <w:name w:val="1 Char"/>
    <w:basedOn w:val="1"/>
    <w:qFormat/>
    <w:uiPriority w:val="0"/>
    <w:pPr>
      <w:widowControl/>
      <w:spacing w:after="160" w:line="240" w:lineRule="exact"/>
      <w:jc w:val="left"/>
    </w:pPr>
    <w:rPr>
      <w:rFonts w:ascii="Tahoma" w:hAnsi="Tahoma" w:eastAsia="Times New Roman"/>
      <w:kern w:val="0"/>
      <w:sz w:val="24"/>
      <w:lang w:eastAsia="en-US"/>
    </w:rPr>
  </w:style>
  <w:style w:type="paragraph" w:customStyle="1" w:styleId="329">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330">
    <w:name w:val="table head"/>
    <w:basedOn w:val="1"/>
    <w:qFormat/>
    <w:uiPriority w:val="0"/>
    <w:pPr>
      <w:keepNext/>
      <w:keepLines/>
      <w:widowControl w:val="0"/>
      <w:adjustRightInd w:val="0"/>
      <w:snapToGrid w:val="0"/>
      <w:spacing w:line="312" w:lineRule="atLeast"/>
      <w:jc w:val="center"/>
      <w:textAlignment w:val="baseline"/>
    </w:pPr>
    <w:rPr>
      <w:b w:val="0"/>
      <w:kern w:val="0"/>
      <w:szCs w:val="20"/>
    </w:rPr>
  </w:style>
  <w:style w:type="paragraph" w:customStyle="1" w:styleId="331">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32">
    <w:name w:val="样式 样式 首行缩进:  2 字符 + 仿宋_GB2312 五号 行距: 1.5 倍行距1"/>
    <w:basedOn w:val="1"/>
    <w:qFormat/>
    <w:uiPriority w:val="0"/>
    <w:pPr>
      <w:spacing w:line="360" w:lineRule="auto"/>
    </w:pPr>
    <w:rPr>
      <w:rFonts w:eastAsia="仿宋_GB2312" w:cs="宋体"/>
      <w:szCs w:val="20"/>
    </w:rPr>
  </w:style>
  <w:style w:type="paragraph" w:customStyle="1" w:styleId="333">
    <w:name w:val="font5"/>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334">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color w:val="000000"/>
      <w:kern w:val="0"/>
      <w:sz w:val="22"/>
      <w:szCs w:val="22"/>
    </w:rPr>
  </w:style>
  <w:style w:type="paragraph" w:customStyle="1" w:styleId="335">
    <w:name w:val="标题3"/>
    <w:basedOn w:val="5"/>
    <w:qFormat/>
    <w:uiPriority w:val="0"/>
    <w:rPr>
      <w:rFonts w:ascii="宋体" w:hAnsi="宋体"/>
    </w:rPr>
  </w:style>
  <w:style w:type="paragraph" w:customStyle="1" w:styleId="336">
    <w:name w:val="标题样式"/>
    <w:basedOn w:val="1"/>
    <w:qFormat/>
    <w:uiPriority w:val="0"/>
    <w:pPr>
      <w:tabs>
        <w:tab w:val="left" w:pos="420"/>
      </w:tabs>
      <w:spacing w:line="360" w:lineRule="auto"/>
    </w:pPr>
    <w:rPr>
      <w:rFonts w:ascii="宋体"/>
      <w:sz w:val="24"/>
      <w:szCs w:val="20"/>
      <w:lang w:val="en-US" w:eastAsia="zh-CN"/>
    </w:rPr>
  </w:style>
  <w:style w:type="paragraph" w:customStyle="1" w:styleId="337">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33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339">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000000"/>
      <w:kern w:val="0"/>
      <w:sz w:val="18"/>
      <w:szCs w:val="18"/>
    </w:rPr>
  </w:style>
  <w:style w:type="paragraph" w:customStyle="1" w:styleId="340">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41">
    <w:name w:val=" Char Char Char Char Char Char Char Char Char Char Char Char Char"/>
    <w:basedOn w:val="23"/>
    <w:qFormat/>
    <w:uiPriority w:val="0"/>
    <w:pPr>
      <w:shd w:val="clear" w:color="auto" w:fill="000080"/>
    </w:pPr>
    <w:rPr>
      <w:rFonts w:ascii="Tahoma" w:hAnsi="Tahoma"/>
      <w:sz w:val="24"/>
      <w:szCs w:val="20"/>
      <w:shd w:val="clear" w:color="auto" w:fill="000080"/>
    </w:rPr>
  </w:style>
  <w:style w:type="paragraph" w:customStyle="1" w:styleId="342">
    <w:name w:val="文字"/>
    <w:basedOn w:val="1"/>
    <w:qFormat/>
    <w:uiPriority w:val="0"/>
    <w:pPr>
      <w:tabs>
        <w:tab w:val="left" w:pos="8520"/>
      </w:tabs>
      <w:spacing w:line="312" w:lineRule="auto"/>
      <w:ind w:right="-210"/>
    </w:pPr>
    <w:rPr>
      <w:rFonts w:ascii="楷体_GB2312" w:eastAsia="楷体_GB2312"/>
      <w:sz w:val="28"/>
      <w:szCs w:val="20"/>
    </w:rPr>
  </w:style>
  <w:style w:type="paragraph" w:customStyle="1" w:styleId="34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b w:val="0"/>
      <w:bCs/>
      <w:color w:val="000000"/>
      <w:kern w:val="0"/>
      <w:sz w:val="20"/>
      <w:szCs w:val="20"/>
    </w:rPr>
  </w:style>
  <w:style w:type="paragraph" w:customStyle="1" w:styleId="344">
    <w:name w:val="样式 标题 2proj2proj21proj22proj23proj24proj25proj26proj27p...1"/>
    <w:basedOn w:val="3"/>
    <w:qFormat/>
    <w:uiPriority w:val="0"/>
    <w:pPr>
      <w:keepNext w:val="0"/>
      <w:keepLines w:val="0"/>
      <w:widowControl w:val="0"/>
      <w:adjustRightInd w:val="0"/>
      <w:snapToGrid w:val="0"/>
      <w:spacing w:before="0" w:after="0" w:line="360" w:lineRule="exact"/>
      <w:jc w:val="center"/>
      <w:textAlignment w:val="baseline"/>
      <w:outlineLvl w:val="9"/>
    </w:pPr>
    <w:rPr>
      <w:b/>
      <w:bCs w:val="0"/>
      <w:sz w:val="24"/>
      <w:szCs w:val="20"/>
    </w:rPr>
  </w:style>
  <w:style w:type="paragraph" w:customStyle="1" w:styleId="34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34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347">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4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4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eastAsia="Arial Unicode MS" w:cs="Arial Unicode MS"/>
      <w:b w:val="0"/>
      <w:bCs/>
      <w:color w:val="000000"/>
      <w:kern w:val="0"/>
      <w:sz w:val="16"/>
      <w:szCs w:val="16"/>
    </w:rPr>
  </w:style>
  <w:style w:type="paragraph" w:customStyle="1" w:styleId="350">
    <w:name w:val="Style8"/>
    <w:basedOn w:val="1"/>
    <w:qFormat/>
    <w:uiPriority w:val="0"/>
    <w:pPr>
      <w:tabs>
        <w:tab w:val="left" w:pos="1304"/>
      </w:tabs>
      <w:spacing w:before="156" w:after="156" w:line="276" w:lineRule="auto"/>
      <w:ind w:left="1304"/>
    </w:pPr>
    <w:rPr>
      <w:rFonts w:ascii="Arial" w:hAnsi="Arial"/>
      <w:sz w:val="24"/>
    </w:rPr>
  </w:style>
  <w:style w:type="paragraph" w:customStyle="1" w:styleId="351">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b w:val="0"/>
      <w:bCs/>
      <w:color w:val="000000"/>
      <w:kern w:val="0"/>
      <w:sz w:val="20"/>
      <w:szCs w:val="20"/>
    </w:rPr>
  </w:style>
  <w:style w:type="paragraph" w:customStyle="1" w:styleId="352">
    <w:name w:val="列出段落11"/>
    <w:basedOn w:val="1"/>
    <w:qFormat/>
    <w:uiPriority w:val="0"/>
    <w:pPr>
      <w:numPr>
        <w:ilvl w:val="0"/>
        <w:numId w:val="5"/>
      </w:numPr>
      <w:spacing w:line="312" w:lineRule="auto"/>
      <w:ind w:firstLineChars="0"/>
    </w:pPr>
    <w:rPr>
      <w:sz w:val="24"/>
    </w:rPr>
  </w:style>
  <w:style w:type="paragraph" w:customStyle="1" w:styleId="35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szCs w:val="20"/>
    </w:rPr>
  </w:style>
  <w:style w:type="paragraph" w:customStyle="1" w:styleId="354">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55">
    <w:name w:val="MM Topic 6"/>
    <w:basedOn w:val="8"/>
    <w:qFormat/>
    <w:uiPriority w:val="0"/>
    <w:pPr>
      <w:tabs>
        <w:tab w:val="left" w:pos="3260"/>
        <w:tab w:val="clear" w:pos="1134"/>
      </w:tabs>
      <w:spacing w:line="319" w:lineRule="auto"/>
    </w:pPr>
    <w:rPr>
      <w:rFonts w:eastAsia="黑体"/>
      <w:kern w:val="2"/>
      <w:lang w:val="en-US" w:eastAsia="zh-CN"/>
    </w:rPr>
  </w:style>
  <w:style w:type="paragraph" w:customStyle="1" w:styleId="356">
    <w:name w:val="样式2"/>
    <w:basedOn w:val="1"/>
    <w:qFormat/>
    <w:uiPriority w:val="0"/>
    <w:pPr>
      <w:adjustRightInd w:val="0"/>
      <w:snapToGrid w:val="0"/>
      <w:spacing w:line="410" w:lineRule="atLeast"/>
      <w:textAlignment w:val="baseline"/>
    </w:pPr>
    <w:rPr>
      <w:kern w:val="0"/>
      <w:sz w:val="24"/>
      <w:szCs w:val="20"/>
    </w:rPr>
  </w:style>
  <w:style w:type="paragraph" w:customStyle="1" w:styleId="357">
    <w:name w:val="样式 小四2"/>
    <w:basedOn w:val="1"/>
    <w:qFormat/>
    <w:uiPriority w:val="0"/>
    <w:rPr>
      <w:rFonts w:ascii="宋体"/>
      <w:sz w:val="24"/>
    </w:rPr>
  </w:style>
  <w:style w:type="paragraph" w:customStyle="1" w:styleId="358">
    <w:name w:val="zw1"/>
    <w:basedOn w:val="1"/>
    <w:qFormat/>
    <w:uiPriority w:val="0"/>
    <w:pPr>
      <w:widowControl/>
      <w:spacing w:line="360" w:lineRule="auto"/>
      <w:ind w:firstLine="200" w:firstLineChars="200"/>
    </w:pPr>
    <w:rPr>
      <w:kern w:val="0"/>
      <w:sz w:val="24"/>
      <w:szCs w:val="20"/>
    </w:rPr>
  </w:style>
  <w:style w:type="paragraph" w:customStyle="1" w:styleId="359">
    <w:name w:val="表格题注"/>
    <w:next w:val="1"/>
    <w:qFormat/>
    <w:uiPriority w:val="0"/>
    <w:pPr>
      <w:keepLines/>
      <w:tabs>
        <w:tab w:val="left" w:pos="1559"/>
      </w:tabs>
      <w:spacing w:before="312"/>
      <w:ind w:left="1559" w:hanging="1559"/>
      <w:jc w:val="center"/>
    </w:pPr>
    <w:rPr>
      <w:rFonts w:ascii="Arial" w:hAnsi="Arial" w:eastAsia="宋体" w:cs="Times New Roman"/>
      <w:sz w:val="18"/>
      <w:lang w:val="en-US" w:eastAsia="zh-CN" w:bidi="ar-SA"/>
    </w:rPr>
  </w:style>
  <w:style w:type="paragraph" w:customStyle="1" w:styleId="360">
    <w:name w:val="正文序号 2"/>
    <w:basedOn w:val="1"/>
    <w:qFormat/>
    <w:uiPriority w:val="0"/>
    <w:pPr>
      <w:tabs>
        <w:tab w:val="left" w:pos="840"/>
        <w:tab w:val="left" w:pos="1049"/>
      </w:tabs>
      <w:spacing w:before="60"/>
      <w:ind w:left="840"/>
    </w:pPr>
    <w:rPr>
      <w:szCs w:val="20"/>
    </w:rPr>
  </w:style>
  <w:style w:type="paragraph" w:customStyle="1" w:styleId="361">
    <w:name w:val="xl192"/>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kern w:val="0"/>
      <w:sz w:val="18"/>
      <w:szCs w:val="18"/>
    </w:rPr>
  </w:style>
  <w:style w:type="paragraph" w:customStyle="1" w:styleId="362">
    <w:name w:val="样式 样式 标题 1章H1PartPIM 1h1H11H12H13H14H15H16H17H18H19H... Char Cha..."/>
    <w:basedOn w:val="1"/>
    <w:qFormat/>
    <w:uiPriority w:val="0"/>
    <w:pPr>
      <w:keepNext/>
      <w:keepLines/>
      <w:widowControl w:val="0"/>
      <w:numPr>
        <w:ilvl w:val="0"/>
        <w:numId w:val="11"/>
      </w:numPr>
      <w:snapToGrid w:val="0"/>
      <w:spacing w:before="160" w:after="160" w:line="300" w:lineRule="auto"/>
      <w:ind w:firstLineChars="0"/>
      <w:contextualSpacing/>
      <w:outlineLvl w:val="0"/>
    </w:pPr>
    <w:rPr>
      <w:rFonts w:ascii="Arial" w:hAnsi="Arial" w:eastAsia="黑体"/>
      <w:b w:val="0"/>
      <w:bCs/>
      <w:kern w:val="44"/>
      <w:sz w:val="36"/>
      <w:szCs w:val="36"/>
    </w:rPr>
  </w:style>
  <w:style w:type="paragraph" w:customStyle="1" w:styleId="363">
    <w:name w:val="样式 样式 样式 标题 2 + 宋体 五号 非加粗 黑色 + 段前: 6 磅 段后: 0 磅 行距: 单倍行距 + 段前: 12..."/>
    <w:basedOn w:val="1"/>
    <w:qFormat/>
    <w:uiPriority w:val="0"/>
    <w:pPr>
      <w:keepNext/>
      <w:keepLines/>
      <w:widowControl w:val="0"/>
      <w:numPr>
        <w:ilvl w:val="1"/>
        <w:numId w:val="20"/>
      </w:numPr>
      <w:adjustRightInd w:val="0"/>
      <w:snapToGrid w:val="0"/>
      <w:spacing w:before="240"/>
      <w:ind w:firstLineChars="0"/>
      <w:jc w:val="left"/>
      <w:textAlignment w:val="baseline"/>
      <w:outlineLvl w:val="1"/>
    </w:pPr>
    <w:rPr>
      <w:rFonts w:ascii="宋体" w:cs="宋体"/>
      <w:color w:val="000000"/>
      <w:kern w:val="0"/>
      <w:szCs w:val="20"/>
    </w:rPr>
  </w:style>
  <w:style w:type="paragraph" w:customStyle="1" w:styleId="36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365">
    <w:name w:val="Char1 Char Char Char Char Char Char"/>
    <w:basedOn w:val="1"/>
    <w:qFormat/>
    <w:uiPriority w:val="0"/>
    <w:rPr>
      <w:rFonts w:ascii="Tahoma" w:hAnsi="Tahoma"/>
      <w:sz w:val="24"/>
      <w:szCs w:val="20"/>
    </w:rPr>
  </w:style>
  <w:style w:type="paragraph" w:customStyle="1" w:styleId="36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36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68">
    <w:name w:val="TOC 标题"/>
    <w:basedOn w:val="2"/>
    <w:next w:val="1"/>
    <w:qFormat/>
    <w:uiPriority w:val="0"/>
    <w:pPr>
      <w:keepNext/>
      <w:keepLines/>
      <w:widowControl/>
      <w:tabs>
        <w:tab w:val="clear" w:pos="709"/>
      </w:tabs>
      <w:snapToGrid/>
      <w:spacing w:before="480" w:after="0" w:line="276" w:lineRule="auto"/>
      <w:jc w:val="left"/>
      <w:outlineLvl w:val="9"/>
    </w:pPr>
    <w:rPr>
      <w:rFonts w:ascii="Cambria" w:hAnsi="Cambria" w:eastAsia="宋体" w:cs="Times New Roman"/>
      <w:b/>
      <w:bCs/>
      <w:color w:val="365F91"/>
      <w:kern w:val="0"/>
      <w:sz w:val="28"/>
      <w:szCs w:val="28"/>
      <w:lang w:val="en-US" w:eastAsia="zh-CN"/>
    </w:rPr>
  </w:style>
  <w:style w:type="paragraph" w:customStyle="1" w:styleId="369">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70">
    <w:name w:val="标书（正文）"/>
    <w:basedOn w:val="1"/>
    <w:qFormat/>
    <w:uiPriority w:val="0"/>
    <w:pPr>
      <w:spacing w:line="360" w:lineRule="auto"/>
      <w:ind w:firstLine="200" w:firstLineChars="200"/>
    </w:pPr>
    <w:rPr>
      <w:rFonts w:ascii="宋体"/>
      <w:kern w:val="10"/>
      <w:sz w:val="28"/>
      <w:szCs w:val="28"/>
    </w:rPr>
  </w:style>
  <w:style w:type="paragraph" w:customStyle="1" w:styleId="371">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000000"/>
      <w:kern w:val="0"/>
      <w:sz w:val="18"/>
      <w:szCs w:val="18"/>
    </w:rPr>
  </w:style>
  <w:style w:type="paragraph" w:customStyle="1" w:styleId="372">
    <w:name w:val="Char2 Char Char Char"/>
    <w:basedOn w:val="1"/>
    <w:qFormat/>
    <w:uiPriority w:val="0"/>
    <w:rPr>
      <w:rFonts w:ascii="仿宋_GB2312" w:hAnsi="仿宋_GB2312"/>
      <w:b w:val="0"/>
      <w:sz w:val="30"/>
      <w:szCs w:val="32"/>
    </w:rPr>
  </w:style>
  <w:style w:type="paragraph" w:customStyle="1" w:styleId="373">
    <w:name w:val="xl106"/>
    <w:basedOn w:val="1"/>
    <w:qFormat/>
    <w:uiPriority w:val="0"/>
    <w:pPr>
      <w:widowControl/>
      <w:pBdr>
        <w:left w:val="single" w:color="auto" w:sz="4" w:space="0"/>
      </w:pBdr>
      <w:spacing w:before="100" w:beforeAutospacing="1" w:after="100" w:afterAutospacing="1"/>
      <w:jc w:val="left"/>
    </w:pPr>
    <w:rPr>
      <w:rFonts w:ascii="宋体" w:cs="宋体"/>
      <w:color w:val="000000"/>
      <w:kern w:val="0"/>
      <w:sz w:val="18"/>
      <w:szCs w:val="18"/>
    </w:rPr>
  </w:style>
  <w:style w:type="paragraph" w:customStyle="1" w:styleId="37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7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76">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kern w:val="0"/>
      <w:sz w:val="18"/>
      <w:szCs w:val="18"/>
    </w:rPr>
  </w:style>
  <w:style w:type="paragraph" w:customStyle="1" w:styleId="377">
    <w:name w:val="Style Style4 + First line:  2 ch Before:  0.5 line After:  0.5 li..."/>
    <w:basedOn w:val="1"/>
    <w:qFormat/>
    <w:uiPriority w:val="0"/>
    <w:pPr>
      <w:spacing w:before="156" w:after="156" w:line="276" w:lineRule="auto"/>
      <w:ind w:firstLine="200" w:firstLineChars="200"/>
    </w:pPr>
    <w:rPr>
      <w:rFonts w:ascii="Arial" w:hAnsi="Arial"/>
      <w:sz w:val="24"/>
      <w:szCs w:val="20"/>
    </w:rPr>
  </w:style>
  <w:style w:type="paragraph" w:customStyle="1" w:styleId="378">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79">
    <w:name w:val="正文序号 4"/>
    <w:basedOn w:val="1"/>
    <w:qFormat/>
    <w:uiPriority w:val="0"/>
    <w:pPr>
      <w:tabs>
        <w:tab w:val="left" w:pos="1469"/>
        <w:tab w:val="left" w:pos="1680"/>
      </w:tabs>
      <w:spacing w:before="60"/>
      <w:ind w:left="1680"/>
    </w:pPr>
    <w:rPr>
      <w:szCs w:val="20"/>
    </w:rPr>
  </w:style>
  <w:style w:type="paragraph" w:customStyle="1" w:styleId="380">
    <w:name w:val="条目正文"/>
    <w:basedOn w:val="1"/>
    <w:qFormat/>
    <w:uiPriority w:val="0"/>
    <w:pPr>
      <w:tabs>
        <w:tab w:val="left" w:pos="1050"/>
      </w:tabs>
      <w:spacing w:after="120" w:line="360" w:lineRule="auto"/>
      <w:ind w:left="1050"/>
    </w:pPr>
    <w:rPr>
      <w:rFonts w:ascii="宋体" w:cs="Arial"/>
      <w:kern w:val="0"/>
      <w:sz w:val="24"/>
      <w:szCs w:val="20"/>
      <w:lang w:val="en-US" w:eastAsia="zh-CN"/>
    </w:rPr>
  </w:style>
  <w:style w:type="paragraph" w:customStyle="1" w:styleId="381">
    <w:name w:val="图"/>
    <w:basedOn w:val="1"/>
    <w:next w:val="382"/>
    <w:qFormat/>
    <w:uiPriority w:val="0"/>
    <w:pPr>
      <w:jc w:val="center"/>
    </w:pPr>
    <w:rPr>
      <w:sz w:val="24"/>
      <w:lang w:val="en-US" w:eastAsia="zh-CN"/>
    </w:rPr>
  </w:style>
  <w:style w:type="paragraph" w:customStyle="1" w:styleId="382">
    <w:name w:val="图题"/>
    <w:basedOn w:val="381"/>
    <w:next w:val="4"/>
    <w:qFormat/>
    <w:uiPriority w:val="0"/>
    <w:pPr>
      <w:outlineLvl w:val="5"/>
    </w:pPr>
    <w:rPr>
      <w:sz w:val="21"/>
    </w:rPr>
  </w:style>
  <w:style w:type="paragraph" w:customStyle="1" w:styleId="38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szCs w:val="20"/>
    </w:rPr>
  </w:style>
  <w:style w:type="paragraph" w:customStyle="1" w:styleId="384">
    <w:name w:val="Char Char Char Char3"/>
    <w:basedOn w:val="1"/>
    <w:qFormat/>
    <w:uiPriority w:val="0"/>
    <w:rPr>
      <w:rFonts w:ascii="Tahoma" w:hAnsi="Tahoma" w:cs="Tahoma"/>
      <w:szCs w:val="21"/>
    </w:rPr>
  </w:style>
  <w:style w:type="paragraph" w:customStyle="1" w:styleId="385">
    <w:name w:val="xl95"/>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38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387">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88">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390">
    <w:name w:val="(符号)三标题1.1"/>
    <w:basedOn w:val="1"/>
    <w:qFormat/>
    <w:uiPriority w:val="0"/>
    <w:pPr>
      <w:tabs>
        <w:tab w:val="left" w:pos="420"/>
      </w:tabs>
      <w:spacing w:before="140" w:after="140" w:line="500" w:lineRule="exact"/>
      <w:ind w:left="430"/>
      <w:outlineLvl w:val="2"/>
    </w:pPr>
    <w:rPr>
      <w:rFonts w:ascii="楷体_GB2312" w:eastAsia="楷体_GB2312" w:cs="宋体"/>
      <w:b w:val="0"/>
      <w:bCs/>
      <w:sz w:val="28"/>
      <w:szCs w:val="20"/>
    </w:rPr>
  </w:style>
  <w:style w:type="paragraph" w:customStyle="1" w:styleId="391">
    <w:name w:val="xl68"/>
    <w:basedOn w:val="1"/>
    <w:qFormat/>
    <w:uiPriority w:val="0"/>
    <w:pPr>
      <w:widowControl/>
      <w:pBdr>
        <w:top w:val="single" w:color="auto" w:sz="4" w:space="0"/>
        <w:bottom w:val="single" w:color="auto" w:sz="4" w:space="0"/>
      </w:pBdr>
      <w:spacing w:before="100" w:beforeAutospacing="1" w:after="100" w:afterAutospacing="1"/>
      <w:jc w:val="left"/>
    </w:pPr>
    <w:rPr>
      <w:rFonts w:ascii="宋体" w:cs="宋体"/>
      <w:kern w:val="0"/>
      <w:sz w:val="22"/>
      <w:szCs w:val="22"/>
    </w:rPr>
  </w:style>
  <w:style w:type="paragraph" w:customStyle="1" w:styleId="39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393">
    <w:name w:val="样式 标题 5 + 倾斜"/>
    <w:basedOn w:val="7"/>
    <w:qFormat/>
    <w:uiPriority w:val="0"/>
    <w:pPr>
      <w:widowControl/>
      <w:tabs>
        <w:tab w:val="left" w:pos="1560"/>
        <w:tab w:val="clear" w:pos="992"/>
        <w:tab w:val="clear" w:pos="1134"/>
      </w:tabs>
      <w:overflowPunct w:val="0"/>
      <w:autoSpaceDE w:val="0"/>
      <w:autoSpaceDN w:val="0"/>
      <w:adjustRightInd w:val="0"/>
      <w:snapToGrid w:val="0"/>
      <w:spacing w:before="100" w:beforeAutospacing="1" w:after="100" w:afterAutospacing="1" w:line="288" w:lineRule="auto"/>
      <w:ind w:left="0"/>
      <w:jc w:val="left"/>
    </w:pPr>
    <w:rPr>
      <w:rFonts w:ascii="Arial" w:hAnsi="Arial"/>
      <w:bCs w:val="0"/>
      <w:iCs/>
      <w:color w:val="000000"/>
    </w:rPr>
  </w:style>
  <w:style w:type="paragraph" w:customStyle="1" w:styleId="394">
    <w:name w:val="MM Topic 7"/>
    <w:basedOn w:val="9"/>
    <w:qFormat/>
    <w:uiPriority w:val="0"/>
    <w:pPr>
      <w:tabs>
        <w:tab w:val="left" w:pos="3827"/>
      </w:tabs>
      <w:spacing w:line="319" w:lineRule="auto"/>
    </w:pPr>
  </w:style>
  <w:style w:type="paragraph" w:customStyle="1" w:styleId="395">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396">
    <w:name w:val="Char Char Char Char"/>
    <w:basedOn w:val="1"/>
    <w:qFormat/>
    <w:uiPriority w:val="0"/>
    <w:pPr>
      <w:numPr>
        <w:ilvl w:val="0"/>
        <w:numId w:val="5"/>
      </w:numPr>
      <w:tabs>
        <w:tab w:val="left" w:pos="600"/>
      </w:tabs>
      <w:ind w:firstLineChars="0"/>
    </w:pPr>
    <w:rPr>
      <w:sz w:val="24"/>
    </w:rPr>
  </w:style>
  <w:style w:type="paragraph" w:customStyle="1" w:styleId="397">
    <w:name w:val="正文缩进1"/>
    <w:basedOn w:val="1"/>
    <w:next w:val="1"/>
    <w:qFormat/>
    <w:uiPriority w:val="0"/>
    <w:pPr>
      <w:widowControl/>
    </w:pPr>
    <w:rPr>
      <w:color w:val="000000"/>
      <w:szCs w:val="20"/>
    </w:rPr>
  </w:style>
  <w:style w:type="paragraph" w:customStyle="1" w:styleId="398">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cs="宋体"/>
      <w:color w:val="000000"/>
      <w:kern w:val="0"/>
      <w:sz w:val="18"/>
      <w:szCs w:val="18"/>
    </w:rPr>
  </w:style>
  <w:style w:type="paragraph" w:customStyle="1" w:styleId="39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400">
    <w:name w:val="p0"/>
    <w:basedOn w:val="1"/>
    <w:qFormat/>
    <w:uiPriority w:val="0"/>
    <w:pPr>
      <w:widowControl/>
    </w:pPr>
    <w:rPr>
      <w:kern w:val="0"/>
      <w:szCs w:val="20"/>
    </w:rPr>
  </w:style>
  <w:style w:type="paragraph" w:customStyle="1" w:styleId="401">
    <w:name w:val="font7"/>
    <w:basedOn w:val="1"/>
    <w:qFormat/>
    <w:uiPriority w:val="0"/>
    <w:pPr>
      <w:widowControl/>
      <w:spacing w:before="100" w:beforeAutospacing="1" w:after="100" w:afterAutospacing="1"/>
      <w:jc w:val="left"/>
    </w:pPr>
    <w:rPr>
      <w:rFonts w:ascii="宋体" w:cs="宋体"/>
      <w:kern w:val="0"/>
      <w:sz w:val="18"/>
      <w:szCs w:val="18"/>
    </w:rPr>
  </w:style>
  <w:style w:type="paragraph" w:customStyle="1" w:styleId="402">
    <w:name w:val="默认段落字体 Para Char Char Char Char"/>
    <w:basedOn w:val="1"/>
    <w:qFormat/>
    <w:uiPriority w:val="0"/>
  </w:style>
  <w:style w:type="paragraph" w:customStyle="1" w:styleId="403">
    <w:name w:val="默认段落字体 Para Char Char Char Char Char Char Char Char Char Char Char Char Char Char"/>
    <w:basedOn w:val="1"/>
    <w:qFormat/>
    <w:uiPriority w:val="0"/>
    <w:pPr>
      <w:spacing w:line="240" w:lineRule="atLeast"/>
      <w:ind w:left="420"/>
    </w:pPr>
    <w:rPr>
      <w:kern w:val="0"/>
      <w:szCs w:val="21"/>
    </w:rPr>
  </w:style>
  <w:style w:type="paragraph" w:customStyle="1" w:styleId="404">
    <w:name w:val="plaintext"/>
    <w:basedOn w:val="1"/>
    <w:qFormat/>
    <w:uiPriority w:val="0"/>
    <w:pPr>
      <w:widowControl/>
      <w:spacing w:before="100" w:beforeAutospacing="1" w:after="100" w:afterAutospacing="1"/>
      <w:jc w:val="left"/>
    </w:pPr>
    <w:rPr>
      <w:rFonts w:ascii="宋体"/>
      <w:kern w:val="0"/>
      <w:sz w:val="24"/>
    </w:rPr>
  </w:style>
  <w:style w:type="paragraph" w:customStyle="1" w:styleId="405">
    <w:name w:val=" Char2 Char Char Char Char Char Char"/>
    <w:basedOn w:val="1"/>
    <w:qFormat/>
    <w:uiPriority w:val="0"/>
    <w:rPr>
      <w:rFonts w:ascii="仿宋_GB2312" w:hAnsi="仿宋_GB2312"/>
      <w:b w:val="0"/>
      <w:sz w:val="30"/>
      <w:szCs w:val="20"/>
    </w:rPr>
  </w:style>
  <w:style w:type="paragraph" w:customStyle="1" w:styleId="406">
    <w:name w:val=" 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7">
    <w:name w:val="xl124"/>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408">
    <w:name w:val="文章正文 Char Char1"/>
    <w:basedOn w:val="1"/>
    <w:qFormat/>
    <w:uiPriority w:val="0"/>
    <w:pPr>
      <w:spacing w:line="360" w:lineRule="auto"/>
    </w:pPr>
    <w:rPr>
      <w:sz w:val="24"/>
    </w:rPr>
  </w:style>
  <w:style w:type="paragraph" w:customStyle="1" w:styleId="409">
    <w:name w:val="样式 仿宋_GB2312 小四 左侧:  0.63 厘米"/>
    <w:basedOn w:val="1"/>
    <w:qFormat/>
    <w:uiPriority w:val="0"/>
    <w:pPr>
      <w:spacing w:before="120" w:after="120" w:line="360" w:lineRule="auto"/>
      <w:ind w:left="357" w:firstLine="200" w:firstLineChars="200"/>
    </w:pPr>
    <w:rPr>
      <w:rFonts w:ascii="仿宋_GB2312" w:eastAsia="仿宋_GB2312" w:cs="宋体"/>
      <w:sz w:val="24"/>
      <w:szCs w:val="20"/>
    </w:rPr>
  </w:style>
  <w:style w:type="paragraph" w:customStyle="1" w:styleId="410">
    <w:name w:val="Char2 Char Char Char Char Char Char"/>
    <w:basedOn w:val="1"/>
    <w:qFormat/>
    <w:uiPriority w:val="0"/>
    <w:rPr>
      <w:rFonts w:ascii="仿宋_GB2312" w:hAnsi="仿宋_GB2312"/>
      <w:b w:val="0"/>
      <w:sz w:val="30"/>
      <w:szCs w:val="32"/>
    </w:rPr>
  </w:style>
  <w:style w:type="paragraph" w:customStyle="1" w:styleId="411">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412">
    <w:name w:val="样式 标题 4 + 宋体"/>
    <w:basedOn w:val="6"/>
    <w:qFormat/>
    <w:uiPriority w:val="0"/>
    <w:pPr>
      <w:numPr>
        <w:ilvl w:val="0"/>
        <w:numId w:val="0"/>
      </w:numPr>
      <w:tabs>
        <w:tab w:val="left" w:pos="851"/>
      </w:tabs>
      <w:spacing w:line="360" w:lineRule="auto"/>
      <w:ind w:right="100" w:rightChars="100"/>
    </w:pPr>
    <w:rPr>
      <w:rFonts w:ascii="宋体"/>
    </w:rPr>
  </w:style>
  <w:style w:type="paragraph" w:customStyle="1" w:styleId="413">
    <w:name w:val="附录五级条标题"/>
    <w:basedOn w:val="266"/>
    <w:next w:val="6"/>
    <w:qFormat/>
    <w:uiPriority w:val="0"/>
    <w:pPr>
      <w:numPr>
        <w:ilvl w:val="6"/>
        <w:numId w:val="16"/>
      </w:numPr>
      <w:outlineLvl w:val="6"/>
    </w:pPr>
  </w:style>
  <w:style w:type="paragraph" w:customStyle="1" w:styleId="414">
    <w:name w:val="标书正文:  0.74 厘米"/>
    <w:basedOn w:val="1"/>
    <w:qFormat/>
    <w:uiPriority w:val="0"/>
    <w:pPr>
      <w:snapToGrid w:val="0"/>
      <w:spacing w:line="360" w:lineRule="auto"/>
    </w:pPr>
    <w:rPr>
      <w:sz w:val="24"/>
      <w:szCs w:val="18"/>
    </w:rPr>
  </w:style>
  <w:style w:type="paragraph" w:customStyle="1" w:styleId="415">
    <w:name w:val="Char1 Char Char Char"/>
    <w:basedOn w:val="1"/>
    <w:next w:val="1"/>
    <w:qFormat/>
    <w:uiPriority w:val="0"/>
    <w:pPr>
      <w:spacing w:line="240" w:lineRule="atLeast"/>
      <w:ind w:left="420"/>
      <w:jc w:val="left"/>
    </w:pPr>
    <w:rPr>
      <w:kern w:val="0"/>
      <w:szCs w:val="21"/>
    </w:rPr>
  </w:style>
  <w:style w:type="paragraph" w:customStyle="1" w:styleId="416">
    <w:name w:val="表格中文字格式"/>
    <w:basedOn w:val="1"/>
    <w:qFormat/>
    <w:uiPriority w:val="0"/>
    <w:pPr>
      <w:spacing w:line="288" w:lineRule="auto"/>
    </w:pPr>
    <w:rPr>
      <w:rFonts w:ascii="新宋体" w:eastAsia="新宋体" w:cs="宋体"/>
      <w:sz w:val="24"/>
    </w:rPr>
  </w:style>
  <w:style w:type="paragraph" w:customStyle="1" w:styleId="41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cs="Arial Unicode MS"/>
      <w:color w:val="000000"/>
      <w:kern w:val="0"/>
      <w:sz w:val="20"/>
      <w:szCs w:val="20"/>
    </w:rPr>
  </w:style>
  <w:style w:type="paragraph" w:customStyle="1" w:styleId="418">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cs="宋体"/>
      <w:color w:val="000000"/>
      <w:kern w:val="0"/>
      <w:sz w:val="18"/>
      <w:szCs w:val="18"/>
    </w:rPr>
  </w:style>
  <w:style w:type="paragraph" w:customStyle="1" w:styleId="419">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420">
    <w:name w:val="tabletext"/>
    <w:basedOn w:val="1"/>
    <w:qFormat/>
    <w:uiPriority w:val="0"/>
    <w:pPr>
      <w:widowControl/>
      <w:spacing w:line="300" w:lineRule="atLeast"/>
      <w:jc w:val="left"/>
    </w:pPr>
    <w:rPr>
      <w:rFonts w:ascii="宋体" w:cs="宋体"/>
      <w:kern w:val="0"/>
      <w:sz w:val="18"/>
      <w:szCs w:val="18"/>
    </w:rPr>
  </w:style>
  <w:style w:type="paragraph" w:customStyle="1" w:styleId="421">
    <w:name w:val="正文序号 1"/>
    <w:basedOn w:val="1"/>
    <w:qFormat/>
    <w:uiPriority w:val="0"/>
    <w:pPr>
      <w:tabs>
        <w:tab w:val="left" w:pos="360"/>
        <w:tab w:val="left" w:pos="839"/>
      </w:tabs>
      <w:spacing w:before="60"/>
      <w:ind w:left="360"/>
    </w:pPr>
    <w:rPr>
      <w:szCs w:val="20"/>
    </w:rPr>
  </w:style>
  <w:style w:type="paragraph" w:customStyle="1" w:styleId="42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423">
    <w:name w:val="xl35"/>
    <w:basedOn w:val="1"/>
    <w:qFormat/>
    <w:uiPriority w:val="0"/>
    <w:pPr>
      <w:widowControl/>
      <w:spacing w:before="100" w:beforeAutospacing="1" w:after="100" w:afterAutospacing="1"/>
      <w:jc w:val="left"/>
    </w:pPr>
    <w:rPr>
      <w:rFonts w:ascii="Arial Unicode MS" w:eastAsia="Arial Unicode MS" w:cs="Arial Unicode MS"/>
      <w:color w:val="000000"/>
      <w:kern w:val="0"/>
      <w:sz w:val="20"/>
      <w:szCs w:val="20"/>
    </w:rPr>
  </w:style>
  <w:style w:type="paragraph" w:customStyle="1" w:styleId="424">
    <w:name w:val="MM Topic 5"/>
    <w:basedOn w:val="7"/>
    <w:qFormat/>
    <w:uiPriority w:val="0"/>
    <w:pPr>
      <w:keepNext/>
      <w:keepLines/>
      <w:widowControl w:val="0"/>
      <w:tabs>
        <w:tab w:val="clear" w:pos="992"/>
        <w:tab w:val="clear" w:pos="1134"/>
      </w:tabs>
      <w:spacing w:line="377" w:lineRule="auto"/>
      <w:ind w:left="0"/>
    </w:pPr>
    <w:rPr>
      <w:kern w:val="2"/>
      <w:lang w:val="en-US" w:eastAsia="zh-CN"/>
    </w:rPr>
  </w:style>
  <w:style w:type="paragraph" w:customStyle="1" w:styleId="425">
    <w:name w:val="font9"/>
    <w:basedOn w:val="1"/>
    <w:qFormat/>
    <w:uiPriority w:val="0"/>
    <w:pPr>
      <w:widowControl/>
      <w:spacing w:before="100" w:beforeAutospacing="1" w:after="100" w:afterAutospacing="1"/>
      <w:jc w:val="left"/>
    </w:pPr>
    <w:rPr>
      <w:rFonts w:ascii="宋体" w:cs="Arial Unicode MS"/>
      <w:color w:val="000000"/>
      <w:kern w:val="0"/>
      <w:sz w:val="20"/>
      <w:szCs w:val="20"/>
    </w:rPr>
  </w:style>
  <w:style w:type="paragraph" w:customStyle="1" w:styleId="426">
    <w:name w:val="xl87"/>
    <w:basedOn w:val="1"/>
    <w:qFormat/>
    <w:uiPriority w:val="0"/>
    <w:pPr>
      <w:widowControl/>
      <w:spacing w:before="100" w:beforeAutospacing="1" w:after="100" w:afterAutospacing="1"/>
      <w:jc w:val="left"/>
    </w:pPr>
    <w:rPr>
      <w:rFonts w:ascii="宋体" w:cs="宋体"/>
      <w:kern w:val="0"/>
      <w:sz w:val="18"/>
      <w:szCs w:val="18"/>
    </w:rPr>
  </w:style>
  <w:style w:type="paragraph" w:customStyle="1" w:styleId="42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eastAsia="Arial Unicode MS" w:cs="Arial Unicode MS"/>
      <w:color w:val="000000"/>
      <w:kern w:val="0"/>
      <w:sz w:val="20"/>
      <w:szCs w:val="20"/>
    </w:rPr>
  </w:style>
  <w:style w:type="paragraph" w:customStyle="1" w:styleId="428">
    <w:name w:val="插图题注"/>
    <w:next w:val="1"/>
    <w:qFormat/>
    <w:uiPriority w:val="0"/>
    <w:pPr>
      <w:spacing w:after="312"/>
      <w:ind w:left="4066"/>
      <w:jc w:val="center"/>
    </w:pPr>
    <w:rPr>
      <w:rFonts w:ascii="Arial" w:hAnsi="Arial" w:eastAsia="宋体" w:cs="Times New Roman"/>
      <w:sz w:val="18"/>
      <w:szCs w:val="18"/>
      <w:lang w:val="en-US" w:eastAsia="zh-CN" w:bidi="ar-SA"/>
    </w:rPr>
  </w:style>
  <w:style w:type="paragraph" w:customStyle="1" w:styleId="429">
    <w:name w:val="Char Char Char Char Char Char Char Char Char Char Char Char Char"/>
    <w:basedOn w:val="23"/>
    <w:qFormat/>
    <w:uiPriority w:val="0"/>
    <w:pPr>
      <w:shd w:val="clear" w:color="auto" w:fill="000080"/>
    </w:pPr>
    <w:rPr>
      <w:rFonts w:ascii="Tahoma" w:hAnsi="Tahoma"/>
      <w:sz w:val="24"/>
      <w:szCs w:val="24"/>
      <w:shd w:val="clear" w:color="auto" w:fill="000080"/>
    </w:rPr>
  </w:style>
  <w:style w:type="paragraph" w:customStyle="1" w:styleId="430">
    <w:name w:val="xl184"/>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color w:val="000000"/>
      <w:kern w:val="0"/>
      <w:sz w:val="18"/>
      <w:szCs w:val="18"/>
    </w:rPr>
  </w:style>
  <w:style w:type="paragraph" w:customStyle="1" w:styleId="431">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43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433">
    <w:name w:val="样式 标题 3 + (西文) 仿宋_GB2312 (中文) 仿宋_GB2312 四号"/>
    <w:basedOn w:val="5"/>
    <w:qFormat/>
    <w:uiPriority w:val="0"/>
    <w:pPr>
      <w:ind w:left="-1" w:leftChars="-1"/>
    </w:pPr>
    <w:rPr>
      <w:rFonts w:ascii="仿宋_GB2312" w:eastAsia="仿宋_GB2312"/>
      <w:szCs w:val="28"/>
      <w:lang w:val="en-US" w:eastAsia="zh-CN"/>
    </w:rPr>
  </w:style>
  <w:style w:type="paragraph" w:customStyle="1" w:styleId="43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3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szCs w:val="20"/>
    </w:rPr>
  </w:style>
  <w:style w:type="paragraph" w:customStyle="1" w:styleId="43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szCs w:val="20"/>
    </w:rPr>
  </w:style>
  <w:style w:type="paragraph" w:customStyle="1" w:styleId="437">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eastAsia="Arial Unicode MS" w:cs="Arial Unicode MS"/>
      <w:color w:val="000000"/>
      <w:kern w:val="0"/>
      <w:sz w:val="20"/>
      <w:szCs w:val="20"/>
    </w:rPr>
  </w:style>
  <w:style w:type="paragraph" w:customStyle="1" w:styleId="43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szCs w:val="20"/>
    </w:rPr>
  </w:style>
  <w:style w:type="paragraph" w:customStyle="1" w:styleId="439">
    <w:name w:val="标准正文"/>
    <w:basedOn w:val="1"/>
    <w:next w:val="66"/>
    <w:qFormat/>
    <w:uiPriority w:val="0"/>
    <w:pPr>
      <w:spacing w:before="60" w:after="60" w:line="360" w:lineRule="auto"/>
    </w:pPr>
    <w:rPr>
      <w:rFonts w:ascii="宋体" w:cs="宋体"/>
      <w:sz w:val="24"/>
    </w:rPr>
  </w:style>
  <w:style w:type="paragraph" w:customStyle="1" w:styleId="440">
    <w:name w:val="Pa0"/>
    <w:basedOn w:val="1"/>
    <w:next w:val="1"/>
    <w:qFormat/>
    <w:uiPriority w:val="0"/>
    <w:pPr>
      <w:autoSpaceDE w:val="0"/>
      <w:autoSpaceDN w:val="0"/>
      <w:adjustRightInd w:val="0"/>
      <w:snapToGrid w:val="0"/>
      <w:spacing w:line="181" w:lineRule="atLeast"/>
      <w:jc w:val="left"/>
    </w:pPr>
    <w:rPr>
      <w:rFonts w:ascii="H Yg 2gj" w:hAnsi="H Yg 2gj" w:eastAsia="H Yg 2gj"/>
      <w:kern w:val="0"/>
      <w:sz w:val="24"/>
    </w:rPr>
  </w:style>
  <w:style w:type="paragraph" w:customStyle="1" w:styleId="441">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44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color w:val="000000"/>
      <w:kern w:val="0"/>
      <w:sz w:val="16"/>
      <w:szCs w:val="16"/>
    </w:rPr>
  </w:style>
  <w:style w:type="paragraph" w:customStyle="1" w:styleId="443">
    <w:name w:val="xl136"/>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444">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445">
    <w:name w:val="font8"/>
    <w:basedOn w:val="1"/>
    <w:qFormat/>
    <w:uiPriority w:val="0"/>
    <w:pPr>
      <w:widowControl/>
      <w:spacing w:before="100" w:beforeAutospacing="1" w:after="100" w:afterAutospacing="1"/>
      <w:jc w:val="left"/>
    </w:pPr>
    <w:rPr>
      <w:kern w:val="0"/>
      <w:sz w:val="36"/>
      <w:szCs w:val="36"/>
    </w:rPr>
  </w:style>
  <w:style w:type="paragraph" w:customStyle="1" w:styleId="446">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447">
    <w:name w:val="标题4级"/>
    <w:basedOn w:val="6"/>
    <w:qFormat/>
    <w:uiPriority w:val="0"/>
    <w:pPr>
      <w:numPr>
        <w:ilvl w:val="3"/>
        <w:numId w:val="21"/>
      </w:numPr>
      <w:tabs>
        <w:tab w:val="left" w:pos="851"/>
        <w:tab w:val="left" w:pos="993"/>
      </w:tabs>
      <w:spacing w:before="0" w:after="0" w:line="360" w:lineRule="auto"/>
    </w:pPr>
    <w:rPr>
      <w:rFonts w:ascii="宋体" w:cs="宋体"/>
      <w:color w:val="000000"/>
      <w:kern w:val="0"/>
    </w:rPr>
  </w:style>
  <w:style w:type="paragraph" w:customStyle="1" w:styleId="448">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449">
    <w:name w:val="样式 右侧:  1 字符1"/>
    <w:basedOn w:val="1"/>
    <w:qFormat/>
    <w:uiPriority w:val="0"/>
    <w:pPr>
      <w:ind w:left="100" w:leftChars="100" w:right="100" w:rightChars="100"/>
    </w:pPr>
    <w:rPr>
      <w:rFonts w:eastAsia="仿宋_GB2312" w:cs="宋体"/>
      <w:sz w:val="28"/>
      <w:szCs w:val="20"/>
    </w:rPr>
  </w:style>
  <w:style w:type="paragraph" w:customStyle="1" w:styleId="450">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cs="宋体"/>
      <w:color w:val="000000"/>
      <w:kern w:val="0"/>
      <w:sz w:val="18"/>
      <w:szCs w:val="18"/>
    </w:rPr>
  </w:style>
  <w:style w:type="paragraph" w:customStyle="1" w:styleId="451">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452">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453">
    <w:name w:val="样式 行距: 固定值 25 磅 首行缩进:  2 字符"/>
    <w:basedOn w:val="1"/>
    <w:qFormat/>
    <w:uiPriority w:val="0"/>
    <w:pPr>
      <w:adjustRightInd w:val="0"/>
      <w:snapToGrid w:val="0"/>
      <w:spacing w:line="500" w:lineRule="exact"/>
      <w:ind w:firstLine="200" w:firstLineChars="200"/>
      <w:textAlignment w:val="baseline"/>
    </w:pPr>
    <w:rPr>
      <w:kern w:val="0"/>
      <w:sz w:val="28"/>
      <w:szCs w:val="28"/>
    </w:rPr>
  </w:style>
  <w:style w:type="paragraph" w:customStyle="1" w:styleId="454">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cs="Arial Unicode MS"/>
      <w:b w:val="0"/>
      <w:bCs/>
      <w:color w:val="000000"/>
      <w:kern w:val="0"/>
      <w:sz w:val="32"/>
      <w:szCs w:val="32"/>
    </w:rPr>
  </w:style>
  <w:style w:type="paragraph" w:customStyle="1" w:styleId="455">
    <w:name w:val="图示"/>
    <w:basedOn w:val="4"/>
    <w:next w:val="4"/>
    <w:qFormat/>
    <w:uiPriority w:val="0"/>
    <w:pPr>
      <w:widowControl/>
      <w:spacing w:line="360" w:lineRule="auto"/>
      <w:ind w:firstLine="0" w:firstLineChars="0"/>
      <w:jc w:val="center"/>
    </w:pPr>
    <w:rPr>
      <w:kern w:val="0"/>
      <w:szCs w:val="20"/>
    </w:rPr>
  </w:style>
  <w:style w:type="paragraph" w:customStyle="1" w:styleId="456">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457">
    <w:name w:val="默认段落字体 Para Char Char Char1 Char"/>
    <w:basedOn w:val="1"/>
    <w:next w:val="1"/>
    <w:qFormat/>
    <w:uiPriority w:val="0"/>
    <w:pPr>
      <w:spacing w:line="240" w:lineRule="atLeast"/>
      <w:ind w:left="420"/>
      <w:jc w:val="left"/>
    </w:pPr>
    <w:rPr>
      <w:kern w:val="0"/>
      <w:szCs w:val="21"/>
    </w:rPr>
  </w:style>
  <w:style w:type="paragraph" w:customStyle="1" w:styleId="458">
    <w:name w:val="样式 MM Topic 4 + 行距: 多倍行距 1.57 字行"/>
    <w:basedOn w:val="179"/>
    <w:qFormat/>
    <w:uiPriority w:val="0"/>
    <w:pPr>
      <w:tabs>
        <w:tab w:val="left" w:pos="993"/>
        <w:tab w:val="left" w:pos="2218"/>
        <w:tab w:val="clear" w:pos="851"/>
        <w:tab w:val="clear" w:pos="1984"/>
      </w:tabs>
      <w:spacing w:line="377" w:lineRule="auto"/>
      <w:ind w:left="2218" w:hanging="420"/>
    </w:pPr>
    <w:rPr>
      <w:rFonts w:cs="宋体"/>
      <w:szCs w:val="20"/>
    </w:rPr>
  </w:style>
  <w:style w:type="paragraph" w:customStyle="1" w:styleId="459">
    <w:name w:val="xl66"/>
    <w:basedOn w:val="1"/>
    <w:qFormat/>
    <w:uiPriority w:val="0"/>
    <w:pPr>
      <w:widowControl/>
      <w:spacing w:before="100" w:beforeAutospacing="1" w:after="100" w:afterAutospacing="1"/>
      <w:jc w:val="center"/>
    </w:pPr>
    <w:rPr>
      <w:rFonts w:ascii="宋体" w:cs="宋体"/>
      <w:kern w:val="0"/>
      <w:sz w:val="22"/>
      <w:szCs w:val="22"/>
    </w:rPr>
  </w:style>
  <w:style w:type="paragraph" w:customStyle="1" w:styleId="460">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461">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FF0000"/>
      <w:kern w:val="0"/>
      <w:sz w:val="18"/>
      <w:szCs w:val="18"/>
    </w:rPr>
  </w:style>
  <w:style w:type="paragraph" w:customStyle="1" w:styleId="462">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color w:val="000000"/>
      <w:kern w:val="0"/>
      <w:sz w:val="18"/>
      <w:szCs w:val="18"/>
    </w:rPr>
  </w:style>
  <w:style w:type="paragraph" w:customStyle="1" w:styleId="463">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000000"/>
      <w:kern w:val="0"/>
      <w:sz w:val="18"/>
      <w:szCs w:val="18"/>
    </w:rPr>
  </w:style>
  <w:style w:type="paragraph" w:customStyle="1" w:styleId="464">
    <w:name w:val="xl36"/>
    <w:basedOn w:val="1"/>
    <w:qFormat/>
    <w:uiPriority w:val="0"/>
    <w:pPr>
      <w:widowControl/>
      <w:spacing w:before="100" w:beforeAutospacing="1" w:after="100" w:afterAutospacing="1"/>
      <w:jc w:val="center"/>
    </w:pPr>
    <w:rPr>
      <w:rFonts w:ascii="Arial Unicode MS" w:eastAsia="Arial Unicode MS" w:cs="Arial Unicode MS"/>
      <w:color w:val="000000"/>
      <w:kern w:val="0"/>
      <w:sz w:val="20"/>
      <w:szCs w:val="20"/>
    </w:rPr>
  </w:style>
  <w:style w:type="paragraph" w:customStyle="1" w:styleId="46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466">
    <w:name w:val="样式 首行缩进:  2 字符"/>
    <w:basedOn w:val="1"/>
    <w:qFormat/>
    <w:uiPriority w:val="0"/>
    <w:pPr>
      <w:spacing w:line="400" w:lineRule="exact"/>
      <w:ind w:firstLine="200" w:firstLineChars="200"/>
    </w:pPr>
    <w:rPr>
      <w:rFonts w:cs="宋体"/>
      <w:sz w:val="24"/>
    </w:rPr>
  </w:style>
  <w:style w:type="paragraph" w:customStyle="1" w:styleId="467">
    <w:name w:val="默认"/>
    <w:qFormat/>
    <w:uiPriority w:val="0"/>
    <w:pPr>
      <w:tabs>
        <w:tab w:val="left" w:pos="420"/>
      </w:tabs>
      <w:suppressAutoHyphens/>
      <w:spacing w:line="200" w:lineRule="atLeast"/>
      <w:jc w:val="both"/>
    </w:pPr>
    <w:rPr>
      <w:rFonts w:ascii="Times New Roman" w:hAnsi="Times New Roman" w:eastAsia="宋体" w:cs="Times New Roman"/>
      <w:kern w:val="2"/>
      <w:sz w:val="21"/>
      <w:szCs w:val="24"/>
      <w:lang w:val="en-US" w:eastAsia="zh-CN" w:bidi="ar-SA"/>
    </w:rPr>
  </w:style>
  <w:style w:type="paragraph" w:customStyle="1" w:styleId="46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eastAsia="Arial Unicode MS" w:cs="Arial Unicode MS"/>
      <w:b w:val="0"/>
      <w:bCs/>
      <w:color w:val="000000"/>
      <w:kern w:val="0"/>
      <w:sz w:val="20"/>
      <w:szCs w:val="20"/>
    </w:rPr>
  </w:style>
  <w:style w:type="paragraph" w:customStyle="1" w:styleId="469">
    <w:name w:val="xl164"/>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470">
    <w:name w:val="xl182"/>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kern w:val="0"/>
      <w:sz w:val="18"/>
      <w:szCs w:val="18"/>
    </w:rPr>
  </w:style>
  <w:style w:type="paragraph" w:customStyle="1" w:styleId="471">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472">
    <w:name w:val="Table Text"/>
    <w:basedOn w:val="1"/>
    <w:qFormat/>
    <w:uiPriority w:val="0"/>
    <w:pPr>
      <w:widowControl/>
      <w:spacing w:before="60" w:after="60"/>
      <w:jc w:val="left"/>
    </w:pPr>
    <w:rPr>
      <w:kern w:val="0"/>
    </w:rPr>
  </w:style>
  <w:style w:type="paragraph" w:customStyle="1" w:styleId="473">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eastAsia="Arial Unicode MS" w:cs="Arial Unicode MS"/>
      <w:b w:val="0"/>
      <w:bCs/>
      <w:color w:val="000000"/>
      <w:kern w:val="0"/>
      <w:sz w:val="20"/>
      <w:szCs w:val="20"/>
    </w:rPr>
  </w:style>
  <w:style w:type="paragraph" w:customStyle="1" w:styleId="474">
    <w:name w:val="样式 楷体_GB2312 小四 行距: 1.5 倍行距"/>
    <w:basedOn w:val="1"/>
    <w:qFormat/>
    <w:uiPriority w:val="0"/>
    <w:pPr>
      <w:spacing w:line="360" w:lineRule="auto"/>
      <w:ind w:firstLine="200" w:firstLineChars="200"/>
    </w:pPr>
    <w:rPr>
      <w:rFonts w:ascii="楷体_GB2312" w:eastAsia="楷体_GB2312" w:cs="宋体"/>
      <w:sz w:val="24"/>
      <w:szCs w:val="20"/>
    </w:rPr>
  </w:style>
  <w:style w:type="paragraph" w:customStyle="1" w:styleId="475">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cs="宋体"/>
      <w:kern w:val="0"/>
      <w:sz w:val="22"/>
      <w:szCs w:val="22"/>
    </w:rPr>
  </w:style>
  <w:style w:type="paragraph" w:customStyle="1" w:styleId="476">
    <w:name w:val="xl153"/>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477">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kern w:val="0"/>
      <w:sz w:val="24"/>
    </w:rPr>
  </w:style>
  <w:style w:type="paragraph" w:customStyle="1" w:styleId="478">
    <w:name w:val="标题2级"/>
    <w:basedOn w:val="3"/>
    <w:qFormat/>
    <w:uiPriority w:val="0"/>
    <w:pPr>
      <w:keepNext/>
      <w:keepLines/>
      <w:widowControl w:val="0"/>
      <w:numPr>
        <w:ilvl w:val="1"/>
        <w:numId w:val="21"/>
      </w:numPr>
      <w:tabs>
        <w:tab w:val="clear" w:pos="567"/>
      </w:tabs>
      <w:spacing w:before="0" w:after="0"/>
      <w:ind w:firstLineChars="0"/>
      <w:jc w:val="both"/>
    </w:pPr>
    <w:rPr>
      <w:rFonts w:ascii="宋体"/>
      <w:color w:val="000000"/>
      <w:kern w:val="0"/>
      <w:szCs w:val="24"/>
    </w:rPr>
  </w:style>
  <w:style w:type="paragraph" w:customStyle="1" w:styleId="479">
    <w:name w:val="xl37"/>
    <w:basedOn w:val="1"/>
    <w:qFormat/>
    <w:uiPriority w:val="0"/>
    <w:pPr>
      <w:widowControl/>
      <w:spacing w:before="100" w:beforeAutospacing="1" w:after="100" w:afterAutospacing="1"/>
      <w:jc w:val="left"/>
    </w:pPr>
    <w:rPr>
      <w:rFonts w:ascii="Arial Unicode MS" w:eastAsia="Arial Unicode MS" w:cs="Arial Unicode MS"/>
      <w:color w:val="000000"/>
      <w:kern w:val="0"/>
      <w:sz w:val="20"/>
      <w:szCs w:val="20"/>
    </w:rPr>
  </w:style>
  <w:style w:type="paragraph" w:customStyle="1" w:styleId="480">
    <w:name w:val="p4"/>
    <w:basedOn w:val="1"/>
    <w:qFormat/>
    <w:uiPriority w:val="0"/>
    <w:pPr>
      <w:widowControl/>
      <w:spacing w:before="100" w:beforeAutospacing="1" w:after="100" w:afterAutospacing="1" w:line="360" w:lineRule="auto"/>
      <w:jc w:val="left"/>
    </w:pPr>
    <w:rPr>
      <w:rFonts w:ascii="宋体"/>
      <w:kern w:val="0"/>
      <w:sz w:val="24"/>
    </w:rPr>
  </w:style>
  <w:style w:type="paragraph" w:customStyle="1" w:styleId="481">
    <w:name w:val="样式 小四 首行缩进:  0.74 厘米"/>
    <w:basedOn w:val="1"/>
    <w:qFormat/>
    <w:uiPriority w:val="0"/>
    <w:pPr>
      <w:spacing w:before="100" w:beforeAutospacing="1" w:after="100" w:afterAutospacing="1" w:line="300" w:lineRule="auto"/>
      <w:ind w:firstLine="175" w:firstLineChars="175"/>
    </w:pPr>
    <w:rPr>
      <w:rFonts w:ascii="宋体"/>
      <w:sz w:val="24"/>
    </w:rPr>
  </w:style>
  <w:style w:type="paragraph" w:customStyle="1" w:styleId="482">
    <w:name w:val="论文正文"/>
    <w:basedOn w:val="1"/>
    <w:qFormat/>
    <w:uiPriority w:val="0"/>
    <w:pPr>
      <w:spacing w:line="360" w:lineRule="auto"/>
    </w:pPr>
    <w:rPr>
      <w:rFonts w:ascii="宋体"/>
      <w:bCs/>
      <w:color w:val="000000"/>
      <w:sz w:val="24"/>
    </w:rPr>
  </w:style>
  <w:style w:type="paragraph" w:customStyle="1" w:styleId="48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48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color w:val="000000"/>
      <w:kern w:val="0"/>
      <w:sz w:val="20"/>
      <w:szCs w:val="20"/>
    </w:rPr>
  </w:style>
  <w:style w:type="paragraph" w:customStyle="1" w:styleId="485">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486">
    <w:name w:val="Body Text 2"/>
    <w:basedOn w:val="1"/>
    <w:qFormat/>
    <w:uiPriority w:val="0"/>
    <w:pPr>
      <w:adjustRightInd w:val="0"/>
      <w:snapToGrid w:val="0"/>
      <w:spacing w:line="300" w:lineRule="auto"/>
      <w:jc w:val="center"/>
      <w:textAlignment w:val="baseline"/>
    </w:pPr>
    <w:rPr>
      <w:rFonts w:ascii="宋体"/>
      <w:sz w:val="24"/>
      <w:szCs w:val="20"/>
    </w:rPr>
  </w:style>
  <w:style w:type="paragraph" w:customStyle="1" w:styleId="487">
    <w:name w:val="xl64"/>
    <w:basedOn w:val="1"/>
    <w:qFormat/>
    <w:uiPriority w:val="0"/>
    <w:pPr>
      <w:widowControl/>
      <w:spacing w:before="100" w:beforeAutospacing="1" w:after="100" w:afterAutospacing="1"/>
      <w:jc w:val="left"/>
    </w:pPr>
    <w:rPr>
      <w:rFonts w:ascii="宋体" w:cs="宋体"/>
      <w:kern w:val="0"/>
      <w:sz w:val="22"/>
      <w:szCs w:val="22"/>
    </w:rPr>
  </w:style>
  <w:style w:type="paragraph" w:customStyle="1" w:styleId="488">
    <w:name w:val="样式 样式 样式 样式 行距: 1.5 倍行距 首行缩进:  2 字符 + 首行缩进:  2 字符 + 左侧:  17 字符 首..."/>
    <w:basedOn w:val="1"/>
    <w:qFormat/>
    <w:uiPriority w:val="0"/>
    <w:pPr>
      <w:widowControl/>
      <w:tabs>
        <w:tab w:val="left" w:pos="1050"/>
        <w:tab w:val="left" w:pos="2100"/>
      </w:tabs>
      <w:spacing w:line="360" w:lineRule="auto"/>
      <w:ind w:left="700" w:leftChars="700" w:firstLine="200" w:firstLineChars="200"/>
      <w:jc w:val="left"/>
    </w:pPr>
    <w:rPr>
      <w:rFonts w:ascii="Calibri" w:hAnsi="Calibri"/>
      <w:kern w:val="0"/>
      <w:sz w:val="24"/>
      <w:szCs w:val="20"/>
    </w:rPr>
  </w:style>
  <w:style w:type="paragraph" w:customStyle="1" w:styleId="48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18"/>
      <w:szCs w:val="18"/>
    </w:rPr>
  </w:style>
  <w:style w:type="paragraph" w:customStyle="1" w:styleId="490">
    <w:name w:val="MM Topic 9"/>
    <w:basedOn w:val="11"/>
    <w:qFormat/>
    <w:uiPriority w:val="0"/>
    <w:pPr>
      <w:tabs>
        <w:tab w:val="left" w:pos="5102"/>
      </w:tabs>
      <w:spacing w:line="319" w:lineRule="auto"/>
    </w:pPr>
  </w:style>
  <w:style w:type="paragraph" w:customStyle="1" w:styleId="491">
    <w:name w:val=" Char1 Char Char Char Char Char Char"/>
    <w:basedOn w:val="1"/>
    <w:qFormat/>
    <w:uiPriority w:val="0"/>
    <w:rPr>
      <w:rFonts w:ascii="Tahoma" w:hAnsi="Tahoma"/>
      <w:sz w:val="24"/>
      <w:szCs w:val="20"/>
    </w:rPr>
  </w:style>
  <w:style w:type="paragraph" w:customStyle="1" w:styleId="492">
    <w:name w:val=" Char Char Char Char"/>
    <w:basedOn w:val="1"/>
    <w:qFormat/>
    <w:uiPriority w:val="0"/>
    <w:pPr>
      <w:tabs>
        <w:tab w:val="left" w:pos="900"/>
      </w:tabs>
      <w:ind w:left="900"/>
    </w:pPr>
    <w:rPr>
      <w:rFonts w:ascii="Verdana" w:hAnsi="Verdana"/>
      <w:kern w:val="0"/>
      <w:sz w:val="24"/>
      <w:szCs w:val="21"/>
      <w:lang w:eastAsia="en-US"/>
    </w:rPr>
  </w:style>
  <w:style w:type="paragraph" w:customStyle="1" w:styleId="493">
    <w:name w:val="MM Topic 2"/>
    <w:basedOn w:val="3"/>
    <w:qFormat/>
    <w:uiPriority w:val="0"/>
    <w:pPr>
      <w:tabs>
        <w:tab w:val="left" w:pos="1276"/>
        <w:tab w:val="clear" w:pos="567"/>
      </w:tabs>
      <w:spacing w:line="415" w:lineRule="auto"/>
      <w:ind w:left="284"/>
      <w:jc w:val="both"/>
    </w:pPr>
    <w:rPr>
      <w:rFonts w:ascii="宋体" w:hAnsi="宋体" w:eastAsia="黑体"/>
      <w:sz w:val="32"/>
      <w:szCs w:val="32"/>
    </w:rPr>
  </w:style>
  <w:style w:type="paragraph" w:customStyle="1" w:styleId="49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495">
    <w:name w:val="项目内容"/>
    <w:basedOn w:val="1"/>
    <w:qFormat/>
    <w:uiPriority w:val="0"/>
    <w:pPr>
      <w:tabs>
        <w:tab w:val="left" w:pos="840"/>
      </w:tabs>
      <w:spacing w:line="360" w:lineRule="auto"/>
      <w:ind w:left="840"/>
    </w:pPr>
    <w:rPr>
      <w:sz w:val="24"/>
      <w:szCs w:val="20"/>
    </w:rPr>
  </w:style>
  <w:style w:type="paragraph" w:customStyle="1" w:styleId="496">
    <w:name w:val="附录标识"/>
    <w:basedOn w:val="1"/>
    <w:qFormat/>
    <w:uiPriority w:val="0"/>
    <w:pPr>
      <w:widowControl/>
      <w:numPr>
        <w:ilvl w:val="0"/>
        <w:numId w:val="16"/>
      </w:numPr>
      <w:shd w:val="clear" w:color="FFFFFF" w:fill="FFFFFF"/>
      <w:tabs>
        <w:tab w:val="left" w:pos="6405"/>
      </w:tabs>
      <w:spacing w:before="640" w:after="200"/>
      <w:ind w:firstLineChars="0"/>
      <w:jc w:val="center"/>
      <w:outlineLvl w:val="0"/>
    </w:pPr>
    <w:rPr>
      <w:rFonts w:ascii="黑体" w:eastAsia="黑体"/>
      <w:kern w:val="0"/>
      <w:szCs w:val="20"/>
    </w:rPr>
  </w:style>
  <w:style w:type="paragraph" w:customStyle="1" w:styleId="497">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49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eastAsia="Arial Unicode MS" w:cs="Arial Unicode MS"/>
      <w:color w:val="000000"/>
      <w:kern w:val="0"/>
      <w:sz w:val="20"/>
      <w:szCs w:val="20"/>
    </w:rPr>
  </w:style>
  <w:style w:type="paragraph" w:customStyle="1" w:styleId="499">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0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cs="Arial Unicode MS"/>
      <w:color w:val="000000"/>
      <w:kern w:val="0"/>
      <w:sz w:val="20"/>
      <w:szCs w:val="20"/>
    </w:rPr>
  </w:style>
  <w:style w:type="paragraph" w:customStyle="1" w:styleId="50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eastAsia="Arial Unicode MS" w:cs="Arial Unicode MS"/>
      <w:b w:val="0"/>
      <w:bCs/>
      <w:color w:val="000000"/>
      <w:kern w:val="0"/>
      <w:sz w:val="20"/>
      <w:szCs w:val="20"/>
    </w:rPr>
  </w:style>
  <w:style w:type="paragraph" w:customStyle="1" w:styleId="502">
    <w:name w:val="正文序号 3"/>
    <w:basedOn w:val="1"/>
    <w:qFormat/>
    <w:uiPriority w:val="0"/>
    <w:pPr>
      <w:tabs>
        <w:tab w:val="left" w:pos="1259"/>
      </w:tabs>
      <w:spacing w:before="60"/>
      <w:ind w:left="1260"/>
    </w:pPr>
    <w:rPr>
      <w:szCs w:val="20"/>
    </w:rPr>
  </w:style>
  <w:style w:type="paragraph" w:customStyle="1" w:styleId="503">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504">
    <w:name w:val="我的正文"/>
    <w:basedOn w:val="1"/>
    <w:qFormat/>
    <w:uiPriority w:val="0"/>
    <w:pPr>
      <w:spacing w:line="360" w:lineRule="auto"/>
      <w:ind w:firstLine="200" w:firstLineChars="200"/>
    </w:pPr>
    <w:rPr>
      <w:rFonts w:ascii="宋体"/>
    </w:rPr>
  </w:style>
  <w:style w:type="paragraph" w:customStyle="1" w:styleId="505">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0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507">
    <w:name w:val="MM Topic 8"/>
    <w:basedOn w:val="10"/>
    <w:next w:val="184"/>
    <w:qFormat/>
    <w:uiPriority w:val="0"/>
    <w:pPr>
      <w:tabs>
        <w:tab w:val="left" w:pos="4394"/>
      </w:tabs>
    </w:pPr>
    <w:rPr>
      <w:rFonts w:ascii="Arial" w:hAnsi="Arial" w:eastAsia="黑体" w:cs="Times New Roman"/>
    </w:rPr>
  </w:style>
  <w:style w:type="paragraph" w:customStyle="1" w:styleId="508">
    <w:name w:val="大纲正文"/>
    <w:basedOn w:val="1"/>
    <w:qFormat/>
    <w:uiPriority w:val="0"/>
    <w:pPr>
      <w:spacing w:line="360" w:lineRule="auto"/>
      <w:ind w:firstLine="200" w:firstLineChars="200"/>
    </w:pPr>
    <w:rPr>
      <w:sz w:val="24"/>
      <w:szCs w:val="20"/>
    </w:rPr>
  </w:style>
  <w:style w:type="paragraph" w:customStyle="1" w:styleId="509">
    <w:name w:val="Char Char1"/>
    <w:basedOn w:val="1"/>
    <w:next w:val="1"/>
    <w:qFormat/>
    <w:uiPriority w:val="0"/>
    <w:pPr>
      <w:spacing w:line="240" w:lineRule="atLeast"/>
      <w:ind w:left="420"/>
      <w:jc w:val="left"/>
    </w:pPr>
    <w:rPr>
      <w:rFonts w:ascii="楷体_GB2312" w:eastAsia="楷体_GB2312"/>
      <w:bCs/>
      <w:color w:val="000000"/>
      <w:kern w:val="0"/>
      <w:sz w:val="28"/>
      <w:szCs w:val="28"/>
    </w:rPr>
  </w:style>
  <w:style w:type="paragraph" w:customStyle="1" w:styleId="510">
    <w:name w:val="Char2"/>
    <w:basedOn w:val="1"/>
    <w:qFormat/>
    <w:uiPriority w:val="0"/>
    <w:pPr>
      <w:ind w:left="432"/>
    </w:pPr>
    <w:rPr>
      <w:sz w:val="24"/>
    </w:rPr>
  </w:style>
  <w:style w:type="paragraph" w:customStyle="1" w:styleId="511">
    <w:name w:val="font10"/>
    <w:basedOn w:val="1"/>
    <w:qFormat/>
    <w:uiPriority w:val="0"/>
    <w:pPr>
      <w:widowControl/>
      <w:spacing w:before="100" w:beforeAutospacing="1" w:after="100" w:afterAutospacing="1"/>
      <w:jc w:val="left"/>
    </w:pPr>
    <w:rPr>
      <w:rFonts w:ascii="Arial" w:hAnsi="Arial" w:cs="Arial"/>
      <w:b w:val="0"/>
      <w:bCs/>
      <w:kern w:val="0"/>
      <w:sz w:val="20"/>
      <w:szCs w:val="20"/>
    </w:rPr>
  </w:style>
  <w:style w:type="paragraph" w:customStyle="1" w:styleId="51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13">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514">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18"/>
      <w:szCs w:val="18"/>
    </w:rPr>
  </w:style>
  <w:style w:type="paragraph" w:customStyle="1" w:styleId="515">
    <w:name w:val=" 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1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17">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518">
    <w:name w:val="Body Text 21"/>
    <w:basedOn w:val="1"/>
    <w:qFormat/>
    <w:uiPriority w:val="0"/>
    <w:pPr>
      <w:adjustRightInd w:val="0"/>
      <w:snapToGrid w:val="0"/>
      <w:spacing w:line="300" w:lineRule="auto"/>
      <w:jc w:val="center"/>
      <w:textAlignment w:val="baseline"/>
    </w:pPr>
    <w:rPr>
      <w:rFonts w:ascii="宋体"/>
      <w:sz w:val="24"/>
      <w:szCs w:val="20"/>
    </w:rPr>
  </w:style>
  <w:style w:type="paragraph" w:customStyle="1" w:styleId="519">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2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521">
    <w:name w:val="Char1"/>
    <w:basedOn w:val="1"/>
    <w:next w:val="1"/>
    <w:qFormat/>
    <w:uiPriority w:val="0"/>
    <w:pPr>
      <w:spacing w:line="240" w:lineRule="atLeast"/>
      <w:ind w:left="420"/>
      <w:jc w:val="left"/>
    </w:pPr>
    <w:rPr>
      <w:kern w:val="0"/>
      <w:szCs w:val="21"/>
    </w:rPr>
  </w:style>
  <w:style w:type="paragraph" w:customStyle="1" w:styleId="522">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523">
    <w:name w:val="a"/>
    <w:basedOn w:val="1"/>
    <w:qFormat/>
    <w:uiPriority w:val="0"/>
    <w:pPr>
      <w:widowControl/>
      <w:spacing w:line="460" w:lineRule="atLeast"/>
    </w:pPr>
    <w:rPr>
      <w:rFonts w:ascii="Arial Narrow" w:hAnsi="Arial Narrow" w:cs="宋体"/>
      <w:kern w:val="0"/>
      <w:sz w:val="28"/>
      <w:szCs w:val="28"/>
    </w:rPr>
  </w:style>
  <w:style w:type="paragraph" w:customStyle="1" w:styleId="52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525">
    <w:name w:val="默认段落字体 Para Char"/>
    <w:basedOn w:val="1"/>
    <w:qFormat/>
    <w:uiPriority w:val="0"/>
    <w:rPr>
      <w:rFonts w:ascii="Tahoma" w:hAnsi="Tahoma"/>
      <w:sz w:val="24"/>
      <w:szCs w:val="20"/>
    </w:rPr>
  </w:style>
  <w:style w:type="paragraph" w:customStyle="1" w:styleId="526">
    <w:name w:val=" Char2 Char Char Char"/>
    <w:basedOn w:val="1"/>
    <w:qFormat/>
    <w:uiPriority w:val="0"/>
    <w:rPr>
      <w:rFonts w:ascii="仿宋_GB2312" w:hAnsi="仿宋_GB2312"/>
      <w:b w:val="0"/>
      <w:sz w:val="30"/>
      <w:szCs w:val="20"/>
    </w:rPr>
  </w:style>
  <w:style w:type="paragraph" w:customStyle="1" w:styleId="527">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2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eastAsia="Arial Unicode MS" w:cs="Arial Unicode MS"/>
      <w:color w:val="000000"/>
      <w:kern w:val="0"/>
      <w:sz w:val="20"/>
      <w:szCs w:val="20"/>
    </w:rPr>
  </w:style>
  <w:style w:type="paragraph" w:customStyle="1" w:styleId="52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53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531">
    <w:name w:val="xl145"/>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53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2"/>
      <w:szCs w:val="22"/>
    </w:rPr>
  </w:style>
  <w:style w:type="paragraph" w:customStyle="1" w:styleId="533">
    <w:name w:val="MM Topic 1"/>
    <w:basedOn w:val="2"/>
    <w:qFormat/>
    <w:uiPriority w:val="0"/>
    <w:pPr>
      <w:tabs>
        <w:tab w:val="left" w:pos="425"/>
        <w:tab w:val="clear" w:pos="709"/>
      </w:tabs>
      <w:snapToGrid w:val="0"/>
    </w:pPr>
    <w:rPr>
      <w:bCs/>
      <w:color w:val="auto"/>
      <w:sz w:val="44"/>
    </w:rPr>
  </w:style>
  <w:style w:type="paragraph" w:customStyle="1" w:styleId="534">
    <w:name w:val="Plain Text"/>
    <w:basedOn w:val="1"/>
    <w:qFormat/>
    <w:uiPriority w:val="0"/>
    <w:pPr>
      <w:adjustRightInd w:val="0"/>
      <w:snapToGrid w:val="0"/>
      <w:textAlignment w:val="baseline"/>
    </w:pPr>
    <w:rPr>
      <w:rFonts w:ascii="宋体"/>
      <w:szCs w:val="20"/>
    </w:rPr>
  </w:style>
  <w:style w:type="paragraph" w:customStyle="1" w:styleId="535">
    <w:name w:val="表格标题栏"/>
    <w:basedOn w:val="1"/>
    <w:qFormat/>
    <w:uiPriority w:val="0"/>
    <w:pPr>
      <w:spacing w:line="360" w:lineRule="auto"/>
      <w:jc w:val="center"/>
    </w:pPr>
    <w:rPr>
      <w:rFonts w:ascii="华文中宋" w:eastAsia="华文中宋"/>
      <w:b w:val="0"/>
      <w:sz w:val="28"/>
      <w:szCs w:val="28"/>
    </w:rPr>
  </w:style>
  <w:style w:type="paragraph" w:customStyle="1" w:styleId="536">
    <w:name w:val="No Spacing"/>
    <w:qFormat/>
    <w:uiPriority w:val="0"/>
    <w:pPr>
      <w:widowControl w:val="0"/>
      <w:spacing w:line="300" w:lineRule="auto"/>
      <w:jc w:val="center"/>
    </w:pPr>
    <w:rPr>
      <w:rFonts w:ascii="宋体" w:hAnsi="Times New Roman" w:eastAsia="宋体" w:cs="Times New Roman"/>
      <w:kern w:val="2"/>
      <w:sz w:val="24"/>
      <w:szCs w:val="21"/>
      <w:lang w:val="en-US" w:eastAsia="zh-CN" w:bidi="ar-SA"/>
    </w:rPr>
  </w:style>
  <w:style w:type="paragraph" w:customStyle="1" w:styleId="537">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18"/>
      <w:szCs w:val="18"/>
    </w:rPr>
  </w:style>
  <w:style w:type="paragraph" w:customStyle="1" w:styleId="538">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53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540">
    <w:name w:val="xl116"/>
    <w:basedOn w:val="1"/>
    <w:qFormat/>
    <w:uiPriority w:val="0"/>
    <w:pPr>
      <w:widowControl/>
      <w:spacing w:before="100" w:beforeAutospacing="1" w:after="100" w:afterAutospacing="1"/>
      <w:jc w:val="left"/>
    </w:pPr>
    <w:rPr>
      <w:rFonts w:ascii="宋体" w:cs="宋体"/>
      <w:color w:val="000000"/>
      <w:kern w:val="0"/>
      <w:sz w:val="18"/>
      <w:szCs w:val="18"/>
    </w:rPr>
  </w:style>
  <w:style w:type="paragraph" w:customStyle="1" w:styleId="54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542">
    <w:name w:val="WW-正文（首行缩进两字）"/>
    <w:basedOn w:val="1"/>
    <w:qFormat/>
    <w:uiPriority w:val="0"/>
    <w:pPr>
      <w:autoSpaceDE w:val="0"/>
      <w:autoSpaceDN w:val="0"/>
      <w:adjustRightInd w:val="0"/>
      <w:snapToGrid w:val="0"/>
    </w:pPr>
    <w:rPr>
      <w:kern w:val="0"/>
      <w:szCs w:val="21"/>
    </w:rPr>
  </w:style>
  <w:style w:type="paragraph" w:customStyle="1" w:styleId="543">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pPr>
    <w:rPr>
      <w:rFonts w:ascii="宋体" w:cs="宋体"/>
      <w:b w:val="0"/>
      <w:bCs/>
      <w:color w:val="000000"/>
      <w:kern w:val="0"/>
      <w:sz w:val="18"/>
      <w:szCs w:val="18"/>
    </w:rPr>
  </w:style>
  <w:style w:type="paragraph" w:customStyle="1" w:styleId="544">
    <w:name w:val="xl180"/>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kern w:val="0"/>
      <w:sz w:val="18"/>
      <w:szCs w:val="18"/>
    </w:rPr>
  </w:style>
  <w:style w:type="paragraph" w:customStyle="1" w:styleId="545">
    <w:name w:val="默认段落字体 Para Char Char Char Char Char Char Char"/>
    <w:basedOn w:val="1"/>
    <w:qFormat/>
    <w:uiPriority w:val="0"/>
    <w:rPr>
      <w:rFonts w:ascii="Tahoma" w:hAnsi="Tahoma"/>
      <w:sz w:val="24"/>
      <w:szCs w:val="20"/>
    </w:rPr>
  </w:style>
  <w:style w:type="paragraph" w:customStyle="1" w:styleId="546">
    <w:name w:val="Char Char Char"/>
    <w:basedOn w:val="1"/>
    <w:qFormat/>
    <w:uiPriority w:val="0"/>
    <w:rPr>
      <w:rFonts w:ascii="Tahoma" w:hAnsi="Tahoma"/>
      <w:sz w:val="24"/>
      <w:szCs w:val="20"/>
    </w:rPr>
  </w:style>
  <w:style w:type="paragraph" w:customStyle="1" w:styleId="547">
    <w:name w:val=" Char Char Char Char Char Char1 Char"/>
    <w:basedOn w:val="23"/>
    <w:qFormat/>
    <w:uiPriority w:val="0"/>
    <w:pPr>
      <w:shd w:val="clear" w:color="auto" w:fill="000080"/>
    </w:pPr>
    <w:rPr>
      <w:rFonts w:ascii="Tahoma" w:hAnsi="Tahoma"/>
      <w:sz w:val="24"/>
      <w:szCs w:val="24"/>
    </w:rPr>
  </w:style>
  <w:style w:type="paragraph" w:customStyle="1" w:styleId="5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2"/>
      <w:szCs w:val="22"/>
    </w:rPr>
  </w:style>
  <w:style w:type="paragraph" w:customStyle="1" w:styleId="549">
    <w:name w:val="xl196"/>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pPr>
    <w:rPr>
      <w:rFonts w:ascii="宋体" w:cs="宋体"/>
      <w:b w:val="0"/>
      <w:bCs/>
      <w:color w:val="000000"/>
      <w:kern w:val="0"/>
      <w:sz w:val="18"/>
      <w:szCs w:val="18"/>
    </w:rPr>
  </w:style>
  <w:style w:type="paragraph" w:customStyle="1" w:styleId="550">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551">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kern w:val="0"/>
      <w:sz w:val="18"/>
      <w:szCs w:val="18"/>
    </w:rPr>
  </w:style>
  <w:style w:type="paragraph" w:customStyle="1" w:styleId="552">
    <w:name w:val="样式 行距: 1.5 倍行距 左  3.42 字符"/>
    <w:basedOn w:val="1"/>
    <w:qFormat/>
    <w:uiPriority w:val="0"/>
    <w:pPr>
      <w:spacing w:line="360" w:lineRule="auto"/>
      <w:ind w:left="200" w:leftChars="200" w:firstLine="200" w:firstLineChars="200"/>
    </w:pPr>
    <w:rPr>
      <w:rFonts w:cs="宋体"/>
      <w:szCs w:val="20"/>
    </w:rPr>
  </w:style>
  <w:style w:type="paragraph" w:customStyle="1" w:styleId="553">
    <w:name w:val="列表段落1"/>
    <w:basedOn w:val="1"/>
    <w:qFormat/>
    <w:uiPriority w:val="0"/>
    <w:pPr>
      <w:spacing w:line="480" w:lineRule="auto"/>
      <w:ind w:firstLine="200" w:firstLineChars="200"/>
    </w:pPr>
    <w:rPr>
      <w:rFonts w:ascii="Calibri" w:hAnsi="Calibri" w:eastAsia="宋体" w:cs="Times New Roman"/>
    </w:rPr>
  </w:style>
  <w:style w:type="paragraph" w:customStyle="1" w:styleId="554">
    <w:name w:val="GW-正文"/>
    <w:basedOn w:val="1"/>
    <w:qFormat/>
    <w:uiPriority w:val="0"/>
    <w:pPr>
      <w:spacing w:line="360" w:lineRule="auto"/>
      <w:ind w:firstLine="200" w:firstLineChars="200"/>
    </w:pPr>
    <w:rPr>
      <w:rFonts w:ascii="Times New Roman" w:hAnsi="Times New Roman" w:eastAsia="仿宋_GB2312" w:cs="Times New Roman"/>
      <w:sz w:val="24"/>
    </w:rPr>
  </w:style>
  <w:style w:type="paragraph" w:customStyle="1" w:styleId="555">
    <w:name w:val="纯文本1"/>
    <w:basedOn w:val="1"/>
    <w:qFormat/>
    <w:uiPriority w:val="0"/>
    <w:pPr>
      <w:autoSpaceDE w:val="0"/>
      <w:autoSpaceDN w:val="0"/>
      <w:adjustRightInd w:val="0"/>
      <w:snapToGrid w:val="0"/>
    </w:pPr>
    <w:rPr>
      <w:rFonts w:ascii="宋体"/>
      <w:kern w:val="0"/>
      <w:szCs w:val="20"/>
    </w:rPr>
  </w:style>
  <w:style w:type="paragraph" w:customStyle="1" w:styleId="556">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Table Paragraph"/>
    <w:basedOn w:val="1"/>
    <w:qFormat/>
    <w:uiPriority w:val="0"/>
    <w:rPr>
      <w:rFonts w:ascii="仿宋" w:eastAsia="仿宋" w:cs="仿宋"/>
      <w:lang w:val="zh-CN" w:eastAsia="zh-CN" w:bidi="zh-CN"/>
    </w:rPr>
  </w:style>
  <w:style w:type="paragraph" w:customStyle="1" w:styleId="558">
    <w:name w:val="Body text|1"/>
    <w:basedOn w:val="1"/>
    <w:qFormat/>
    <w:uiPriority w:val="0"/>
    <w:pPr>
      <w:widowControl w:val="0"/>
      <w:shd w:val="clear" w:color="auto" w:fill="auto"/>
      <w:spacing w:line="372" w:lineRule="auto"/>
    </w:pPr>
    <w:rPr>
      <w:rFonts w:ascii="宋体" w:eastAsia="宋体" w:cs="宋体"/>
      <w:sz w:val="30"/>
      <w:szCs w:val="30"/>
      <w:u w:val="none"/>
      <w:shd w:val="clear" w:color="auto" w:fill="auto"/>
      <w:lang w:val="zh-TW" w:eastAsia="zh-TW" w:bidi="zh-TW"/>
    </w:rPr>
  </w:style>
  <w:style w:type="paragraph" w:customStyle="1" w:styleId="559">
    <w:name w:val="Table of contents|1"/>
    <w:basedOn w:val="1"/>
    <w:qFormat/>
    <w:uiPriority w:val="0"/>
    <w:pPr>
      <w:widowControl w:val="0"/>
      <w:shd w:val="clear" w:color="auto" w:fill="auto"/>
      <w:spacing w:after="160"/>
    </w:pPr>
    <w:rPr>
      <w:rFonts w:ascii="宋体" w:eastAsia="宋体" w:cs="宋体"/>
      <w:sz w:val="30"/>
      <w:szCs w:val="30"/>
      <w:u w:val="none"/>
      <w:shd w:val="clear" w:color="auto" w:fill="auto"/>
      <w:lang w:val="zh-TW" w:eastAsia="zh-TW" w:bidi="zh-TW"/>
    </w:rPr>
  </w:style>
  <w:style w:type="paragraph" w:customStyle="1" w:styleId="560">
    <w:name w:val="_Style 4"/>
    <w:basedOn w:val="2"/>
    <w:next w:val="1"/>
    <w:qFormat/>
    <w:uiPriority w:val="0"/>
    <w:pPr>
      <w:keepNext/>
      <w:keepLines/>
      <w:widowControl/>
      <w:tabs>
        <w:tab w:val="clear" w:pos="709"/>
      </w:tabs>
      <w:snapToGrid/>
      <w:spacing w:before="480" w:after="0" w:line="276" w:lineRule="auto"/>
      <w:jc w:val="left"/>
      <w:outlineLvl w:val="9"/>
    </w:pPr>
    <w:rPr>
      <w:rFonts w:ascii="Cambria" w:hAnsi="Cambria" w:eastAsia="宋体" w:cs="Times New Roman"/>
      <w:b/>
      <w:bCs/>
      <w:color w:val="365F91"/>
      <w:kern w:val="0"/>
      <w:sz w:val="28"/>
      <w:szCs w:val="28"/>
      <w:lang w:val="en-US" w:eastAsia="zh-CN"/>
    </w:rPr>
  </w:style>
  <w:style w:type="paragraph" w:customStyle="1" w:styleId="561">
    <w:name w:val="TOC 标题2"/>
    <w:basedOn w:val="2"/>
    <w:next w:val="1"/>
    <w:qFormat/>
    <w:uiPriority w:val="0"/>
    <w:pPr>
      <w:keepNext/>
      <w:keepLines/>
      <w:widowControl/>
      <w:spacing w:before="480" w:line="276" w:lineRule="auto"/>
      <w:ind w:firstLine="0"/>
      <w:jc w:val="left"/>
      <w:outlineLvl w:val="9"/>
    </w:pPr>
    <w:rPr>
      <w:rFonts w:ascii="Cambria" w:hAnsi="Cambria" w:eastAsia="宋体" w:cs="Times New Roman"/>
      <w:b/>
      <w:color w:val="366091"/>
      <w:kern w:val="0"/>
      <w:sz w:val="28"/>
      <w:szCs w:val="28"/>
    </w:rPr>
  </w:style>
  <w:style w:type="character" w:customStyle="1" w:styleId="562">
    <w:name w:val="fontstyle01"/>
    <w:basedOn w:val="82"/>
    <w:qFormat/>
    <w:uiPriority w:val="0"/>
    <w:rPr>
      <w:rFonts w:ascii="宋体" w:eastAsia="宋体"/>
      <w:color w:val="000000"/>
      <w:sz w:val="22"/>
      <w:szCs w:val="22"/>
    </w:rPr>
  </w:style>
  <w:style w:type="character" w:customStyle="1" w:styleId="563">
    <w:name w:val="font11"/>
    <w:basedOn w:val="82"/>
    <w:qFormat/>
    <w:uiPriority w:val="0"/>
    <w:rPr>
      <w:rFonts w:ascii="宋体" w:eastAsia="宋体" w:cs="宋体"/>
      <w:color w:val="000000"/>
      <w:sz w:val="28"/>
      <w:szCs w:val="28"/>
      <w:u w:val="none"/>
    </w:rPr>
  </w:style>
  <w:style w:type="paragraph" w:customStyle="1" w:styleId="564">
    <w:name w:val="null3"/>
    <w:qFormat/>
    <w:uiPriority w:val="0"/>
    <w:rPr>
      <w:rFonts w:ascii="Calibri" w:hAnsi="Calibri" w:eastAsia="宋体" w:cs="Times New Roman"/>
      <w:sz w:val="20"/>
      <w:lang w:val="en-US" w:eastAsia="zh-CN" w:bidi="ar-SA"/>
    </w:rPr>
  </w:style>
  <w:style w:type="paragraph" w:customStyle="1" w:styleId="565">
    <w:name w:val="１副标题"/>
    <w:basedOn w:val="1"/>
    <w:qFormat/>
    <w:uiPriority w:val="0"/>
    <w:pPr>
      <w:widowControl/>
      <w:spacing w:after="120" w:line="360" w:lineRule="auto"/>
      <w:jc w:val="center"/>
    </w:pPr>
    <w:rPr>
      <w:rFonts w:ascii="黑体" w:eastAsia="黑体" w:cs="Tahoma"/>
      <w:bCs/>
      <w:sz w:val="28"/>
      <w:szCs w:val="28"/>
    </w:rPr>
  </w:style>
  <w:style w:type="paragraph" w:customStyle="1" w:styleId="566">
    <w:name w:val="UserStyle_10"/>
    <w:basedOn w:val="1"/>
    <w:qFormat/>
    <w:uiPriority w:val="0"/>
    <w:pPr>
      <w:tabs>
        <w:tab w:val="left" w:pos="480"/>
      </w:tabs>
      <w:jc w:val="center"/>
      <w:textAlignment w:val="baseline"/>
    </w:pPr>
    <w:rPr>
      <w:rFonts w:ascii="宋体"/>
      <w:color w:val="000000"/>
      <w:kern w:val="0"/>
    </w:rPr>
  </w:style>
  <w:style w:type="paragraph" w:customStyle="1" w:styleId="567">
    <w:name w:val="UserStyle_11"/>
    <w:basedOn w:val="566"/>
    <w:next w:val="1"/>
    <w:qFormat/>
    <w:uiPriority w:val="0"/>
    <w:rPr>
      <w:rFonts w:ascii="Times New Roman" w:hAnsi="Times New Roman"/>
    </w:rPr>
  </w:style>
  <w:style w:type="paragraph" w:customStyle="1" w:styleId="568">
    <w:name w:val="UserStyle_2"/>
    <w:basedOn w:val="1"/>
    <w:qFormat/>
    <w:uiPriority w:val="0"/>
    <w:pPr>
      <w:textAlignment w:val="baseline"/>
    </w:pPr>
    <w:rPr>
      <w:szCs w:val="24"/>
    </w:rPr>
  </w:style>
  <w:style w:type="paragraph" w:customStyle="1" w:styleId="569">
    <w:name w:val="Quote"/>
    <w:basedOn w:val="1"/>
    <w:next w:val="1"/>
    <w:qFormat/>
    <w:uiPriority w:val="0"/>
    <w:pPr>
      <w:wordWrap w:val="0"/>
      <w:spacing w:before="200" w:after="160"/>
      <w:ind w:left="864" w:right="864"/>
      <w:jc w:val="center"/>
    </w:pPr>
    <w:rPr>
      <w:rFonts w:ascii="Calibri" w:hAnsi="Calibri"/>
      <w:i/>
    </w:rPr>
  </w:style>
  <w:style w:type="paragraph" w:customStyle="1" w:styleId="570">
    <w:name w:val="A正文小四"/>
    <w:basedOn w:val="1"/>
    <w:qFormat/>
    <w:uiPriority w:val="0"/>
    <w:pPr>
      <w:spacing w:line="360" w:lineRule="auto"/>
    </w:pPr>
    <w:rPr>
      <w:sz w:val="24"/>
    </w:rPr>
  </w:style>
  <w:style w:type="paragraph" w:customStyle="1" w:styleId="571">
    <w:name w:val="B表格内容"/>
    <w:basedOn w:val="1"/>
    <w:qFormat/>
    <w:uiPriority w:val="0"/>
    <w:pPr>
      <w:ind w:firstLine="0" w:firstLineChars="0"/>
    </w:pPr>
    <w:rPr>
      <w:rFonts w:eastAsia="仿宋_GB2312"/>
      <w:sz w:val="24"/>
      <w:szCs w:val="24"/>
    </w:rPr>
  </w:style>
  <w:style w:type="paragraph" w:customStyle="1" w:styleId="57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table" w:customStyle="1" w:styleId="57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4.xml"/><Relationship Id="rId15" Type="http://schemas.openxmlformats.org/officeDocument/2006/relationships/footer" Target="footer3.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110</Pages>
  <Words>2174</Words>
  <Characters>2405</Characters>
  <Lines>2585</Lines>
  <Paragraphs>1332</Paragraphs>
  <TotalTime>99</TotalTime>
  <ScaleCrop>false</ScaleCrop>
  <LinksUpToDate>false</LinksUpToDate>
  <CharactersWithSpaces>2507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2014-09-24T07:38:00Z</dcterms:created>
  <dc:creator>www.hao123d.com</dc:creator>
  <cp:lastModifiedBy> 西瓜花花</cp:lastModifiedBy>
  <cp:lastPrinted>2025-07-31T11:12:00Z</cp:lastPrinted>
  <dcterms:modified xsi:type="dcterms:W3CDTF">2026-04-09T10:13:38Z</dcterms:modified>
  <dc:title>招 标 文 件</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eyJoZGlkIjoiMjY1M2MwNWUxNmMyYzc0YjZiZjE4YmE4NWQyYzZjODAiLCJ1c2VySWQiOiI0MzUzMTcyODUifQ==</vt:lpwstr>
  </property>
  <property fmtid="{D5CDD505-2E9C-101B-9397-08002B2CF9AE}" pid="4" name="ICV">
    <vt:lpwstr>A58ADDD17C5249B3BE64DF59FCE66B8F_13</vt:lpwstr>
  </property>
</Properties>
</file>