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07CC0">
      <w:pPr>
        <w:autoSpaceDE w:val="0"/>
        <w:autoSpaceDN w:val="0"/>
        <w:adjustRightInd w:val="0"/>
        <w:spacing w:line="720" w:lineRule="auto"/>
        <w:ind w:firstLine="0" w:firstLineChars="0"/>
        <w:rPr>
          <w:rFonts w:hint="eastAsia" w:ascii="宋体" w:hAnsi="宋体" w:eastAsia="宋体" w:cs="宋体"/>
          <w:b/>
          <w:color w:val="auto"/>
          <w:sz w:val="24"/>
          <w:szCs w:val="24"/>
          <w:lang w:val="en-US" w:eastAsia="zh-CN"/>
        </w:rPr>
      </w:pPr>
    </w:p>
    <w:p w14:paraId="06559C92">
      <w:pPr>
        <w:autoSpaceDE w:val="0"/>
        <w:autoSpaceDN w:val="0"/>
        <w:adjustRightInd w:val="0"/>
        <w:spacing w:line="720" w:lineRule="auto"/>
        <w:ind w:firstLine="0" w:firstLineChars="0"/>
        <w:rPr>
          <w:rFonts w:hint="eastAsia" w:ascii="宋体" w:hAnsi="宋体" w:eastAsia="宋体" w:cs="宋体"/>
          <w:b/>
          <w:color w:val="auto"/>
          <w:sz w:val="24"/>
          <w:szCs w:val="24"/>
          <w:lang w:val="zh-CN"/>
        </w:rPr>
      </w:pPr>
    </w:p>
    <w:p w14:paraId="2F91C8A7">
      <w:pPr>
        <w:autoSpaceDE w:val="0"/>
        <w:autoSpaceDN w:val="0"/>
        <w:adjustRightInd w:val="0"/>
        <w:spacing w:line="720" w:lineRule="auto"/>
        <w:ind w:firstLine="0" w:firstLineChars="0"/>
        <w:jc w:val="center"/>
        <w:rPr>
          <w:rFonts w:hint="eastAsia" w:ascii="宋体" w:hAnsi="宋体" w:eastAsia="宋体" w:cs="宋体"/>
          <w:b/>
          <w:color w:val="auto"/>
          <w:sz w:val="84"/>
          <w:szCs w:val="84"/>
        </w:rPr>
      </w:pPr>
      <w:r>
        <w:rPr>
          <w:rFonts w:hint="eastAsia" w:ascii="宋体" w:hAnsi="宋体" w:eastAsia="宋体" w:cs="宋体"/>
          <w:b/>
          <w:color w:val="auto"/>
          <w:sz w:val="84"/>
          <w:szCs w:val="84"/>
          <w:lang w:val="zh-CN"/>
        </w:rPr>
        <w:t>磋商文件</w:t>
      </w:r>
    </w:p>
    <w:p w14:paraId="09AECC81">
      <w:pPr>
        <w:adjustRightInd w:val="0"/>
        <w:spacing w:line="720" w:lineRule="auto"/>
        <w:ind w:firstLine="0" w:firstLineChars="0"/>
        <w:textAlignment w:val="baseline"/>
        <w:rPr>
          <w:rFonts w:hint="eastAsia" w:ascii="宋体" w:hAnsi="宋体" w:eastAsia="宋体" w:cs="宋体"/>
          <w:b/>
          <w:color w:val="auto"/>
          <w:sz w:val="24"/>
          <w:szCs w:val="24"/>
        </w:rPr>
      </w:pPr>
    </w:p>
    <w:p w14:paraId="08AC5F49">
      <w:pPr>
        <w:adjustRightInd w:val="0"/>
        <w:spacing w:line="720" w:lineRule="auto"/>
        <w:ind w:firstLine="0" w:firstLineChars="0"/>
        <w:textAlignment w:val="baseline"/>
        <w:rPr>
          <w:rFonts w:hint="eastAsia" w:ascii="宋体" w:hAnsi="宋体" w:eastAsia="宋体" w:cs="宋体"/>
          <w:b/>
          <w:color w:val="auto"/>
          <w:sz w:val="24"/>
          <w:szCs w:val="24"/>
        </w:rPr>
      </w:pPr>
    </w:p>
    <w:p w14:paraId="21F6A03B">
      <w:pPr>
        <w:adjustRightInd w:val="0"/>
        <w:spacing w:line="720" w:lineRule="auto"/>
        <w:ind w:firstLine="0" w:firstLineChars="0"/>
        <w:textAlignment w:val="baseline"/>
        <w:rPr>
          <w:rFonts w:hint="eastAsia" w:ascii="宋体" w:hAnsi="宋体" w:eastAsia="宋体" w:cs="宋体"/>
          <w:b/>
          <w:color w:val="auto"/>
          <w:sz w:val="36"/>
          <w:szCs w:val="36"/>
          <w:lang w:eastAsia="zh-CN"/>
        </w:rPr>
      </w:pPr>
      <w:r>
        <w:rPr>
          <w:rFonts w:hint="eastAsia" w:ascii="宋体" w:hAnsi="宋体" w:eastAsia="宋体" w:cs="宋体"/>
          <w:b/>
          <w:color w:val="auto"/>
          <w:sz w:val="36"/>
          <w:szCs w:val="36"/>
        </w:rPr>
        <w:t>采购项目编号：</w:t>
      </w:r>
      <w:r>
        <w:rPr>
          <w:rFonts w:hint="eastAsia" w:ascii="宋体" w:hAnsi="宋体" w:eastAsia="宋体" w:cs="宋体"/>
          <w:b/>
          <w:color w:val="auto"/>
          <w:sz w:val="36"/>
          <w:szCs w:val="36"/>
          <w:lang w:eastAsia="zh-CN"/>
        </w:rPr>
        <w:t>青海鼎钊竞磋（服务）</w:t>
      </w:r>
      <w:r>
        <w:rPr>
          <w:rFonts w:hint="eastAsia" w:ascii="宋体" w:hAnsi="宋体" w:eastAsia="宋体" w:cs="宋体"/>
          <w:b/>
          <w:color w:val="auto"/>
          <w:sz w:val="36"/>
          <w:szCs w:val="36"/>
          <w:lang w:eastAsia="zh-CN"/>
        </w:rPr>
        <w:t>2026-028</w:t>
      </w:r>
    </w:p>
    <w:p w14:paraId="372709DA">
      <w:pPr>
        <w:adjustRightInd w:val="0"/>
        <w:spacing w:line="720" w:lineRule="auto"/>
        <w:ind w:left="2530" w:right="420" w:rightChars="200" w:hanging="2530" w:hangingChars="700"/>
        <w:textAlignment w:val="baseline"/>
        <w:rPr>
          <w:rFonts w:hint="eastAsia" w:ascii="宋体" w:hAnsi="宋体" w:eastAsia="宋体" w:cs="宋体"/>
          <w:b/>
          <w:color w:val="auto"/>
          <w:sz w:val="36"/>
          <w:szCs w:val="36"/>
          <w:lang w:val="en-US"/>
        </w:rPr>
      </w:pPr>
      <w:r>
        <w:rPr>
          <w:rFonts w:hint="eastAsia" w:ascii="宋体" w:hAnsi="宋体" w:eastAsia="宋体" w:cs="宋体"/>
          <w:b/>
          <w:color w:val="auto"/>
          <w:sz w:val="36"/>
          <w:szCs w:val="36"/>
        </w:rPr>
        <w:t>采购项目名称：</w:t>
      </w:r>
      <w:r>
        <w:rPr>
          <w:rFonts w:hint="eastAsia" w:ascii="宋体" w:hAnsi="宋体" w:eastAsia="宋体" w:cs="宋体"/>
          <w:b/>
          <w:color w:val="auto"/>
          <w:sz w:val="36"/>
          <w:szCs w:val="36"/>
          <w:lang w:val="en-US" w:eastAsia="zh-CN"/>
        </w:rPr>
        <w:t>农产品质量安全监管项目（第二次）</w:t>
      </w:r>
    </w:p>
    <w:p w14:paraId="2EAFEF86">
      <w:pPr>
        <w:adjustRightInd w:val="0"/>
        <w:spacing w:line="720" w:lineRule="auto"/>
        <w:ind w:left="2530" w:hanging="2530" w:hangingChars="700"/>
        <w:textAlignment w:val="baseline"/>
        <w:rPr>
          <w:rFonts w:hint="eastAsia" w:ascii="宋体" w:hAnsi="宋体" w:eastAsia="宋体" w:cs="宋体"/>
          <w:b/>
          <w:color w:val="auto"/>
          <w:sz w:val="36"/>
          <w:szCs w:val="36"/>
          <w:lang w:eastAsia="zh-CN"/>
        </w:rPr>
      </w:pPr>
      <w:r>
        <w:rPr>
          <w:rFonts w:hint="eastAsia" w:ascii="宋体" w:hAnsi="宋体" w:eastAsia="宋体" w:cs="宋体"/>
          <w:b/>
          <w:color w:val="auto"/>
          <w:sz w:val="36"/>
          <w:szCs w:val="36"/>
        </w:rPr>
        <w:t xml:space="preserve">采 </w:t>
      </w:r>
      <w:r>
        <w:rPr>
          <w:rFonts w:hint="eastAsia" w:ascii="宋体" w:hAnsi="宋体" w:eastAsia="宋体" w:cs="宋体"/>
          <w:b/>
          <w:color w:val="auto"/>
          <w:sz w:val="36"/>
          <w:szCs w:val="36"/>
          <w:lang w:val="en-US" w:eastAsia="zh-CN"/>
        </w:rPr>
        <w:t xml:space="preserve"> </w:t>
      </w:r>
      <w:r>
        <w:rPr>
          <w:rFonts w:hint="eastAsia" w:ascii="宋体" w:hAnsi="宋体" w:eastAsia="宋体" w:cs="宋体"/>
          <w:b/>
          <w:color w:val="auto"/>
          <w:sz w:val="36"/>
          <w:szCs w:val="36"/>
        </w:rPr>
        <w:t xml:space="preserve"> 购 </w:t>
      </w:r>
      <w:r>
        <w:rPr>
          <w:rFonts w:hint="eastAsia" w:ascii="宋体" w:hAnsi="宋体" w:eastAsia="宋体" w:cs="宋体"/>
          <w:b/>
          <w:color w:val="auto"/>
          <w:sz w:val="36"/>
          <w:szCs w:val="36"/>
          <w:lang w:val="en-US" w:eastAsia="zh-CN"/>
        </w:rPr>
        <w:t xml:space="preserve"> </w:t>
      </w:r>
      <w:r>
        <w:rPr>
          <w:rFonts w:hint="eastAsia" w:ascii="宋体" w:hAnsi="宋体" w:eastAsia="宋体" w:cs="宋体"/>
          <w:b/>
          <w:color w:val="auto"/>
          <w:sz w:val="36"/>
          <w:szCs w:val="36"/>
        </w:rPr>
        <w:t xml:space="preserve"> 人：</w:t>
      </w:r>
      <w:r>
        <w:rPr>
          <w:rFonts w:hint="eastAsia" w:ascii="宋体" w:hAnsi="宋体" w:eastAsia="宋体" w:cs="宋体"/>
          <w:b/>
          <w:color w:val="auto"/>
          <w:sz w:val="36"/>
          <w:szCs w:val="36"/>
          <w:lang w:eastAsia="zh-CN"/>
        </w:rPr>
        <w:t>青海省农业农村厅</w:t>
      </w:r>
    </w:p>
    <w:p w14:paraId="4CA6EE45">
      <w:pPr>
        <w:spacing w:line="720" w:lineRule="auto"/>
        <w:ind w:firstLine="0" w:firstLineChars="0"/>
        <w:rPr>
          <w:rFonts w:hint="eastAsia" w:ascii="宋体" w:hAnsi="宋体" w:eastAsia="宋体" w:cs="宋体"/>
          <w:b/>
          <w:color w:val="auto"/>
          <w:sz w:val="36"/>
          <w:szCs w:val="36"/>
          <w:lang w:eastAsia="zh-CN"/>
        </w:rPr>
      </w:pPr>
      <w:r>
        <w:rPr>
          <w:rFonts w:hint="eastAsia" w:ascii="宋体" w:hAnsi="宋体" w:eastAsia="宋体" w:cs="宋体"/>
          <w:b/>
          <w:color w:val="auto"/>
          <w:sz w:val="36"/>
          <w:szCs w:val="36"/>
        </w:rPr>
        <w:t>采购代理机构：</w:t>
      </w:r>
      <w:r>
        <w:rPr>
          <w:rFonts w:hint="eastAsia" w:ascii="宋体" w:hAnsi="宋体" w:eastAsia="宋体" w:cs="宋体"/>
          <w:b/>
          <w:color w:val="auto"/>
          <w:sz w:val="36"/>
          <w:szCs w:val="36"/>
          <w:lang w:eastAsia="zh-CN"/>
        </w:rPr>
        <w:t>青海鼎钊招标代理有限公司</w:t>
      </w:r>
    </w:p>
    <w:p w14:paraId="4BB63BA8">
      <w:pPr>
        <w:spacing w:line="720" w:lineRule="auto"/>
        <w:ind w:firstLine="0" w:firstLineChars="0"/>
        <w:rPr>
          <w:rFonts w:hint="eastAsia" w:ascii="宋体" w:hAnsi="宋体" w:eastAsia="宋体" w:cs="宋体"/>
          <w:b/>
          <w:bCs/>
          <w:color w:val="auto"/>
          <w:sz w:val="24"/>
          <w:szCs w:val="24"/>
        </w:rPr>
      </w:pPr>
    </w:p>
    <w:p w14:paraId="30F71149">
      <w:pPr>
        <w:spacing w:line="720" w:lineRule="auto"/>
        <w:ind w:firstLine="0" w:firstLineChars="0"/>
        <w:rPr>
          <w:rFonts w:hint="eastAsia" w:ascii="宋体" w:hAnsi="宋体" w:eastAsia="宋体" w:cs="宋体"/>
          <w:b/>
          <w:bCs/>
          <w:color w:val="auto"/>
          <w:sz w:val="24"/>
          <w:szCs w:val="24"/>
        </w:rPr>
      </w:pPr>
    </w:p>
    <w:p w14:paraId="6102CEBE">
      <w:pPr>
        <w:spacing w:line="720" w:lineRule="auto"/>
        <w:ind w:firstLine="0" w:firstLineChars="0"/>
        <w:jc w:val="center"/>
        <w:rPr>
          <w:rFonts w:hint="eastAsia" w:ascii="宋体" w:hAnsi="宋体" w:eastAsia="宋体" w:cs="宋体"/>
          <w:b/>
          <w:bCs/>
          <w:color w:val="auto"/>
          <w:sz w:val="36"/>
          <w:szCs w:val="36"/>
          <w:lang w:eastAsia="zh-CN"/>
        </w:rPr>
      </w:pPr>
      <w:r>
        <w:rPr>
          <w:rFonts w:hint="eastAsia" w:ascii="宋体" w:hAnsi="宋体" w:eastAsia="宋体" w:cs="宋体"/>
          <w:b/>
          <w:bCs/>
          <w:color w:val="auto"/>
          <w:sz w:val="36"/>
          <w:szCs w:val="36"/>
          <w:lang w:eastAsia="zh-CN"/>
        </w:rPr>
        <w:t>202</w:t>
      </w:r>
      <w:r>
        <w:rPr>
          <w:rFonts w:hint="eastAsia" w:ascii="宋体" w:hAnsi="宋体" w:eastAsia="宋体" w:cs="宋体"/>
          <w:b/>
          <w:bCs/>
          <w:color w:val="auto"/>
          <w:sz w:val="36"/>
          <w:szCs w:val="36"/>
          <w:lang w:val="en-US" w:eastAsia="zh-CN"/>
        </w:rPr>
        <w:t>6</w:t>
      </w:r>
      <w:r>
        <w:rPr>
          <w:rFonts w:hint="eastAsia" w:ascii="宋体" w:hAnsi="宋体" w:eastAsia="宋体" w:cs="宋体"/>
          <w:b/>
          <w:bCs/>
          <w:color w:val="auto"/>
          <w:sz w:val="36"/>
          <w:szCs w:val="36"/>
          <w:lang w:eastAsia="zh-CN"/>
        </w:rPr>
        <w:t>年</w:t>
      </w:r>
      <w:r>
        <w:rPr>
          <w:rFonts w:hint="eastAsia" w:ascii="宋体" w:hAnsi="宋体" w:eastAsia="宋体" w:cs="宋体"/>
          <w:b/>
          <w:bCs/>
          <w:color w:val="auto"/>
          <w:sz w:val="36"/>
          <w:szCs w:val="36"/>
          <w:lang w:val="en-US" w:eastAsia="zh-CN"/>
        </w:rPr>
        <w:t>5</w:t>
      </w:r>
      <w:r>
        <w:rPr>
          <w:rFonts w:hint="eastAsia" w:ascii="宋体" w:hAnsi="宋体" w:eastAsia="宋体" w:cs="宋体"/>
          <w:b/>
          <w:bCs/>
          <w:color w:val="auto"/>
          <w:sz w:val="36"/>
          <w:szCs w:val="36"/>
          <w:lang w:eastAsia="zh-CN"/>
        </w:rPr>
        <w:t>月</w:t>
      </w:r>
    </w:p>
    <w:p w14:paraId="20D79521">
      <w:pPr>
        <w:ind w:firstLine="723"/>
        <w:jc w:val="center"/>
        <w:rPr>
          <w:rFonts w:hint="eastAsia" w:ascii="宋体" w:hAnsi="宋体" w:eastAsia="宋体" w:cs="宋体"/>
          <w:b/>
          <w:bCs/>
          <w:color w:val="auto"/>
          <w:sz w:val="36"/>
          <w:szCs w:val="36"/>
        </w:rPr>
      </w:pPr>
    </w:p>
    <w:p w14:paraId="770468C2">
      <w:pPr>
        <w:keepNext/>
        <w:pageBreakBefore/>
        <w:adjustRightInd w:val="0"/>
        <w:spacing w:line="720" w:lineRule="auto"/>
        <w:ind w:firstLine="0" w:firstLineChars="0"/>
        <w:jc w:val="center"/>
        <w:textAlignment w:val="baseline"/>
        <w:rPr>
          <w:rFonts w:hint="eastAsia" w:ascii="宋体" w:hAnsi="宋体" w:eastAsia="宋体" w:cs="宋体"/>
          <w:b/>
          <w:color w:val="auto"/>
          <w:sz w:val="40"/>
          <w:szCs w:val="30"/>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0B77D276">
      <w:pPr>
        <w:keepNext/>
        <w:pageBreakBefore/>
        <w:adjustRightInd w:val="0"/>
        <w:spacing w:line="720" w:lineRule="auto"/>
        <w:ind w:firstLine="0" w:firstLineChars="0"/>
        <w:jc w:val="center"/>
        <w:textAlignment w:val="baseline"/>
        <w:rPr>
          <w:rFonts w:hint="eastAsia" w:ascii="宋体" w:hAnsi="宋体" w:eastAsia="宋体" w:cs="宋体"/>
          <w:bCs/>
          <w:color w:val="auto"/>
          <w:sz w:val="24"/>
          <w:szCs w:val="24"/>
        </w:rPr>
      </w:pPr>
      <w:r>
        <w:rPr>
          <w:rFonts w:hint="eastAsia" w:ascii="宋体" w:hAnsi="宋体" w:eastAsia="宋体" w:cs="宋体"/>
          <w:b/>
          <w:color w:val="auto"/>
          <w:sz w:val="40"/>
          <w:szCs w:val="30"/>
        </w:rPr>
        <w:t>目  录</w:t>
      </w:r>
    </w:p>
    <w:p w14:paraId="66B212A4">
      <w:pPr>
        <w:pStyle w:val="17"/>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b w:val="0"/>
          <w:bCs/>
          <w:i w:val="0"/>
          <w:iCs w:val="0"/>
          <w:color w:val="auto"/>
          <w:sz w:val="24"/>
          <w:szCs w:val="24"/>
          <w:lang w:val="zh-CN"/>
        </w:rPr>
        <w:fldChar w:fldCharType="begin"/>
      </w:r>
      <w:r>
        <w:rPr>
          <w:rStyle w:val="29"/>
          <w:rFonts w:hint="eastAsia" w:ascii="宋体" w:hAnsi="宋体" w:eastAsia="宋体" w:cs="宋体"/>
          <w:b w:val="0"/>
          <w:bCs/>
          <w:i w:val="0"/>
          <w:iCs w:val="0"/>
          <w:color w:val="auto"/>
          <w:sz w:val="24"/>
          <w:szCs w:val="24"/>
          <w:lang w:val="zh-CN"/>
        </w:rPr>
        <w:instrText xml:space="preserve"> TOC \o "1-3" \h \z \u </w:instrText>
      </w:r>
      <w:r>
        <w:rPr>
          <w:rFonts w:hint="eastAsia" w:ascii="宋体" w:hAnsi="宋体" w:eastAsia="宋体" w:cs="宋体"/>
          <w:b w:val="0"/>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_Toc26347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i w:val="0"/>
          <w:iCs w:val="0"/>
          <w:color w:val="auto"/>
          <w:sz w:val="24"/>
          <w:szCs w:val="24"/>
          <w:lang w:val="zh-CN"/>
        </w:rPr>
        <w:t>第一部分</w:t>
      </w:r>
      <w:r>
        <w:rPr>
          <w:rFonts w:hint="eastAsia" w:ascii="宋体" w:hAnsi="宋体" w:eastAsia="宋体" w:cs="宋体"/>
          <w:i w:val="0"/>
          <w:iCs w:val="0"/>
          <w:color w:val="auto"/>
          <w:sz w:val="24"/>
          <w:szCs w:val="24"/>
          <w:lang w:val="en-US" w:eastAsia="zh-CN"/>
        </w:rPr>
        <w:t xml:space="preserve">  </w:t>
      </w:r>
      <w:r>
        <w:rPr>
          <w:rFonts w:hint="eastAsia" w:ascii="宋体" w:hAnsi="宋体" w:eastAsia="宋体" w:cs="宋体"/>
          <w:i w:val="0"/>
          <w:iCs w:val="0"/>
          <w:color w:val="auto"/>
          <w:sz w:val="24"/>
          <w:szCs w:val="24"/>
          <w:lang w:val="zh-CN"/>
        </w:rPr>
        <w:t>投标邀请</w:t>
      </w:r>
      <w:r>
        <w:rPr>
          <w:rFonts w:hint="eastAsia" w:ascii="宋体" w:hAnsi="宋体" w:eastAsia="宋体" w:cs="宋体"/>
          <w:i w:val="0"/>
          <w:iCs w:val="0"/>
          <w:color w:val="auto"/>
          <w:sz w:val="24"/>
          <w:szCs w:val="24"/>
        </w:rPr>
        <w:tab/>
      </w:r>
      <w:r>
        <w:rPr>
          <w:rFonts w:hint="eastAsia" w:ascii="宋体" w:hAnsi="宋体" w:eastAsia="宋体" w:cs="宋体"/>
          <w:i w:val="0"/>
          <w:iCs w:val="0"/>
          <w:color w:val="auto"/>
          <w:sz w:val="24"/>
          <w:szCs w:val="24"/>
        </w:rPr>
        <w:fldChar w:fldCharType="begin"/>
      </w:r>
      <w:r>
        <w:rPr>
          <w:rFonts w:hint="eastAsia" w:ascii="宋体" w:hAnsi="宋体" w:eastAsia="宋体" w:cs="宋体"/>
          <w:i w:val="0"/>
          <w:iCs w:val="0"/>
          <w:color w:val="auto"/>
          <w:sz w:val="24"/>
          <w:szCs w:val="24"/>
        </w:rPr>
        <w:instrText xml:space="preserve"> PAGEREF _Toc26347 \h </w:instrText>
      </w:r>
      <w:r>
        <w:rPr>
          <w:rFonts w:hint="eastAsia" w:ascii="宋体" w:hAnsi="宋体" w:eastAsia="宋体" w:cs="宋体"/>
          <w:i w:val="0"/>
          <w:iCs w:val="0"/>
          <w:color w:val="auto"/>
          <w:sz w:val="24"/>
          <w:szCs w:val="24"/>
        </w:rPr>
        <w:fldChar w:fldCharType="separate"/>
      </w:r>
      <w:r>
        <w:rPr>
          <w:rFonts w:hint="eastAsia" w:ascii="宋体" w:hAnsi="宋体" w:eastAsia="宋体" w:cs="宋体"/>
          <w:i w:val="0"/>
          <w:iCs w:val="0"/>
          <w:color w:val="auto"/>
          <w:sz w:val="24"/>
          <w:szCs w:val="24"/>
        </w:rPr>
        <w:t>5</w:t>
      </w:r>
      <w:r>
        <w:rPr>
          <w:rFonts w:hint="eastAsia" w:ascii="宋体" w:hAnsi="宋体" w:eastAsia="宋体" w:cs="宋体"/>
          <w:i w:val="0"/>
          <w:iCs w:val="0"/>
          <w:color w:val="auto"/>
          <w:sz w:val="24"/>
          <w:szCs w:val="24"/>
        </w:rPr>
        <w:fldChar w:fldCharType="end"/>
      </w:r>
      <w:r>
        <w:rPr>
          <w:rFonts w:hint="eastAsia" w:ascii="宋体" w:hAnsi="宋体" w:eastAsia="宋体" w:cs="宋体"/>
          <w:bCs/>
          <w:i w:val="0"/>
          <w:iCs w:val="0"/>
          <w:color w:val="auto"/>
          <w:sz w:val="24"/>
          <w:szCs w:val="24"/>
          <w:lang w:val="zh-CN"/>
        </w:rPr>
        <w:fldChar w:fldCharType="end"/>
      </w:r>
    </w:p>
    <w:p w14:paraId="0DBBFFC7">
      <w:pPr>
        <w:pStyle w:val="17"/>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_Toc6206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i w:val="0"/>
          <w:iCs w:val="0"/>
          <w:color w:val="auto"/>
          <w:sz w:val="24"/>
          <w:szCs w:val="24"/>
          <w:lang w:val="zh-CN"/>
        </w:rPr>
        <w:t>第二部分</w:t>
      </w:r>
      <w:r>
        <w:rPr>
          <w:rFonts w:hint="eastAsia" w:ascii="宋体" w:hAnsi="宋体" w:eastAsia="宋体" w:cs="宋体"/>
          <w:i w:val="0"/>
          <w:iCs w:val="0"/>
          <w:color w:val="auto"/>
          <w:sz w:val="24"/>
          <w:szCs w:val="24"/>
          <w:lang w:val="en-US" w:eastAsia="zh-CN"/>
        </w:rPr>
        <w:t xml:space="preserve">  </w:t>
      </w:r>
      <w:r>
        <w:rPr>
          <w:rFonts w:hint="eastAsia" w:ascii="宋体" w:hAnsi="宋体" w:eastAsia="宋体" w:cs="宋体"/>
          <w:i w:val="0"/>
          <w:iCs w:val="0"/>
          <w:color w:val="auto"/>
          <w:sz w:val="24"/>
          <w:szCs w:val="24"/>
          <w:lang w:val="zh-CN"/>
        </w:rPr>
        <w:t>供应商须知前附表</w:t>
      </w:r>
      <w:r>
        <w:rPr>
          <w:rFonts w:hint="eastAsia" w:ascii="宋体" w:hAnsi="宋体" w:eastAsia="宋体" w:cs="宋体"/>
          <w:i w:val="0"/>
          <w:iCs w:val="0"/>
          <w:color w:val="auto"/>
          <w:sz w:val="24"/>
          <w:szCs w:val="24"/>
        </w:rPr>
        <w:tab/>
      </w:r>
      <w:r>
        <w:rPr>
          <w:rFonts w:hint="eastAsia" w:ascii="宋体" w:hAnsi="宋体" w:eastAsia="宋体" w:cs="宋体"/>
          <w:i w:val="0"/>
          <w:iCs w:val="0"/>
          <w:color w:val="auto"/>
          <w:sz w:val="24"/>
          <w:szCs w:val="24"/>
        </w:rPr>
        <w:fldChar w:fldCharType="begin"/>
      </w:r>
      <w:r>
        <w:rPr>
          <w:rFonts w:hint="eastAsia" w:ascii="宋体" w:hAnsi="宋体" w:eastAsia="宋体" w:cs="宋体"/>
          <w:i w:val="0"/>
          <w:iCs w:val="0"/>
          <w:color w:val="auto"/>
          <w:sz w:val="24"/>
          <w:szCs w:val="24"/>
        </w:rPr>
        <w:instrText xml:space="preserve"> PAGEREF _Toc6206 \h </w:instrText>
      </w:r>
      <w:r>
        <w:rPr>
          <w:rFonts w:hint="eastAsia" w:ascii="宋体" w:hAnsi="宋体" w:eastAsia="宋体" w:cs="宋体"/>
          <w:i w:val="0"/>
          <w:iCs w:val="0"/>
          <w:color w:val="auto"/>
          <w:sz w:val="24"/>
          <w:szCs w:val="24"/>
        </w:rPr>
        <w:fldChar w:fldCharType="separate"/>
      </w:r>
      <w:r>
        <w:rPr>
          <w:rFonts w:hint="eastAsia" w:ascii="宋体" w:hAnsi="宋体" w:eastAsia="宋体" w:cs="宋体"/>
          <w:i w:val="0"/>
          <w:iCs w:val="0"/>
          <w:color w:val="auto"/>
          <w:sz w:val="24"/>
          <w:szCs w:val="24"/>
        </w:rPr>
        <w:t>7</w:t>
      </w:r>
      <w:r>
        <w:rPr>
          <w:rFonts w:hint="eastAsia" w:ascii="宋体" w:hAnsi="宋体" w:eastAsia="宋体" w:cs="宋体"/>
          <w:i w:val="0"/>
          <w:iCs w:val="0"/>
          <w:color w:val="auto"/>
          <w:sz w:val="24"/>
          <w:szCs w:val="24"/>
        </w:rPr>
        <w:fldChar w:fldCharType="end"/>
      </w:r>
      <w:r>
        <w:rPr>
          <w:rFonts w:hint="eastAsia" w:ascii="宋体" w:hAnsi="宋体" w:eastAsia="宋体" w:cs="宋体"/>
          <w:bCs/>
          <w:i w:val="0"/>
          <w:iCs w:val="0"/>
          <w:color w:val="auto"/>
          <w:sz w:val="24"/>
          <w:szCs w:val="24"/>
          <w:lang w:val="zh-CN"/>
        </w:rPr>
        <w:fldChar w:fldCharType="end"/>
      </w:r>
    </w:p>
    <w:p w14:paraId="0DDB1025">
      <w:pPr>
        <w:pStyle w:val="17"/>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_Toc21023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i w:val="0"/>
          <w:iCs w:val="0"/>
          <w:color w:val="auto"/>
          <w:kern w:val="28"/>
          <w:sz w:val="24"/>
          <w:szCs w:val="24"/>
        </w:rPr>
        <w:t>第三部分  供应商须知</w:t>
      </w:r>
      <w:r>
        <w:rPr>
          <w:rFonts w:hint="eastAsia" w:ascii="宋体" w:hAnsi="宋体" w:eastAsia="宋体" w:cs="宋体"/>
          <w:i w:val="0"/>
          <w:iCs w:val="0"/>
          <w:color w:val="auto"/>
          <w:sz w:val="24"/>
          <w:szCs w:val="24"/>
        </w:rPr>
        <w:tab/>
      </w:r>
      <w:r>
        <w:rPr>
          <w:rFonts w:hint="eastAsia" w:ascii="宋体" w:hAnsi="宋体" w:eastAsia="宋体" w:cs="宋体"/>
          <w:i w:val="0"/>
          <w:iCs w:val="0"/>
          <w:color w:val="auto"/>
          <w:sz w:val="24"/>
          <w:szCs w:val="24"/>
        </w:rPr>
        <w:fldChar w:fldCharType="begin"/>
      </w:r>
      <w:r>
        <w:rPr>
          <w:rFonts w:hint="eastAsia" w:ascii="宋体" w:hAnsi="宋体" w:eastAsia="宋体" w:cs="宋体"/>
          <w:i w:val="0"/>
          <w:iCs w:val="0"/>
          <w:color w:val="auto"/>
          <w:sz w:val="24"/>
          <w:szCs w:val="24"/>
        </w:rPr>
        <w:instrText xml:space="preserve"> PAGEREF _Toc21023 \h </w:instrText>
      </w:r>
      <w:r>
        <w:rPr>
          <w:rFonts w:hint="eastAsia" w:ascii="宋体" w:hAnsi="宋体" w:eastAsia="宋体" w:cs="宋体"/>
          <w:i w:val="0"/>
          <w:iCs w:val="0"/>
          <w:color w:val="auto"/>
          <w:sz w:val="24"/>
          <w:szCs w:val="24"/>
        </w:rPr>
        <w:fldChar w:fldCharType="separate"/>
      </w:r>
      <w:r>
        <w:rPr>
          <w:rFonts w:hint="eastAsia" w:ascii="宋体" w:hAnsi="宋体" w:eastAsia="宋体" w:cs="宋体"/>
          <w:i w:val="0"/>
          <w:iCs w:val="0"/>
          <w:color w:val="auto"/>
          <w:sz w:val="24"/>
          <w:szCs w:val="24"/>
        </w:rPr>
        <w:t>9</w:t>
      </w:r>
      <w:r>
        <w:rPr>
          <w:rFonts w:hint="eastAsia" w:ascii="宋体" w:hAnsi="宋体" w:eastAsia="宋体" w:cs="宋体"/>
          <w:i w:val="0"/>
          <w:iCs w:val="0"/>
          <w:color w:val="auto"/>
          <w:sz w:val="24"/>
          <w:szCs w:val="24"/>
        </w:rPr>
        <w:fldChar w:fldCharType="end"/>
      </w:r>
      <w:r>
        <w:rPr>
          <w:rFonts w:hint="eastAsia" w:ascii="宋体" w:hAnsi="宋体" w:eastAsia="宋体" w:cs="宋体"/>
          <w:bCs/>
          <w:i w:val="0"/>
          <w:iCs w:val="0"/>
          <w:color w:val="auto"/>
          <w:sz w:val="24"/>
          <w:szCs w:val="24"/>
          <w:lang w:val="zh-CN"/>
        </w:rPr>
        <w:fldChar w:fldCharType="end"/>
      </w:r>
    </w:p>
    <w:p w14:paraId="492CEE3D">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_Toc23004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rPr>
        <w:t>一、说  明</w:t>
      </w:r>
      <w:r>
        <w:rPr>
          <w:rFonts w:hint="eastAsia" w:ascii="宋体" w:hAnsi="宋体" w:eastAsia="宋体" w:cs="宋体"/>
          <w:i w:val="0"/>
          <w:iCs w:val="0"/>
          <w:color w:val="auto"/>
          <w:sz w:val="24"/>
          <w:szCs w:val="24"/>
        </w:rPr>
        <w:tab/>
      </w:r>
      <w:r>
        <w:rPr>
          <w:rFonts w:hint="eastAsia" w:ascii="宋体" w:hAnsi="宋体" w:eastAsia="宋体" w:cs="宋体"/>
          <w:i w:val="0"/>
          <w:iCs w:val="0"/>
          <w:color w:val="auto"/>
          <w:sz w:val="24"/>
          <w:szCs w:val="24"/>
        </w:rPr>
        <w:fldChar w:fldCharType="begin"/>
      </w:r>
      <w:r>
        <w:rPr>
          <w:rFonts w:hint="eastAsia" w:ascii="宋体" w:hAnsi="宋体" w:eastAsia="宋体" w:cs="宋体"/>
          <w:i w:val="0"/>
          <w:iCs w:val="0"/>
          <w:color w:val="auto"/>
          <w:sz w:val="24"/>
          <w:szCs w:val="24"/>
        </w:rPr>
        <w:instrText xml:space="preserve"> PAGEREF _Toc23004 \h </w:instrText>
      </w:r>
      <w:r>
        <w:rPr>
          <w:rFonts w:hint="eastAsia" w:ascii="宋体" w:hAnsi="宋体" w:eastAsia="宋体" w:cs="宋体"/>
          <w:i w:val="0"/>
          <w:iCs w:val="0"/>
          <w:color w:val="auto"/>
          <w:sz w:val="24"/>
          <w:szCs w:val="24"/>
        </w:rPr>
        <w:fldChar w:fldCharType="separate"/>
      </w:r>
      <w:r>
        <w:rPr>
          <w:rFonts w:hint="eastAsia" w:ascii="宋体" w:hAnsi="宋体" w:eastAsia="宋体" w:cs="宋体"/>
          <w:i w:val="0"/>
          <w:iCs w:val="0"/>
          <w:color w:val="auto"/>
          <w:sz w:val="24"/>
          <w:szCs w:val="24"/>
        </w:rPr>
        <w:t>9</w:t>
      </w:r>
      <w:r>
        <w:rPr>
          <w:rFonts w:hint="eastAsia" w:ascii="宋体" w:hAnsi="宋体" w:eastAsia="宋体" w:cs="宋体"/>
          <w:i w:val="0"/>
          <w:iCs w:val="0"/>
          <w:color w:val="auto"/>
          <w:sz w:val="24"/>
          <w:szCs w:val="24"/>
        </w:rPr>
        <w:fldChar w:fldCharType="end"/>
      </w:r>
      <w:r>
        <w:rPr>
          <w:rFonts w:hint="eastAsia" w:ascii="宋体" w:hAnsi="宋体" w:eastAsia="宋体" w:cs="宋体"/>
          <w:bCs/>
          <w:i w:val="0"/>
          <w:iCs w:val="0"/>
          <w:color w:val="auto"/>
          <w:sz w:val="24"/>
          <w:szCs w:val="24"/>
          <w:lang w:val="zh-CN"/>
        </w:rPr>
        <w:fldChar w:fldCharType="end"/>
      </w:r>
    </w:p>
    <w:p w14:paraId="48607137">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_Toc1465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rPr>
        <w:t>1.适用范围</w:t>
      </w:r>
      <w:r>
        <w:rPr>
          <w:rFonts w:hint="eastAsia" w:ascii="宋体" w:hAnsi="宋体" w:eastAsia="宋体" w:cs="宋体"/>
          <w:i w:val="0"/>
          <w:iCs w:val="0"/>
          <w:color w:val="auto"/>
          <w:sz w:val="24"/>
          <w:szCs w:val="24"/>
        </w:rPr>
        <w:tab/>
      </w:r>
      <w:r>
        <w:rPr>
          <w:rFonts w:hint="eastAsia" w:ascii="宋体" w:hAnsi="宋体" w:eastAsia="宋体" w:cs="宋体"/>
          <w:i w:val="0"/>
          <w:iCs w:val="0"/>
          <w:color w:val="auto"/>
          <w:sz w:val="24"/>
          <w:szCs w:val="24"/>
        </w:rPr>
        <w:fldChar w:fldCharType="begin"/>
      </w:r>
      <w:r>
        <w:rPr>
          <w:rFonts w:hint="eastAsia" w:ascii="宋体" w:hAnsi="宋体" w:eastAsia="宋体" w:cs="宋体"/>
          <w:i w:val="0"/>
          <w:iCs w:val="0"/>
          <w:color w:val="auto"/>
          <w:sz w:val="24"/>
          <w:szCs w:val="24"/>
        </w:rPr>
        <w:instrText xml:space="preserve"> PAGEREF _Toc1465 \h </w:instrText>
      </w:r>
      <w:r>
        <w:rPr>
          <w:rFonts w:hint="eastAsia" w:ascii="宋体" w:hAnsi="宋体" w:eastAsia="宋体" w:cs="宋体"/>
          <w:i w:val="0"/>
          <w:iCs w:val="0"/>
          <w:color w:val="auto"/>
          <w:sz w:val="24"/>
          <w:szCs w:val="24"/>
        </w:rPr>
        <w:fldChar w:fldCharType="separate"/>
      </w:r>
      <w:r>
        <w:rPr>
          <w:rFonts w:hint="eastAsia" w:ascii="宋体" w:hAnsi="宋体" w:eastAsia="宋体" w:cs="宋体"/>
          <w:i w:val="0"/>
          <w:iCs w:val="0"/>
          <w:color w:val="auto"/>
          <w:sz w:val="24"/>
          <w:szCs w:val="24"/>
        </w:rPr>
        <w:t>9</w:t>
      </w:r>
      <w:r>
        <w:rPr>
          <w:rFonts w:hint="eastAsia" w:ascii="宋体" w:hAnsi="宋体" w:eastAsia="宋体" w:cs="宋体"/>
          <w:i w:val="0"/>
          <w:iCs w:val="0"/>
          <w:color w:val="auto"/>
          <w:sz w:val="24"/>
          <w:szCs w:val="24"/>
        </w:rPr>
        <w:fldChar w:fldCharType="end"/>
      </w:r>
      <w:r>
        <w:rPr>
          <w:rFonts w:hint="eastAsia" w:ascii="宋体" w:hAnsi="宋体" w:eastAsia="宋体" w:cs="宋体"/>
          <w:bCs/>
          <w:i w:val="0"/>
          <w:iCs w:val="0"/>
          <w:color w:val="auto"/>
          <w:sz w:val="24"/>
          <w:szCs w:val="24"/>
          <w:lang w:val="zh-CN"/>
        </w:rPr>
        <w:fldChar w:fldCharType="end"/>
      </w:r>
    </w:p>
    <w:p w14:paraId="39FFA48C">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_Toc20313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rPr>
        <w:t>2.采购方式、合格的供应商</w:t>
      </w:r>
      <w:r>
        <w:rPr>
          <w:rFonts w:hint="eastAsia" w:ascii="宋体" w:hAnsi="宋体" w:eastAsia="宋体" w:cs="宋体"/>
          <w:i w:val="0"/>
          <w:iCs w:val="0"/>
          <w:color w:val="auto"/>
          <w:sz w:val="24"/>
          <w:szCs w:val="24"/>
        </w:rPr>
        <w:tab/>
      </w:r>
      <w:r>
        <w:rPr>
          <w:rFonts w:hint="eastAsia" w:ascii="宋体" w:hAnsi="宋体" w:eastAsia="宋体" w:cs="宋体"/>
          <w:i w:val="0"/>
          <w:iCs w:val="0"/>
          <w:color w:val="auto"/>
          <w:sz w:val="24"/>
          <w:szCs w:val="24"/>
        </w:rPr>
        <w:fldChar w:fldCharType="begin"/>
      </w:r>
      <w:r>
        <w:rPr>
          <w:rFonts w:hint="eastAsia" w:ascii="宋体" w:hAnsi="宋体" w:eastAsia="宋体" w:cs="宋体"/>
          <w:i w:val="0"/>
          <w:iCs w:val="0"/>
          <w:color w:val="auto"/>
          <w:sz w:val="24"/>
          <w:szCs w:val="24"/>
        </w:rPr>
        <w:instrText xml:space="preserve"> PAGEREF _Toc20313 \h </w:instrText>
      </w:r>
      <w:r>
        <w:rPr>
          <w:rFonts w:hint="eastAsia" w:ascii="宋体" w:hAnsi="宋体" w:eastAsia="宋体" w:cs="宋体"/>
          <w:i w:val="0"/>
          <w:iCs w:val="0"/>
          <w:color w:val="auto"/>
          <w:sz w:val="24"/>
          <w:szCs w:val="24"/>
        </w:rPr>
        <w:fldChar w:fldCharType="separate"/>
      </w:r>
      <w:r>
        <w:rPr>
          <w:rFonts w:hint="eastAsia" w:ascii="宋体" w:hAnsi="宋体" w:eastAsia="宋体" w:cs="宋体"/>
          <w:i w:val="0"/>
          <w:iCs w:val="0"/>
          <w:color w:val="auto"/>
          <w:sz w:val="24"/>
          <w:szCs w:val="24"/>
        </w:rPr>
        <w:t>9</w:t>
      </w:r>
      <w:r>
        <w:rPr>
          <w:rFonts w:hint="eastAsia" w:ascii="宋体" w:hAnsi="宋体" w:eastAsia="宋体" w:cs="宋体"/>
          <w:i w:val="0"/>
          <w:iCs w:val="0"/>
          <w:color w:val="auto"/>
          <w:sz w:val="24"/>
          <w:szCs w:val="24"/>
        </w:rPr>
        <w:fldChar w:fldCharType="end"/>
      </w:r>
      <w:r>
        <w:rPr>
          <w:rFonts w:hint="eastAsia" w:ascii="宋体" w:hAnsi="宋体" w:eastAsia="宋体" w:cs="宋体"/>
          <w:bCs/>
          <w:i w:val="0"/>
          <w:iCs w:val="0"/>
          <w:color w:val="auto"/>
          <w:sz w:val="24"/>
          <w:szCs w:val="24"/>
          <w:lang w:val="zh-CN"/>
        </w:rPr>
        <w:fldChar w:fldCharType="end"/>
      </w:r>
    </w:p>
    <w:p w14:paraId="4FE09D76">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_Toc1923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rPr>
        <w:t>3.磋商费用</w:t>
      </w:r>
      <w:r>
        <w:rPr>
          <w:rFonts w:hint="eastAsia" w:ascii="宋体" w:hAnsi="宋体" w:eastAsia="宋体" w:cs="宋体"/>
          <w:i w:val="0"/>
          <w:iCs w:val="0"/>
          <w:color w:val="auto"/>
          <w:sz w:val="24"/>
          <w:szCs w:val="24"/>
        </w:rPr>
        <w:tab/>
      </w:r>
      <w:r>
        <w:rPr>
          <w:rFonts w:hint="eastAsia" w:ascii="宋体" w:hAnsi="宋体" w:eastAsia="宋体" w:cs="宋体"/>
          <w:i w:val="0"/>
          <w:iCs w:val="0"/>
          <w:color w:val="auto"/>
          <w:sz w:val="24"/>
          <w:szCs w:val="24"/>
        </w:rPr>
        <w:fldChar w:fldCharType="begin"/>
      </w:r>
      <w:r>
        <w:rPr>
          <w:rFonts w:hint="eastAsia" w:ascii="宋体" w:hAnsi="宋体" w:eastAsia="宋体" w:cs="宋体"/>
          <w:i w:val="0"/>
          <w:iCs w:val="0"/>
          <w:color w:val="auto"/>
          <w:sz w:val="24"/>
          <w:szCs w:val="24"/>
        </w:rPr>
        <w:instrText xml:space="preserve"> PAGEREF _Toc1923 \h </w:instrText>
      </w:r>
      <w:r>
        <w:rPr>
          <w:rFonts w:hint="eastAsia" w:ascii="宋体" w:hAnsi="宋体" w:eastAsia="宋体" w:cs="宋体"/>
          <w:i w:val="0"/>
          <w:iCs w:val="0"/>
          <w:color w:val="auto"/>
          <w:sz w:val="24"/>
          <w:szCs w:val="24"/>
        </w:rPr>
        <w:fldChar w:fldCharType="separate"/>
      </w:r>
      <w:r>
        <w:rPr>
          <w:rFonts w:hint="eastAsia" w:ascii="宋体" w:hAnsi="宋体" w:eastAsia="宋体" w:cs="宋体"/>
          <w:i w:val="0"/>
          <w:iCs w:val="0"/>
          <w:color w:val="auto"/>
          <w:sz w:val="24"/>
          <w:szCs w:val="24"/>
        </w:rPr>
        <w:t>9</w:t>
      </w:r>
      <w:r>
        <w:rPr>
          <w:rFonts w:hint="eastAsia" w:ascii="宋体" w:hAnsi="宋体" w:eastAsia="宋体" w:cs="宋体"/>
          <w:i w:val="0"/>
          <w:iCs w:val="0"/>
          <w:color w:val="auto"/>
          <w:sz w:val="24"/>
          <w:szCs w:val="24"/>
        </w:rPr>
        <w:fldChar w:fldCharType="end"/>
      </w:r>
      <w:r>
        <w:rPr>
          <w:rFonts w:hint="eastAsia" w:ascii="宋体" w:hAnsi="宋体" w:eastAsia="宋体" w:cs="宋体"/>
          <w:bCs/>
          <w:i w:val="0"/>
          <w:iCs w:val="0"/>
          <w:color w:val="auto"/>
          <w:sz w:val="24"/>
          <w:szCs w:val="24"/>
          <w:lang w:val="zh-CN"/>
        </w:rPr>
        <w:fldChar w:fldCharType="end"/>
      </w:r>
    </w:p>
    <w:p w14:paraId="6B04F12F">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_Toc27095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二、磋商文件说明</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_Toc27095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9</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342B2DE7">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_Toc1170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4.磋商文件的构成</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_Toc1170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9</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1C78C4DB">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_Toc2220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5.</w:t>
      </w:r>
      <w:r>
        <w:rPr>
          <w:rFonts w:hint="eastAsia" w:ascii="宋体" w:hAnsi="宋体" w:eastAsia="宋体" w:cs="宋体"/>
          <w:bCs/>
          <w:i w:val="0"/>
          <w:iCs w:val="0"/>
          <w:color w:val="auto"/>
          <w:sz w:val="24"/>
          <w:szCs w:val="24"/>
          <w:lang w:val="en-US" w:eastAsia="zh-CN"/>
        </w:rPr>
        <w:t>磋商</w:t>
      </w:r>
      <w:r>
        <w:rPr>
          <w:rFonts w:hint="eastAsia" w:ascii="宋体" w:hAnsi="宋体" w:eastAsia="宋体" w:cs="宋体"/>
          <w:bCs/>
          <w:i w:val="0"/>
          <w:iCs w:val="0"/>
          <w:color w:val="auto"/>
          <w:sz w:val="24"/>
          <w:szCs w:val="24"/>
          <w:lang w:val="zh-CN"/>
        </w:rPr>
        <w:t>文件、采购活动和</w:t>
      </w:r>
      <w:r>
        <w:rPr>
          <w:rFonts w:hint="eastAsia" w:ascii="宋体" w:hAnsi="宋体" w:eastAsia="宋体" w:cs="宋体"/>
          <w:bCs/>
          <w:i w:val="0"/>
          <w:iCs w:val="0"/>
          <w:color w:val="auto"/>
          <w:sz w:val="24"/>
          <w:szCs w:val="24"/>
          <w:lang w:val="en-US" w:eastAsia="zh-CN"/>
        </w:rPr>
        <w:t>成交</w:t>
      </w:r>
      <w:r>
        <w:rPr>
          <w:rFonts w:hint="eastAsia" w:ascii="宋体" w:hAnsi="宋体" w:eastAsia="宋体" w:cs="宋体"/>
          <w:bCs/>
          <w:i w:val="0"/>
          <w:iCs w:val="0"/>
          <w:color w:val="auto"/>
          <w:sz w:val="24"/>
          <w:szCs w:val="24"/>
          <w:lang w:val="zh-CN"/>
        </w:rPr>
        <w:t>结果的质疑</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_Toc2220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9</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4745FE7F">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_Toc29489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6.磋商文件的澄清、修改</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_Toc29489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10</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170F9FCD">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_Toc13331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三、响应文件的编制</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_Toc13331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10</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0C60A103">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_Toc326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7.响应文件的语言及度量衡单位</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_Toc326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10</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2C1181DB">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_Toc30358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8.磋商保证金</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_Toc30358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11</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580630CF">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_Toc6817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9.磋商有效期</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_Toc6817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11</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1257DBCD">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_Toc4733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10.响应文件构成</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_Toc4733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11</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4C17ABAF">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_Toc28446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11.响应文件编印和签署</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_Toc28446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12</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54E0ED1E">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_Toc31755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四、响应文件的递交</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_Toc31755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12</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277FF01C">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_Toc24195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12.响应文件的密封和标记</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_Toc24195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12</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7E0BE2C1">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_Toc1619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13.提交响应文件截止时间、地点</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_Toc1619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12</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19C5116A">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_Toc8305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五、磋商过程</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_Toc8305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12</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7EA95C95">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_Toc24541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14.磋商过程</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_Toc24541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12</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7466BCAB">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_Toc28917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六、磋商程序及方法</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_Toc28917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13</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0FD4A416">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_Toc9607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15.磋商小组</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_Toc9607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13</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2985A78A">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_Toc3698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16.磋商程序</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_Toc3698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14</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1A8AFD73">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_Toc17722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17.评审办法</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_Toc17722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17</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390A4826">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_Toc31736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七、确定成交供应商</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_Toc31736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19</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7E74CFB3">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_Toc30568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18.推荐并确定成交供应商</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_Toc30568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19</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2A286A7F">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_Toc21324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19.成交通知</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_Toc21324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19</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41DA6C9C">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_Toc3447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八、授予合同</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_Toc3447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19</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1F0B1332">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_Toc3109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20.签订合同</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_Toc3109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19</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60BDCC6B">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_Toc1151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九、磋商活动终止</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_Toc1151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20</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4F458D07">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_Toc2673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21.终止情形</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_Toc2673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20</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151D4E67">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_Toc1803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十、处罚</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_Toc1803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20</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500074B3">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_Toc5020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22.处罚情形</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_Toc5020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20</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70B8F5C1">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_Toc7607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十一、其他</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_Toc7607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20</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7382C6E1">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_Toc2862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en-US" w:eastAsia="zh-CN"/>
        </w:rPr>
        <w:t>23.中止或终止采购活动</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_Toc2862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20</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792E7338">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_Toc3551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en-US" w:eastAsia="zh-CN"/>
        </w:rPr>
        <w:t>24.其他事项</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_Toc3551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21</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259425D4">
      <w:pPr>
        <w:pStyle w:val="17"/>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_Toc6462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第四部分  采购项目合同书</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_Toc6462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22</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48E41DCF">
      <w:pPr>
        <w:pStyle w:val="17"/>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_Toc7874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en-US" w:eastAsia="zh-CN"/>
        </w:rPr>
        <w:t>第五部分  响应文件格式</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_Toc7874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30</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38B2D7F5">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_Toc12676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附件1：响应文件封面</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_Toc12676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30</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4780CCFA">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_Toc197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附件2：磋商函</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_Toc197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31</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6A482195">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_Toc26652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附件3</w:t>
      </w:r>
      <w:r>
        <w:rPr>
          <w:rFonts w:hint="eastAsia" w:ascii="宋体" w:hAnsi="宋体" w:eastAsia="宋体" w:cs="宋体"/>
          <w:bCs/>
          <w:i w:val="0"/>
          <w:iCs w:val="0"/>
          <w:color w:val="auto"/>
          <w:sz w:val="24"/>
          <w:szCs w:val="24"/>
          <w:lang w:val="en-US" w:eastAsia="zh-CN"/>
        </w:rPr>
        <w:t>.1</w:t>
      </w:r>
      <w:r>
        <w:rPr>
          <w:rFonts w:hint="eastAsia" w:ascii="宋体" w:hAnsi="宋体" w:eastAsia="宋体" w:cs="宋体"/>
          <w:bCs/>
          <w:i w:val="0"/>
          <w:iCs w:val="0"/>
          <w:color w:val="auto"/>
          <w:sz w:val="24"/>
          <w:szCs w:val="24"/>
          <w:lang w:val="zh-CN"/>
        </w:rPr>
        <w:t>：投标报价一览表</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_Toc26652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32</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380B241F">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_Toc12215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附件3</w:t>
      </w:r>
      <w:r>
        <w:rPr>
          <w:rFonts w:hint="eastAsia" w:ascii="宋体" w:hAnsi="宋体" w:eastAsia="宋体" w:cs="宋体"/>
          <w:bCs/>
          <w:i w:val="0"/>
          <w:iCs w:val="0"/>
          <w:color w:val="auto"/>
          <w:sz w:val="24"/>
          <w:szCs w:val="24"/>
          <w:lang w:val="en-US" w:eastAsia="zh-CN"/>
        </w:rPr>
        <w:t>.2</w:t>
      </w:r>
      <w:r>
        <w:rPr>
          <w:rFonts w:hint="eastAsia" w:ascii="宋体" w:hAnsi="宋体" w:eastAsia="宋体" w:cs="宋体"/>
          <w:bCs/>
          <w:i w:val="0"/>
          <w:iCs w:val="0"/>
          <w:color w:val="auto"/>
          <w:sz w:val="24"/>
          <w:szCs w:val="24"/>
          <w:lang w:val="zh-CN"/>
        </w:rPr>
        <w:t>：分项报价表</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_Toc12215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33</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265C088F">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_Toc10547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附件3</w:t>
      </w:r>
      <w:r>
        <w:rPr>
          <w:rFonts w:hint="eastAsia" w:ascii="宋体" w:hAnsi="宋体" w:eastAsia="宋体" w:cs="宋体"/>
          <w:bCs/>
          <w:i w:val="0"/>
          <w:iCs w:val="0"/>
          <w:color w:val="auto"/>
          <w:sz w:val="24"/>
          <w:szCs w:val="24"/>
          <w:lang w:val="en-US" w:eastAsia="zh-CN"/>
        </w:rPr>
        <w:t>.3</w:t>
      </w:r>
      <w:r>
        <w:rPr>
          <w:rFonts w:hint="eastAsia" w:ascii="宋体" w:hAnsi="宋体" w:eastAsia="宋体" w:cs="宋体"/>
          <w:bCs/>
          <w:i w:val="0"/>
          <w:iCs w:val="0"/>
          <w:color w:val="auto"/>
          <w:sz w:val="24"/>
          <w:szCs w:val="24"/>
          <w:lang w:val="zh-CN"/>
        </w:rPr>
        <w:t>：</w:t>
      </w:r>
      <w:r>
        <w:rPr>
          <w:rFonts w:hint="eastAsia" w:ascii="宋体" w:hAnsi="宋体" w:eastAsia="宋体" w:cs="宋体"/>
          <w:bCs/>
          <w:i w:val="0"/>
          <w:iCs w:val="0"/>
          <w:color w:val="auto"/>
          <w:sz w:val="24"/>
          <w:szCs w:val="24"/>
          <w:lang w:val="en-US" w:eastAsia="zh-CN"/>
        </w:rPr>
        <w:t>服务</w:t>
      </w:r>
      <w:r>
        <w:rPr>
          <w:rFonts w:hint="eastAsia" w:ascii="宋体" w:hAnsi="宋体" w:eastAsia="宋体" w:cs="宋体"/>
          <w:bCs/>
          <w:i w:val="0"/>
          <w:iCs w:val="0"/>
          <w:color w:val="auto"/>
          <w:sz w:val="24"/>
          <w:szCs w:val="24"/>
          <w:lang w:val="zh-CN"/>
        </w:rPr>
        <w:t>响应表</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_Toc10547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33</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005BF598">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_Toc21294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附件</w:t>
      </w:r>
      <w:r>
        <w:rPr>
          <w:rFonts w:hint="eastAsia" w:ascii="宋体" w:hAnsi="宋体" w:eastAsia="宋体" w:cs="宋体"/>
          <w:bCs/>
          <w:i w:val="0"/>
          <w:iCs w:val="0"/>
          <w:color w:val="auto"/>
          <w:sz w:val="24"/>
          <w:szCs w:val="24"/>
          <w:lang w:val="en-US" w:eastAsia="zh-CN"/>
        </w:rPr>
        <w:t>4</w:t>
      </w:r>
      <w:r>
        <w:rPr>
          <w:rFonts w:hint="eastAsia" w:ascii="宋体" w:hAnsi="宋体" w:eastAsia="宋体" w:cs="宋体"/>
          <w:bCs/>
          <w:i w:val="0"/>
          <w:iCs w:val="0"/>
          <w:color w:val="auto"/>
          <w:sz w:val="24"/>
          <w:szCs w:val="24"/>
          <w:lang w:val="zh-CN"/>
        </w:rPr>
        <w:t>：法定代表人证明书</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_Toc21294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35</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76CDAFAE">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_Toc18944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附件</w:t>
      </w:r>
      <w:r>
        <w:rPr>
          <w:rFonts w:hint="eastAsia" w:ascii="宋体" w:hAnsi="宋体" w:eastAsia="宋体" w:cs="宋体"/>
          <w:bCs/>
          <w:i w:val="0"/>
          <w:iCs w:val="0"/>
          <w:color w:val="auto"/>
          <w:sz w:val="24"/>
          <w:szCs w:val="24"/>
          <w:lang w:val="en-US" w:eastAsia="zh-CN"/>
        </w:rPr>
        <w:t>5</w:t>
      </w:r>
      <w:r>
        <w:rPr>
          <w:rFonts w:hint="eastAsia" w:ascii="宋体" w:hAnsi="宋体" w:eastAsia="宋体" w:cs="宋体"/>
          <w:bCs/>
          <w:i w:val="0"/>
          <w:iCs w:val="0"/>
          <w:color w:val="auto"/>
          <w:sz w:val="24"/>
          <w:szCs w:val="24"/>
          <w:lang w:val="zh-CN"/>
        </w:rPr>
        <w:t>：法定代表人授权书</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_Toc18944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36</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65ABDC3E">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_Toc28439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附件</w:t>
      </w:r>
      <w:r>
        <w:rPr>
          <w:rFonts w:hint="eastAsia" w:ascii="宋体" w:hAnsi="宋体" w:eastAsia="宋体" w:cs="宋体"/>
          <w:bCs/>
          <w:i w:val="0"/>
          <w:iCs w:val="0"/>
          <w:color w:val="auto"/>
          <w:sz w:val="24"/>
          <w:szCs w:val="24"/>
          <w:lang w:val="en-US" w:eastAsia="zh-CN"/>
        </w:rPr>
        <w:t>6</w:t>
      </w:r>
      <w:r>
        <w:rPr>
          <w:rFonts w:hint="eastAsia" w:ascii="宋体" w:hAnsi="宋体" w:eastAsia="宋体" w:cs="宋体"/>
          <w:bCs/>
          <w:i w:val="0"/>
          <w:iCs w:val="0"/>
          <w:color w:val="auto"/>
          <w:sz w:val="24"/>
          <w:szCs w:val="24"/>
          <w:lang w:val="zh-CN"/>
        </w:rPr>
        <w:t>：供应商承诺函</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_Toc28439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37</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0AF0BB61">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_Toc10912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附件</w:t>
      </w:r>
      <w:r>
        <w:rPr>
          <w:rFonts w:hint="eastAsia" w:ascii="宋体" w:hAnsi="宋体" w:eastAsia="宋体" w:cs="宋体"/>
          <w:bCs/>
          <w:i w:val="0"/>
          <w:iCs w:val="0"/>
          <w:color w:val="auto"/>
          <w:sz w:val="24"/>
          <w:szCs w:val="24"/>
          <w:lang w:val="en-US" w:eastAsia="zh-CN"/>
        </w:rPr>
        <w:t>7</w:t>
      </w:r>
      <w:r>
        <w:rPr>
          <w:rFonts w:hint="eastAsia" w:ascii="宋体" w:hAnsi="宋体" w:eastAsia="宋体" w:cs="宋体"/>
          <w:bCs/>
          <w:i w:val="0"/>
          <w:iCs w:val="0"/>
          <w:color w:val="auto"/>
          <w:sz w:val="24"/>
          <w:szCs w:val="24"/>
          <w:lang w:val="zh-CN"/>
        </w:rPr>
        <w:t>：供应商诚信承诺书</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_Toc10912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38</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389607E7">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_Toc24905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附件</w:t>
      </w:r>
      <w:r>
        <w:rPr>
          <w:rFonts w:hint="eastAsia" w:ascii="宋体" w:hAnsi="宋体" w:eastAsia="宋体" w:cs="宋体"/>
          <w:bCs/>
          <w:i w:val="0"/>
          <w:iCs w:val="0"/>
          <w:color w:val="auto"/>
          <w:sz w:val="24"/>
          <w:szCs w:val="24"/>
          <w:lang w:val="en-US" w:eastAsia="zh-CN"/>
        </w:rPr>
        <w:t>8</w:t>
      </w:r>
      <w:r>
        <w:rPr>
          <w:rFonts w:hint="eastAsia" w:ascii="宋体" w:hAnsi="宋体" w:eastAsia="宋体" w:cs="宋体"/>
          <w:bCs/>
          <w:i w:val="0"/>
          <w:iCs w:val="0"/>
          <w:color w:val="auto"/>
          <w:sz w:val="24"/>
          <w:szCs w:val="24"/>
          <w:lang w:val="zh-CN"/>
        </w:rPr>
        <w:t>：资格证明材料</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_Toc24905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39</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6715DB5D">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_Toc1139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附件</w:t>
      </w:r>
      <w:r>
        <w:rPr>
          <w:rFonts w:hint="eastAsia" w:ascii="宋体" w:hAnsi="宋体" w:eastAsia="宋体" w:cs="宋体"/>
          <w:bCs/>
          <w:i w:val="0"/>
          <w:iCs w:val="0"/>
          <w:color w:val="auto"/>
          <w:sz w:val="24"/>
          <w:szCs w:val="24"/>
          <w:lang w:val="en-US" w:eastAsia="zh-CN"/>
        </w:rPr>
        <w:t>9</w:t>
      </w:r>
      <w:r>
        <w:rPr>
          <w:rFonts w:hint="eastAsia" w:ascii="宋体" w:hAnsi="宋体" w:eastAsia="宋体" w:cs="宋体"/>
          <w:bCs/>
          <w:i w:val="0"/>
          <w:iCs w:val="0"/>
          <w:color w:val="auto"/>
          <w:sz w:val="24"/>
          <w:szCs w:val="24"/>
          <w:lang w:val="zh-CN"/>
        </w:rPr>
        <w:t>：财务状况证明</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_Toc1139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40</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471BD477">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_Toc31927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附件1</w:t>
      </w:r>
      <w:r>
        <w:rPr>
          <w:rFonts w:hint="eastAsia" w:ascii="宋体" w:hAnsi="宋体" w:eastAsia="宋体" w:cs="宋体"/>
          <w:bCs/>
          <w:i w:val="0"/>
          <w:iCs w:val="0"/>
          <w:color w:val="auto"/>
          <w:sz w:val="24"/>
          <w:szCs w:val="24"/>
          <w:lang w:val="en-US" w:eastAsia="zh-CN"/>
        </w:rPr>
        <w:t>0</w:t>
      </w:r>
      <w:r>
        <w:rPr>
          <w:rFonts w:hint="eastAsia" w:ascii="宋体" w:hAnsi="宋体" w:eastAsia="宋体" w:cs="宋体"/>
          <w:bCs/>
          <w:i w:val="0"/>
          <w:iCs w:val="0"/>
          <w:color w:val="auto"/>
          <w:sz w:val="24"/>
          <w:szCs w:val="24"/>
          <w:lang w:val="zh-CN"/>
        </w:rPr>
        <w:t>：具备履行合同所必须的设备和专业技术能力证明</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_Toc31927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41</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06078597">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_Toc2319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附件1</w:t>
      </w:r>
      <w:r>
        <w:rPr>
          <w:rFonts w:hint="eastAsia" w:ascii="宋体" w:hAnsi="宋体" w:eastAsia="宋体" w:cs="宋体"/>
          <w:bCs/>
          <w:i w:val="0"/>
          <w:iCs w:val="0"/>
          <w:color w:val="auto"/>
          <w:sz w:val="24"/>
          <w:szCs w:val="24"/>
          <w:lang w:val="en-US" w:eastAsia="zh-CN"/>
        </w:rPr>
        <w:t>1</w:t>
      </w:r>
      <w:r>
        <w:rPr>
          <w:rFonts w:hint="eastAsia" w:ascii="宋体" w:hAnsi="宋体" w:eastAsia="宋体" w:cs="宋体"/>
          <w:bCs/>
          <w:i w:val="0"/>
          <w:iCs w:val="0"/>
          <w:color w:val="auto"/>
          <w:sz w:val="24"/>
          <w:szCs w:val="24"/>
          <w:lang w:val="zh-CN"/>
        </w:rPr>
        <w:t>：无重大违法记录声明</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_Toc2319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42</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09681AB5">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_Toc30027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附件1</w:t>
      </w:r>
      <w:r>
        <w:rPr>
          <w:rFonts w:hint="eastAsia" w:ascii="宋体" w:hAnsi="宋体" w:eastAsia="宋体" w:cs="宋体"/>
          <w:bCs/>
          <w:i w:val="0"/>
          <w:iCs w:val="0"/>
          <w:color w:val="auto"/>
          <w:sz w:val="24"/>
          <w:szCs w:val="24"/>
          <w:lang w:val="en-US" w:eastAsia="zh-CN"/>
        </w:rPr>
        <w:t>2</w:t>
      </w:r>
      <w:r>
        <w:rPr>
          <w:rFonts w:hint="eastAsia" w:ascii="宋体" w:hAnsi="宋体" w:eastAsia="宋体" w:cs="宋体"/>
          <w:bCs/>
          <w:i w:val="0"/>
          <w:iCs w:val="0"/>
          <w:color w:val="auto"/>
          <w:sz w:val="24"/>
          <w:szCs w:val="24"/>
          <w:lang w:val="zh-CN"/>
        </w:rPr>
        <w:t>：磋商保证金</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_Toc30027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43</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414B672E">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_Toc27327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附件1</w:t>
      </w:r>
      <w:r>
        <w:rPr>
          <w:rFonts w:hint="eastAsia" w:ascii="宋体" w:hAnsi="宋体" w:eastAsia="宋体" w:cs="宋体"/>
          <w:bCs/>
          <w:i w:val="0"/>
          <w:iCs w:val="0"/>
          <w:color w:val="auto"/>
          <w:sz w:val="24"/>
          <w:szCs w:val="24"/>
          <w:lang w:val="en-US" w:eastAsia="zh-CN"/>
        </w:rPr>
        <w:t>3</w:t>
      </w:r>
      <w:r>
        <w:rPr>
          <w:rFonts w:hint="eastAsia" w:ascii="宋体" w:hAnsi="宋体" w:eastAsia="宋体" w:cs="宋体"/>
          <w:bCs/>
          <w:i w:val="0"/>
          <w:iCs w:val="0"/>
          <w:color w:val="auto"/>
          <w:sz w:val="24"/>
          <w:szCs w:val="24"/>
          <w:lang w:val="zh-CN"/>
        </w:rPr>
        <w:t>：</w:t>
      </w:r>
      <w:r>
        <w:rPr>
          <w:rFonts w:hint="eastAsia" w:ascii="宋体" w:hAnsi="宋体" w:eastAsia="宋体" w:cs="宋体"/>
          <w:bCs/>
          <w:i w:val="0"/>
          <w:iCs w:val="0"/>
          <w:color w:val="auto"/>
          <w:sz w:val="24"/>
          <w:szCs w:val="24"/>
          <w:lang w:val="en-US" w:eastAsia="zh-CN"/>
        </w:rPr>
        <w:t>中小企业声明函</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_Toc27327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44</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6759E6B1">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_Toc21020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en-US" w:eastAsia="zh-CN"/>
        </w:rPr>
        <w:t>附件14：</w:t>
      </w:r>
      <w:r>
        <w:rPr>
          <w:rFonts w:hint="eastAsia" w:ascii="宋体" w:hAnsi="宋体" w:eastAsia="宋体" w:cs="宋体"/>
          <w:bCs/>
          <w:i w:val="0"/>
          <w:iCs w:val="0"/>
          <w:color w:val="auto"/>
          <w:sz w:val="24"/>
          <w:szCs w:val="24"/>
          <w:lang w:val="zh-CN" w:eastAsia="zh-CN"/>
        </w:rPr>
        <w:t>残疾人</w:t>
      </w:r>
      <w:r>
        <w:rPr>
          <w:rFonts w:hint="eastAsia" w:ascii="宋体" w:hAnsi="宋体" w:eastAsia="宋体" w:cs="宋体"/>
          <w:bCs/>
          <w:i w:val="0"/>
          <w:iCs w:val="0"/>
          <w:color w:val="auto"/>
          <w:sz w:val="24"/>
          <w:szCs w:val="24"/>
          <w:lang w:val="en-US" w:eastAsia="zh-CN"/>
        </w:rPr>
        <w:t>福利性单位声明函</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_Toc21020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47</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2B577AE0">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i w:val="0"/>
          <w:iCs w:val="0"/>
          <w:color w:val="auto"/>
          <w:sz w:val="24"/>
          <w:szCs w:val="24"/>
          <w:lang w:val="zh-CN"/>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_Toc8780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en-US" w:eastAsia="zh-CN"/>
        </w:rPr>
        <w:t>附件15：监狱企业证明材料</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_Toc8780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48</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681C68C8">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_Toc18073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附件1</w:t>
      </w:r>
      <w:r>
        <w:rPr>
          <w:rFonts w:hint="eastAsia" w:ascii="宋体" w:hAnsi="宋体" w:eastAsia="宋体" w:cs="宋体"/>
          <w:bCs/>
          <w:i w:val="0"/>
          <w:iCs w:val="0"/>
          <w:color w:val="auto"/>
          <w:sz w:val="24"/>
          <w:szCs w:val="24"/>
          <w:lang w:val="en-US" w:eastAsia="zh-CN"/>
        </w:rPr>
        <w:t>6</w:t>
      </w:r>
      <w:r>
        <w:rPr>
          <w:rFonts w:hint="eastAsia" w:ascii="宋体" w:hAnsi="宋体" w:eastAsia="宋体" w:cs="宋体"/>
          <w:bCs/>
          <w:i w:val="0"/>
          <w:iCs w:val="0"/>
          <w:color w:val="auto"/>
          <w:sz w:val="24"/>
          <w:szCs w:val="24"/>
          <w:lang w:val="zh-CN"/>
        </w:rPr>
        <w:t>：供应商最后报价表</w:t>
      </w:r>
      <w:r>
        <w:rPr>
          <w:rFonts w:hint="eastAsia" w:ascii="宋体" w:hAnsi="宋体" w:eastAsia="宋体" w:cs="宋体"/>
          <w:bCs/>
          <w:i w:val="0"/>
          <w:iCs w:val="0"/>
          <w:color w:val="auto"/>
          <w:sz w:val="24"/>
          <w:szCs w:val="24"/>
          <w:lang w:val="zh-CN"/>
        </w:rPr>
        <w:tab/>
      </w: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PAGEREF _Toc18073 \h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bCs/>
          <w:i w:val="0"/>
          <w:iCs w:val="0"/>
          <w:color w:val="auto"/>
          <w:sz w:val="24"/>
          <w:szCs w:val="24"/>
          <w:lang w:val="zh-CN"/>
        </w:rPr>
        <w:t>49</w:t>
      </w:r>
      <w:r>
        <w:rPr>
          <w:rFonts w:hint="eastAsia" w:ascii="宋体" w:hAnsi="宋体" w:eastAsia="宋体" w:cs="宋体"/>
          <w:bCs/>
          <w:i w:val="0"/>
          <w:iCs w:val="0"/>
          <w:color w:val="auto"/>
          <w:sz w:val="24"/>
          <w:szCs w:val="24"/>
          <w:lang w:val="zh-CN"/>
        </w:rPr>
        <w:fldChar w:fldCharType="end"/>
      </w:r>
      <w:r>
        <w:rPr>
          <w:rFonts w:hint="eastAsia" w:ascii="宋体" w:hAnsi="宋体" w:eastAsia="宋体" w:cs="宋体"/>
          <w:bCs/>
          <w:i w:val="0"/>
          <w:iCs w:val="0"/>
          <w:color w:val="auto"/>
          <w:sz w:val="24"/>
          <w:szCs w:val="24"/>
          <w:lang w:val="zh-CN"/>
        </w:rPr>
        <w:fldChar w:fldCharType="end"/>
      </w:r>
    </w:p>
    <w:p w14:paraId="10D4B124">
      <w:pPr>
        <w:pStyle w:val="17"/>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_Toc25610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i w:val="0"/>
          <w:iCs w:val="0"/>
          <w:color w:val="auto"/>
          <w:kern w:val="28"/>
          <w:sz w:val="24"/>
          <w:szCs w:val="24"/>
        </w:rPr>
        <w:t xml:space="preserve">第六部分  </w:t>
      </w:r>
      <w:r>
        <w:rPr>
          <w:rFonts w:hint="eastAsia" w:ascii="宋体" w:hAnsi="宋体" w:eastAsia="宋体" w:cs="宋体"/>
          <w:i w:val="0"/>
          <w:iCs w:val="0"/>
          <w:color w:val="auto"/>
          <w:kern w:val="28"/>
          <w:sz w:val="24"/>
          <w:szCs w:val="24"/>
          <w:lang w:eastAsia="zh-CN"/>
        </w:rPr>
        <w:t>采购项目要求</w:t>
      </w:r>
      <w:r>
        <w:rPr>
          <w:rFonts w:hint="eastAsia" w:ascii="宋体" w:hAnsi="宋体" w:eastAsia="宋体" w:cs="宋体"/>
          <w:i w:val="0"/>
          <w:iCs w:val="0"/>
          <w:color w:val="auto"/>
          <w:sz w:val="24"/>
          <w:szCs w:val="24"/>
        </w:rPr>
        <w:tab/>
      </w:r>
      <w:r>
        <w:rPr>
          <w:rFonts w:hint="eastAsia" w:ascii="宋体" w:hAnsi="宋体" w:eastAsia="宋体" w:cs="宋体"/>
          <w:i w:val="0"/>
          <w:iCs w:val="0"/>
          <w:color w:val="auto"/>
          <w:sz w:val="24"/>
          <w:szCs w:val="24"/>
        </w:rPr>
        <w:fldChar w:fldCharType="begin"/>
      </w:r>
      <w:r>
        <w:rPr>
          <w:rFonts w:hint="eastAsia" w:ascii="宋体" w:hAnsi="宋体" w:eastAsia="宋体" w:cs="宋体"/>
          <w:i w:val="0"/>
          <w:iCs w:val="0"/>
          <w:color w:val="auto"/>
          <w:sz w:val="24"/>
          <w:szCs w:val="24"/>
        </w:rPr>
        <w:instrText xml:space="preserve"> PAGEREF _Toc25610 \h </w:instrText>
      </w:r>
      <w:r>
        <w:rPr>
          <w:rFonts w:hint="eastAsia" w:ascii="宋体" w:hAnsi="宋体" w:eastAsia="宋体" w:cs="宋体"/>
          <w:i w:val="0"/>
          <w:iCs w:val="0"/>
          <w:color w:val="auto"/>
          <w:sz w:val="24"/>
          <w:szCs w:val="24"/>
        </w:rPr>
        <w:fldChar w:fldCharType="separate"/>
      </w:r>
      <w:r>
        <w:rPr>
          <w:rFonts w:hint="eastAsia" w:ascii="宋体" w:hAnsi="宋体" w:eastAsia="宋体" w:cs="宋体"/>
          <w:i w:val="0"/>
          <w:iCs w:val="0"/>
          <w:color w:val="auto"/>
          <w:sz w:val="24"/>
          <w:szCs w:val="24"/>
        </w:rPr>
        <w:t>50</w:t>
      </w:r>
      <w:r>
        <w:rPr>
          <w:rFonts w:hint="eastAsia" w:ascii="宋体" w:hAnsi="宋体" w:eastAsia="宋体" w:cs="宋体"/>
          <w:i w:val="0"/>
          <w:iCs w:val="0"/>
          <w:color w:val="auto"/>
          <w:sz w:val="24"/>
          <w:szCs w:val="24"/>
        </w:rPr>
        <w:fldChar w:fldCharType="end"/>
      </w:r>
      <w:r>
        <w:rPr>
          <w:rFonts w:hint="eastAsia" w:ascii="宋体" w:hAnsi="宋体" w:eastAsia="宋体" w:cs="宋体"/>
          <w:bCs/>
          <w:i w:val="0"/>
          <w:iCs w:val="0"/>
          <w:color w:val="auto"/>
          <w:sz w:val="24"/>
          <w:szCs w:val="24"/>
          <w:lang w:val="zh-CN"/>
        </w:rPr>
        <w:fldChar w:fldCharType="end"/>
      </w:r>
    </w:p>
    <w:p w14:paraId="3F68903C">
      <w:pPr>
        <w:pStyle w:val="17"/>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i w:val="0"/>
          <w:iCs w:val="0"/>
          <w:color w:val="auto"/>
          <w:sz w:val="24"/>
          <w:szCs w:val="24"/>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_Toc20959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i w:val="0"/>
          <w:iCs w:val="0"/>
          <w:color w:val="auto"/>
          <w:sz w:val="24"/>
          <w:szCs w:val="24"/>
          <w:lang w:val="zh-CN"/>
        </w:rPr>
        <w:t>1.投标说明</w:t>
      </w:r>
      <w:r>
        <w:rPr>
          <w:rFonts w:hint="eastAsia" w:ascii="宋体" w:hAnsi="宋体" w:eastAsia="宋体" w:cs="宋体"/>
          <w:i w:val="0"/>
          <w:iCs w:val="0"/>
          <w:color w:val="auto"/>
          <w:sz w:val="24"/>
          <w:szCs w:val="24"/>
        </w:rPr>
        <w:tab/>
      </w:r>
      <w:r>
        <w:rPr>
          <w:rFonts w:hint="eastAsia" w:ascii="宋体" w:hAnsi="宋体" w:eastAsia="宋体" w:cs="宋体"/>
          <w:i w:val="0"/>
          <w:iCs w:val="0"/>
          <w:color w:val="auto"/>
          <w:sz w:val="24"/>
          <w:szCs w:val="24"/>
        </w:rPr>
        <w:fldChar w:fldCharType="begin"/>
      </w:r>
      <w:r>
        <w:rPr>
          <w:rFonts w:hint="eastAsia" w:ascii="宋体" w:hAnsi="宋体" w:eastAsia="宋体" w:cs="宋体"/>
          <w:i w:val="0"/>
          <w:iCs w:val="0"/>
          <w:color w:val="auto"/>
          <w:sz w:val="24"/>
          <w:szCs w:val="24"/>
        </w:rPr>
        <w:instrText xml:space="preserve"> PAGEREF _Toc20959 \h </w:instrText>
      </w:r>
      <w:r>
        <w:rPr>
          <w:rFonts w:hint="eastAsia" w:ascii="宋体" w:hAnsi="宋体" w:eastAsia="宋体" w:cs="宋体"/>
          <w:i w:val="0"/>
          <w:iCs w:val="0"/>
          <w:color w:val="auto"/>
          <w:sz w:val="24"/>
          <w:szCs w:val="24"/>
        </w:rPr>
        <w:fldChar w:fldCharType="separate"/>
      </w:r>
      <w:r>
        <w:rPr>
          <w:rFonts w:hint="eastAsia" w:ascii="宋体" w:hAnsi="宋体" w:eastAsia="宋体" w:cs="宋体"/>
          <w:i w:val="0"/>
          <w:iCs w:val="0"/>
          <w:color w:val="auto"/>
          <w:sz w:val="24"/>
          <w:szCs w:val="24"/>
        </w:rPr>
        <w:t>50</w:t>
      </w:r>
      <w:r>
        <w:rPr>
          <w:rFonts w:hint="eastAsia" w:ascii="宋体" w:hAnsi="宋体" w:eastAsia="宋体" w:cs="宋体"/>
          <w:i w:val="0"/>
          <w:iCs w:val="0"/>
          <w:color w:val="auto"/>
          <w:sz w:val="24"/>
          <w:szCs w:val="24"/>
        </w:rPr>
        <w:fldChar w:fldCharType="end"/>
      </w:r>
      <w:r>
        <w:rPr>
          <w:rFonts w:hint="eastAsia" w:ascii="宋体" w:hAnsi="宋体" w:eastAsia="宋体" w:cs="宋体"/>
          <w:bCs/>
          <w:i w:val="0"/>
          <w:iCs w:val="0"/>
          <w:color w:val="auto"/>
          <w:sz w:val="24"/>
          <w:szCs w:val="24"/>
          <w:lang w:val="zh-CN"/>
        </w:rPr>
        <w:fldChar w:fldCharType="end"/>
      </w:r>
    </w:p>
    <w:p w14:paraId="2ACDAC82">
      <w:pPr>
        <w:pStyle w:val="17"/>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color w:val="auto"/>
        </w:rPr>
      </w:pPr>
      <w:r>
        <w:rPr>
          <w:rFonts w:hint="eastAsia" w:ascii="宋体" w:hAnsi="宋体" w:eastAsia="宋体" w:cs="宋体"/>
          <w:bCs/>
          <w:i w:val="0"/>
          <w:iCs w:val="0"/>
          <w:color w:val="auto"/>
          <w:sz w:val="24"/>
          <w:szCs w:val="24"/>
          <w:lang w:val="zh-CN"/>
        </w:rPr>
        <w:fldChar w:fldCharType="begin"/>
      </w:r>
      <w:r>
        <w:rPr>
          <w:rFonts w:hint="eastAsia" w:ascii="宋体" w:hAnsi="宋体" w:eastAsia="宋体" w:cs="宋体"/>
          <w:bCs/>
          <w:i w:val="0"/>
          <w:iCs w:val="0"/>
          <w:color w:val="auto"/>
          <w:sz w:val="24"/>
          <w:szCs w:val="24"/>
          <w:lang w:val="zh-CN"/>
        </w:rPr>
        <w:instrText xml:space="preserve"> HYPERLINK \l _Toc18003 </w:instrText>
      </w:r>
      <w:r>
        <w:rPr>
          <w:rFonts w:hint="eastAsia" w:ascii="宋体" w:hAnsi="宋体" w:eastAsia="宋体" w:cs="宋体"/>
          <w:bCs/>
          <w:i w:val="0"/>
          <w:iCs w:val="0"/>
          <w:color w:val="auto"/>
          <w:sz w:val="24"/>
          <w:szCs w:val="24"/>
          <w:lang w:val="zh-CN"/>
        </w:rPr>
        <w:fldChar w:fldCharType="separate"/>
      </w:r>
      <w:r>
        <w:rPr>
          <w:rFonts w:hint="eastAsia" w:ascii="宋体" w:hAnsi="宋体" w:eastAsia="宋体" w:cs="宋体"/>
          <w:i w:val="0"/>
          <w:iCs w:val="0"/>
          <w:color w:val="auto"/>
          <w:sz w:val="24"/>
          <w:szCs w:val="24"/>
        </w:rPr>
        <w:t>2.报价说明</w:t>
      </w:r>
      <w:r>
        <w:rPr>
          <w:rFonts w:hint="eastAsia" w:ascii="宋体" w:hAnsi="宋体" w:eastAsia="宋体" w:cs="宋体"/>
          <w:i w:val="0"/>
          <w:iCs w:val="0"/>
          <w:color w:val="auto"/>
          <w:sz w:val="24"/>
          <w:szCs w:val="24"/>
        </w:rPr>
        <w:tab/>
      </w:r>
      <w:r>
        <w:rPr>
          <w:rFonts w:hint="eastAsia" w:ascii="宋体" w:hAnsi="宋体" w:eastAsia="宋体" w:cs="宋体"/>
          <w:i w:val="0"/>
          <w:iCs w:val="0"/>
          <w:color w:val="auto"/>
          <w:sz w:val="24"/>
          <w:szCs w:val="24"/>
        </w:rPr>
        <w:fldChar w:fldCharType="begin"/>
      </w:r>
      <w:r>
        <w:rPr>
          <w:rFonts w:hint="eastAsia" w:ascii="宋体" w:hAnsi="宋体" w:eastAsia="宋体" w:cs="宋体"/>
          <w:i w:val="0"/>
          <w:iCs w:val="0"/>
          <w:color w:val="auto"/>
          <w:sz w:val="24"/>
          <w:szCs w:val="24"/>
        </w:rPr>
        <w:instrText xml:space="preserve"> PAGEREF _Toc18003 \h </w:instrText>
      </w:r>
      <w:r>
        <w:rPr>
          <w:rFonts w:hint="eastAsia" w:ascii="宋体" w:hAnsi="宋体" w:eastAsia="宋体" w:cs="宋体"/>
          <w:i w:val="0"/>
          <w:iCs w:val="0"/>
          <w:color w:val="auto"/>
          <w:sz w:val="24"/>
          <w:szCs w:val="24"/>
        </w:rPr>
        <w:fldChar w:fldCharType="separate"/>
      </w:r>
      <w:r>
        <w:rPr>
          <w:rFonts w:hint="eastAsia" w:ascii="宋体" w:hAnsi="宋体" w:eastAsia="宋体" w:cs="宋体"/>
          <w:i w:val="0"/>
          <w:iCs w:val="0"/>
          <w:color w:val="auto"/>
          <w:sz w:val="24"/>
          <w:szCs w:val="24"/>
        </w:rPr>
        <w:t>50</w:t>
      </w:r>
      <w:r>
        <w:rPr>
          <w:rFonts w:hint="eastAsia" w:ascii="宋体" w:hAnsi="宋体" w:eastAsia="宋体" w:cs="宋体"/>
          <w:i w:val="0"/>
          <w:iCs w:val="0"/>
          <w:color w:val="auto"/>
          <w:sz w:val="24"/>
          <w:szCs w:val="24"/>
        </w:rPr>
        <w:fldChar w:fldCharType="end"/>
      </w:r>
      <w:r>
        <w:rPr>
          <w:rFonts w:hint="eastAsia" w:ascii="宋体" w:hAnsi="宋体" w:eastAsia="宋体" w:cs="宋体"/>
          <w:bCs/>
          <w:i w:val="0"/>
          <w:iCs w:val="0"/>
          <w:color w:val="auto"/>
          <w:sz w:val="24"/>
          <w:szCs w:val="24"/>
          <w:lang w:val="zh-CN"/>
        </w:rPr>
        <w:fldChar w:fldCharType="end"/>
      </w:r>
    </w:p>
    <w:p w14:paraId="30FACDAE">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Cs/>
          <w:color w:val="auto"/>
          <w:szCs w:val="24"/>
          <w:lang w:val="zh-CN"/>
        </w:rPr>
      </w:pPr>
      <w:r>
        <w:rPr>
          <w:rFonts w:hint="eastAsia" w:ascii="宋体" w:hAnsi="宋体" w:eastAsia="宋体" w:cs="宋体"/>
          <w:bCs/>
          <w:i w:val="0"/>
          <w:iCs w:val="0"/>
          <w:color w:val="auto"/>
          <w:szCs w:val="24"/>
          <w:lang w:val="zh-CN"/>
        </w:rPr>
        <w:fldChar w:fldCharType="end"/>
      </w:r>
      <w:r>
        <w:rPr>
          <w:rFonts w:hint="eastAsia" w:ascii="宋体" w:hAnsi="宋体" w:eastAsia="宋体" w:cs="宋体"/>
          <w:bCs/>
          <w:color w:val="auto"/>
          <w:szCs w:val="24"/>
          <w:lang w:val="zh-CN"/>
        </w:rPr>
        <w:br w:type="page"/>
      </w:r>
      <w:bookmarkStart w:id="239" w:name="_GoBack"/>
      <w:bookmarkEnd w:id="239"/>
    </w:p>
    <w:p w14:paraId="3F25F3FA">
      <w:pPr>
        <w:pStyle w:val="22"/>
        <w:spacing w:before="0" w:after="0" w:line="360" w:lineRule="auto"/>
        <w:ind w:firstLine="0" w:firstLineChars="0"/>
        <w:rPr>
          <w:rFonts w:hint="eastAsia" w:ascii="宋体" w:hAnsi="宋体" w:eastAsia="宋体" w:cs="宋体"/>
          <w:color w:val="auto"/>
          <w:szCs w:val="36"/>
        </w:rPr>
      </w:pPr>
      <w:bookmarkStart w:id="0" w:name="_Toc10494"/>
      <w:bookmarkStart w:id="1" w:name="_Toc26347"/>
      <w:r>
        <w:rPr>
          <w:rFonts w:hint="eastAsia" w:ascii="宋体" w:hAnsi="宋体" w:eastAsia="宋体" w:cs="宋体"/>
          <w:color w:val="auto"/>
          <w:szCs w:val="36"/>
          <w:lang w:val="zh-CN"/>
        </w:rPr>
        <w:t>第一部分</w:t>
      </w:r>
      <w:r>
        <w:rPr>
          <w:rFonts w:hint="eastAsia" w:ascii="宋体" w:hAnsi="宋体" w:eastAsia="宋体" w:cs="宋体"/>
          <w:color w:val="auto"/>
          <w:szCs w:val="36"/>
          <w:lang w:val="en-US" w:eastAsia="zh-CN"/>
        </w:rPr>
        <w:t xml:space="preserve">  </w:t>
      </w:r>
      <w:r>
        <w:rPr>
          <w:rFonts w:hint="eastAsia" w:ascii="宋体" w:hAnsi="宋体" w:eastAsia="宋体" w:cs="宋体"/>
          <w:color w:val="auto"/>
          <w:szCs w:val="36"/>
          <w:lang w:val="zh-CN"/>
        </w:rPr>
        <w:t>投标邀请</w:t>
      </w:r>
      <w:bookmarkEnd w:id="0"/>
      <w:bookmarkEnd w:id="1"/>
    </w:p>
    <w:p w14:paraId="64686141">
      <w:pPr>
        <w:pStyle w:val="37"/>
        <w:keepNext w:val="0"/>
        <w:keepLines w:val="0"/>
        <w:pageBreakBefore w:val="0"/>
        <w:widowControl w:val="0"/>
        <w:kinsoku/>
        <w:wordWrap/>
        <w:overflowPunct/>
        <w:topLinePunct w:val="0"/>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青海鼎钊招标代理有限公司（以下均简称“采购代理机构”）受青海省农业农村厅（以下均简称“采购人”）委托</w:t>
      </w:r>
      <w:r>
        <w:rPr>
          <w:rFonts w:hint="eastAsia" w:ascii="宋体" w:hAnsi="宋体" w:eastAsia="宋体" w:cs="宋体"/>
          <w:color w:val="auto"/>
          <w:sz w:val="24"/>
          <w:szCs w:val="24"/>
        </w:rPr>
        <w:t>，拟对“</w:t>
      </w:r>
      <w:r>
        <w:rPr>
          <w:rFonts w:hint="eastAsia" w:ascii="宋体" w:hAnsi="宋体" w:eastAsia="宋体" w:cs="宋体"/>
          <w:color w:val="auto"/>
          <w:sz w:val="24"/>
          <w:szCs w:val="24"/>
          <w:lang w:val="zh-CN"/>
        </w:rPr>
        <w:t>农产品质量安全监管项目（第二次）</w:t>
      </w:r>
      <w:r>
        <w:rPr>
          <w:rFonts w:hint="eastAsia" w:ascii="宋体" w:hAnsi="宋体" w:eastAsia="宋体" w:cs="宋体"/>
          <w:color w:val="auto"/>
          <w:sz w:val="24"/>
          <w:szCs w:val="24"/>
        </w:rPr>
        <w:t>”进行国内</w:t>
      </w:r>
      <w:r>
        <w:rPr>
          <w:rFonts w:hint="eastAsia" w:ascii="宋体" w:hAnsi="宋体" w:eastAsia="宋体" w:cs="宋体"/>
          <w:color w:val="auto"/>
          <w:sz w:val="24"/>
          <w:szCs w:val="24"/>
          <w:lang w:val="zh-CN"/>
        </w:rPr>
        <w:t>竞争性磋商采购</w:t>
      </w:r>
      <w:r>
        <w:rPr>
          <w:rFonts w:hint="eastAsia" w:ascii="宋体" w:hAnsi="宋体" w:eastAsia="宋体" w:cs="宋体"/>
          <w:color w:val="auto"/>
          <w:sz w:val="24"/>
          <w:szCs w:val="24"/>
        </w:rPr>
        <w:t>，现予以公告，欢迎符合条件的供应商前来参加投标</w:t>
      </w:r>
      <w:r>
        <w:rPr>
          <w:rFonts w:hint="eastAsia" w:ascii="宋体" w:hAnsi="宋体" w:eastAsia="宋体" w:cs="宋体"/>
          <w:color w:val="auto"/>
          <w:sz w:val="24"/>
          <w:szCs w:val="24"/>
          <w:lang w:val="zh-CN"/>
        </w:rPr>
        <w:t>。</w:t>
      </w:r>
    </w:p>
    <w:tbl>
      <w:tblPr>
        <w:tblStyle w:val="24"/>
        <w:tblW w:w="102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2568"/>
        <w:gridCol w:w="7637"/>
      </w:tblGrid>
      <w:tr w14:paraId="1E493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1F336622">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采购项目编号</w:t>
            </w:r>
          </w:p>
        </w:tc>
        <w:tc>
          <w:tcPr>
            <w:tcW w:w="7637" w:type="dxa"/>
            <w:tcBorders>
              <w:top w:val="single" w:color="000000" w:sz="4" w:space="0"/>
              <w:left w:val="single" w:color="000000" w:sz="4" w:space="0"/>
              <w:bottom w:val="single" w:color="000000" w:sz="4" w:space="0"/>
              <w:right w:val="single" w:color="000000" w:sz="4" w:space="0"/>
            </w:tcBorders>
            <w:vAlign w:val="center"/>
          </w:tcPr>
          <w:p w14:paraId="2C197EBB">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青海鼎钊竞磋（服务）2026-028</w:t>
            </w:r>
          </w:p>
        </w:tc>
      </w:tr>
      <w:tr w14:paraId="39CBC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519050D5">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采购项目名称</w:t>
            </w:r>
          </w:p>
        </w:tc>
        <w:tc>
          <w:tcPr>
            <w:tcW w:w="7637" w:type="dxa"/>
            <w:tcBorders>
              <w:top w:val="single" w:color="000000" w:sz="4" w:space="0"/>
              <w:left w:val="single" w:color="000000" w:sz="4" w:space="0"/>
              <w:bottom w:val="single" w:color="000000" w:sz="4" w:space="0"/>
              <w:right w:val="single" w:color="000000" w:sz="4" w:space="0"/>
            </w:tcBorders>
            <w:vAlign w:val="center"/>
          </w:tcPr>
          <w:p w14:paraId="1A1389D5">
            <w:pPr>
              <w:pStyle w:val="37"/>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农产品质量安全监管项目（第二次）</w:t>
            </w:r>
          </w:p>
        </w:tc>
      </w:tr>
      <w:tr w14:paraId="40713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6C1DC2F6">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采购方式</w:t>
            </w:r>
          </w:p>
        </w:tc>
        <w:tc>
          <w:tcPr>
            <w:tcW w:w="7637" w:type="dxa"/>
            <w:tcBorders>
              <w:top w:val="single" w:color="000000" w:sz="4" w:space="0"/>
              <w:left w:val="single" w:color="000000" w:sz="4" w:space="0"/>
              <w:bottom w:val="single" w:color="000000" w:sz="4" w:space="0"/>
              <w:right w:val="single" w:color="000000" w:sz="4" w:space="0"/>
            </w:tcBorders>
            <w:vAlign w:val="center"/>
          </w:tcPr>
          <w:p w14:paraId="4A5DAC21">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竞争性磋商</w:t>
            </w:r>
          </w:p>
        </w:tc>
      </w:tr>
      <w:tr w14:paraId="0F345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15EC193E">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采购预算额度</w:t>
            </w:r>
          </w:p>
        </w:tc>
        <w:tc>
          <w:tcPr>
            <w:tcW w:w="7637" w:type="dxa"/>
            <w:tcBorders>
              <w:top w:val="single" w:color="000000" w:sz="4" w:space="0"/>
              <w:left w:val="single" w:color="000000" w:sz="4" w:space="0"/>
              <w:bottom w:val="single" w:color="000000" w:sz="4" w:space="0"/>
              <w:right w:val="single" w:color="000000" w:sz="4" w:space="0"/>
            </w:tcBorders>
            <w:vAlign w:val="center"/>
          </w:tcPr>
          <w:p w14:paraId="2BE49FC2">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lang w:val="en-US" w:eastAsia="zh-CN"/>
              </w:rPr>
              <w:t>包2：40万元。</w:t>
            </w:r>
          </w:p>
        </w:tc>
      </w:tr>
      <w:tr w14:paraId="709A9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785051FE">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项目分包个数</w:t>
            </w:r>
          </w:p>
        </w:tc>
        <w:tc>
          <w:tcPr>
            <w:tcW w:w="7637" w:type="dxa"/>
            <w:tcBorders>
              <w:top w:val="single" w:color="000000" w:sz="4" w:space="0"/>
              <w:left w:val="single" w:color="000000" w:sz="4" w:space="0"/>
              <w:bottom w:val="single" w:color="000000" w:sz="4" w:space="0"/>
              <w:right w:val="single" w:color="000000" w:sz="4" w:space="0"/>
            </w:tcBorders>
            <w:vAlign w:val="center"/>
          </w:tcPr>
          <w:p w14:paraId="4557DF6D">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1个</w:t>
            </w:r>
          </w:p>
        </w:tc>
      </w:tr>
      <w:tr w14:paraId="4E304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0"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2F0CA7AB">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各包要求</w:t>
            </w:r>
          </w:p>
        </w:tc>
        <w:tc>
          <w:tcPr>
            <w:tcW w:w="7637" w:type="dxa"/>
            <w:tcBorders>
              <w:top w:val="single" w:color="000000" w:sz="4" w:space="0"/>
              <w:left w:val="single" w:color="000000" w:sz="4" w:space="0"/>
              <w:bottom w:val="single" w:color="000000" w:sz="4" w:space="0"/>
              <w:right w:val="single" w:color="000000" w:sz="4" w:space="0"/>
            </w:tcBorders>
            <w:vAlign w:val="center"/>
          </w:tcPr>
          <w:p w14:paraId="0A7C96D4">
            <w:pPr>
              <w:pStyle w:val="37"/>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磋商内容：</w:t>
            </w:r>
            <w:r>
              <w:rPr>
                <w:rFonts w:hint="eastAsia" w:ascii="宋体" w:hAnsi="宋体" w:eastAsia="宋体" w:cs="宋体"/>
                <w:color w:val="auto"/>
                <w:sz w:val="24"/>
                <w:szCs w:val="24"/>
                <w:lang w:val="en-US" w:eastAsia="zh-CN"/>
              </w:rPr>
              <w:t>包2：饲草样品营养成分分析；具体内容</w:t>
            </w:r>
            <w:r>
              <w:rPr>
                <w:rFonts w:hint="eastAsia" w:ascii="宋体" w:hAnsi="宋体" w:eastAsia="宋体" w:cs="宋体"/>
                <w:color w:val="auto"/>
                <w:sz w:val="24"/>
                <w:szCs w:val="24"/>
                <w:lang w:val="zh-CN"/>
              </w:rPr>
              <w:t>详见《磋商文件》。</w:t>
            </w:r>
          </w:p>
        </w:tc>
      </w:tr>
      <w:tr w14:paraId="74CA7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0DB5CBC8">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各包供应商资格条件</w:t>
            </w:r>
          </w:p>
        </w:tc>
        <w:tc>
          <w:tcPr>
            <w:tcW w:w="7637" w:type="dxa"/>
            <w:tcBorders>
              <w:top w:val="single" w:color="000000" w:sz="4" w:space="0"/>
              <w:left w:val="single" w:color="000000" w:sz="4" w:space="0"/>
              <w:bottom w:val="single" w:color="000000" w:sz="4" w:space="0"/>
              <w:right w:val="single" w:color="000000" w:sz="4" w:space="0"/>
            </w:tcBorders>
            <w:vAlign w:val="center"/>
          </w:tcPr>
          <w:p w14:paraId="313D5491">
            <w:pPr>
              <w:pStyle w:val="37"/>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rPr>
              <w:t>符合《政府采购法》第22条条件，并提供下列材料：</w:t>
            </w:r>
          </w:p>
          <w:p w14:paraId="1FB45D61">
            <w:pPr>
              <w:pStyle w:val="37"/>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供应商</w:t>
            </w:r>
            <w:r>
              <w:rPr>
                <w:rFonts w:hint="eastAsia" w:ascii="宋体" w:hAnsi="宋体" w:eastAsia="宋体" w:cs="宋体"/>
                <w:color w:val="auto"/>
                <w:sz w:val="24"/>
                <w:szCs w:val="24"/>
                <w:lang w:val="zh-CN"/>
              </w:rPr>
              <w:t>的营业执照等证明文件，自然人的身份证明。</w:t>
            </w:r>
          </w:p>
          <w:p w14:paraId="4F97F7C4">
            <w:pPr>
              <w:pStyle w:val="37"/>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）财务状况报告，依法缴纳税收和社会保障资金的相关材料。</w:t>
            </w:r>
          </w:p>
          <w:p w14:paraId="7EE3C8FC">
            <w:pPr>
              <w:pStyle w:val="37"/>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）具备履行合同所必需的设备和专业技术能力的证明材料。</w:t>
            </w:r>
          </w:p>
          <w:p w14:paraId="53F04AC8">
            <w:pPr>
              <w:pStyle w:val="37"/>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）参加政府采购活动前3年内在经营活动中没有重大违法记录的书面声明。</w:t>
            </w:r>
          </w:p>
          <w:p w14:paraId="1D1540C0">
            <w:pPr>
              <w:pStyle w:val="37"/>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）具备法律、行政法规规定的其他条件的证明材料。</w:t>
            </w:r>
          </w:p>
          <w:p w14:paraId="1895E6B8">
            <w:pPr>
              <w:pStyle w:val="37"/>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lang w:val="zh-CN"/>
              </w:rPr>
            </w:pPr>
            <w:r>
              <w:rPr>
                <w:rFonts w:hint="eastAsia" w:ascii="宋体" w:hAnsi="宋体" w:eastAsia="宋体" w:cs="宋体"/>
                <w:color w:val="auto"/>
                <w:sz w:val="24"/>
              </w:rPr>
              <w:t>2.</w:t>
            </w:r>
            <w:r>
              <w:rPr>
                <w:rFonts w:hint="eastAsia" w:ascii="宋体" w:hAnsi="宋体" w:eastAsia="宋体" w:cs="宋体"/>
                <w:color w:val="auto"/>
                <w:sz w:val="24"/>
                <w:lang w:val="zh-CN"/>
              </w:rPr>
              <w:t>落实政府采购政策需满足的资格要求：本项目为专门面向中小企业采购，采购标的所属行业为</w:t>
            </w:r>
            <w:r>
              <w:rPr>
                <w:rFonts w:hint="eastAsia" w:ascii="宋体" w:hAnsi="宋体" w:eastAsia="宋体" w:cs="宋体"/>
                <w:b/>
                <w:bCs/>
                <w:color w:val="auto"/>
                <w:sz w:val="24"/>
                <w:lang w:val="zh-CN"/>
              </w:rPr>
              <w:t>其他未列明行业</w:t>
            </w:r>
            <w:r>
              <w:rPr>
                <w:rFonts w:hint="eastAsia" w:ascii="宋体" w:hAnsi="宋体" w:eastAsia="宋体" w:cs="宋体"/>
                <w:color w:val="auto"/>
                <w:sz w:val="24"/>
                <w:lang w:val="zh-CN"/>
              </w:rPr>
              <w:t>，供应商须提供《中小企业声明函》或《残疾人福利性单位声明函》或《监狱企业证明材料》；</w:t>
            </w:r>
          </w:p>
          <w:p w14:paraId="621A8A1D">
            <w:pPr>
              <w:pStyle w:val="37"/>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经信用中国（www.creditchina.gov.cn）、中国政府采购网（www.ccgp.gov.cn）等渠道查询后，列入失信被执行人、重大税收违法失信主体名单、政府采购严重违法失信行为记录名单的，取消投标资格；</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以评审现场查询结果为准并打印留存</w:t>
            </w:r>
            <w:r>
              <w:rPr>
                <w:rFonts w:hint="eastAsia" w:ascii="宋体" w:hAnsi="宋体" w:eastAsia="宋体" w:cs="宋体"/>
                <w:color w:val="auto"/>
                <w:sz w:val="24"/>
                <w:szCs w:val="24"/>
                <w:lang w:eastAsia="zh-CN"/>
              </w:rPr>
              <w:t>）</w:t>
            </w:r>
          </w:p>
          <w:p w14:paraId="1478C625">
            <w:pPr>
              <w:pStyle w:val="37"/>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rPr>
              <w:t>单位负责人为同一人或者存在直接控股、管理关系的不同</w:t>
            </w:r>
            <w:r>
              <w:rPr>
                <w:rFonts w:hint="eastAsia" w:ascii="宋体" w:hAnsi="宋体" w:eastAsia="宋体" w:cs="宋体"/>
                <w:color w:val="auto"/>
                <w:sz w:val="24"/>
                <w:szCs w:val="24"/>
              </w:rPr>
              <w:t>供应商</w:t>
            </w:r>
            <w:r>
              <w:rPr>
                <w:rFonts w:hint="eastAsia" w:ascii="宋体" w:hAnsi="宋体" w:eastAsia="宋体" w:cs="宋体"/>
                <w:color w:val="auto"/>
                <w:sz w:val="24"/>
                <w:szCs w:val="24"/>
                <w:lang w:val="zh-CN"/>
              </w:rPr>
              <w:t>，不得参加同一合同项下的政府采购活动。否则，皆取消投标资格；</w:t>
            </w:r>
          </w:p>
          <w:p w14:paraId="034B6E9E">
            <w:pPr>
              <w:pStyle w:val="37"/>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为本采购项目提供整体设计、规范编制或者项目管理、监理、检测等服务的</w:t>
            </w:r>
            <w:r>
              <w:rPr>
                <w:rFonts w:hint="eastAsia" w:ascii="宋体" w:hAnsi="宋体" w:eastAsia="宋体" w:cs="宋体"/>
                <w:color w:val="auto"/>
                <w:sz w:val="24"/>
                <w:szCs w:val="24"/>
              </w:rPr>
              <w:t>供应商</w:t>
            </w:r>
            <w:r>
              <w:rPr>
                <w:rFonts w:hint="eastAsia" w:ascii="宋体" w:hAnsi="宋体" w:eastAsia="宋体" w:cs="宋体"/>
                <w:color w:val="auto"/>
                <w:sz w:val="24"/>
                <w:szCs w:val="24"/>
                <w:lang w:val="zh-CN"/>
              </w:rPr>
              <w:t>，不得再参加该采购项目的其他采购活动；</w:t>
            </w:r>
          </w:p>
          <w:p w14:paraId="5E9F217E">
            <w:pPr>
              <w:pStyle w:val="37"/>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6.供应商须具备省级以上（含省级）市场监管部门颁发的有效期内的检验检测机构资质认定证书（CMA）和省级以上（含省级）农业农村部门颁发的有效期内的农产品质量安全检测机构考核合格证书（CATL）；</w:t>
            </w:r>
          </w:p>
          <w:p w14:paraId="6E581770">
            <w:pPr>
              <w:pStyle w:val="37"/>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val="zh-CN"/>
              </w:rPr>
              <w:t>本项目不接受</w:t>
            </w:r>
            <w:r>
              <w:rPr>
                <w:rFonts w:hint="eastAsia" w:ascii="宋体" w:hAnsi="宋体" w:eastAsia="宋体" w:cs="宋体"/>
                <w:color w:val="auto"/>
                <w:sz w:val="24"/>
                <w:szCs w:val="24"/>
              </w:rPr>
              <w:t>供应商</w:t>
            </w:r>
            <w:r>
              <w:rPr>
                <w:rFonts w:hint="eastAsia" w:ascii="宋体" w:hAnsi="宋体" w:eastAsia="宋体" w:cs="宋体"/>
                <w:color w:val="auto"/>
                <w:sz w:val="24"/>
                <w:szCs w:val="24"/>
                <w:lang w:val="zh-CN"/>
              </w:rPr>
              <w:t>以联合体方式进行投标。</w:t>
            </w:r>
          </w:p>
        </w:tc>
      </w:tr>
      <w:tr w14:paraId="5D6CE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2E26B7F0">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公告发布时间</w:t>
            </w:r>
          </w:p>
        </w:tc>
        <w:tc>
          <w:tcPr>
            <w:tcW w:w="7637" w:type="dxa"/>
            <w:tcBorders>
              <w:top w:val="single" w:color="000000" w:sz="4" w:space="0"/>
              <w:left w:val="single" w:color="000000" w:sz="4" w:space="0"/>
              <w:bottom w:val="single" w:color="000000" w:sz="4" w:space="0"/>
              <w:right w:val="single" w:color="000000" w:sz="4" w:space="0"/>
            </w:tcBorders>
            <w:vAlign w:val="center"/>
          </w:tcPr>
          <w:p w14:paraId="65D3997D">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2026年5月21日</w:t>
            </w:r>
          </w:p>
        </w:tc>
      </w:tr>
      <w:tr w14:paraId="0DFE5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3ED14269">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获取磋商文件时间</w:t>
            </w:r>
          </w:p>
        </w:tc>
        <w:tc>
          <w:tcPr>
            <w:tcW w:w="7637" w:type="dxa"/>
            <w:tcBorders>
              <w:top w:val="single" w:color="000000" w:sz="4" w:space="0"/>
              <w:left w:val="single" w:color="000000" w:sz="4" w:space="0"/>
              <w:bottom w:val="single" w:color="000000" w:sz="4" w:space="0"/>
              <w:right w:val="single" w:color="000000" w:sz="4" w:space="0"/>
            </w:tcBorders>
            <w:vAlign w:val="center"/>
          </w:tcPr>
          <w:p w14:paraId="25DF089F">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2026年5月21日至5月28日</w:t>
            </w:r>
          </w:p>
        </w:tc>
      </w:tr>
      <w:tr w14:paraId="4AE20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7B8E207B">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获取磋商文件方式</w:t>
            </w:r>
          </w:p>
        </w:tc>
        <w:tc>
          <w:tcPr>
            <w:tcW w:w="7637" w:type="dxa"/>
            <w:tcBorders>
              <w:top w:val="single" w:color="000000" w:sz="4" w:space="0"/>
              <w:left w:val="single" w:color="000000" w:sz="4" w:space="0"/>
              <w:bottom w:val="single" w:color="000000" w:sz="4" w:space="0"/>
              <w:right w:val="single" w:color="000000" w:sz="4" w:space="0"/>
            </w:tcBorders>
            <w:vAlign w:val="center"/>
          </w:tcPr>
          <w:p w14:paraId="037599EC">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供应商</w:t>
            </w:r>
            <w:r>
              <w:rPr>
                <w:rFonts w:hint="eastAsia" w:ascii="宋体" w:hAnsi="宋体" w:eastAsia="宋体" w:cs="宋体"/>
                <w:color w:val="auto"/>
                <w:sz w:val="24"/>
                <w:szCs w:val="24"/>
              </w:rPr>
              <w:t>登录政采云平台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https://www.zcygov.cn/</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在线申请获取采购文件（进入“项目采购”应用，在获取采购文件菜单中选择项目，申请获取采购文件）</w:t>
            </w:r>
          </w:p>
        </w:tc>
      </w:tr>
      <w:tr w14:paraId="29C50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31C34B6C">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磋商文件售价</w:t>
            </w:r>
          </w:p>
        </w:tc>
        <w:tc>
          <w:tcPr>
            <w:tcW w:w="7637" w:type="dxa"/>
            <w:tcBorders>
              <w:top w:val="single" w:color="000000" w:sz="4" w:space="0"/>
              <w:left w:val="single" w:color="000000" w:sz="4" w:space="0"/>
              <w:bottom w:val="single" w:color="000000" w:sz="4" w:space="0"/>
              <w:right w:val="single" w:color="000000" w:sz="4" w:space="0"/>
            </w:tcBorders>
            <w:vAlign w:val="center"/>
          </w:tcPr>
          <w:p w14:paraId="05AC7E2F">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0</w:t>
            </w:r>
          </w:p>
        </w:tc>
      </w:tr>
      <w:tr w14:paraId="53202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50CB30D1">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获取磋商文件地点</w:t>
            </w:r>
          </w:p>
        </w:tc>
        <w:tc>
          <w:tcPr>
            <w:tcW w:w="7637" w:type="dxa"/>
            <w:tcBorders>
              <w:top w:val="single" w:color="000000" w:sz="4" w:space="0"/>
              <w:left w:val="single" w:color="000000" w:sz="4" w:space="0"/>
              <w:bottom w:val="single" w:color="000000" w:sz="4" w:space="0"/>
              <w:right w:val="single" w:color="000000" w:sz="4" w:space="0"/>
            </w:tcBorders>
            <w:vAlign w:val="center"/>
          </w:tcPr>
          <w:p w14:paraId="60BBC0C7">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政采云平台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https://www.zcygov.cn/</w:t>
            </w:r>
            <w:r>
              <w:rPr>
                <w:rFonts w:hint="eastAsia" w:ascii="宋体" w:hAnsi="宋体" w:eastAsia="宋体" w:cs="宋体"/>
                <w:color w:val="auto"/>
                <w:sz w:val="24"/>
                <w:szCs w:val="24"/>
                <w:lang w:eastAsia="zh-CN"/>
              </w:rPr>
              <w:t>）</w:t>
            </w:r>
          </w:p>
        </w:tc>
      </w:tr>
      <w:tr w14:paraId="3DD50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552A4ABC">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提交响应文件截止时间</w:t>
            </w:r>
          </w:p>
        </w:tc>
        <w:tc>
          <w:tcPr>
            <w:tcW w:w="7637" w:type="dxa"/>
            <w:tcBorders>
              <w:top w:val="single" w:color="000000" w:sz="4" w:space="0"/>
              <w:left w:val="single" w:color="000000" w:sz="4" w:space="0"/>
              <w:bottom w:val="single" w:color="000000" w:sz="4" w:space="0"/>
              <w:right w:val="single" w:color="000000" w:sz="4" w:space="0"/>
            </w:tcBorders>
            <w:vAlign w:val="center"/>
          </w:tcPr>
          <w:p w14:paraId="1D2CC1ED">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2026年6月1日上午9：30（北京时间）</w:t>
            </w:r>
          </w:p>
        </w:tc>
      </w:tr>
      <w:tr w14:paraId="5B501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31103127">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响应文件开启时间</w:t>
            </w:r>
          </w:p>
        </w:tc>
        <w:tc>
          <w:tcPr>
            <w:tcW w:w="7637" w:type="dxa"/>
            <w:tcBorders>
              <w:top w:val="single" w:color="000000" w:sz="4" w:space="0"/>
              <w:left w:val="single" w:color="000000" w:sz="4" w:space="0"/>
              <w:bottom w:val="single" w:color="000000" w:sz="4" w:space="0"/>
              <w:right w:val="single" w:color="000000" w:sz="4" w:space="0"/>
            </w:tcBorders>
            <w:vAlign w:val="center"/>
          </w:tcPr>
          <w:p w14:paraId="4101C607">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2026年6月1日上午9：30（北京时间）</w:t>
            </w:r>
          </w:p>
        </w:tc>
      </w:tr>
      <w:tr w14:paraId="2BC6D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45D042B3">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提交响应文件地点</w:t>
            </w:r>
          </w:p>
        </w:tc>
        <w:tc>
          <w:tcPr>
            <w:tcW w:w="7637" w:type="dxa"/>
            <w:tcBorders>
              <w:top w:val="single" w:color="000000" w:sz="4" w:space="0"/>
              <w:left w:val="single" w:color="000000" w:sz="4" w:space="0"/>
              <w:bottom w:val="single" w:color="000000" w:sz="4" w:space="0"/>
              <w:right w:val="single" w:color="000000" w:sz="4" w:space="0"/>
            </w:tcBorders>
            <w:vAlign w:val="center"/>
          </w:tcPr>
          <w:p w14:paraId="04F132C6">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政采云平台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https://www.zcygov.cn/</w:t>
            </w:r>
            <w:r>
              <w:rPr>
                <w:rFonts w:hint="eastAsia" w:ascii="宋体" w:hAnsi="宋体" w:eastAsia="宋体" w:cs="宋体"/>
                <w:color w:val="auto"/>
                <w:sz w:val="24"/>
                <w:szCs w:val="24"/>
                <w:lang w:eastAsia="zh-CN"/>
              </w:rPr>
              <w:t>）</w:t>
            </w:r>
          </w:p>
        </w:tc>
      </w:tr>
      <w:tr w14:paraId="34899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58900B2D">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采购人及联系人电话</w:t>
            </w:r>
          </w:p>
        </w:tc>
        <w:tc>
          <w:tcPr>
            <w:tcW w:w="7637" w:type="dxa"/>
            <w:tcBorders>
              <w:top w:val="single" w:color="000000" w:sz="4" w:space="0"/>
              <w:left w:val="single" w:color="000000" w:sz="4" w:space="0"/>
              <w:bottom w:val="single" w:color="000000" w:sz="4" w:space="0"/>
              <w:right w:val="single" w:color="000000" w:sz="4" w:space="0"/>
            </w:tcBorders>
            <w:vAlign w:val="center"/>
          </w:tcPr>
          <w:p w14:paraId="077A1923">
            <w:pPr>
              <w:keepNext w:val="0"/>
              <w:keepLines w:val="0"/>
              <w:pageBreakBefore w:val="0"/>
              <w:widowControl w:val="0"/>
              <w:kinsoku/>
              <w:wordWrap/>
              <w:overflowPunct/>
              <w:topLinePunct w:val="0"/>
              <w:autoSpaceDE w:val="0"/>
              <w:autoSpaceDN w:val="0"/>
              <w:bidi w:val="0"/>
              <w:adjustRightInd/>
              <w:snapToGrid/>
              <w:spacing w:line="36" w:lineRule="atLeast"/>
              <w:ind w:firstLine="0" w:firstLineChars="0"/>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采购人：青海省农业农村厅</w:t>
            </w:r>
          </w:p>
          <w:p w14:paraId="7C7D275F">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郭老师</w:t>
            </w:r>
          </w:p>
          <w:p w14:paraId="4B463B94">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lang w:val="en-US" w:eastAsia="zh-CN"/>
              </w:rPr>
              <w:t>0971-6114130</w:t>
            </w:r>
          </w:p>
          <w:p w14:paraId="59233529">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联系地址：</w:t>
            </w:r>
            <w:r>
              <w:rPr>
                <w:rFonts w:hint="eastAsia" w:ascii="宋体" w:hAnsi="宋体" w:eastAsia="宋体" w:cs="宋体"/>
                <w:color w:val="auto"/>
                <w:sz w:val="24"/>
                <w:szCs w:val="24"/>
                <w:lang w:val="en-US" w:eastAsia="zh-CN"/>
              </w:rPr>
              <w:t>西宁市城西区交通巷4号</w:t>
            </w:r>
          </w:p>
        </w:tc>
      </w:tr>
      <w:tr w14:paraId="6209D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498725E6">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采购代理机构及联系人电话</w:t>
            </w:r>
          </w:p>
        </w:tc>
        <w:tc>
          <w:tcPr>
            <w:tcW w:w="7637" w:type="dxa"/>
            <w:tcBorders>
              <w:top w:val="single" w:color="000000" w:sz="4" w:space="0"/>
              <w:left w:val="single" w:color="000000" w:sz="4" w:space="0"/>
              <w:bottom w:val="single" w:color="000000" w:sz="4" w:space="0"/>
              <w:right w:val="single" w:color="000000" w:sz="4" w:space="0"/>
            </w:tcBorders>
            <w:vAlign w:val="center"/>
          </w:tcPr>
          <w:p w14:paraId="2D5D81C2">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采购代理机构：青海鼎钊招标代理有限公司</w:t>
            </w:r>
          </w:p>
          <w:p w14:paraId="76C39077">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zh-CN"/>
              </w:rPr>
              <w:t>联系人：</w:t>
            </w:r>
            <w:r>
              <w:rPr>
                <w:rFonts w:hint="eastAsia" w:ascii="宋体" w:hAnsi="宋体" w:eastAsia="宋体" w:cs="宋体"/>
                <w:color w:val="auto"/>
                <w:kern w:val="0"/>
                <w:sz w:val="24"/>
                <w:szCs w:val="24"/>
                <w:lang w:val="en-US" w:eastAsia="zh-CN"/>
              </w:rPr>
              <w:t>王先生、马女士</w:t>
            </w:r>
          </w:p>
          <w:p w14:paraId="1E83993C">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zh-CN"/>
              </w:rPr>
              <w:t>联系电话：</w:t>
            </w:r>
            <w:r>
              <w:rPr>
                <w:rFonts w:hint="eastAsia" w:ascii="宋体" w:hAnsi="宋体" w:eastAsia="宋体" w:cs="宋体"/>
                <w:color w:val="auto"/>
                <w:kern w:val="0"/>
                <w:sz w:val="24"/>
                <w:szCs w:val="24"/>
                <w:lang w:val="en-US" w:eastAsia="zh-CN"/>
              </w:rPr>
              <w:t>0971-8179517</w:t>
            </w:r>
          </w:p>
          <w:p w14:paraId="3A8AA984">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zh-CN"/>
              </w:rPr>
              <w:t>联系地址：西宁市东川工业园区金桥路39号1号楼2楼（新力景瑞新城）</w:t>
            </w:r>
          </w:p>
        </w:tc>
      </w:tr>
      <w:tr w14:paraId="5ABBC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0F12B466">
            <w:pPr>
              <w:keepNext w:val="0"/>
              <w:keepLines w:val="0"/>
              <w:pageBreakBefore w:val="0"/>
              <w:widowControl w:val="0"/>
              <w:kinsoku/>
              <w:wordWrap/>
              <w:overflowPunct/>
              <w:topLinePunct w:val="0"/>
              <w:bidi w:val="0"/>
              <w:adjustRightInd/>
              <w:snapToGrid/>
              <w:spacing w:line="36" w:lineRule="atLeast"/>
              <w:ind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采购代理机构开户银行</w:t>
            </w:r>
          </w:p>
        </w:tc>
        <w:tc>
          <w:tcPr>
            <w:tcW w:w="7637" w:type="dxa"/>
            <w:tcBorders>
              <w:top w:val="single" w:color="000000" w:sz="4" w:space="0"/>
              <w:left w:val="single" w:color="000000" w:sz="4" w:space="0"/>
              <w:bottom w:val="single" w:color="000000" w:sz="4" w:space="0"/>
              <w:right w:val="single" w:color="000000" w:sz="4" w:space="0"/>
            </w:tcBorders>
            <w:vAlign w:val="center"/>
          </w:tcPr>
          <w:p w14:paraId="2EFC5405">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上海浦东发展银行股份有限公司西宁城东支行</w:t>
            </w:r>
          </w:p>
        </w:tc>
      </w:tr>
      <w:tr w14:paraId="1DDB1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66CB39C1">
            <w:pPr>
              <w:keepNext w:val="0"/>
              <w:keepLines w:val="0"/>
              <w:pageBreakBefore w:val="0"/>
              <w:widowControl w:val="0"/>
              <w:kinsoku/>
              <w:wordWrap/>
              <w:overflowPunct/>
              <w:topLinePunct w:val="0"/>
              <w:bidi w:val="0"/>
              <w:adjustRightInd/>
              <w:snapToGrid/>
              <w:spacing w:line="36" w:lineRule="atLeast"/>
              <w:ind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收款人</w:t>
            </w:r>
          </w:p>
        </w:tc>
        <w:tc>
          <w:tcPr>
            <w:tcW w:w="7637" w:type="dxa"/>
            <w:tcBorders>
              <w:top w:val="single" w:color="000000" w:sz="4" w:space="0"/>
              <w:left w:val="single" w:color="000000" w:sz="4" w:space="0"/>
              <w:bottom w:val="single" w:color="000000" w:sz="4" w:space="0"/>
              <w:right w:val="single" w:color="000000" w:sz="4" w:space="0"/>
            </w:tcBorders>
            <w:vAlign w:val="center"/>
          </w:tcPr>
          <w:p w14:paraId="177CE102">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青海鼎钊招标代理有限公司</w:t>
            </w:r>
          </w:p>
        </w:tc>
      </w:tr>
      <w:tr w14:paraId="429C5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0BF461D4">
            <w:pPr>
              <w:keepNext w:val="0"/>
              <w:keepLines w:val="0"/>
              <w:pageBreakBefore w:val="0"/>
              <w:widowControl w:val="0"/>
              <w:kinsoku/>
              <w:wordWrap/>
              <w:overflowPunct/>
              <w:topLinePunct w:val="0"/>
              <w:bidi w:val="0"/>
              <w:adjustRightInd/>
              <w:snapToGrid/>
              <w:spacing w:line="36" w:lineRule="atLeast"/>
              <w:ind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银行账号</w:t>
            </w:r>
          </w:p>
        </w:tc>
        <w:tc>
          <w:tcPr>
            <w:tcW w:w="7637" w:type="dxa"/>
            <w:tcBorders>
              <w:top w:val="single" w:color="000000" w:sz="4" w:space="0"/>
              <w:left w:val="single" w:color="000000" w:sz="4" w:space="0"/>
              <w:bottom w:val="single" w:color="000000" w:sz="4" w:space="0"/>
              <w:right w:val="single" w:color="000000" w:sz="4" w:space="0"/>
            </w:tcBorders>
            <w:vAlign w:val="center"/>
          </w:tcPr>
          <w:p w14:paraId="1610E124">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35030078801500000377</w:t>
            </w:r>
          </w:p>
        </w:tc>
      </w:tr>
      <w:tr w14:paraId="6F2CA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11DD7693">
            <w:pPr>
              <w:keepNext w:val="0"/>
              <w:keepLines w:val="0"/>
              <w:pageBreakBefore w:val="0"/>
              <w:widowControl w:val="0"/>
              <w:kinsoku/>
              <w:wordWrap/>
              <w:overflowPunct/>
              <w:topLinePunct w:val="0"/>
              <w:bidi w:val="0"/>
              <w:adjustRightInd/>
              <w:snapToGrid/>
              <w:spacing w:line="36" w:lineRule="atLeast"/>
              <w:ind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其他事项</w:t>
            </w:r>
          </w:p>
        </w:tc>
        <w:tc>
          <w:tcPr>
            <w:tcW w:w="7637" w:type="dxa"/>
            <w:tcBorders>
              <w:top w:val="single" w:color="000000" w:sz="4" w:space="0"/>
              <w:left w:val="single" w:color="000000" w:sz="4" w:space="0"/>
              <w:bottom w:val="single" w:color="000000" w:sz="4" w:space="0"/>
              <w:right w:val="single" w:color="000000" w:sz="4" w:space="0"/>
            </w:tcBorders>
            <w:vAlign w:val="center"/>
          </w:tcPr>
          <w:p w14:paraId="0BDFD147">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eastAsia="zh-CN"/>
              </w:rPr>
              <w:t>公告发布</w:t>
            </w:r>
            <w:r>
              <w:rPr>
                <w:rFonts w:hint="eastAsia" w:ascii="宋体" w:hAnsi="宋体" w:eastAsia="宋体" w:cs="宋体"/>
                <w:color w:val="auto"/>
                <w:sz w:val="24"/>
                <w:szCs w:val="24"/>
                <w:lang w:val="en-US" w:eastAsia="zh-CN"/>
              </w:rPr>
              <w:t>网站</w:t>
            </w:r>
            <w:r>
              <w:rPr>
                <w:rFonts w:hint="eastAsia" w:ascii="宋体" w:hAnsi="宋体" w:eastAsia="宋体" w:cs="宋体"/>
                <w:color w:val="auto"/>
                <w:sz w:val="24"/>
                <w:szCs w:val="24"/>
                <w:lang w:val="zh-CN" w:eastAsia="zh-CN"/>
              </w:rPr>
              <w:t>：《青海政府采购网》、《青海省电子招标投标公共服务平台》、《青海项目信息网》，公告内容以《青海政府采购网》发布的为准。</w:t>
            </w:r>
          </w:p>
          <w:p w14:paraId="1DA70821">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highlight w:val="none"/>
                <w:lang w:val="en-US" w:eastAsia="zh-CN"/>
              </w:rPr>
              <w:t>本次采购采用线上提交电子响应文件的方式进行，电子响应文件须在提交响应文件截止时间前上传。</w:t>
            </w:r>
          </w:p>
          <w:p w14:paraId="1C30BF16">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lang w:val="en-US" w:eastAsia="zh-CN"/>
              </w:rPr>
            </w:pPr>
            <w:r>
              <w:rPr>
                <w:rFonts w:hint="eastAsia" w:ascii="宋体" w:hAnsi="宋体" w:eastAsia="宋体" w:cs="宋体"/>
                <w:color w:val="auto"/>
                <w:kern w:val="0"/>
                <w:sz w:val="24"/>
                <w:szCs w:val="24"/>
                <w:lang w:val="en-US" w:eastAsia="zh-CN"/>
              </w:rPr>
              <w:t>3.若对项目采购电子交易系统</w:t>
            </w:r>
            <w:r>
              <w:rPr>
                <w:rFonts w:hint="eastAsia" w:ascii="宋体" w:hAnsi="宋体" w:eastAsia="宋体" w:cs="宋体"/>
                <w:color w:val="auto"/>
                <w:kern w:val="0"/>
                <w:sz w:val="24"/>
                <w:szCs w:val="24"/>
                <w:lang w:val="zh-CN"/>
              </w:rPr>
              <w:t>（</w:t>
            </w:r>
            <w:r>
              <w:rPr>
                <w:rFonts w:hint="eastAsia" w:ascii="宋体" w:hAnsi="宋体" w:eastAsia="宋体" w:cs="宋体"/>
                <w:color w:val="auto"/>
                <w:sz w:val="24"/>
                <w:szCs w:val="24"/>
                <w:lang w:val="zh-CN"/>
              </w:rPr>
              <w:t>政采云平台</w:t>
            </w:r>
            <w:r>
              <w:rPr>
                <w:rFonts w:hint="eastAsia" w:ascii="宋体" w:hAnsi="宋体" w:eastAsia="宋体" w:cs="宋体"/>
                <w:color w:val="auto"/>
                <w:kern w:val="0"/>
                <w:sz w:val="24"/>
                <w:szCs w:val="24"/>
                <w:lang w:val="zh-CN"/>
              </w:rPr>
              <w:t>）</w:t>
            </w:r>
            <w:r>
              <w:rPr>
                <w:rFonts w:hint="eastAsia" w:ascii="宋体" w:hAnsi="宋体" w:eastAsia="宋体" w:cs="宋体"/>
                <w:color w:val="auto"/>
                <w:kern w:val="0"/>
                <w:sz w:val="24"/>
                <w:szCs w:val="24"/>
                <w:lang w:val="en-US" w:eastAsia="zh-CN"/>
              </w:rPr>
              <w:t>操作有疑问，可登录政采云平台点击右侧咨询小采或拨打政采云服务热线95763。</w:t>
            </w:r>
          </w:p>
        </w:tc>
      </w:tr>
      <w:tr w14:paraId="04D0E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568" w:type="dxa"/>
            <w:tcBorders>
              <w:top w:val="single" w:color="000000" w:sz="4" w:space="0"/>
              <w:left w:val="single" w:color="000000" w:sz="4" w:space="0"/>
              <w:bottom w:val="single" w:color="000000" w:sz="4" w:space="0"/>
              <w:right w:val="single" w:color="000000" w:sz="4" w:space="0"/>
            </w:tcBorders>
            <w:vAlign w:val="center"/>
          </w:tcPr>
          <w:p w14:paraId="0CCDFC5B">
            <w:pPr>
              <w:keepNext w:val="0"/>
              <w:keepLines w:val="0"/>
              <w:pageBreakBefore w:val="0"/>
              <w:widowControl w:val="0"/>
              <w:kinsoku/>
              <w:wordWrap/>
              <w:overflowPunct/>
              <w:topLinePunct w:val="0"/>
              <w:bidi w:val="0"/>
              <w:adjustRightInd/>
              <w:snapToGrid/>
              <w:spacing w:line="36" w:lineRule="atLeast"/>
              <w:ind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财政部门监督电话</w:t>
            </w:r>
          </w:p>
        </w:tc>
        <w:tc>
          <w:tcPr>
            <w:tcW w:w="7637" w:type="dxa"/>
            <w:tcBorders>
              <w:top w:val="single" w:color="000000" w:sz="4" w:space="0"/>
              <w:left w:val="single" w:color="000000" w:sz="4" w:space="0"/>
              <w:bottom w:val="single" w:color="000000" w:sz="4" w:space="0"/>
              <w:right w:val="single" w:color="000000" w:sz="4" w:space="0"/>
            </w:tcBorders>
            <w:vAlign w:val="center"/>
          </w:tcPr>
          <w:p w14:paraId="61AF74A6">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监督单位：青海省财政厅</w:t>
            </w:r>
          </w:p>
          <w:p w14:paraId="0AFEA22D">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联系电话：0971-3660357</w:t>
            </w:r>
          </w:p>
        </w:tc>
      </w:tr>
    </w:tbl>
    <w:p w14:paraId="3A0CCEA1">
      <w:pPr>
        <w:spacing w:line="360" w:lineRule="auto"/>
        <w:ind w:firstLine="0" w:firstLineChars="0"/>
        <w:jc w:val="right"/>
        <w:rPr>
          <w:rFonts w:hint="eastAsia" w:ascii="宋体" w:hAnsi="宋体" w:eastAsia="宋体" w:cs="宋体"/>
          <w:color w:val="auto"/>
          <w:sz w:val="24"/>
          <w:szCs w:val="24"/>
          <w:lang w:eastAsia="zh-CN"/>
        </w:rPr>
      </w:pPr>
    </w:p>
    <w:p w14:paraId="776A6C18">
      <w:pPr>
        <w:spacing w:line="360" w:lineRule="auto"/>
        <w:ind w:firstLine="0" w:firstLineChars="0"/>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青海鼎钊招标代理有限公司</w:t>
      </w:r>
    </w:p>
    <w:p w14:paraId="771CDDB1">
      <w:pPr>
        <w:wordWrap w:val="0"/>
        <w:spacing w:line="360" w:lineRule="auto"/>
        <w:ind w:firstLine="0" w:firstLineChars="0"/>
        <w:jc w:val="right"/>
        <w:rPr>
          <w:rFonts w:hint="eastAsia" w:ascii="宋体" w:hAnsi="宋体" w:eastAsia="宋体" w:cs="宋体"/>
          <w:color w:val="auto"/>
          <w:sz w:val="24"/>
          <w:szCs w:val="24"/>
        </w:rPr>
      </w:pPr>
      <w:r>
        <w:rPr>
          <w:rFonts w:hint="eastAsia" w:ascii="宋体" w:hAnsi="宋体" w:eastAsia="宋体" w:cs="宋体"/>
          <w:color w:val="auto"/>
          <w:sz w:val="24"/>
          <w:szCs w:val="24"/>
          <w:lang w:val="zh-CN"/>
        </w:rPr>
        <w:t>2026年5月21日</w:t>
      </w:r>
      <w:r>
        <w:rPr>
          <w:rFonts w:hint="eastAsia" w:ascii="宋体" w:hAnsi="宋体" w:eastAsia="宋体" w:cs="宋体"/>
          <w:color w:val="auto"/>
          <w:sz w:val="24"/>
          <w:szCs w:val="24"/>
          <w:lang w:val="en-US" w:eastAsia="zh-CN"/>
        </w:rPr>
        <w:t xml:space="preserve">   </w:t>
      </w:r>
    </w:p>
    <w:p w14:paraId="4725F714">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46935E4A">
      <w:pPr>
        <w:pStyle w:val="22"/>
        <w:spacing w:before="0" w:after="0" w:line="360" w:lineRule="auto"/>
        <w:ind w:firstLine="0" w:firstLineChars="0"/>
        <w:rPr>
          <w:rFonts w:hint="eastAsia" w:ascii="宋体" w:hAnsi="宋体" w:eastAsia="宋体" w:cs="宋体"/>
          <w:color w:val="auto"/>
          <w:lang w:val="zh-CN"/>
        </w:rPr>
      </w:pPr>
      <w:bookmarkStart w:id="2" w:name="_Toc6206"/>
      <w:bookmarkStart w:id="3" w:name="_Toc3201"/>
      <w:r>
        <w:rPr>
          <w:rFonts w:hint="eastAsia" w:ascii="宋体" w:hAnsi="宋体" w:eastAsia="宋体" w:cs="宋体"/>
          <w:color w:val="auto"/>
          <w:lang w:val="zh-CN"/>
        </w:rPr>
        <w:t>第二部分</w:t>
      </w:r>
      <w:r>
        <w:rPr>
          <w:rFonts w:hint="eastAsia" w:ascii="宋体" w:hAnsi="宋体" w:eastAsia="宋体" w:cs="宋体"/>
          <w:color w:val="auto"/>
          <w:lang w:val="en-US" w:eastAsia="zh-CN"/>
        </w:rPr>
        <w:t xml:space="preserve">  </w:t>
      </w:r>
      <w:r>
        <w:rPr>
          <w:rFonts w:hint="eastAsia" w:ascii="宋体" w:hAnsi="宋体" w:eastAsia="宋体" w:cs="宋体"/>
          <w:color w:val="auto"/>
          <w:lang w:val="zh-CN"/>
        </w:rPr>
        <w:t>供应商须知前附表</w:t>
      </w:r>
      <w:bookmarkEnd w:id="2"/>
      <w:bookmarkEnd w:id="3"/>
    </w:p>
    <w:p w14:paraId="64297E46">
      <w:pPr>
        <w:spacing w:line="360" w:lineRule="auto"/>
        <w:ind w:firstLine="0" w:firstLineChars="0"/>
        <w:rPr>
          <w:rFonts w:hint="eastAsia" w:ascii="宋体" w:hAnsi="宋体" w:eastAsia="宋体" w:cs="宋体"/>
          <w:color w:val="auto"/>
          <w:sz w:val="24"/>
          <w:szCs w:val="24"/>
          <w:lang w:val="zh-CN"/>
        </w:rPr>
      </w:pPr>
    </w:p>
    <w:tbl>
      <w:tblPr>
        <w:tblStyle w:val="24"/>
        <w:tblW w:w="10205" w:type="dxa"/>
        <w:jc w:val="center"/>
        <w:tblLayout w:type="fixed"/>
        <w:tblCellMar>
          <w:top w:w="0" w:type="dxa"/>
          <w:left w:w="57" w:type="dxa"/>
          <w:bottom w:w="0" w:type="dxa"/>
          <w:right w:w="57" w:type="dxa"/>
        </w:tblCellMar>
      </w:tblPr>
      <w:tblGrid>
        <w:gridCol w:w="653"/>
        <w:gridCol w:w="2530"/>
        <w:gridCol w:w="7022"/>
      </w:tblGrid>
      <w:tr w14:paraId="5F71E21B">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1915B1">
            <w:pPr>
              <w:autoSpaceDE w:val="0"/>
              <w:autoSpaceDN w:val="0"/>
              <w:spacing w:line="360" w:lineRule="auto"/>
              <w:ind w:firstLine="0" w:firstLineChars="0"/>
              <w:jc w:val="center"/>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zh-CN"/>
              </w:rPr>
              <w:t>序号</w:t>
            </w:r>
          </w:p>
        </w:tc>
        <w:tc>
          <w:tcPr>
            <w:tcW w:w="9552"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4CE863EB">
            <w:pPr>
              <w:autoSpaceDE w:val="0"/>
              <w:autoSpaceDN w:val="0"/>
              <w:spacing w:line="360" w:lineRule="auto"/>
              <w:ind w:firstLine="0" w:firstLineChars="0"/>
              <w:jc w:val="center"/>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zh-CN"/>
              </w:rPr>
              <w:t>内容</w:t>
            </w:r>
          </w:p>
        </w:tc>
      </w:tr>
      <w:tr w14:paraId="7539CCDE">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FF643F">
            <w:pPr>
              <w:numPr>
                <w:ilvl w:val="0"/>
                <w:numId w:val="2"/>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855EDF">
            <w:pPr>
              <w:autoSpaceDE w:val="0"/>
              <w:autoSpaceDN w:val="0"/>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采购项目编号</w:t>
            </w:r>
          </w:p>
        </w:tc>
        <w:tc>
          <w:tcPr>
            <w:tcW w:w="7022" w:type="dxa"/>
            <w:tcBorders>
              <w:top w:val="single" w:color="000000" w:sz="6" w:space="0"/>
              <w:left w:val="single" w:color="000000" w:sz="6" w:space="0"/>
              <w:bottom w:val="single" w:color="000000" w:sz="6" w:space="0"/>
              <w:right w:val="single" w:color="000000" w:sz="6" w:space="0"/>
            </w:tcBorders>
            <w:shd w:val="clear" w:color="auto" w:fill="auto"/>
          </w:tcPr>
          <w:p w14:paraId="4DF2D9F2">
            <w:pPr>
              <w:autoSpaceDE w:val="0"/>
              <w:autoSpaceDN w:val="0"/>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青海鼎钊竞磋（服务）2026-028</w:t>
            </w:r>
          </w:p>
        </w:tc>
      </w:tr>
      <w:tr w14:paraId="72418449">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161FD7">
            <w:pPr>
              <w:numPr>
                <w:ilvl w:val="0"/>
                <w:numId w:val="2"/>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CD00CF">
            <w:pPr>
              <w:autoSpaceDE w:val="0"/>
              <w:autoSpaceDN w:val="0"/>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zh-CN"/>
              </w:rPr>
              <w:t>采购项目名称</w:t>
            </w:r>
          </w:p>
        </w:tc>
        <w:tc>
          <w:tcPr>
            <w:tcW w:w="7022" w:type="dxa"/>
            <w:tcBorders>
              <w:top w:val="single" w:color="000000" w:sz="6" w:space="0"/>
              <w:left w:val="single" w:color="000000" w:sz="6" w:space="0"/>
              <w:bottom w:val="single" w:color="000000" w:sz="6" w:space="0"/>
              <w:right w:val="single" w:color="000000" w:sz="6" w:space="0"/>
            </w:tcBorders>
            <w:shd w:val="clear" w:color="auto" w:fill="auto"/>
          </w:tcPr>
          <w:p w14:paraId="5C902096">
            <w:pPr>
              <w:autoSpaceDE w:val="0"/>
              <w:autoSpaceDN w:val="0"/>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农产品质量安全监管项目（第二次）</w:t>
            </w:r>
          </w:p>
        </w:tc>
      </w:tr>
      <w:tr w14:paraId="28A05BF2">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2FD2D2">
            <w:pPr>
              <w:numPr>
                <w:ilvl w:val="0"/>
                <w:numId w:val="2"/>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0BA7F4">
            <w:pPr>
              <w:autoSpaceDE w:val="0"/>
              <w:autoSpaceDN w:val="0"/>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采购人</w:t>
            </w:r>
          </w:p>
        </w:tc>
        <w:tc>
          <w:tcPr>
            <w:tcW w:w="7022" w:type="dxa"/>
            <w:tcBorders>
              <w:top w:val="single" w:color="000000" w:sz="6" w:space="0"/>
              <w:left w:val="single" w:color="000000" w:sz="6" w:space="0"/>
              <w:bottom w:val="single" w:color="000000" w:sz="6" w:space="0"/>
              <w:right w:val="single" w:color="000000" w:sz="6" w:space="0"/>
            </w:tcBorders>
            <w:shd w:val="clear" w:color="auto" w:fill="auto"/>
          </w:tcPr>
          <w:p w14:paraId="6804029C">
            <w:pPr>
              <w:autoSpaceDE w:val="0"/>
              <w:autoSpaceDN w:val="0"/>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青海省农业农村厅</w:t>
            </w:r>
          </w:p>
        </w:tc>
      </w:tr>
      <w:tr w14:paraId="4BFC18BD">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DC0203D">
            <w:pPr>
              <w:numPr>
                <w:ilvl w:val="0"/>
                <w:numId w:val="2"/>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0D4A2A">
            <w:pPr>
              <w:autoSpaceDE w:val="0"/>
              <w:autoSpaceDN w:val="0"/>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采购代理机构</w:t>
            </w:r>
          </w:p>
        </w:tc>
        <w:tc>
          <w:tcPr>
            <w:tcW w:w="7022" w:type="dxa"/>
            <w:tcBorders>
              <w:top w:val="single" w:color="000000" w:sz="6" w:space="0"/>
              <w:left w:val="single" w:color="000000" w:sz="6" w:space="0"/>
              <w:bottom w:val="single" w:color="000000" w:sz="6" w:space="0"/>
              <w:right w:val="single" w:color="000000" w:sz="6" w:space="0"/>
            </w:tcBorders>
            <w:shd w:val="clear" w:color="auto" w:fill="auto"/>
          </w:tcPr>
          <w:p w14:paraId="0FC0F24D">
            <w:pPr>
              <w:autoSpaceDE w:val="0"/>
              <w:autoSpaceDN w:val="0"/>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青海鼎钊招标代理有限公司</w:t>
            </w:r>
          </w:p>
        </w:tc>
      </w:tr>
      <w:tr w14:paraId="1276D15D">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95FA2D">
            <w:pPr>
              <w:numPr>
                <w:ilvl w:val="0"/>
                <w:numId w:val="2"/>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30A0B2">
            <w:pPr>
              <w:autoSpaceDE w:val="0"/>
              <w:autoSpaceDN w:val="0"/>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采购方式</w:t>
            </w:r>
          </w:p>
        </w:tc>
        <w:tc>
          <w:tcPr>
            <w:tcW w:w="7022" w:type="dxa"/>
            <w:tcBorders>
              <w:top w:val="single" w:color="000000" w:sz="6" w:space="0"/>
              <w:left w:val="single" w:color="000000" w:sz="6" w:space="0"/>
              <w:bottom w:val="single" w:color="000000" w:sz="6" w:space="0"/>
              <w:right w:val="single" w:color="000000" w:sz="6" w:space="0"/>
            </w:tcBorders>
            <w:shd w:val="clear" w:color="auto" w:fill="auto"/>
          </w:tcPr>
          <w:p w14:paraId="67528677">
            <w:pPr>
              <w:autoSpaceDE w:val="0"/>
              <w:autoSpaceDN w:val="0"/>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竞争性磋商</w:t>
            </w:r>
          </w:p>
        </w:tc>
      </w:tr>
      <w:tr w14:paraId="65075F2B">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D0674D">
            <w:pPr>
              <w:numPr>
                <w:ilvl w:val="0"/>
                <w:numId w:val="2"/>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5089B7">
            <w:pPr>
              <w:autoSpaceDE w:val="0"/>
              <w:autoSpaceDN w:val="0"/>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评分办法</w:t>
            </w:r>
          </w:p>
        </w:tc>
        <w:tc>
          <w:tcPr>
            <w:tcW w:w="7022" w:type="dxa"/>
            <w:tcBorders>
              <w:top w:val="single" w:color="000000" w:sz="6" w:space="0"/>
              <w:left w:val="single" w:color="000000" w:sz="6" w:space="0"/>
              <w:bottom w:val="single" w:color="000000" w:sz="6" w:space="0"/>
              <w:right w:val="single" w:color="000000" w:sz="6" w:space="0"/>
            </w:tcBorders>
            <w:shd w:val="clear" w:color="auto" w:fill="auto"/>
          </w:tcPr>
          <w:p w14:paraId="03F4BD35">
            <w:pPr>
              <w:autoSpaceDE w:val="0"/>
              <w:autoSpaceDN w:val="0"/>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综合评分法</w:t>
            </w:r>
          </w:p>
        </w:tc>
      </w:tr>
      <w:tr w14:paraId="0D095FC7">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DA0050">
            <w:pPr>
              <w:numPr>
                <w:ilvl w:val="0"/>
                <w:numId w:val="2"/>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F933DAF">
            <w:pPr>
              <w:autoSpaceDE w:val="0"/>
              <w:autoSpaceDN w:val="0"/>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采购预算额度</w:t>
            </w:r>
          </w:p>
        </w:tc>
        <w:tc>
          <w:tcPr>
            <w:tcW w:w="702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8D5725">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lang w:val="en-US" w:eastAsia="zh-CN"/>
              </w:rPr>
              <w:t>包2：40万元。</w:t>
            </w:r>
          </w:p>
        </w:tc>
      </w:tr>
      <w:tr w14:paraId="222FE8F3">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557678F">
            <w:pPr>
              <w:numPr>
                <w:ilvl w:val="0"/>
                <w:numId w:val="2"/>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8CBA77">
            <w:pPr>
              <w:autoSpaceDE w:val="0"/>
              <w:autoSpaceDN w:val="0"/>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项目分包个数</w:t>
            </w:r>
          </w:p>
        </w:tc>
        <w:tc>
          <w:tcPr>
            <w:tcW w:w="702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E98DEE">
            <w:pPr>
              <w:keepNext w:val="0"/>
              <w:keepLines w:val="0"/>
              <w:pageBreakBefore w:val="0"/>
              <w:widowControl w:val="0"/>
              <w:kinsoku/>
              <w:wordWrap/>
              <w:overflowPunct/>
              <w:topLinePunct w:val="0"/>
              <w:bidi w:val="0"/>
              <w:adjustRightInd/>
              <w:snapToGrid/>
              <w:spacing w:line="36" w:lineRule="atLeast"/>
              <w:ind w:firstLine="0" w:firstLineChars="0"/>
              <w:jc w:val="left"/>
              <w:textAlignment w:val="auto"/>
              <w:rPr>
                <w:rFonts w:hint="default" w:ascii="宋体" w:hAnsi="宋体" w:eastAsia="宋体" w:cs="宋体"/>
                <w:color w:val="auto"/>
                <w:sz w:val="24"/>
                <w:szCs w:val="24"/>
                <w:lang w:val="en-US"/>
              </w:rPr>
            </w:pPr>
            <w:r>
              <w:rPr>
                <w:rFonts w:hint="eastAsia" w:ascii="宋体" w:hAnsi="宋体" w:eastAsia="宋体" w:cs="宋体"/>
                <w:color w:val="auto"/>
                <w:sz w:val="24"/>
                <w:szCs w:val="24"/>
                <w:lang w:val="en-US" w:eastAsia="zh-CN"/>
              </w:rPr>
              <w:t>1个</w:t>
            </w:r>
          </w:p>
        </w:tc>
      </w:tr>
      <w:tr w14:paraId="194BC7DD">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378E37">
            <w:pPr>
              <w:numPr>
                <w:ilvl w:val="0"/>
                <w:numId w:val="2"/>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BD0927">
            <w:pPr>
              <w:autoSpaceDE w:val="0"/>
              <w:autoSpaceDN w:val="0"/>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采购要求</w:t>
            </w:r>
          </w:p>
        </w:tc>
        <w:tc>
          <w:tcPr>
            <w:tcW w:w="702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05DE7C">
            <w:pPr>
              <w:autoSpaceDE w:val="0"/>
              <w:autoSpaceDN w:val="0"/>
              <w:spacing w:line="360" w:lineRule="auto"/>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详见磋商文件第六部分</w:t>
            </w:r>
          </w:p>
        </w:tc>
      </w:tr>
      <w:tr w14:paraId="1B3EC8B7">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1C10FA">
            <w:pPr>
              <w:numPr>
                <w:ilvl w:val="0"/>
                <w:numId w:val="2"/>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3C6493">
            <w:pPr>
              <w:autoSpaceDE w:val="0"/>
              <w:autoSpaceDN w:val="0"/>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供应商资格条件</w:t>
            </w:r>
          </w:p>
        </w:tc>
        <w:tc>
          <w:tcPr>
            <w:tcW w:w="7022" w:type="dxa"/>
            <w:tcBorders>
              <w:top w:val="single" w:color="000000" w:sz="6" w:space="0"/>
              <w:left w:val="single" w:color="000000" w:sz="6" w:space="0"/>
              <w:bottom w:val="single" w:color="000000" w:sz="6" w:space="0"/>
              <w:right w:val="single" w:color="000000" w:sz="6" w:space="0"/>
            </w:tcBorders>
            <w:shd w:val="clear" w:color="auto" w:fill="auto"/>
          </w:tcPr>
          <w:p w14:paraId="7E7100F6">
            <w:pPr>
              <w:autoSpaceDE w:val="0"/>
              <w:autoSpaceDN w:val="0"/>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详见第一部分投标邀请中“各包供应商资格条件”的规定</w:t>
            </w:r>
          </w:p>
        </w:tc>
      </w:tr>
      <w:tr w14:paraId="01F15B00">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E877C7">
            <w:pPr>
              <w:numPr>
                <w:ilvl w:val="0"/>
                <w:numId w:val="2"/>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5D2F8A">
            <w:pPr>
              <w:autoSpaceDE w:val="0"/>
              <w:autoSpaceDN w:val="0"/>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磋商保证金</w:t>
            </w:r>
          </w:p>
        </w:tc>
        <w:tc>
          <w:tcPr>
            <w:tcW w:w="7022" w:type="dxa"/>
            <w:tcBorders>
              <w:top w:val="single" w:color="000000" w:sz="6" w:space="0"/>
              <w:left w:val="single" w:color="000000" w:sz="6" w:space="0"/>
              <w:bottom w:val="single" w:color="000000" w:sz="6" w:space="0"/>
              <w:right w:val="single" w:color="000000" w:sz="6" w:space="0"/>
            </w:tcBorders>
            <w:shd w:val="clear" w:color="auto" w:fill="auto"/>
          </w:tcPr>
          <w:p w14:paraId="12C95D7C">
            <w:pPr>
              <w:autoSpaceDE w:val="0"/>
              <w:autoSpaceDN w:val="0"/>
              <w:spacing w:line="360" w:lineRule="auto"/>
              <w:ind w:firstLine="0" w:firstLineChars="0"/>
              <w:jc w:val="left"/>
              <w:rPr>
                <w:rFonts w:hint="default" w:ascii="宋体" w:hAnsi="宋体" w:eastAsia="宋体" w:cs="宋体"/>
                <w:b/>
                <w:bCs/>
                <w:color w:val="auto"/>
                <w:sz w:val="24"/>
                <w:szCs w:val="24"/>
                <w:lang w:val="en-US"/>
              </w:rPr>
            </w:pPr>
            <w:r>
              <w:rPr>
                <w:rFonts w:hint="eastAsia" w:ascii="宋体" w:hAnsi="宋体" w:eastAsia="宋体" w:cs="宋体"/>
                <w:color w:val="auto"/>
                <w:sz w:val="24"/>
                <w:szCs w:val="24"/>
                <w:lang w:val="zh-CN"/>
              </w:rPr>
              <w:t>磋商保证金金额：</w:t>
            </w:r>
            <w:r>
              <w:rPr>
                <w:rFonts w:hint="eastAsia" w:ascii="宋体" w:hAnsi="宋体" w:eastAsia="宋体" w:cs="宋体"/>
                <w:b/>
                <w:bCs/>
                <w:color w:val="auto"/>
                <w:sz w:val="24"/>
                <w:szCs w:val="24"/>
                <w:lang w:val="en-US" w:eastAsia="zh-CN"/>
              </w:rPr>
              <w:t>包2：0.8万元。</w:t>
            </w:r>
          </w:p>
          <w:p w14:paraId="040671CE">
            <w:pPr>
              <w:autoSpaceDE w:val="0"/>
              <w:autoSpaceDN w:val="0"/>
              <w:spacing w:line="360" w:lineRule="auto"/>
              <w:ind w:firstLine="0" w:firstLineChars="0"/>
              <w:jc w:val="left"/>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收款单位：</w:t>
            </w:r>
            <w:r>
              <w:rPr>
                <w:rFonts w:hint="eastAsia" w:ascii="宋体" w:hAnsi="宋体" w:eastAsia="宋体" w:cs="宋体"/>
                <w:color w:val="auto"/>
                <w:sz w:val="24"/>
                <w:szCs w:val="24"/>
                <w:lang w:eastAsia="zh-CN"/>
              </w:rPr>
              <w:t>青海鼎钊招标代理有限公司</w:t>
            </w:r>
          </w:p>
          <w:p w14:paraId="4960F930">
            <w:pPr>
              <w:autoSpaceDE w:val="0"/>
              <w:autoSpaceDN w:val="0"/>
              <w:spacing w:line="360" w:lineRule="auto"/>
              <w:ind w:firstLine="0" w:firstLineChars="0"/>
              <w:jc w:val="left"/>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开 户 行：</w:t>
            </w:r>
            <w:r>
              <w:rPr>
                <w:rFonts w:hint="eastAsia" w:ascii="宋体" w:hAnsi="宋体" w:eastAsia="宋体" w:cs="宋体"/>
                <w:color w:val="auto"/>
                <w:sz w:val="24"/>
                <w:szCs w:val="24"/>
                <w:lang w:eastAsia="zh-CN"/>
              </w:rPr>
              <w:t>上海浦东发展银行股份有限公司西宁城东支行</w:t>
            </w:r>
          </w:p>
          <w:p w14:paraId="4052A624">
            <w:pPr>
              <w:autoSpaceDE w:val="0"/>
              <w:autoSpaceDN w:val="0"/>
              <w:spacing w:line="360" w:lineRule="auto"/>
              <w:ind w:firstLine="0" w:firstLineChars="0"/>
              <w:jc w:val="left"/>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银行账号：</w:t>
            </w:r>
            <w:r>
              <w:rPr>
                <w:rFonts w:hint="eastAsia" w:ascii="宋体" w:hAnsi="宋体" w:eastAsia="宋体" w:cs="宋体"/>
                <w:color w:val="auto"/>
                <w:sz w:val="24"/>
                <w:szCs w:val="24"/>
                <w:lang w:eastAsia="zh-CN"/>
              </w:rPr>
              <w:t>35030078801500000377</w:t>
            </w:r>
          </w:p>
          <w:p w14:paraId="5EC89847">
            <w:pPr>
              <w:autoSpaceDE w:val="0"/>
              <w:autoSpaceDN w:val="0"/>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缴费时间：</w:t>
            </w:r>
            <w:r>
              <w:rPr>
                <w:rFonts w:hint="eastAsia" w:ascii="宋体" w:hAnsi="宋体" w:eastAsia="宋体" w:cs="宋体"/>
                <w:b/>
                <w:bCs/>
                <w:color w:val="auto"/>
                <w:sz w:val="24"/>
                <w:szCs w:val="24"/>
              </w:rPr>
              <w:t>提交响应文件截止时间</w:t>
            </w:r>
            <w:r>
              <w:rPr>
                <w:rFonts w:hint="eastAsia" w:ascii="宋体" w:hAnsi="宋体" w:eastAsia="宋体" w:cs="宋体"/>
                <w:b/>
                <w:bCs/>
                <w:color w:val="auto"/>
                <w:sz w:val="24"/>
                <w:szCs w:val="24"/>
                <w:lang w:val="zh-CN"/>
              </w:rPr>
              <w:t>前，以银行到账时间为准。</w:t>
            </w:r>
          </w:p>
        </w:tc>
      </w:tr>
      <w:tr w14:paraId="08596288">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DB5017">
            <w:pPr>
              <w:numPr>
                <w:ilvl w:val="0"/>
                <w:numId w:val="2"/>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075D11">
            <w:pPr>
              <w:autoSpaceDE w:val="0"/>
              <w:autoSpaceDN w:val="0"/>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缴费方式</w:t>
            </w:r>
          </w:p>
        </w:tc>
        <w:tc>
          <w:tcPr>
            <w:tcW w:w="7022" w:type="dxa"/>
            <w:tcBorders>
              <w:top w:val="single" w:color="000000" w:sz="6" w:space="0"/>
              <w:left w:val="single" w:color="000000" w:sz="6" w:space="0"/>
              <w:bottom w:val="single" w:color="000000" w:sz="6" w:space="0"/>
              <w:right w:val="single" w:color="000000" w:sz="6" w:space="0"/>
            </w:tcBorders>
            <w:shd w:val="clear" w:color="auto" w:fill="auto"/>
          </w:tcPr>
          <w:p w14:paraId="66662F30">
            <w:pPr>
              <w:autoSpaceDE w:val="0"/>
              <w:autoSpaceDN w:val="0"/>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缴费方式：磋商保证金应当以支票、汇票、本票或者金融机构、担保机构出具的保函（含电子保函，电子保函是指供应商利用青海省政府采购云平台电子保函系统（模块）出具的，有关业务操作流程和手册可从“青海省政府采购云平台”查阅下载，供应商在电子保函的申请、使用、查看应用过程中遇到问题可咨询技术支撑方：95763。政采云平台不向供应商收取服务费用）等非现金形式提交。供应商未按照磋商文件要求提交磋商保证金的，响应无效。</w:t>
            </w:r>
          </w:p>
        </w:tc>
      </w:tr>
      <w:tr w14:paraId="6E303704">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CD73BF">
            <w:pPr>
              <w:numPr>
                <w:ilvl w:val="0"/>
                <w:numId w:val="2"/>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D4E244D">
            <w:pPr>
              <w:autoSpaceDE w:val="0"/>
              <w:autoSpaceDN w:val="0"/>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磋商保证金退还</w:t>
            </w:r>
          </w:p>
        </w:tc>
        <w:tc>
          <w:tcPr>
            <w:tcW w:w="7022" w:type="dxa"/>
            <w:tcBorders>
              <w:top w:val="single" w:color="000000" w:sz="6" w:space="0"/>
              <w:left w:val="single" w:color="000000" w:sz="6" w:space="0"/>
              <w:bottom w:val="single" w:color="000000" w:sz="6" w:space="0"/>
              <w:right w:val="single" w:color="000000" w:sz="6" w:space="0"/>
            </w:tcBorders>
            <w:shd w:val="clear" w:color="auto" w:fill="auto"/>
          </w:tcPr>
          <w:p w14:paraId="0167C8C1">
            <w:pPr>
              <w:spacing w:line="360" w:lineRule="auto"/>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未成交供应商的磋商保证金在成交通知书发出后5个工作日内退还，成交供应商的磋商保证金在采购合同签订后5个工作日内退还</w:t>
            </w:r>
            <w:r>
              <w:rPr>
                <w:rFonts w:hint="eastAsia" w:ascii="宋体" w:hAnsi="宋体" w:eastAsia="宋体" w:cs="宋体"/>
                <w:color w:val="auto"/>
                <w:sz w:val="24"/>
                <w:szCs w:val="24"/>
              </w:rPr>
              <w:t>。</w:t>
            </w:r>
          </w:p>
        </w:tc>
      </w:tr>
      <w:tr w14:paraId="47A64685">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A8B72A">
            <w:pPr>
              <w:numPr>
                <w:ilvl w:val="0"/>
                <w:numId w:val="2"/>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09448F">
            <w:pPr>
              <w:autoSpaceDE w:val="0"/>
              <w:autoSpaceDN w:val="0"/>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递交响应文件方式</w:t>
            </w:r>
          </w:p>
        </w:tc>
        <w:tc>
          <w:tcPr>
            <w:tcW w:w="702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0E1FE1">
            <w:pPr>
              <w:autoSpaceDE w:val="0"/>
              <w:autoSpaceDN w:val="0"/>
              <w:spacing w:line="360" w:lineRule="auto"/>
              <w:ind w:firstLine="0" w:firstLineChars="0"/>
              <w:jc w:val="lef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政采云平台提交</w:t>
            </w:r>
          </w:p>
        </w:tc>
      </w:tr>
      <w:tr w14:paraId="523C8D62">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92A7A6">
            <w:pPr>
              <w:numPr>
                <w:ilvl w:val="0"/>
                <w:numId w:val="2"/>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66D75A">
            <w:pPr>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t>提交响应文件截止时间</w:t>
            </w:r>
          </w:p>
        </w:tc>
        <w:tc>
          <w:tcPr>
            <w:tcW w:w="702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6DAE0F">
            <w:pPr>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2026年6月1日上午9：30（北京时间）</w:t>
            </w:r>
          </w:p>
        </w:tc>
      </w:tr>
      <w:tr w14:paraId="0782EC00">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9BDD5C">
            <w:pPr>
              <w:numPr>
                <w:ilvl w:val="0"/>
                <w:numId w:val="2"/>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52B517">
            <w:pPr>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t>响应文件开启时间</w:t>
            </w:r>
          </w:p>
        </w:tc>
        <w:tc>
          <w:tcPr>
            <w:tcW w:w="702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A692685">
            <w:pPr>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2026年6月1日上午9：30（北京时间）</w:t>
            </w:r>
          </w:p>
        </w:tc>
      </w:tr>
      <w:tr w14:paraId="2CCE6662">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F74512">
            <w:pPr>
              <w:numPr>
                <w:ilvl w:val="0"/>
                <w:numId w:val="2"/>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41D675">
            <w:pPr>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t>提交响应文件地点</w:t>
            </w:r>
          </w:p>
        </w:tc>
        <w:tc>
          <w:tcPr>
            <w:tcW w:w="702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A61A3D">
            <w:pPr>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政采云平台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https://www.zcygov.cn/</w:t>
            </w:r>
            <w:r>
              <w:rPr>
                <w:rFonts w:hint="eastAsia" w:ascii="宋体" w:hAnsi="宋体" w:eastAsia="宋体" w:cs="宋体"/>
                <w:color w:val="auto"/>
                <w:sz w:val="24"/>
                <w:szCs w:val="24"/>
                <w:lang w:eastAsia="zh-CN"/>
              </w:rPr>
              <w:t>）</w:t>
            </w:r>
          </w:p>
        </w:tc>
      </w:tr>
      <w:tr w14:paraId="5487002E">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36456BA">
            <w:pPr>
              <w:numPr>
                <w:ilvl w:val="0"/>
                <w:numId w:val="2"/>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9B06F2">
            <w:pPr>
              <w:autoSpaceDE w:val="0"/>
              <w:autoSpaceDN w:val="0"/>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答疑澄清方式</w:t>
            </w:r>
          </w:p>
        </w:tc>
        <w:tc>
          <w:tcPr>
            <w:tcW w:w="7022" w:type="dxa"/>
            <w:tcBorders>
              <w:top w:val="single" w:color="000000" w:sz="6" w:space="0"/>
              <w:left w:val="single" w:color="000000" w:sz="6" w:space="0"/>
              <w:bottom w:val="single" w:color="000000" w:sz="6" w:space="0"/>
              <w:right w:val="single" w:color="000000" w:sz="6" w:space="0"/>
            </w:tcBorders>
            <w:shd w:val="clear" w:color="auto" w:fill="auto"/>
          </w:tcPr>
          <w:p w14:paraId="620278F0">
            <w:pPr>
              <w:autoSpaceDE w:val="0"/>
              <w:autoSpaceDN w:val="0"/>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en-US" w:eastAsia="zh-CN"/>
              </w:rPr>
              <w:t>评审中需要供应商对响应文件作出澄清、说明或者补正的，磋商小组和供应商应当通过电子交易系统交换数据电文，给予供应商提交澄清说明或补正的时间为60分钟，供应商已经明确表示澄清说明或补正完毕的除外。未在规定时间内进行澄清补正，视同默认原文相关内容。</w:t>
            </w:r>
          </w:p>
        </w:tc>
      </w:tr>
      <w:tr w14:paraId="19A47940">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A1C870">
            <w:pPr>
              <w:numPr>
                <w:ilvl w:val="0"/>
                <w:numId w:val="2"/>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F367C9">
            <w:pPr>
              <w:autoSpaceDE w:val="0"/>
              <w:autoSpaceDN w:val="0"/>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代理服务费收取</w:t>
            </w:r>
          </w:p>
        </w:tc>
        <w:tc>
          <w:tcPr>
            <w:tcW w:w="7022" w:type="dxa"/>
            <w:tcBorders>
              <w:top w:val="single" w:color="000000" w:sz="6" w:space="0"/>
              <w:left w:val="single" w:color="000000" w:sz="6" w:space="0"/>
              <w:bottom w:val="single" w:color="000000" w:sz="6" w:space="0"/>
              <w:right w:val="single" w:color="000000" w:sz="6" w:space="0"/>
            </w:tcBorders>
            <w:shd w:val="clear" w:color="auto" w:fill="auto"/>
          </w:tcPr>
          <w:p w14:paraId="208F30DB">
            <w:pPr>
              <w:autoSpaceDE w:val="0"/>
              <w:autoSpaceDN w:val="0"/>
              <w:spacing w:line="360" w:lineRule="auto"/>
              <w:ind w:firstLine="0" w:firstLineChars="0"/>
              <w:jc w:val="left"/>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收取对象：</w:t>
            </w:r>
            <w:r>
              <w:rPr>
                <w:rFonts w:hint="eastAsia" w:ascii="宋体" w:hAnsi="宋体" w:eastAsia="宋体" w:cs="宋体"/>
                <w:b/>
                <w:bCs/>
                <w:color w:val="auto"/>
                <w:sz w:val="24"/>
                <w:szCs w:val="24"/>
                <w:lang w:val="en-US" w:eastAsia="zh-CN"/>
              </w:rPr>
              <w:t>成交供应商</w:t>
            </w:r>
          </w:p>
          <w:p w14:paraId="42EA0E53">
            <w:pPr>
              <w:autoSpaceDE w:val="0"/>
              <w:autoSpaceDN w:val="0"/>
              <w:spacing w:line="360" w:lineRule="auto"/>
              <w:ind w:firstLine="0" w:firstLineChars="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zh-CN"/>
              </w:rPr>
              <w:t>收费金额：</w:t>
            </w:r>
            <w:r>
              <w:rPr>
                <w:rFonts w:hint="eastAsia" w:ascii="宋体" w:hAnsi="宋体" w:eastAsia="宋体" w:cs="宋体"/>
                <w:b/>
                <w:bCs/>
                <w:color w:val="auto"/>
                <w:sz w:val="24"/>
                <w:szCs w:val="24"/>
                <w:lang w:val="en-US" w:eastAsia="zh-CN"/>
              </w:rPr>
              <w:t>包2：4000.00元。</w:t>
            </w:r>
          </w:p>
          <w:p w14:paraId="31335CFF">
            <w:pPr>
              <w:autoSpaceDE w:val="0"/>
              <w:autoSpaceDN w:val="0"/>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收款单位：青海鼎钊招标代理有限公司</w:t>
            </w:r>
          </w:p>
          <w:p w14:paraId="56E86AE4">
            <w:pPr>
              <w:autoSpaceDE w:val="0"/>
              <w:autoSpaceDN w:val="0"/>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开 户 行：中国农业银行股份有限公司西宁城东经济技术开发区支行</w:t>
            </w:r>
          </w:p>
          <w:p w14:paraId="7AE3B394">
            <w:pPr>
              <w:autoSpaceDE w:val="0"/>
              <w:autoSpaceDN w:val="0"/>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银行账号：2801 2001 0400 0229 1</w:t>
            </w:r>
          </w:p>
        </w:tc>
      </w:tr>
      <w:tr w14:paraId="40387DBC">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ED768D4">
            <w:pPr>
              <w:numPr>
                <w:ilvl w:val="0"/>
                <w:numId w:val="2"/>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551639">
            <w:pPr>
              <w:autoSpaceDE w:val="0"/>
              <w:autoSpaceDN w:val="0"/>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合同签订有效期</w:t>
            </w:r>
          </w:p>
        </w:tc>
        <w:tc>
          <w:tcPr>
            <w:tcW w:w="7022" w:type="dxa"/>
            <w:tcBorders>
              <w:top w:val="single" w:color="000000" w:sz="6" w:space="0"/>
              <w:left w:val="single" w:color="000000" w:sz="6" w:space="0"/>
              <w:bottom w:val="single" w:color="000000" w:sz="6" w:space="0"/>
              <w:right w:val="single" w:color="000000" w:sz="6" w:space="0"/>
            </w:tcBorders>
            <w:shd w:val="clear" w:color="auto" w:fill="auto"/>
          </w:tcPr>
          <w:p w14:paraId="66F7ED3B">
            <w:pPr>
              <w:autoSpaceDE w:val="0"/>
              <w:autoSpaceDN w:val="0"/>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自成交通知书发出之日起</w:t>
            </w:r>
            <w:r>
              <w:rPr>
                <w:rFonts w:hint="eastAsia" w:ascii="宋体" w:hAnsi="宋体" w:eastAsia="宋体" w:cs="宋体"/>
                <w:color w:val="auto"/>
                <w:sz w:val="24"/>
                <w:szCs w:val="24"/>
              </w:rPr>
              <w:t>30</w:t>
            </w:r>
            <w:r>
              <w:rPr>
                <w:rFonts w:hint="eastAsia" w:ascii="宋体" w:hAnsi="宋体" w:eastAsia="宋体" w:cs="宋体"/>
                <w:color w:val="auto"/>
                <w:sz w:val="24"/>
                <w:szCs w:val="24"/>
                <w:lang w:val="zh-CN"/>
              </w:rPr>
              <w:t>日内与采购人签订采购合同</w:t>
            </w:r>
          </w:p>
        </w:tc>
      </w:tr>
      <w:tr w14:paraId="2B77B819">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6AE2D0">
            <w:pPr>
              <w:numPr>
                <w:ilvl w:val="0"/>
                <w:numId w:val="2"/>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0B254A">
            <w:pPr>
              <w:autoSpaceDE w:val="0"/>
              <w:autoSpaceDN w:val="0"/>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政府采购合同备案</w:t>
            </w:r>
          </w:p>
        </w:tc>
        <w:tc>
          <w:tcPr>
            <w:tcW w:w="7022" w:type="dxa"/>
            <w:tcBorders>
              <w:top w:val="single" w:color="000000" w:sz="6" w:space="0"/>
              <w:left w:val="single" w:color="000000" w:sz="6" w:space="0"/>
              <w:bottom w:val="single" w:color="000000" w:sz="6" w:space="0"/>
              <w:right w:val="single" w:color="000000" w:sz="6" w:space="0"/>
            </w:tcBorders>
            <w:shd w:val="clear" w:color="auto" w:fill="auto"/>
          </w:tcPr>
          <w:p w14:paraId="4C7B092A">
            <w:pPr>
              <w:autoSpaceDE w:val="0"/>
              <w:autoSpaceDN w:val="0"/>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采购合同全数返回采购代理机构鉴证，盖章。</w:t>
            </w:r>
          </w:p>
          <w:p w14:paraId="3397B156">
            <w:pPr>
              <w:autoSpaceDE w:val="0"/>
              <w:autoSpaceDN w:val="0"/>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采购代理机构留存</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lang w:val="zh-CN"/>
              </w:rPr>
              <w:t>份原件备案。</w:t>
            </w:r>
          </w:p>
        </w:tc>
      </w:tr>
      <w:tr w14:paraId="2078D5EF">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0C5DA2">
            <w:pPr>
              <w:numPr>
                <w:ilvl w:val="0"/>
                <w:numId w:val="2"/>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770B3E">
            <w:pPr>
              <w:autoSpaceDE w:val="0"/>
              <w:autoSpaceDN w:val="0"/>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t>磋商有效期</w:t>
            </w:r>
          </w:p>
        </w:tc>
        <w:tc>
          <w:tcPr>
            <w:tcW w:w="7022" w:type="dxa"/>
            <w:tcBorders>
              <w:top w:val="single" w:color="000000" w:sz="6" w:space="0"/>
              <w:left w:val="single" w:color="000000" w:sz="6" w:space="0"/>
              <w:bottom w:val="single" w:color="000000" w:sz="6" w:space="0"/>
              <w:right w:val="single" w:color="000000" w:sz="6" w:space="0"/>
            </w:tcBorders>
            <w:shd w:val="clear" w:color="auto" w:fill="auto"/>
          </w:tcPr>
          <w:p w14:paraId="3A5687CE">
            <w:pPr>
              <w:autoSpaceDE w:val="0"/>
              <w:autoSpaceDN w:val="0"/>
              <w:spacing w:line="360" w:lineRule="auto"/>
              <w:ind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rPr>
              <w:t>磋商有效期为自磋商开始之日起</w:t>
            </w:r>
            <w:r>
              <w:rPr>
                <w:rFonts w:hint="eastAsia" w:ascii="宋体" w:hAnsi="宋体" w:eastAsia="宋体" w:cs="宋体"/>
                <w:color w:val="auto"/>
                <w:sz w:val="24"/>
                <w:szCs w:val="24"/>
                <w:lang w:val="en-US" w:eastAsia="zh-CN"/>
              </w:rPr>
              <w:t>60</w:t>
            </w:r>
            <w:r>
              <w:rPr>
                <w:rFonts w:hint="eastAsia" w:ascii="宋体" w:hAnsi="宋体" w:eastAsia="宋体" w:cs="宋体"/>
                <w:color w:val="auto"/>
                <w:sz w:val="24"/>
                <w:szCs w:val="24"/>
              </w:rPr>
              <w:t>个日历日</w:t>
            </w:r>
          </w:p>
        </w:tc>
      </w:tr>
      <w:tr w14:paraId="6CA9FE91">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C82334">
            <w:pPr>
              <w:numPr>
                <w:ilvl w:val="0"/>
                <w:numId w:val="2"/>
              </w:numPr>
              <w:autoSpaceDE w:val="0"/>
              <w:autoSpaceDN w:val="0"/>
              <w:spacing w:line="360" w:lineRule="auto"/>
              <w:ind w:firstLineChars="0"/>
              <w:jc w:val="center"/>
              <w:rPr>
                <w:rFonts w:hint="eastAsia" w:ascii="宋体" w:hAnsi="宋体" w:eastAsia="宋体" w:cs="宋体"/>
                <w:b/>
                <w:bCs/>
                <w:color w:val="auto"/>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DB94EEC">
            <w:pPr>
              <w:autoSpaceDE w:val="0"/>
              <w:autoSpaceDN w:val="0"/>
              <w:spacing w:line="360" w:lineRule="auto"/>
              <w:ind w:firstLine="0" w:firstLineChars="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其他事项</w:t>
            </w:r>
          </w:p>
        </w:tc>
        <w:tc>
          <w:tcPr>
            <w:tcW w:w="7022" w:type="dxa"/>
            <w:tcBorders>
              <w:top w:val="single" w:color="000000" w:sz="6" w:space="0"/>
              <w:left w:val="single" w:color="000000" w:sz="6" w:space="0"/>
              <w:bottom w:val="single" w:color="000000" w:sz="6" w:space="0"/>
              <w:right w:val="single" w:color="000000" w:sz="6" w:space="0"/>
            </w:tcBorders>
            <w:shd w:val="clear" w:color="auto" w:fill="auto"/>
          </w:tcPr>
          <w:p w14:paraId="179F1504">
            <w:pPr>
              <w:autoSpaceDE w:val="0"/>
              <w:autoSpaceDN w:val="0"/>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bl>
    <w:p w14:paraId="3CA4CF2A">
      <w:pPr>
        <w:wordWrap w:val="0"/>
        <w:spacing w:line="360" w:lineRule="auto"/>
        <w:ind w:firstLine="0" w:firstLineChars="0"/>
        <w:rPr>
          <w:rFonts w:hint="eastAsia" w:ascii="宋体" w:hAnsi="宋体" w:eastAsia="宋体" w:cs="宋体"/>
          <w:color w:val="auto"/>
          <w:sz w:val="24"/>
          <w:szCs w:val="24"/>
          <w:lang w:val="zh-CN"/>
        </w:rPr>
      </w:pPr>
    </w:p>
    <w:p w14:paraId="6FE46C3F">
      <w:pPr>
        <w:wordWrap w:val="0"/>
        <w:spacing w:line="360" w:lineRule="auto"/>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br w:type="page"/>
      </w:r>
    </w:p>
    <w:p w14:paraId="601D37BE">
      <w:pPr>
        <w:keepNext/>
        <w:keepLines/>
        <w:pageBreakBefore/>
        <w:widowControl/>
        <w:snapToGrid w:val="0"/>
        <w:spacing w:line="360" w:lineRule="auto"/>
        <w:ind w:firstLine="0" w:firstLineChars="0"/>
        <w:jc w:val="center"/>
        <w:outlineLvl w:val="0"/>
        <w:rPr>
          <w:rFonts w:hint="eastAsia" w:ascii="宋体" w:hAnsi="宋体" w:eastAsia="宋体" w:cs="宋体"/>
          <w:b/>
          <w:color w:val="auto"/>
          <w:kern w:val="28"/>
          <w:sz w:val="36"/>
          <w:szCs w:val="20"/>
        </w:rPr>
      </w:pPr>
      <w:bookmarkStart w:id="4" w:name="_Toc21023"/>
      <w:bookmarkStart w:id="5" w:name="_Toc325725997"/>
      <w:r>
        <w:rPr>
          <w:rFonts w:hint="eastAsia" w:ascii="宋体" w:hAnsi="宋体" w:eastAsia="宋体" w:cs="宋体"/>
          <w:b/>
          <w:color w:val="auto"/>
          <w:kern w:val="28"/>
          <w:sz w:val="36"/>
          <w:szCs w:val="20"/>
        </w:rPr>
        <w:t>第三部分  供应商须知</w:t>
      </w:r>
      <w:bookmarkEnd w:id="4"/>
    </w:p>
    <w:p w14:paraId="5F327CAB">
      <w:pPr>
        <w:widowControl/>
        <w:spacing w:line="360" w:lineRule="auto"/>
        <w:ind w:firstLine="0" w:firstLineChars="0"/>
        <w:jc w:val="center"/>
        <w:outlineLvl w:val="1"/>
        <w:rPr>
          <w:rFonts w:hint="eastAsia" w:ascii="宋体" w:hAnsi="宋体" w:eastAsia="宋体" w:cs="宋体"/>
          <w:b/>
          <w:bCs/>
          <w:color w:val="auto"/>
          <w:sz w:val="24"/>
          <w:szCs w:val="24"/>
        </w:rPr>
      </w:pPr>
      <w:bookmarkStart w:id="6" w:name="_Toc24622"/>
      <w:bookmarkStart w:id="7" w:name="_Toc376936728"/>
      <w:bookmarkStart w:id="8" w:name="_Toc23004"/>
      <w:bookmarkStart w:id="9" w:name="_Toc14943"/>
      <w:r>
        <w:rPr>
          <w:rFonts w:hint="eastAsia" w:ascii="宋体" w:hAnsi="宋体" w:eastAsia="宋体" w:cs="宋体"/>
          <w:b/>
          <w:bCs/>
          <w:color w:val="auto"/>
          <w:sz w:val="24"/>
          <w:szCs w:val="24"/>
        </w:rPr>
        <w:t>一、说  明</w:t>
      </w:r>
      <w:bookmarkEnd w:id="5"/>
      <w:bookmarkEnd w:id="6"/>
      <w:bookmarkEnd w:id="7"/>
      <w:bookmarkEnd w:id="8"/>
      <w:bookmarkEnd w:id="9"/>
    </w:p>
    <w:p w14:paraId="3B01CECD">
      <w:pPr>
        <w:widowControl/>
        <w:spacing w:line="360" w:lineRule="auto"/>
        <w:ind w:firstLine="0" w:firstLineChars="0"/>
        <w:jc w:val="left"/>
        <w:outlineLvl w:val="2"/>
        <w:rPr>
          <w:rFonts w:hint="eastAsia" w:ascii="宋体" w:hAnsi="宋体" w:eastAsia="宋体" w:cs="宋体"/>
          <w:b/>
          <w:bCs/>
          <w:color w:val="auto"/>
          <w:sz w:val="24"/>
          <w:szCs w:val="24"/>
        </w:rPr>
      </w:pPr>
      <w:bookmarkStart w:id="10" w:name="_Toc9770"/>
      <w:bookmarkStart w:id="11" w:name="_Toc1465"/>
      <w:bookmarkStart w:id="12" w:name="_Toc376936729"/>
      <w:bookmarkStart w:id="13" w:name="_Toc26944"/>
      <w:bookmarkStart w:id="14" w:name="_Toc325725998"/>
      <w:r>
        <w:rPr>
          <w:rFonts w:hint="eastAsia" w:ascii="宋体" w:hAnsi="宋体" w:eastAsia="宋体" w:cs="宋体"/>
          <w:b/>
          <w:bCs/>
          <w:color w:val="auto"/>
          <w:sz w:val="24"/>
          <w:szCs w:val="24"/>
        </w:rPr>
        <w:t>1.适用范围</w:t>
      </w:r>
      <w:bookmarkEnd w:id="10"/>
      <w:bookmarkEnd w:id="11"/>
      <w:bookmarkEnd w:id="12"/>
      <w:bookmarkEnd w:id="13"/>
      <w:bookmarkEnd w:id="14"/>
    </w:p>
    <w:p w14:paraId="2E988114">
      <w:pPr>
        <w:tabs>
          <w:tab w:val="left" w:pos="840"/>
        </w:tabs>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本次采购依据采购人的采购计划，仅适用于本磋商文件中所叙述的项目。</w:t>
      </w:r>
    </w:p>
    <w:p w14:paraId="20EFE43A">
      <w:pPr>
        <w:widowControl/>
        <w:spacing w:line="360" w:lineRule="auto"/>
        <w:ind w:firstLine="0" w:firstLineChars="0"/>
        <w:jc w:val="left"/>
        <w:outlineLvl w:val="2"/>
        <w:rPr>
          <w:rFonts w:hint="eastAsia" w:ascii="宋体" w:hAnsi="宋体" w:eastAsia="宋体" w:cs="宋体"/>
          <w:b/>
          <w:bCs/>
          <w:color w:val="auto"/>
          <w:sz w:val="24"/>
          <w:szCs w:val="24"/>
        </w:rPr>
      </w:pPr>
      <w:bookmarkStart w:id="15" w:name="_Toc325725999"/>
      <w:bookmarkStart w:id="16" w:name="_Toc376936730"/>
      <w:bookmarkStart w:id="17" w:name="_Toc21998"/>
      <w:bookmarkStart w:id="18" w:name="_Toc31556"/>
      <w:bookmarkStart w:id="19" w:name="_Toc20313"/>
      <w:r>
        <w:rPr>
          <w:rFonts w:hint="eastAsia" w:ascii="宋体" w:hAnsi="宋体" w:eastAsia="宋体" w:cs="宋体"/>
          <w:b/>
          <w:bCs/>
          <w:color w:val="auto"/>
          <w:sz w:val="24"/>
          <w:szCs w:val="24"/>
        </w:rPr>
        <w:t>2.采购方式、合格的</w:t>
      </w:r>
      <w:bookmarkEnd w:id="15"/>
      <w:bookmarkEnd w:id="16"/>
      <w:bookmarkEnd w:id="17"/>
      <w:r>
        <w:rPr>
          <w:rFonts w:hint="eastAsia" w:ascii="宋体" w:hAnsi="宋体" w:eastAsia="宋体" w:cs="宋体"/>
          <w:b/>
          <w:bCs/>
          <w:color w:val="auto"/>
          <w:sz w:val="24"/>
          <w:szCs w:val="24"/>
        </w:rPr>
        <w:t>供应商</w:t>
      </w:r>
      <w:bookmarkEnd w:id="18"/>
      <w:bookmarkEnd w:id="19"/>
    </w:p>
    <w:p w14:paraId="10CBC435">
      <w:pPr>
        <w:tabs>
          <w:tab w:val="left" w:pos="840"/>
        </w:tabs>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2.1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本次采购采取竞争性磋商方式。</w:t>
      </w:r>
    </w:p>
    <w:p w14:paraId="69BC0309">
      <w:pPr>
        <w:tabs>
          <w:tab w:val="left" w:pos="840"/>
        </w:tabs>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合格的供应商：</w:t>
      </w:r>
      <w:r>
        <w:rPr>
          <w:rFonts w:hint="eastAsia" w:ascii="宋体" w:hAnsi="宋体" w:eastAsia="宋体" w:cs="宋体"/>
          <w:color w:val="auto"/>
          <w:sz w:val="24"/>
          <w:szCs w:val="24"/>
          <w:lang w:val="zh-CN"/>
        </w:rPr>
        <w:t>详见第一部分投标邀请中“各包供应商资格条件”的规定</w:t>
      </w:r>
    </w:p>
    <w:p w14:paraId="4E80D9F7">
      <w:pPr>
        <w:widowControl/>
        <w:spacing w:line="360" w:lineRule="auto"/>
        <w:ind w:firstLine="0" w:firstLineChars="0"/>
        <w:jc w:val="left"/>
        <w:outlineLvl w:val="2"/>
        <w:rPr>
          <w:rFonts w:hint="eastAsia" w:ascii="宋体" w:hAnsi="宋体" w:eastAsia="宋体" w:cs="宋体"/>
          <w:b/>
          <w:bCs/>
          <w:color w:val="auto"/>
          <w:sz w:val="24"/>
          <w:szCs w:val="24"/>
        </w:rPr>
      </w:pPr>
      <w:bookmarkStart w:id="20" w:name="_Toc8820"/>
      <w:bookmarkStart w:id="21" w:name="_Toc376936731"/>
      <w:bookmarkStart w:id="22" w:name="_Toc8805"/>
      <w:bookmarkStart w:id="23" w:name="_Toc325726000"/>
      <w:bookmarkStart w:id="24" w:name="_Toc1923"/>
      <w:r>
        <w:rPr>
          <w:rFonts w:hint="eastAsia" w:ascii="宋体" w:hAnsi="宋体" w:eastAsia="宋体" w:cs="宋体"/>
          <w:b/>
          <w:bCs/>
          <w:color w:val="auto"/>
          <w:sz w:val="24"/>
          <w:szCs w:val="24"/>
        </w:rPr>
        <w:t>3.磋商费用</w:t>
      </w:r>
      <w:bookmarkEnd w:id="20"/>
      <w:bookmarkEnd w:id="21"/>
      <w:bookmarkEnd w:id="22"/>
      <w:bookmarkEnd w:id="23"/>
      <w:bookmarkEnd w:id="24"/>
    </w:p>
    <w:p w14:paraId="2F7159B5">
      <w:pPr>
        <w:tabs>
          <w:tab w:val="left" w:pos="840"/>
        </w:tabs>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供应商应自愿承担与参加本次投标有关的费用。采购代理机构对供应商发生的费用不承担任何责任。</w:t>
      </w:r>
      <w:bookmarkStart w:id="25" w:name="_Toc325726001"/>
      <w:bookmarkStart w:id="26" w:name="_Toc376936732"/>
      <w:bookmarkStart w:id="27" w:name="_Toc18155"/>
    </w:p>
    <w:p w14:paraId="22C8D378">
      <w:pPr>
        <w:widowControl/>
        <w:spacing w:line="360" w:lineRule="auto"/>
        <w:ind w:firstLine="0" w:firstLineChars="0"/>
        <w:jc w:val="center"/>
        <w:outlineLvl w:val="1"/>
        <w:rPr>
          <w:rFonts w:hint="eastAsia" w:ascii="宋体" w:hAnsi="宋体" w:eastAsia="宋体" w:cs="宋体"/>
          <w:b/>
          <w:bCs/>
          <w:color w:val="auto"/>
          <w:sz w:val="24"/>
          <w:szCs w:val="24"/>
        </w:rPr>
      </w:pPr>
      <w:bookmarkStart w:id="28" w:name="_Toc27095"/>
      <w:r>
        <w:rPr>
          <w:rFonts w:hint="eastAsia" w:ascii="宋体" w:hAnsi="宋体" w:eastAsia="宋体" w:cs="宋体"/>
          <w:b/>
          <w:bCs/>
          <w:color w:val="auto"/>
          <w:sz w:val="24"/>
          <w:szCs w:val="24"/>
        </w:rPr>
        <w:t>二、磋商文件说明</w:t>
      </w:r>
      <w:bookmarkEnd w:id="25"/>
      <w:bookmarkEnd w:id="26"/>
      <w:bookmarkEnd w:id="27"/>
      <w:bookmarkEnd w:id="28"/>
    </w:p>
    <w:p w14:paraId="55C388F0">
      <w:pPr>
        <w:widowControl/>
        <w:spacing w:line="360" w:lineRule="auto"/>
        <w:ind w:firstLine="0" w:firstLineChars="0"/>
        <w:jc w:val="left"/>
        <w:outlineLvl w:val="2"/>
        <w:rPr>
          <w:rFonts w:hint="eastAsia" w:ascii="宋体" w:hAnsi="宋体" w:eastAsia="宋体" w:cs="宋体"/>
          <w:b/>
          <w:bCs/>
          <w:color w:val="auto"/>
          <w:sz w:val="24"/>
          <w:szCs w:val="24"/>
        </w:rPr>
      </w:pPr>
      <w:bookmarkStart w:id="29" w:name="_Toc14153"/>
      <w:bookmarkStart w:id="30" w:name="_Toc325726002"/>
      <w:bookmarkStart w:id="31" w:name="_Toc1170"/>
      <w:bookmarkStart w:id="32" w:name="_Toc10649"/>
      <w:bookmarkStart w:id="33" w:name="_Toc376936733"/>
      <w:r>
        <w:rPr>
          <w:rFonts w:hint="eastAsia" w:ascii="宋体" w:hAnsi="宋体" w:eastAsia="宋体" w:cs="宋体"/>
          <w:b/>
          <w:bCs/>
          <w:color w:val="auto"/>
          <w:sz w:val="24"/>
          <w:szCs w:val="24"/>
        </w:rPr>
        <w:t>4.磋商文件的构成</w:t>
      </w:r>
      <w:bookmarkEnd w:id="29"/>
      <w:bookmarkEnd w:id="30"/>
      <w:bookmarkEnd w:id="31"/>
      <w:bookmarkEnd w:id="32"/>
      <w:bookmarkEnd w:id="33"/>
    </w:p>
    <w:p w14:paraId="73F51FF3">
      <w:pPr>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4.1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磋商文件包括：</w:t>
      </w:r>
    </w:p>
    <w:p w14:paraId="4BA56B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（1）投标邀请</w:t>
      </w:r>
    </w:p>
    <w:p w14:paraId="505653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供应商须知前附表</w:t>
      </w:r>
    </w:p>
    <w:p w14:paraId="27D5D1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（3）供应商须知</w:t>
      </w:r>
    </w:p>
    <w:p w14:paraId="0F07A5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（4）采购项目合同书</w:t>
      </w:r>
    </w:p>
    <w:p w14:paraId="0CD80A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（5）响应文件格式（相关附件）</w:t>
      </w:r>
    </w:p>
    <w:p w14:paraId="0A5246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w:t>
      </w:r>
      <w:r>
        <w:rPr>
          <w:rFonts w:hint="eastAsia" w:ascii="宋体" w:hAnsi="宋体" w:eastAsia="宋体" w:cs="宋体"/>
          <w:color w:val="auto"/>
          <w:sz w:val="24"/>
          <w:szCs w:val="24"/>
          <w:lang w:eastAsia="zh-CN"/>
        </w:rPr>
        <w:t>采购项目要求</w:t>
      </w:r>
    </w:p>
    <w:p w14:paraId="137F35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（7）磋商过程中发生的澄清、变更和补充文件</w:t>
      </w:r>
    </w:p>
    <w:p w14:paraId="2476DCB6">
      <w:pPr>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4.2 供应商应认真阅读磋商文件中列示的事项、格式、条款和要求等内容。如果供应商未按磋商文件要求提交全部资料，或者对磋商文件未作出实质性响应的，将视为无效响应。</w:t>
      </w:r>
    </w:p>
    <w:p w14:paraId="6D226C5E">
      <w:pPr>
        <w:widowControl/>
        <w:spacing w:line="360" w:lineRule="auto"/>
        <w:ind w:firstLine="0" w:firstLineChars="0"/>
        <w:jc w:val="left"/>
        <w:outlineLvl w:val="2"/>
        <w:rPr>
          <w:rFonts w:hint="eastAsia" w:ascii="宋体" w:hAnsi="宋体" w:eastAsia="宋体" w:cs="宋体"/>
          <w:b/>
          <w:bCs/>
          <w:color w:val="auto"/>
          <w:sz w:val="24"/>
          <w:szCs w:val="24"/>
        </w:rPr>
      </w:pPr>
      <w:bookmarkStart w:id="34" w:name="_Toc6482"/>
      <w:bookmarkStart w:id="35" w:name="_Toc376936734"/>
      <w:bookmarkStart w:id="36" w:name="_Toc325726003"/>
      <w:bookmarkStart w:id="37" w:name="_Toc3451"/>
      <w:bookmarkStart w:id="38" w:name="_Toc2220"/>
      <w:r>
        <w:rPr>
          <w:rFonts w:hint="eastAsia" w:ascii="宋体" w:hAnsi="宋体" w:eastAsia="宋体" w:cs="宋体"/>
          <w:b/>
          <w:bCs/>
          <w:color w:val="auto"/>
          <w:sz w:val="24"/>
          <w:szCs w:val="24"/>
        </w:rPr>
        <w:t>5.</w:t>
      </w:r>
      <w:bookmarkEnd w:id="34"/>
      <w:bookmarkEnd w:id="35"/>
      <w:bookmarkEnd w:id="36"/>
      <w:bookmarkEnd w:id="37"/>
      <w:r>
        <w:rPr>
          <w:rFonts w:hint="eastAsia" w:ascii="宋体" w:hAnsi="宋体" w:eastAsia="宋体" w:cs="宋体"/>
          <w:b/>
          <w:bCs/>
          <w:color w:val="auto"/>
          <w:sz w:val="24"/>
          <w:szCs w:val="24"/>
          <w:lang w:val="en-US" w:eastAsia="zh-CN"/>
        </w:rPr>
        <w:t>磋商</w:t>
      </w:r>
      <w:r>
        <w:rPr>
          <w:rFonts w:hint="eastAsia" w:ascii="宋体" w:hAnsi="宋体" w:eastAsia="宋体" w:cs="宋体"/>
          <w:b/>
          <w:bCs/>
          <w:color w:val="auto"/>
          <w:sz w:val="24"/>
          <w:szCs w:val="24"/>
          <w:lang w:val="zh-CN"/>
        </w:rPr>
        <w:t>文件、采购活动和</w:t>
      </w:r>
      <w:r>
        <w:rPr>
          <w:rFonts w:hint="eastAsia" w:ascii="宋体" w:hAnsi="宋体" w:eastAsia="宋体" w:cs="宋体"/>
          <w:b/>
          <w:bCs/>
          <w:color w:val="auto"/>
          <w:sz w:val="24"/>
          <w:szCs w:val="24"/>
          <w:lang w:val="en-US" w:eastAsia="zh-CN"/>
        </w:rPr>
        <w:t>成交</w:t>
      </w:r>
      <w:r>
        <w:rPr>
          <w:rFonts w:hint="eastAsia" w:ascii="宋体" w:hAnsi="宋体" w:eastAsia="宋体" w:cs="宋体"/>
          <w:b/>
          <w:bCs/>
          <w:color w:val="auto"/>
          <w:sz w:val="24"/>
          <w:szCs w:val="24"/>
          <w:lang w:val="zh-CN"/>
        </w:rPr>
        <w:t>结果的质疑</w:t>
      </w:r>
      <w:bookmarkEnd w:id="38"/>
    </w:p>
    <w:p w14:paraId="47ABC319">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val="zh-CN"/>
        </w:rPr>
        <w:t>认为</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lang w:val="zh-CN"/>
        </w:rPr>
        <w:t>文件、采购过程和</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lang w:val="zh-CN"/>
        </w:rPr>
        <w:t>结果使自己的权益受到损害的，可以在知道或者应知其权益受到损害之日起7个工作日内以书面形式（如信件、传真等）向采购人或者采购代理机构提出质疑，不接受匿名质疑。</w:t>
      </w:r>
      <w:r>
        <w:rPr>
          <w:rFonts w:hint="eastAsia" w:ascii="宋体" w:hAnsi="宋体" w:eastAsia="宋体" w:cs="宋体"/>
          <w:color w:val="auto"/>
          <w:sz w:val="24"/>
          <w:szCs w:val="24"/>
        </w:rPr>
        <w:t>潜在供应商已依法获取其可质疑的采购文件的，可以对该文件提出质疑，对采购文件提出质疑的，应当在获取采购文件或者采购文件公告期限届满之日起7个工作日内提出。供应商须在法定质疑期内一次性提出针对同一采购程序环节的质疑。</w:t>
      </w:r>
      <w:r>
        <w:rPr>
          <w:rFonts w:hint="eastAsia" w:ascii="宋体" w:hAnsi="宋体" w:eastAsia="宋体" w:cs="宋体"/>
          <w:color w:val="auto"/>
          <w:sz w:val="24"/>
          <w:szCs w:val="24"/>
          <w:lang w:val="zh-CN"/>
        </w:rPr>
        <w:t>采购人或采购代理机构在收到书面</w:t>
      </w:r>
      <w:r>
        <w:rPr>
          <w:rFonts w:hint="eastAsia" w:ascii="宋体" w:hAnsi="宋体" w:eastAsia="宋体" w:cs="宋体"/>
          <w:color w:val="auto"/>
          <w:sz w:val="24"/>
          <w:szCs w:val="24"/>
        </w:rPr>
        <w:t>质疑函后7个工作日内作出答复</w:t>
      </w:r>
      <w:r>
        <w:rPr>
          <w:rFonts w:hint="eastAsia" w:ascii="宋体" w:hAnsi="宋体" w:eastAsia="宋体" w:cs="宋体"/>
          <w:color w:val="auto"/>
          <w:sz w:val="24"/>
          <w:szCs w:val="24"/>
          <w:lang w:val="zh-CN"/>
        </w:rPr>
        <w:t>。</w:t>
      </w:r>
    </w:p>
    <w:p w14:paraId="3DDE8D0B">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参与采购活动的</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val="zh-CN"/>
        </w:rPr>
        <w:t>对评审过程或者结果提出质疑的，采购人、采购代理机构可以组织原评审委员会协助答复质疑。质疑事项处理完成后，采购人或采购代理机构应按照规定填写《青海省政府采购</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val="zh-CN"/>
        </w:rPr>
        <w:t>质疑处理情况表》，并在15日内报同级政府采购监督管理部门备案。</w:t>
      </w:r>
    </w:p>
    <w:p w14:paraId="2C94391E">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val="zh-CN"/>
        </w:rPr>
        <w:t>应知其权益受到损害之日，是指：</w:t>
      </w:r>
    </w:p>
    <w:p w14:paraId="749C1F1D">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rPr>
        <w:t>）对可以质疑的</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lang w:val="zh-CN"/>
        </w:rPr>
        <w:t>文件提出质疑的，为收到</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lang w:val="zh-CN"/>
        </w:rPr>
        <w:t>文件之日或者</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lang w:val="zh-CN"/>
        </w:rPr>
        <w:t>文件公告期限届满之日；</w:t>
      </w:r>
    </w:p>
    <w:p w14:paraId="2F8B20A5">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rPr>
        <w:t>）对采购过程提出质疑的，为各采购程序环节结束之日；</w:t>
      </w:r>
    </w:p>
    <w:p w14:paraId="48E66E99">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）对</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lang w:val="zh-CN"/>
        </w:rPr>
        <w:t>结果提出质疑的，为</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lang w:val="zh-CN"/>
        </w:rPr>
        <w:t>结果公告期限届满之日。</w:t>
      </w:r>
    </w:p>
    <w:p w14:paraId="0B59417F">
      <w:pPr>
        <w:spacing w:line="360" w:lineRule="auto"/>
        <w:ind w:firstLine="48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依据《青海省财政厅关于开展政府采购线上质疑、投诉试点工作的通知》（青财采字〔2024〕1412号）规定，本项目质疑、投诉可通过电子化系统线上受理并进行线上答复。线上质疑、投诉渠道为：政采云平台（</w:t>
      </w:r>
      <w:r>
        <w:rPr>
          <w:rFonts w:hint="eastAsia" w:ascii="宋体" w:hAnsi="宋体" w:eastAsia="宋体" w:cs="宋体"/>
          <w:color w:val="auto"/>
          <w:sz w:val="24"/>
          <w:szCs w:val="24"/>
          <w:lang w:val="zh-CN" w:eastAsia="zh-CN"/>
        </w:rPr>
        <w:fldChar w:fldCharType="begin"/>
      </w:r>
      <w:r>
        <w:rPr>
          <w:rFonts w:hint="eastAsia" w:ascii="宋体" w:hAnsi="宋体" w:eastAsia="宋体" w:cs="宋体"/>
          <w:color w:val="auto"/>
          <w:sz w:val="24"/>
          <w:szCs w:val="24"/>
          <w:lang w:val="zh-CN" w:eastAsia="zh-CN"/>
        </w:rPr>
        <w:instrText xml:space="preserve"> HYPERLINK "https://www.zcygov.cn。" </w:instrText>
      </w:r>
      <w:r>
        <w:rPr>
          <w:rFonts w:hint="eastAsia" w:ascii="宋体" w:hAnsi="宋体" w:eastAsia="宋体" w:cs="宋体"/>
          <w:color w:val="auto"/>
          <w:sz w:val="24"/>
          <w:szCs w:val="24"/>
          <w:lang w:val="zh-CN" w:eastAsia="zh-CN"/>
        </w:rPr>
        <w:fldChar w:fldCharType="separate"/>
      </w:r>
      <w:r>
        <w:rPr>
          <w:rFonts w:hint="eastAsia" w:ascii="宋体" w:hAnsi="宋体" w:eastAsia="宋体" w:cs="宋体"/>
          <w:color w:val="auto"/>
          <w:sz w:val="24"/>
          <w:szCs w:val="24"/>
          <w:lang w:val="zh-CN" w:eastAsia="zh-CN"/>
        </w:rPr>
        <w:t>https://www.zcygov.cn）。</w:t>
      </w:r>
      <w:r>
        <w:rPr>
          <w:rFonts w:hint="eastAsia" w:ascii="宋体" w:hAnsi="宋体" w:eastAsia="宋体" w:cs="宋体"/>
          <w:color w:val="auto"/>
          <w:sz w:val="24"/>
          <w:szCs w:val="24"/>
          <w:lang w:val="zh-CN" w:eastAsia="zh-CN"/>
        </w:rPr>
        <w:fldChar w:fldCharType="end"/>
      </w:r>
    </w:p>
    <w:p w14:paraId="09B1A44E">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线上质疑试点期间，供应商在法定质疑期内也可线下提出书面质疑函。</w:t>
      </w:r>
    </w:p>
    <w:p w14:paraId="78EEB0A6">
      <w:pPr>
        <w:widowControl/>
        <w:spacing w:line="360" w:lineRule="auto"/>
        <w:ind w:firstLine="0" w:firstLineChars="0"/>
        <w:jc w:val="left"/>
        <w:outlineLvl w:val="2"/>
        <w:rPr>
          <w:rFonts w:hint="eastAsia" w:ascii="宋体" w:hAnsi="宋体" w:eastAsia="宋体" w:cs="宋体"/>
          <w:b/>
          <w:bCs/>
          <w:color w:val="auto"/>
          <w:sz w:val="24"/>
          <w:szCs w:val="24"/>
        </w:rPr>
      </w:pPr>
      <w:bookmarkStart w:id="39" w:name="_Toc325726004"/>
      <w:bookmarkStart w:id="40" w:name="_Toc29489"/>
      <w:bookmarkStart w:id="41" w:name="_Toc26515"/>
      <w:bookmarkStart w:id="42" w:name="_Toc376936735"/>
      <w:bookmarkStart w:id="43" w:name="_Toc13050"/>
      <w:r>
        <w:rPr>
          <w:rFonts w:hint="eastAsia" w:ascii="宋体" w:hAnsi="宋体" w:eastAsia="宋体" w:cs="宋体"/>
          <w:b/>
          <w:bCs/>
          <w:color w:val="auto"/>
          <w:sz w:val="24"/>
          <w:szCs w:val="24"/>
        </w:rPr>
        <w:t>6.磋商文件的澄清、修改</w:t>
      </w:r>
      <w:bookmarkEnd w:id="39"/>
      <w:bookmarkEnd w:id="40"/>
      <w:bookmarkEnd w:id="41"/>
      <w:bookmarkEnd w:id="42"/>
      <w:bookmarkEnd w:id="43"/>
    </w:p>
    <w:p w14:paraId="2C93F2AE">
      <w:pPr>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6.1</w:t>
      </w:r>
      <w:r>
        <w:rPr>
          <w:rFonts w:hint="eastAsia" w:ascii="宋体" w:hAnsi="宋体" w:eastAsia="宋体" w:cs="宋体"/>
          <w:color w:val="auto"/>
          <w:sz w:val="24"/>
          <w:szCs w:val="24"/>
          <w:lang w:val="en-US" w:eastAsia="zh-CN"/>
        </w:rPr>
        <w:t xml:space="preserve"> </w:t>
      </w:r>
      <w:r>
        <w:rPr>
          <w:rFonts w:hint="eastAsia" w:ascii="宋体" w:hAnsi="宋体" w:eastAsia="宋体" w:cs="宋体"/>
          <w:snapToGrid w:val="0"/>
          <w:color w:val="auto"/>
          <w:sz w:val="24"/>
          <w:szCs w:val="24"/>
        </w:rPr>
        <w:t>提交首次响应文件截止之日前，采购代理机构可以对已发出的磋商文件进行必要的澄清或者修改，澄清或者修改的内容作为磋商文件的组成部分。澄清或者修改的内容可能影响响应文件编制的，采购代理机构应在提交首次响应文件截止时间至少5日前，以书面形式通知所有获取磋商文件的供应商；不足5日的，采购代理机构应当顺延提交首次响应文件截止时间。</w:t>
      </w:r>
    </w:p>
    <w:p w14:paraId="1B6540FA">
      <w:pPr>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6.2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在提交响应文件截止时间前，采购代理机构可以视采购具体情况，延长提交响应文件截止时间和开启时间，并将变更公告发布在</w:t>
      </w:r>
      <w:r>
        <w:rPr>
          <w:rFonts w:hint="eastAsia" w:ascii="宋体" w:hAnsi="宋体" w:eastAsia="宋体" w:cs="宋体"/>
          <w:color w:val="auto"/>
          <w:sz w:val="24"/>
          <w:szCs w:val="24"/>
          <w:lang w:eastAsia="zh-CN"/>
        </w:rPr>
        <w:t>青海政府采购网</w:t>
      </w:r>
      <w:r>
        <w:rPr>
          <w:rFonts w:hint="eastAsia" w:ascii="宋体" w:hAnsi="宋体" w:eastAsia="宋体" w:cs="宋体"/>
          <w:color w:val="auto"/>
          <w:sz w:val="24"/>
          <w:szCs w:val="24"/>
        </w:rPr>
        <w:t>上。</w:t>
      </w:r>
      <w:bookmarkStart w:id="44" w:name="_Toc376936736"/>
      <w:bookmarkStart w:id="45" w:name="_Toc23340"/>
      <w:bookmarkStart w:id="46" w:name="_Toc325726005"/>
    </w:p>
    <w:p w14:paraId="155D4041">
      <w:pPr>
        <w:spacing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采购代理机构对采购文件进行澄清或修改的，应通过电子交易系统向已获取采购文件的供应商发送更正信息，澄清或修改的内容作为采购文件的组成部分。</w:t>
      </w:r>
    </w:p>
    <w:p w14:paraId="7D84E747">
      <w:pPr>
        <w:widowControl/>
        <w:spacing w:line="360" w:lineRule="auto"/>
        <w:ind w:firstLine="0" w:firstLineChars="0"/>
        <w:jc w:val="center"/>
        <w:outlineLvl w:val="1"/>
        <w:rPr>
          <w:rFonts w:hint="eastAsia" w:ascii="宋体" w:hAnsi="宋体" w:eastAsia="宋体" w:cs="宋体"/>
          <w:b/>
          <w:bCs/>
          <w:color w:val="auto"/>
          <w:sz w:val="24"/>
          <w:szCs w:val="24"/>
        </w:rPr>
      </w:pPr>
      <w:bookmarkStart w:id="47" w:name="_Toc13331"/>
      <w:r>
        <w:rPr>
          <w:rFonts w:hint="eastAsia" w:ascii="宋体" w:hAnsi="宋体" w:eastAsia="宋体" w:cs="宋体"/>
          <w:b/>
          <w:bCs/>
          <w:color w:val="auto"/>
          <w:sz w:val="24"/>
          <w:szCs w:val="24"/>
        </w:rPr>
        <w:t>三、响应文件的编制</w:t>
      </w:r>
      <w:bookmarkEnd w:id="44"/>
      <w:bookmarkEnd w:id="45"/>
      <w:bookmarkEnd w:id="46"/>
      <w:bookmarkEnd w:id="47"/>
    </w:p>
    <w:p w14:paraId="592C7FF2">
      <w:pPr>
        <w:widowControl/>
        <w:spacing w:line="360" w:lineRule="auto"/>
        <w:ind w:firstLine="0" w:firstLineChars="0"/>
        <w:jc w:val="left"/>
        <w:outlineLvl w:val="2"/>
        <w:rPr>
          <w:rFonts w:hint="eastAsia" w:ascii="宋体" w:hAnsi="宋体" w:eastAsia="宋体" w:cs="宋体"/>
          <w:b/>
          <w:bCs/>
          <w:color w:val="auto"/>
          <w:sz w:val="24"/>
          <w:szCs w:val="24"/>
        </w:rPr>
      </w:pPr>
      <w:bookmarkStart w:id="48" w:name="_Toc9674"/>
      <w:bookmarkStart w:id="49" w:name="_Toc326"/>
      <w:bookmarkStart w:id="50" w:name="_Toc13057"/>
      <w:bookmarkStart w:id="51" w:name="_Toc376936737"/>
      <w:bookmarkStart w:id="52" w:name="_Toc325726006"/>
      <w:r>
        <w:rPr>
          <w:rFonts w:hint="eastAsia" w:ascii="宋体" w:hAnsi="宋体" w:eastAsia="宋体" w:cs="宋体"/>
          <w:b/>
          <w:bCs/>
          <w:color w:val="auto"/>
          <w:sz w:val="24"/>
          <w:szCs w:val="24"/>
        </w:rPr>
        <w:t>7.响应文件的语言及度量衡单位</w:t>
      </w:r>
      <w:bookmarkEnd w:id="48"/>
      <w:bookmarkEnd w:id="49"/>
      <w:bookmarkEnd w:id="50"/>
      <w:bookmarkEnd w:id="51"/>
      <w:bookmarkEnd w:id="52"/>
    </w:p>
    <w:p w14:paraId="60AEE058">
      <w:pPr>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7.1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供应商提交的响应文件以及供应商与采购代理机构就此磋商发生的所有来往函电均应使用简体中文。</w:t>
      </w:r>
    </w:p>
    <w:p w14:paraId="706311CF">
      <w:pPr>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7.2 除磋商文件中另有规定外，响应文件所使用的度量衡单位，均须采用国家法定计量单位。</w:t>
      </w:r>
    </w:p>
    <w:p w14:paraId="58856E55">
      <w:pPr>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7.3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附有外文资料的，须翻译成中文并加盖供应商公章，如果翻译的中文资料与外文资料存在差异和矛盾时，以中文资料为准。其准确性由供应商负责。</w:t>
      </w:r>
    </w:p>
    <w:p w14:paraId="6FB4648B">
      <w:pPr>
        <w:widowControl/>
        <w:spacing w:line="360" w:lineRule="auto"/>
        <w:ind w:firstLine="0" w:firstLineChars="0"/>
        <w:jc w:val="left"/>
        <w:outlineLvl w:val="2"/>
        <w:rPr>
          <w:rFonts w:hint="eastAsia" w:ascii="宋体" w:hAnsi="宋体" w:eastAsia="宋体" w:cs="宋体"/>
          <w:b/>
          <w:bCs/>
          <w:color w:val="auto"/>
          <w:sz w:val="24"/>
          <w:szCs w:val="24"/>
        </w:rPr>
      </w:pPr>
      <w:bookmarkStart w:id="53" w:name="_Toc21569"/>
      <w:bookmarkStart w:id="54" w:name="_Toc30358"/>
      <w:bookmarkStart w:id="55" w:name="_Toc17093"/>
      <w:bookmarkStart w:id="56" w:name="_Toc376936743"/>
      <w:bookmarkStart w:id="57" w:name="_Toc325726012"/>
      <w:r>
        <w:rPr>
          <w:rFonts w:hint="eastAsia" w:ascii="宋体" w:hAnsi="宋体" w:eastAsia="宋体" w:cs="宋体"/>
          <w:b/>
          <w:bCs/>
          <w:color w:val="auto"/>
          <w:sz w:val="24"/>
          <w:szCs w:val="24"/>
        </w:rPr>
        <w:t>8.磋商保证金</w:t>
      </w:r>
      <w:bookmarkEnd w:id="53"/>
      <w:bookmarkEnd w:id="54"/>
      <w:bookmarkEnd w:id="55"/>
      <w:bookmarkEnd w:id="56"/>
      <w:bookmarkEnd w:id="57"/>
    </w:p>
    <w:p w14:paraId="40CDC7E4">
      <w:pPr>
        <w:autoSpaceDE w:val="0"/>
        <w:autoSpaceDN w:val="0"/>
        <w:spacing w:line="360" w:lineRule="auto"/>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rPr>
        <w:t>8</w:t>
      </w:r>
      <w:r>
        <w:rPr>
          <w:rFonts w:hint="eastAsia" w:ascii="宋体" w:hAnsi="宋体" w:eastAsia="宋体" w:cs="宋体"/>
          <w:color w:val="auto"/>
          <w:sz w:val="24"/>
          <w:szCs w:val="24"/>
          <w:lang w:val="zh-CN"/>
        </w:rPr>
        <w:t>.1 供应商须在磋商文件开启时间前缴纳磋商保证金；未成交供应商的磋商保证金在成交通知书发出后5个工作日内退还，成交供应商的磋商保证金在采购合同签订后5个工作日内退还</w:t>
      </w:r>
      <w:r>
        <w:rPr>
          <w:rFonts w:hint="eastAsia" w:ascii="宋体" w:hAnsi="宋体" w:eastAsia="宋体" w:cs="宋体"/>
          <w:color w:val="auto"/>
          <w:sz w:val="24"/>
          <w:szCs w:val="24"/>
        </w:rPr>
        <w:t>。</w:t>
      </w:r>
    </w:p>
    <w:p w14:paraId="7D9D7B8E">
      <w:pPr>
        <w:autoSpaceDE w:val="0"/>
        <w:autoSpaceDN w:val="0"/>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val="zh-CN"/>
        </w:rPr>
        <w:t xml:space="preserve">.2 </w:t>
      </w:r>
      <w:r>
        <w:rPr>
          <w:rFonts w:hint="eastAsia" w:ascii="宋体" w:hAnsi="宋体" w:eastAsia="宋体" w:cs="宋体"/>
          <w:color w:val="auto"/>
          <w:sz w:val="24"/>
          <w:szCs w:val="24"/>
        </w:rPr>
        <w:t>有下列情形之一的，磋商保证金不予退还：</w:t>
      </w:r>
    </w:p>
    <w:p w14:paraId="50B6F00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（1）供应商在提交响应文件截止时间后撤回响应文件的；</w:t>
      </w:r>
    </w:p>
    <w:p w14:paraId="07C774D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（2）供应商在响应文件中提供虚假材料的；</w:t>
      </w:r>
    </w:p>
    <w:p w14:paraId="409103C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（3）除因不可抗力或磋商文件认可的情形以外，成交供应商不与采购人签订合同的；</w:t>
      </w:r>
    </w:p>
    <w:p w14:paraId="31D7D83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（4）供应商与采购人、其他供应商或者采购代理机构恶意串通的；</w:t>
      </w:r>
    </w:p>
    <w:p w14:paraId="4C5B419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（5）磋商文件规定的其他情形。</w:t>
      </w:r>
    </w:p>
    <w:p w14:paraId="0623077C">
      <w:pPr>
        <w:widowControl/>
        <w:spacing w:line="360" w:lineRule="auto"/>
        <w:ind w:firstLine="0" w:firstLineChars="0"/>
        <w:jc w:val="left"/>
        <w:outlineLvl w:val="2"/>
        <w:rPr>
          <w:rFonts w:hint="eastAsia" w:ascii="宋体" w:hAnsi="宋体" w:eastAsia="宋体" w:cs="宋体"/>
          <w:b/>
          <w:bCs/>
          <w:color w:val="auto"/>
          <w:sz w:val="24"/>
          <w:szCs w:val="24"/>
        </w:rPr>
      </w:pPr>
      <w:bookmarkStart w:id="58" w:name="_Toc325726013"/>
      <w:bookmarkStart w:id="59" w:name="_Toc22044"/>
      <w:bookmarkStart w:id="60" w:name="_Toc376936744"/>
      <w:bookmarkStart w:id="61" w:name="_Toc32704"/>
      <w:bookmarkStart w:id="62" w:name="_Toc6817"/>
      <w:r>
        <w:rPr>
          <w:rFonts w:hint="eastAsia" w:ascii="宋体" w:hAnsi="宋体" w:eastAsia="宋体" w:cs="宋体"/>
          <w:b/>
          <w:bCs/>
          <w:color w:val="auto"/>
          <w:sz w:val="24"/>
          <w:szCs w:val="24"/>
        </w:rPr>
        <w:t>9.磋商有效期</w:t>
      </w:r>
      <w:bookmarkEnd w:id="58"/>
      <w:bookmarkEnd w:id="59"/>
      <w:bookmarkEnd w:id="60"/>
      <w:bookmarkEnd w:id="61"/>
      <w:bookmarkEnd w:id="62"/>
    </w:p>
    <w:p w14:paraId="0630E297">
      <w:pPr>
        <w:spacing w:line="360" w:lineRule="auto"/>
        <w:ind w:firstLine="480"/>
        <w:rPr>
          <w:rFonts w:hint="eastAsia" w:ascii="宋体" w:hAnsi="宋体" w:eastAsia="宋体" w:cs="宋体"/>
          <w:color w:val="auto"/>
          <w:sz w:val="24"/>
          <w:szCs w:val="24"/>
        </w:rPr>
      </w:pPr>
      <w:r>
        <w:rPr>
          <w:rFonts w:hint="eastAsia" w:ascii="宋体" w:hAnsi="宋体" w:eastAsia="宋体" w:cs="宋体"/>
          <w:b/>
          <w:bCs/>
          <w:color w:val="auto"/>
          <w:sz w:val="24"/>
          <w:szCs w:val="24"/>
        </w:rPr>
        <w:t>磋商有效期为自磋商开始之日起</w:t>
      </w:r>
      <w:r>
        <w:rPr>
          <w:rFonts w:hint="eastAsia" w:ascii="宋体" w:hAnsi="宋体" w:eastAsia="宋体" w:cs="宋体"/>
          <w:b/>
          <w:bCs/>
          <w:color w:val="auto"/>
          <w:sz w:val="24"/>
          <w:szCs w:val="24"/>
          <w:lang w:val="en-US" w:eastAsia="zh-CN"/>
        </w:rPr>
        <w:t>60</w:t>
      </w:r>
      <w:r>
        <w:rPr>
          <w:rFonts w:hint="eastAsia" w:ascii="宋体" w:hAnsi="宋体" w:eastAsia="宋体" w:cs="宋体"/>
          <w:b/>
          <w:bCs/>
          <w:color w:val="auto"/>
          <w:sz w:val="24"/>
          <w:szCs w:val="24"/>
        </w:rPr>
        <w:t>个日历日</w:t>
      </w:r>
    </w:p>
    <w:p w14:paraId="3064DAE8">
      <w:pPr>
        <w:widowControl/>
        <w:spacing w:line="360" w:lineRule="auto"/>
        <w:ind w:firstLine="0" w:firstLineChars="0"/>
        <w:jc w:val="left"/>
        <w:outlineLvl w:val="2"/>
        <w:rPr>
          <w:rFonts w:hint="eastAsia" w:ascii="宋体" w:hAnsi="宋体" w:eastAsia="宋体" w:cs="宋体"/>
          <w:b/>
          <w:bCs/>
          <w:color w:val="auto"/>
          <w:sz w:val="24"/>
          <w:szCs w:val="24"/>
        </w:rPr>
      </w:pPr>
      <w:bookmarkStart w:id="63" w:name="_Toc325726008"/>
      <w:bookmarkStart w:id="64" w:name="_Toc376936739"/>
      <w:bookmarkStart w:id="65" w:name="_Toc16445"/>
      <w:bookmarkStart w:id="66" w:name="_Toc31915"/>
      <w:bookmarkStart w:id="67" w:name="_Toc4733"/>
      <w:r>
        <w:rPr>
          <w:rFonts w:hint="eastAsia" w:ascii="宋体" w:hAnsi="宋体" w:eastAsia="宋体" w:cs="宋体"/>
          <w:b/>
          <w:bCs/>
          <w:color w:val="auto"/>
          <w:sz w:val="24"/>
          <w:szCs w:val="24"/>
        </w:rPr>
        <w:t>10.响应文件构成</w:t>
      </w:r>
      <w:bookmarkEnd w:id="63"/>
      <w:bookmarkEnd w:id="64"/>
      <w:bookmarkEnd w:id="65"/>
      <w:bookmarkEnd w:id="66"/>
      <w:bookmarkEnd w:id="67"/>
    </w:p>
    <w:p w14:paraId="0E111E98">
      <w:pPr>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供应商应提交相关证明材料，作为其参加投标和成交后有能力履行合同的证明。编写的响应文件须包括以下内容（格式详见磋商文件第五部分内容）：</w:t>
      </w:r>
    </w:p>
    <w:p w14:paraId="0B5FE6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（1）响应文件封面</w:t>
      </w:r>
    </w:p>
    <w:p w14:paraId="33267C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（2）磋商函</w:t>
      </w:r>
    </w:p>
    <w:p w14:paraId="0548AB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（3）投标报价</w:t>
      </w:r>
      <w:r>
        <w:rPr>
          <w:rFonts w:hint="eastAsia" w:ascii="宋体" w:hAnsi="宋体" w:eastAsia="宋体" w:cs="宋体"/>
          <w:color w:val="auto"/>
          <w:sz w:val="24"/>
          <w:szCs w:val="24"/>
          <w:lang w:val="zh-CN"/>
        </w:rPr>
        <w:t>一览表</w:t>
      </w:r>
      <w:r>
        <w:rPr>
          <w:rFonts w:hint="eastAsia" w:ascii="宋体" w:hAnsi="宋体" w:eastAsia="宋体" w:cs="宋体"/>
          <w:color w:val="auto"/>
          <w:sz w:val="24"/>
          <w:szCs w:val="24"/>
          <w:lang w:val="en-US" w:eastAsia="zh-CN"/>
        </w:rPr>
        <w:t>、分项报价表、服务响应表</w:t>
      </w:r>
    </w:p>
    <w:p w14:paraId="2FBA04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法定代表人证明书</w:t>
      </w:r>
    </w:p>
    <w:p w14:paraId="5A5F1A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）法定代表人授权书</w:t>
      </w:r>
    </w:p>
    <w:p w14:paraId="28B0DF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）供应商承诺函</w:t>
      </w:r>
    </w:p>
    <w:p w14:paraId="7CC29F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）供应商诚信承诺书</w:t>
      </w:r>
    </w:p>
    <w:p w14:paraId="2F6034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）资格证明材料</w:t>
      </w:r>
    </w:p>
    <w:p w14:paraId="48512A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）财务状况</w:t>
      </w:r>
      <w:r>
        <w:rPr>
          <w:rFonts w:hint="eastAsia" w:ascii="宋体" w:hAnsi="宋体" w:eastAsia="宋体" w:cs="宋体"/>
          <w:color w:val="auto"/>
          <w:sz w:val="24"/>
          <w:szCs w:val="24"/>
          <w:lang w:val="en-US" w:eastAsia="zh-CN"/>
        </w:rPr>
        <w:t>证明</w:t>
      </w:r>
    </w:p>
    <w:p w14:paraId="053D85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）具备履行合同所必须的设备和专业技术能力证明</w:t>
      </w:r>
    </w:p>
    <w:p w14:paraId="3110C9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）无重大违法记录声明</w:t>
      </w:r>
    </w:p>
    <w:p w14:paraId="1E89E7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）磋商保证金</w:t>
      </w:r>
    </w:p>
    <w:p w14:paraId="2574C701">
      <w:pPr>
        <w:pStyle w:val="2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中小企业声明函</w:t>
      </w:r>
    </w:p>
    <w:p w14:paraId="4AF8D9FF">
      <w:pPr>
        <w:pStyle w:val="2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zh-CN" w:eastAsia="zh-CN"/>
        </w:rPr>
        <w:t>残疾人</w:t>
      </w:r>
      <w:r>
        <w:rPr>
          <w:rFonts w:hint="eastAsia" w:ascii="宋体" w:hAnsi="宋体" w:eastAsia="宋体" w:cs="宋体"/>
          <w:color w:val="auto"/>
          <w:sz w:val="24"/>
          <w:szCs w:val="24"/>
          <w:lang w:val="en-US" w:eastAsia="zh-CN"/>
        </w:rPr>
        <w:t>福利性单位声明函</w:t>
      </w:r>
    </w:p>
    <w:p w14:paraId="191682E9">
      <w:pPr>
        <w:pStyle w:val="2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监狱企业证明材料</w:t>
      </w:r>
    </w:p>
    <w:p w14:paraId="44A2CCD8">
      <w:pPr>
        <w:pStyle w:val="2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（16）供应商认为在其他方面有必要说明的事项</w:t>
      </w:r>
    </w:p>
    <w:p w14:paraId="6350361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注：磋商文件要求签字、盖章的地方必须由供应商的法定代表人或委托代理人按要求签字、盖章；供应商提供的扫描（或复印）件均需加盖公章。供应商须按上述内容、顺序和格式编制响应文件，并按要求编制目录、页码。</w:t>
      </w:r>
    </w:p>
    <w:p w14:paraId="1D46E424">
      <w:pPr>
        <w:widowControl/>
        <w:spacing w:line="360" w:lineRule="auto"/>
        <w:ind w:firstLine="0" w:firstLineChars="0"/>
        <w:jc w:val="left"/>
        <w:outlineLvl w:val="2"/>
        <w:rPr>
          <w:rFonts w:hint="eastAsia" w:ascii="宋体" w:hAnsi="宋体" w:eastAsia="宋体" w:cs="宋体"/>
          <w:b/>
          <w:bCs/>
          <w:color w:val="auto"/>
          <w:sz w:val="24"/>
          <w:szCs w:val="24"/>
        </w:rPr>
      </w:pPr>
      <w:bookmarkStart w:id="68" w:name="_Toc11377"/>
      <w:bookmarkStart w:id="69" w:name="_Toc412617729"/>
      <w:bookmarkStart w:id="70" w:name="_Toc28446"/>
      <w:bookmarkStart w:id="71" w:name="_Toc373392580"/>
      <w:bookmarkStart w:id="72" w:name="_Toc16453"/>
      <w:r>
        <w:rPr>
          <w:rFonts w:hint="eastAsia" w:ascii="宋体" w:hAnsi="宋体" w:eastAsia="宋体" w:cs="宋体"/>
          <w:b/>
          <w:bCs/>
          <w:color w:val="auto"/>
          <w:sz w:val="24"/>
          <w:szCs w:val="24"/>
        </w:rPr>
        <w:t>11.响应文件编印和签署</w:t>
      </w:r>
      <w:bookmarkEnd w:id="68"/>
      <w:bookmarkEnd w:id="69"/>
      <w:bookmarkEnd w:id="70"/>
      <w:bookmarkEnd w:id="71"/>
      <w:bookmarkEnd w:id="72"/>
    </w:p>
    <w:p w14:paraId="412C0775">
      <w:pPr>
        <w:pStyle w:val="12"/>
        <w:spacing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xml:space="preserve">11.1 </w:t>
      </w:r>
      <w:r>
        <w:rPr>
          <w:rFonts w:hint="eastAsia" w:ascii="宋体" w:hAnsi="宋体" w:eastAsia="宋体" w:cs="宋体"/>
          <w:b/>
          <w:bCs/>
          <w:color w:val="auto"/>
          <w:sz w:val="24"/>
          <w:szCs w:val="24"/>
          <w:lang w:eastAsia="zh-CN"/>
        </w:rPr>
        <w:t>供应商</w:t>
      </w:r>
      <w:r>
        <w:rPr>
          <w:rFonts w:hint="eastAsia" w:ascii="宋体" w:hAnsi="宋体" w:eastAsia="宋体" w:cs="宋体"/>
          <w:b/>
          <w:bCs/>
          <w:color w:val="auto"/>
          <w:sz w:val="24"/>
          <w:szCs w:val="24"/>
        </w:rPr>
        <w:t>须提交一份电子</w:t>
      </w:r>
      <w:r>
        <w:rPr>
          <w:rFonts w:hint="eastAsia" w:ascii="宋体" w:hAnsi="宋体" w:eastAsia="宋体" w:cs="宋体"/>
          <w:b/>
          <w:bCs/>
          <w:color w:val="auto"/>
          <w:sz w:val="24"/>
          <w:szCs w:val="24"/>
          <w:lang w:eastAsia="zh-CN"/>
        </w:rPr>
        <w:t>响应文件</w:t>
      </w:r>
      <w:r>
        <w:rPr>
          <w:rFonts w:hint="eastAsia" w:ascii="宋体" w:hAnsi="宋体" w:eastAsia="宋体" w:cs="宋体"/>
          <w:b/>
          <w:bCs/>
          <w:color w:val="auto"/>
          <w:sz w:val="24"/>
          <w:szCs w:val="24"/>
        </w:rPr>
        <w:t>，电子</w:t>
      </w:r>
      <w:r>
        <w:rPr>
          <w:rFonts w:hint="eastAsia" w:ascii="宋体" w:hAnsi="宋体" w:eastAsia="宋体" w:cs="宋体"/>
          <w:b/>
          <w:bCs/>
          <w:color w:val="auto"/>
          <w:sz w:val="24"/>
          <w:szCs w:val="24"/>
          <w:lang w:eastAsia="zh-CN"/>
        </w:rPr>
        <w:t>响应文件</w:t>
      </w:r>
      <w:r>
        <w:rPr>
          <w:rFonts w:hint="eastAsia" w:ascii="宋体" w:hAnsi="宋体" w:eastAsia="宋体" w:cs="宋体"/>
          <w:b/>
          <w:bCs/>
          <w:color w:val="auto"/>
          <w:sz w:val="24"/>
          <w:szCs w:val="24"/>
          <w:lang w:val="en-US" w:eastAsia="zh-CN"/>
        </w:rPr>
        <w:t>为供应商按10.1要求编制并确认的。</w:t>
      </w:r>
    </w:p>
    <w:p w14:paraId="6577C75C">
      <w:pPr>
        <w:pStyle w:val="12"/>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11.</w:t>
      </w:r>
      <w:r>
        <w:rPr>
          <w:rFonts w:hint="eastAsia" w:ascii="宋体" w:hAnsi="宋体" w:eastAsia="宋体" w:cs="宋体"/>
          <w:color w:val="auto"/>
          <w:sz w:val="24"/>
          <w:szCs w:val="24"/>
          <w:lang w:val="en-US" w:eastAsia="zh-CN"/>
        </w:rPr>
        <w:t xml:space="preserve">2 </w:t>
      </w:r>
      <w:r>
        <w:rPr>
          <w:rFonts w:hint="eastAsia" w:ascii="宋体" w:hAnsi="宋体" w:eastAsia="宋体" w:cs="宋体"/>
          <w:color w:val="auto"/>
          <w:sz w:val="24"/>
          <w:szCs w:val="24"/>
        </w:rPr>
        <w:t>响应文件中不得行间插字、涂改或增删，如有修改错漏处，须由供应商法定代表人或其委托代理人签字和盖章。</w:t>
      </w:r>
      <w:bookmarkStart w:id="73" w:name="_Toc15102"/>
      <w:bookmarkStart w:id="74" w:name="_Toc412617730"/>
      <w:bookmarkStart w:id="75" w:name="_Toc376936748"/>
      <w:bookmarkStart w:id="76" w:name="_Toc371090029"/>
    </w:p>
    <w:p w14:paraId="06102ABD">
      <w:pPr>
        <w:widowControl/>
        <w:spacing w:line="360" w:lineRule="auto"/>
        <w:ind w:firstLine="0" w:firstLineChars="0"/>
        <w:jc w:val="center"/>
        <w:outlineLvl w:val="1"/>
        <w:rPr>
          <w:rFonts w:hint="eastAsia" w:ascii="宋体" w:hAnsi="宋体" w:eastAsia="宋体" w:cs="宋体"/>
          <w:b/>
          <w:bCs/>
          <w:color w:val="auto"/>
          <w:sz w:val="24"/>
          <w:szCs w:val="24"/>
        </w:rPr>
      </w:pPr>
      <w:bookmarkStart w:id="77" w:name="_Toc31755"/>
      <w:r>
        <w:rPr>
          <w:rFonts w:hint="eastAsia" w:ascii="宋体" w:hAnsi="宋体" w:eastAsia="宋体" w:cs="宋体"/>
          <w:b/>
          <w:bCs/>
          <w:color w:val="auto"/>
          <w:sz w:val="24"/>
          <w:szCs w:val="24"/>
        </w:rPr>
        <w:t>四、响应文件的递交</w:t>
      </w:r>
      <w:bookmarkEnd w:id="73"/>
      <w:bookmarkEnd w:id="74"/>
      <w:bookmarkEnd w:id="77"/>
    </w:p>
    <w:p w14:paraId="788B0037">
      <w:pPr>
        <w:widowControl/>
        <w:spacing w:line="360" w:lineRule="auto"/>
        <w:ind w:firstLine="0" w:firstLineChars="0"/>
        <w:jc w:val="left"/>
        <w:outlineLvl w:val="2"/>
        <w:rPr>
          <w:rFonts w:hint="eastAsia" w:ascii="宋体" w:hAnsi="宋体" w:eastAsia="宋体" w:cs="宋体"/>
          <w:b/>
          <w:bCs/>
          <w:color w:val="auto"/>
          <w:sz w:val="24"/>
          <w:szCs w:val="24"/>
        </w:rPr>
      </w:pPr>
      <w:bookmarkStart w:id="78" w:name="_Toc23823"/>
      <w:bookmarkStart w:id="79" w:name="_Toc1176"/>
      <w:bookmarkStart w:id="80" w:name="_Toc412617731"/>
      <w:bookmarkStart w:id="81" w:name="_Toc325726016"/>
      <w:bookmarkStart w:id="82" w:name="_Toc24195"/>
      <w:bookmarkStart w:id="83" w:name="_Toc373392582"/>
      <w:r>
        <w:rPr>
          <w:rFonts w:hint="eastAsia" w:ascii="宋体" w:hAnsi="宋体" w:eastAsia="宋体" w:cs="宋体"/>
          <w:b/>
          <w:bCs/>
          <w:color w:val="auto"/>
          <w:sz w:val="24"/>
          <w:szCs w:val="24"/>
        </w:rPr>
        <w:t>12.响应文件的密封和标记</w:t>
      </w:r>
      <w:bookmarkEnd w:id="78"/>
      <w:bookmarkEnd w:id="79"/>
      <w:bookmarkEnd w:id="80"/>
      <w:bookmarkEnd w:id="81"/>
      <w:bookmarkEnd w:id="82"/>
      <w:bookmarkEnd w:id="83"/>
    </w:p>
    <w:p w14:paraId="6FDD7FD8">
      <w:pPr>
        <w:pStyle w:val="12"/>
        <w:spacing w:line="360" w:lineRule="auto"/>
        <w:ind w:firstLine="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w:t>
      </w:r>
    </w:p>
    <w:bookmarkEnd w:id="75"/>
    <w:bookmarkEnd w:id="76"/>
    <w:p w14:paraId="764F009B">
      <w:pPr>
        <w:widowControl/>
        <w:spacing w:line="360" w:lineRule="auto"/>
        <w:ind w:firstLine="0" w:firstLineChars="0"/>
        <w:jc w:val="left"/>
        <w:outlineLvl w:val="2"/>
        <w:rPr>
          <w:rFonts w:hint="eastAsia" w:ascii="宋体" w:hAnsi="宋体" w:eastAsia="宋体" w:cs="宋体"/>
          <w:b/>
          <w:bCs/>
          <w:color w:val="auto"/>
          <w:sz w:val="24"/>
          <w:szCs w:val="24"/>
        </w:rPr>
      </w:pPr>
      <w:bookmarkStart w:id="84" w:name="_Toc30756"/>
      <w:bookmarkStart w:id="85" w:name="_Toc373392583"/>
      <w:bookmarkStart w:id="86" w:name="_Toc412617732"/>
      <w:bookmarkStart w:id="87" w:name="_Toc4009"/>
      <w:bookmarkStart w:id="88" w:name="_Toc325726017"/>
      <w:bookmarkStart w:id="89" w:name="_Toc1619"/>
      <w:bookmarkStart w:id="90" w:name="_Toc371090030"/>
      <w:bookmarkStart w:id="91" w:name="_Toc376936749"/>
      <w:r>
        <w:rPr>
          <w:rFonts w:hint="eastAsia" w:ascii="宋体" w:hAnsi="宋体" w:eastAsia="宋体" w:cs="宋体"/>
          <w:b/>
          <w:bCs/>
          <w:color w:val="auto"/>
          <w:sz w:val="24"/>
          <w:szCs w:val="24"/>
        </w:rPr>
        <w:t>13.</w:t>
      </w:r>
      <w:bookmarkEnd w:id="84"/>
      <w:bookmarkEnd w:id="85"/>
      <w:bookmarkEnd w:id="86"/>
      <w:bookmarkEnd w:id="87"/>
      <w:bookmarkEnd w:id="88"/>
      <w:r>
        <w:rPr>
          <w:rFonts w:hint="eastAsia" w:ascii="宋体" w:hAnsi="宋体" w:eastAsia="宋体" w:cs="宋体"/>
          <w:b/>
          <w:bCs/>
          <w:color w:val="auto"/>
          <w:sz w:val="24"/>
          <w:szCs w:val="24"/>
        </w:rPr>
        <w:t>提交响应文件截止时间、地点</w:t>
      </w:r>
      <w:bookmarkEnd w:id="89"/>
    </w:p>
    <w:p w14:paraId="59D462AA">
      <w:pPr>
        <w:pStyle w:val="12"/>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13.1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提交响应文件截止时间及地点详见“供应商须知前附表”。</w:t>
      </w:r>
    </w:p>
    <w:bookmarkEnd w:id="90"/>
    <w:bookmarkEnd w:id="91"/>
    <w:p w14:paraId="5137A756">
      <w:pPr>
        <w:pStyle w:val="12"/>
        <w:spacing w:line="360" w:lineRule="auto"/>
        <w:ind w:firstLine="0" w:firstLineChars="0"/>
        <w:rPr>
          <w:rFonts w:hint="eastAsia" w:ascii="宋体" w:hAnsi="宋体" w:eastAsia="宋体" w:cs="宋体"/>
          <w:color w:val="auto"/>
          <w:sz w:val="24"/>
          <w:szCs w:val="24"/>
        </w:rPr>
      </w:pPr>
      <w:bookmarkStart w:id="92" w:name="_Toc325726019"/>
      <w:bookmarkStart w:id="93" w:name="_Toc376936750"/>
      <w:bookmarkStart w:id="94" w:name="_Toc9147"/>
      <w:r>
        <w:rPr>
          <w:rFonts w:hint="eastAsia" w:ascii="宋体" w:hAnsi="宋体" w:eastAsia="宋体" w:cs="宋体"/>
          <w:color w:val="auto"/>
          <w:sz w:val="24"/>
          <w:szCs w:val="24"/>
        </w:rPr>
        <w:t>13.2</w:t>
      </w: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lang w:val="en-US" w:eastAsia="zh-CN"/>
        </w:rPr>
        <w:t>供应商应当按照磋商文件规定和电子交易系统操作规范的要求编制、确认、签章、加密响应文件，并在提交响应文件截止时间前通过电子交易系统上传已加密的响应文件。提交响应文件截止时间前未完成传输的，视为撤回响应文件。提交响应文件截止时间后递交的响应文件，电子交易系统应当拒收。</w:t>
      </w:r>
    </w:p>
    <w:p w14:paraId="040A1561">
      <w:pPr>
        <w:widowControl/>
        <w:spacing w:line="360" w:lineRule="auto"/>
        <w:ind w:firstLine="0" w:firstLineChars="0"/>
        <w:jc w:val="center"/>
        <w:outlineLvl w:val="1"/>
        <w:rPr>
          <w:rFonts w:hint="eastAsia" w:ascii="宋体" w:hAnsi="宋体" w:eastAsia="宋体" w:cs="宋体"/>
          <w:b/>
          <w:bCs/>
          <w:color w:val="auto"/>
          <w:sz w:val="24"/>
          <w:szCs w:val="24"/>
        </w:rPr>
      </w:pPr>
      <w:bookmarkStart w:id="95" w:name="_Toc5644"/>
      <w:bookmarkStart w:id="96" w:name="_Toc8305"/>
      <w:r>
        <w:rPr>
          <w:rFonts w:hint="eastAsia" w:ascii="宋体" w:hAnsi="宋体" w:eastAsia="宋体" w:cs="宋体"/>
          <w:b/>
          <w:bCs/>
          <w:color w:val="auto"/>
          <w:sz w:val="24"/>
          <w:szCs w:val="24"/>
        </w:rPr>
        <w:t>五、</w:t>
      </w:r>
      <w:bookmarkEnd w:id="92"/>
      <w:bookmarkEnd w:id="93"/>
      <w:r>
        <w:rPr>
          <w:rFonts w:hint="eastAsia" w:ascii="宋体" w:hAnsi="宋体" w:eastAsia="宋体" w:cs="宋体"/>
          <w:b/>
          <w:bCs/>
          <w:color w:val="auto"/>
          <w:sz w:val="24"/>
          <w:szCs w:val="24"/>
        </w:rPr>
        <w:t>磋商过程</w:t>
      </w:r>
      <w:bookmarkEnd w:id="94"/>
      <w:bookmarkEnd w:id="95"/>
      <w:bookmarkEnd w:id="96"/>
    </w:p>
    <w:p w14:paraId="2E2A34F6">
      <w:pPr>
        <w:widowControl/>
        <w:spacing w:line="360" w:lineRule="auto"/>
        <w:ind w:firstLine="0" w:firstLineChars="0"/>
        <w:jc w:val="left"/>
        <w:outlineLvl w:val="2"/>
        <w:rPr>
          <w:rFonts w:hint="eastAsia" w:ascii="宋体" w:hAnsi="宋体" w:eastAsia="宋体" w:cs="宋体"/>
          <w:b/>
          <w:bCs/>
          <w:color w:val="auto"/>
          <w:sz w:val="24"/>
          <w:szCs w:val="24"/>
        </w:rPr>
      </w:pPr>
      <w:bookmarkStart w:id="97" w:name="_Toc376936751"/>
      <w:bookmarkStart w:id="98" w:name="_Toc325726020"/>
      <w:bookmarkStart w:id="99" w:name="_Toc24541"/>
      <w:bookmarkStart w:id="100" w:name="_Toc15630"/>
      <w:bookmarkStart w:id="101" w:name="_Toc26723"/>
      <w:r>
        <w:rPr>
          <w:rFonts w:hint="eastAsia" w:ascii="宋体" w:hAnsi="宋体" w:eastAsia="宋体" w:cs="宋体"/>
          <w:b/>
          <w:bCs/>
          <w:color w:val="auto"/>
          <w:sz w:val="24"/>
          <w:szCs w:val="24"/>
        </w:rPr>
        <w:t>14.</w:t>
      </w:r>
      <w:bookmarkEnd w:id="97"/>
      <w:bookmarkEnd w:id="98"/>
      <w:r>
        <w:rPr>
          <w:rFonts w:hint="eastAsia" w:ascii="宋体" w:hAnsi="宋体" w:eastAsia="宋体" w:cs="宋体"/>
          <w:b/>
          <w:bCs/>
          <w:color w:val="auto"/>
          <w:sz w:val="24"/>
          <w:szCs w:val="24"/>
        </w:rPr>
        <w:t>磋商过程</w:t>
      </w:r>
      <w:bookmarkEnd w:id="99"/>
      <w:bookmarkEnd w:id="100"/>
      <w:bookmarkEnd w:id="101"/>
    </w:p>
    <w:p w14:paraId="12980C28">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14.1</w:t>
      </w:r>
      <w:r>
        <w:rPr>
          <w:rFonts w:hint="eastAsia" w:ascii="宋体" w:hAnsi="宋体" w:eastAsia="宋体" w:cs="宋体"/>
          <w:color w:val="auto"/>
          <w:sz w:val="24"/>
          <w:szCs w:val="24"/>
          <w:lang w:val="en-US" w:eastAsia="zh-CN"/>
        </w:rPr>
        <w:t xml:space="preserve"> 采购代理机构</w:t>
      </w:r>
      <w:r>
        <w:rPr>
          <w:rFonts w:hint="eastAsia" w:ascii="宋体" w:hAnsi="宋体" w:eastAsia="宋体" w:cs="宋体"/>
          <w:color w:val="auto"/>
          <w:sz w:val="24"/>
          <w:szCs w:val="24"/>
          <w:lang w:val="zh-CN"/>
        </w:rPr>
        <w:t>通过电子交易系统按照</w:t>
      </w:r>
      <w:r>
        <w:rPr>
          <w:rFonts w:hint="eastAsia" w:ascii="宋体" w:hAnsi="宋体" w:eastAsia="宋体" w:cs="宋体"/>
          <w:color w:val="auto"/>
          <w:sz w:val="24"/>
          <w:szCs w:val="24"/>
          <w:lang w:val="en-US" w:eastAsia="zh-CN"/>
        </w:rPr>
        <w:t>磋商文件</w:t>
      </w:r>
      <w:r>
        <w:rPr>
          <w:rFonts w:hint="eastAsia" w:ascii="宋体" w:hAnsi="宋体" w:eastAsia="宋体" w:cs="宋体"/>
          <w:color w:val="auto"/>
          <w:sz w:val="24"/>
          <w:szCs w:val="24"/>
          <w:lang w:val="zh-CN"/>
        </w:rPr>
        <w:t>规定的时间、地点组织开启响应文件，电子化采购活动各参与方均应当准时在线参加</w:t>
      </w:r>
      <w:r>
        <w:rPr>
          <w:rFonts w:hint="eastAsia" w:ascii="宋体" w:hAnsi="宋体" w:eastAsia="宋体" w:cs="宋体"/>
          <w:color w:val="auto"/>
          <w:sz w:val="24"/>
          <w:szCs w:val="24"/>
        </w:rPr>
        <w:t>。</w:t>
      </w:r>
    </w:p>
    <w:p w14:paraId="27453FE5">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14.2 </w:t>
      </w:r>
      <w:r>
        <w:rPr>
          <w:rFonts w:hint="eastAsia" w:ascii="宋体" w:hAnsi="宋体" w:eastAsia="宋体" w:cs="宋体"/>
          <w:b/>
          <w:bCs/>
          <w:color w:val="auto"/>
          <w:sz w:val="24"/>
          <w:szCs w:val="24"/>
          <w:lang w:val="zh-CN"/>
        </w:rPr>
        <w:t>开启</w:t>
      </w:r>
      <w:r>
        <w:rPr>
          <w:rFonts w:hint="eastAsia" w:ascii="宋体" w:hAnsi="宋体" w:eastAsia="宋体" w:cs="宋体"/>
          <w:b/>
          <w:bCs/>
          <w:color w:val="auto"/>
          <w:sz w:val="24"/>
          <w:szCs w:val="24"/>
          <w:lang w:val="en-US" w:eastAsia="zh-CN"/>
        </w:rPr>
        <w:t>时，电子交易系统自动提取所有响应文件，并提示供应商按照磋商文件规定按时在线解密，解密时间为60分钟。因供应商原因造成响应文件未解密的，视为撤销其响应文件。</w:t>
      </w:r>
    </w:p>
    <w:p w14:paraId="0DF3C993">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strike w:val="0"/>
          <w:dstrike w:val="0"/>
          <w:color w:val="auto"/>
          <w:sz w:val="24"/>
          <w:szCs w:val="24"/>
        </w:rPr>
        <w:t>14.</w:t>
      </w:r>
      <w:r>
        <w:rPr>
          <w:rFonts w:hint="eastAsia" w:ascii="宋体" w:hAnsi="宋体" w:eastAsia="宋体" w:cs="宋体"/>
          <w:strike w:val="0"/>
          <w:dstrike w:val="0"/>
          <w:color w:val="auto"/>
          <w:sz w:val="24"/>
          <w:szCs w:val="24"/>
          <w:lang w:val="en-US" w:eastAsia="zh-CN"/>
        </w:rPr>
        <w:t xml:space="preserve">3 </w:t>
      </w:r>
      <w:r>
        <w:rPr>
          <w:rFonts w:hint="eastAsia" w:ascii="宋体" w:hAnsi="宋体" w:eastAsia="宋体" w:cs="宋体"/>
          <w:strike w:val="0"/>
          <w:dstrike w:val="0"/>
          <w:color w:val="auto"/>
          <w:sz w:val="24"/>
          <w:szCs w:val="24"/>
        </w:rPr>
        <w:t>磋商时，对不同文字文本响应文件的解释发生异议的，以中文文本为准。</w:t>
      </w:r>
    </w:p>
    <w:p w14:paraId="7ABA4D45">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14.</w:t>
      </w:r>
      <w:r>
        <w:rPr>
          <w:rFonts w:hint="eastAsia" w:ascii="宋体" w:hAnsi="宋体" w:eastAsia="宋体" w:cs="宋体"/>
          <w:color w:val="auto"/>
          <w:sz w:val="24"/>
          <w:szCs w:val="24"/>
          <w:lang w:val="en-US" w:eastAsia="zh-CN"/>
        </w:rPr>
        <w:t xml:space="preserve">4 </w:t>
      </w:r>
      <w:r>
        <w:rPr>
          <w:rFonts w:hint="eastAsia" w:ascii="宋体" w:hAnsi="宋体" w:eastAsia="宋体" w:cs="宋体"/>
          <w:color w:val="auto"/>
          <w:sz w:val="24"/>
          <w:szCs w:val="24"/>
        </w:rPr>
        <w:t>磋商工作由采购代理机构组织，采购人、采购监管、纪检监察等有关方面代表可根据采购项目的具体情况列席。</w:t>
      </w:r>
    </w:p>
    <w:p w14:paraId="3566E223">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14.</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rPr>
        <w:t>磋商过程有专人记录，并存档备查。</w:t>
      </w:r>
    </w:p>
    <w:p w14:paraId="7EEC9A2D">
      <w:pPr>
        <w:widowControl/>
        <w:spacing w:line="360" w:lineRule="auto"/>
        <w:ind w:firstLine="0" w:firstLineChars="0"/>
        <w:jc w:val="center"/>
        <w:outlineLvl w:val="1"/>
        <w:rPr>
          <w:rFonts w:hint="eastAsia" w:ascii="宋体" w:hAnsi="宋体" w:eastAsia="宋体" w:cs="宋体"/>
          <w:b/>
          <w:bCs/>
          <w:color w:val="auto"/>
          <w:sz w:val="24"/>
          <w:szCs w:val="24"/>
        </w:rPr>
      </w:pPr>
      <w:bookmarkStart w:id="102" w:name="_Toc376936752"/>
      <w:bookmarkStart w:id="103" w:name="_Toc325726021"/>
      <w:bookmarkStart w:id="104" w:name="_Toc19030"/>
      <w:bookmarkStart w:id="105" w:name="_Toc28917"/>
      <w:bookmarkStart w:id="106" w:name="_Toc18107"/>
      <w:r>
        <w:rPr>
          <w:rFonts w:hint="eastAsia" w:ascii="宋体" w:hAnsi="宋体" w:eastAsia="宋体" w:cs="宋体"/>
          <w:b/>
          <w:bCs/>
          <w:color w:val="auto"/>
          <w:sz w:val="24"/>
          <w:szCs w:val="24"/>
        </w:rPr>
        <w:t>六、磋商程序及方法</w:t>
      </w:r>
      <w:bookmarkEnd w:id="102"/>
      <w:bookmarkEnd w:id="103"/>
      <w:bookmarkEnd w:id="104"/>
      <w:bookmarkEnd w:id="105"/>
      <w:bookmarkEnd w:id="106"/>
    </w:p>
    <w:p w14:paraId="38342581">
      <w:pPr>
        <w:widowControl/>
        <w:spacing w:line="360" w:lineRule="auto"/>
        <w:ind w:firstLine="0" w:firstLineChars="0"/>
        <w:jc w:val="left"/>
        <w:outlineLvl w:val="2"/>
        <w:rPr>
          <w:rFonts w:hint="eastAsia" w:ascii="宋体" w:hAnsi="宋体" w:eastAsia="宋体" w:cs="宋体"/>
          <w:b/>
          <w:bCs/>
          <w:color w:val="auto"/>
          <w:sz w:val="24"/>
          <w:szCs w:val="24"/>
        </w:rPr>
      </w:pPr>
      <w:bookmarkStart w:id="107" w:name="_Toc9607"/>
      <w:bookmarkStart w:id="108" w:name="_Toc325726022"/>
      <w:bookmarkStart w:id="109" w:name="_Toc376936753"/>
      <w:bookmarkStart w:id="110" w:name="_Toc16935"/>
      <w:bookmarkStart w:id="111" w:name="_Toc26121"/>
      <w:r>
        <w:rPr>
          <w:rFonts w:hint="eastAsia" w:ascii="宋体" w:hAnsi="宋体" w:eastAsia="宋体" w:cs="宋体"/>
          <w:b/>
          <w:bCs/>
          <w:color w:val="auto"/>
          <w:sz w:val="24"/>
          <w:szCs w:val="24"/>
        </w:rPr>
        <w:t>15.磋商小组</w:t>
      </w:r>
      <w:bookmarkEnd w:id="107"/>
      <w:bookmarkEnd w:id="108"/>
      <w:bookmarkEnd w:id="109"/>
      <w:bookmarkEnd w:id="110"/>
      <w:bookmarkEnd w:id="111"/>
    </w:p>
    <w:p w14:paraId="2C710DAB">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15.1 采购代理机构将根据采购项目的特点依法组建磋商小组，其成员由具有一定专业水平的技术、经济等方面的专家和采购人代表等三人以上单数组成。其中技术、经济等方面的专家不少于成员总数的三分之二。</w:t>
      </w:r>
    </w:p>
    <w:p w14:paraId="52D749BF">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15.2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磋商由采购代理机构负责组织，具体磋商事务由依法组建的磋商小组负责，并独立履行下列职责：</w:t>
      </w:r>
    </w:p>
    <w:p w14:paraId="5B352F7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（1）审查响应文件是否符合磋商文件要求，并作出评价；</w:t>
      </w:r>
    </w:p>
    <w:p w14:paraId="1873D36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（2）要求供应商对响应文件有关事项作出解释或澄清；</w:t>
      </w:r>
    </w:p>
    <w:p w14:paraId="48A0B3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（3）推荐预成交候选供应商；</w:t>
      </w:r>
    </w:p>
    <w:p w14:paraId="763BB6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（4）对非法干预评标工作的人员和机构进行举报或投诉。</w:t>
      </w:r>
    </w:p>
    <w:p w14:paraId="215D9736">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15.3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磋商小组应遵守并履行下列义务：</w:t>
      </w:r>
    </w:p>
    <w:p w14:paraId="3E27CB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（1）遵纪守法，客观、公正、廉洁地履行职责；</w:t>
      </w:r>
    </w:p>
    <w:p w14:paraId="14B8ED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（2）按照磋商文件规定的评审方法和评审标准进行评审，对评审意见承担磋商小组成员责任；</w:t>
      </w:r>
    </w:p>
    <w:p w14:paraId="2AFABE2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（3）对响应文件、磋商情况和磋商中获悉的商业秘密保密；</w:t>
      </w:r>
    </w:p>
    <w:p w14:paraId="4EFF6B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（4）参与磋商报告的起草；</w:t>
      </w:r>
    </w:p>
    <w:p w14:paraId="59CFC4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（5）解答供应商及有关方面的质疑；</w:t>
      </w:r>
    </w:p>
    <w:p w14:paraId="271F9A1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（6）配合</w:t>
      </w:r>
      <w:r>
        <w:rPr>
          <w:rFonts w:hint="eastAsia" w:ascii="宋体" w:hAnsi="宋体" w:eastAsia="宋体" w:cs="宋体"/>
          <w:color w:val="auto"/>
          <w:sz w:val="24"/>
          <w:szCs w:val="24"/>
          <w:lang w:val="en-US" w:eastAsia="zh-CN"/>
        </w:rPr>
        <w:t>财政</w:t>
      </w:r>
      <w:r>
        <w:rPr>
          <w:rFonts w:hint="eastAsia" w:ascii="宋体" w:hAnsi="宋体" w:eastAsia="宋体" w:cs="宋体"/>
          <w:color w:val="auto"/>
          <w:sz w:val="24"/>
          <w:szCs w:val="24"/>
        </w:rPr>
        <w:t>部门进行投诉处理工作。</w:t>
      </w:r>
    </w:p>
    <w:p w14:paraId="609E9A70">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15.4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磋商小组所有成员应当集中与单一供应商分别进行磋商，并给予所有参加磋商的供应商平等的磋商机会。</w:t>
      </w:r>
    </w:p>
    <w:p w14:paraId="14865A1C">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15.5</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磋商工作在有关部门的监督和严格保密的情况下依法开展，任何单位和个人不得非法干预、影响磋商工作和磋商结果。</w:t>
      </w:r>
    </w:p>
    <w:p w14:paraId="21AE5F14">
      <w:pPr>
        <w:widowControl/>
        <w:spacing w:line="360" w:lineRule="auto"/>
        <w:ind w:firstLine="0" w:firstLineChars="0"/>
        <w:jc w:val="left"/>
        <w:outlineLvl w:val="2"/>
        <w:rPr>
          <w:rFonts w:hint="eastAsia" w:ascii="宋体" w:hAnsi="宋体" w:eastAsia="宋体" w:cs="宋体"/>
          <w:b/>
          <w:bCs/>
          <w:color w:val="auto"/>
          <w:sz w:val="24"/>
          <w:szCs w:val="24"/>
        </w:rPr>
      </w:pPr>
      <w:bookmarkStart w:id="112" w:name="_Toc376936754"/>
      <w:bookmarkStart w:id="113" w:name="_Toc325726023"/>
      <w:bookmarkStart w:id="114" w:name="_Toc14694"/>
      <w:bookmarkStart w:id="115" w:name="_Toc27086"/>
      <w:bookmarkStart w:id="116" w:name="_Toc3698"/>
      <w:r>
        <w:rPr>
          <w:rFonts w:hint="eastAsia" w:ascii="宋体" w:hAnsi="宋体" w:eastAsia="宋体" w:cs="宋体"/>
          <w:b/>
          <w:bCs/>
          <w:color w:val="auto"/>
          <w:sz w:val="24"/>
          <w:szCs w:val="24"/>
        </w:rPr>
        <w:t>16.磋商程序</w:t>
      </w:r>
      <w:bookmarkEnd w:id="112"/>
      <w:bookmarkEnd w:id="113"/>
      <w:bookmarkEnd w:id="114"/>
      <w:bookmarkEnd w:id="115"/>
      <w:bookmarkEnd w:id="116"/>
    </w:p>
    <w:p w14:paraId="3FAC20F3">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16.1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进入磋商阶段后，磋商小组成员按照客观、公正、审慎的原则，根据磋商文件规定的评审程序、评审方法和评审标准进行独立开展评审工作，负责审议所有响应文件，并按先初审、后详审的程序对响应文件进行评审、评分。</w:t>
      </w:r>
    </w:p>
    <w:p w14:paraId="274F26F9">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16.2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初审阶段为资格性审查和符合性审查。响应文件在响应磋商文件要求方面出现的偏离，分为实质性偏离和非实质性偏离。</w:t>
      </w:r>
    </w:p>
    <w:p w14:paraId="3AB7ED92">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b/>
          <w:bCs/>
          <w:color w:val="auto"/>
          <w:sz w:val="24"/>
          <w:szCs w:val="24"/>
        </w:rPr>
        <w:t>16.2.1</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实质性偏离是指响应文件未能实质性响应磋商文件的要求。以下情况属于实质性偏离，响应文件有下列情况之一的，按无效文件处理。</w:t>
      </w:r>
    </w:p>
    <w:p w14:paraId="2BA051E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（1）不符合第</w:t>
      </w: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2款“合格的供应商”之规定的；</w:t>
      </w:r>
    </w:p>
    <w:p w14:paraId="304C21C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未按磋商文件要求交纳或未足额交纳磋商保证金的；</w:t>
      </w:r>
    </w:p>
    <w:p w14:paraId="337A16C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（3）未按第1</w:t>
      </w:r>
      <w:r>
        <w:rPr>
          <w:rFonts w:hint="eastAsia" w:ascii="宋体" w:hAnsi="宋体" w:eastAsia="宋体" w:cs="宋体"/>
          <w:color w:val="auto"/>
          <w:sz w:val="24"/>
          <w:szCs w:val="24"/>
        </w:rPr>
        <w:t>0.</w:t>
      </w:r>
      <w:r>
        <w:rPr>
          <w:rFonts w:hint="eastAsia" w:ascii="宋体" w:hAnsi="宋体" w:eastAsia="宋体" w:cs="宋体"/>
          <w:color w:val="auto"/>
          <w:sz w:val="24"/>
          <w:szCs w:val="24"/>
          <w:lang w:val="zh-CN"/>
        </w:rPr>
        <w:t>1款（1）-（1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rPr>
        <w:t>）要求提供相关资料的；</w:t>
      </w:r>
    </w:p>
    <w:p w14:paraId="633E0B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（4）响应文件内容没有按磋商文件规定和要求签字、盖章的；</w:t>
      </w:r>
    </w:p>
    <w:p w14:paraId="53F6FB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投标报价超过采购预算额度</w:t>
      </w:r>
      <w:r>
        <w:rPr>
          <w:rFonts w:hint="eastAsia" w:ascii="宋体" w:hAnsi="宋体" w:eastAsia="宋体" w:cs="宋体"/>
          <w:color w:val="auto"/>
          <w:sz w:val="24"/>
          <w:szCs w:val="24"/>
          <w:lang w:val="en-US" w:eastAsia="zh-CN"/>
        </w:rPr>
        <w:t>或最高限价</w:t>
      </w:r>
      <w:r>
        <w:rPr>
          <w:rFonts w:hint="eastAsia" w:ascii="宋体" w:hAnsi="宋体" w:eastAsia="宋体" w:cs="宋体"/>
          <w:color w:val="auto"/>
          <w:sz w:val="24"/>
          <w:szCs w:val="24"/>
          <w:lang w:val="zh-CN"/>
        </w:rPr>
        <w:t>的；</w:t>
      </w:r>
    </w:p>
    <w:p w14:paraId="706AA0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（6）响应文件编排混乱，且擅自修改磋商文件规定的格式内容的；</w:t>
      </w:r>
    </w:p>
    <w:p w14:paraId="1E2A24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lang w:eastAsia="zh-CN"/>
        </w:rPr>
        <w:t>期限</w:t>
      </w:r>
      <w:r>
        <w:rPr>
          <w:rFonts w:hint="eastAsia" w:ascii="宋体" w:hAnsi="宋体" w:eastAsia="宋体" w:cs="宋体"/>
          <w:color w:val="auto"/>
          <w:sz w:val="24"/>
          <w:szCs w:val="24"/>
        </w:rPr>
        <w:t>、磋商有效期不能满足磋商文件要求的；</w:t>
      </w:r>
    </w:p>
    <w:p w14:paraId="41EEF5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lang w:val="zh-CN"/>
        </w:rPr>
        <w:t>投标产品的技术规格、技术标准明显不符合采购项目要求的</w:t>
      </w:r>
      <w:r>
        <w:rPr>
          <w:rFonts w:hint="eastAsia" w:ascii="宋体" w:hAnsi="宋体" w:eastAsia="宋体" w:cs="宋体"/>
          <w:color w:val="auto"/>
          <w:sz w:val="24"/>
          <w:szCs w:val="24"/>
        </w:rPr>
        <w:t>；</w:t>
      </w:r>
    </w:p>
    <w:p w14:paraId="2EBB25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（9）响应文件中附有采购人不能接受的条件的；</w:t>
      </w:r>
    </w:p>
    <w:p w14:paraId="6BCF95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（10）磋商小组认为应按无效响应处理的其他情况；</w:t>
      </w:r>
    </w:p>
    <w:p w14:paraId="5C5A7D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r>
        <w:rPr>
          <w:rFonts w:hint="eastAsia" w:ascii="宋体" w:hAnsi="宋体" w:eastAsia="宋体" w:cs="宋体"/>
          <w:color w:val="auto"/>
          <w:sz w:val="24"/>
          <w:szCs w:val="24"/>
          <w:lang w:val="zh-CN"/>
        </w:rPr>
        <w:t>法律、法规和</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lang w:val="zh-CN"/>
        </w:rPr>
        <w:t>文件规定的其他</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val="zh-CN"/>
        </w:rPr>
        <w:t>无效情形</w:t>
      </w:r>
      <w:r>
        <w:rPr>
          <w:rFonts w:hint="eastAsia" w:ascii="宋体" w:hAnsi="宋体" w:eastAsia="宋体" w:cs="宋体"/>
          <w:color w:val="auto"/>
          <w:sz w:val="24"/>
          <w:szCs w:val="24"/>
        </w:rPr>
        <w:t>。</w:t>
      </w:r>
    </w:p>
    <w:p w14:paraId="5BF53CAF">
      <w:pPr>
        <w:tabs>
          <w:tab w:val="left" w:pos="8787"/>
        </w:tabs>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16.2.2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非实质性偏离指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A0FDCD4">
      <w:pPr>
        <w:tabs>
          <w:tab w:val="left" w:pos="8787"/>
        </w:tabs>
        <w:spacing w:line="360" w:lineRule="auto"/>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磋商小组要求供应商澄清、说明或者更正响应文件应当以书面形式作出。供应商的澄清、说明或者更正应当由法定代表人或其授权代表签字或者加盖公章。由授权代表签字的，应当附法定代表人授权书。</w:t>
      </w:r>
    </w:p>
    <w:p w14:paraId="00AAC028">
      <w:pPr>
        <w:autoSpaceDE w:val="0"/>
        <w:autoSpaceDN w:val="0"/>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16.2.3 在响应文件初审、详审过程中，如果磋商小组成员出现对评审结果有不同意见的，应当以书面形式反映，磋商报告中应注明该不同意见。磋商小组成员拒绝在磋商报告中签字又不书面说明其不同意见和理由的，视为同意磋商结果。</w:t>
      </w:r>
    </w:p>
    <w:p w14:paraId="6CEF4491">
      <w:pPr>
        <w:autoSpaceDE w:val="0"/>
        <w:autoSpaceDN w:val="0"/>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16.3 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w:t>
      </w:r>
    </w:p>
    <w:p w14:paraId="21940161">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16.4 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59DC0DC1">
      <w:pPr>
        <w:pStyle w:val="20"/>
        <w:ind w:left="0" w:leftChars="0" w:firstLine="0" w:firstLineChars="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16.5 政府采购政策功能落实</w:t>
      </w:r>
    </w:p>
    <w:p w14:paraId="70781C7E">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根据《政府采购促进中小企业发展管理办法》（财库〔2020〕46号）的规定，</w:t>
      </w:r>
      <w:r>
        <w:rPr>
          <w:rFonts w:hint="eastAsia" w:ascii="宋体" w:hAnsi="宋体" w:eastAsia="宋体" w:cs="宋体"/>
          <w:i w:val="0"/>
          <w:iCs w:val="0"/>
          <w:color w:val="auto"/>
          <w:kern w:val="0"/>
          <w:sz w:val="24"/>
          <w:szCs w:val="24"/>
          <w:lang w:val="en-US" w:eastAsia="zh-CN" w:bidi="ar"/>
        </w:rPr>
        <w:t>服务全部由符合政策要求的中小企业承接，</w:t>
      </w:r>
      <w:r>
        <w:rPr>
          <w:rFonts w:hint="eastAsia" w:ascii="宋体" w:hAnsi="宋体" w:eastAsia="宋体" w:cs="宋体"/>
          <w:color w:val="auto"/>
          <w:sz w:val="24"/>
          <w:szCs w:val="24"/>
          <w:lang w:val="en-US" w:eastAsia="zh-CN"/>
        </w:rPr>
        <w:t>供应商须提供《中小企业声明函》，其划型标准严格按照国家工信部、国家统计局、国家发改委、财政部出台的《中小企业划型标准规定》（工信部联企业[2011]300号）执行。供应商提供的《中小企业声明函》资料必须真实，否则属于提供虚假材料谋取成交，依照《中华人民共和国政府采购法》等国家有关规定追究法律责任。</w:t>
      </w:r>
    </w:p>
    <w:p w14:paraId="4FFA6A28">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本项目采购标的所属行业为：其他未列明行业</w:t>
      </w:r>
    </w:p>
    <w:p w14:paraId="2EC247B6">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财政部、民政部、中国残疾人联合会关于促进残疾人就业政府采购政策的通知》（财库〔2017〕141号）的规定，供应商为符合条件的残疾人福利性单位的，须提供《残疾人福利性单位声明函》，并由供应商加盖公章。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供应商提供的《残疾人福利性单位声明函》资料必须真实，否则按照有关规定予以处理。</w:t>
      </w:r>
    </w:p>
    <w:p w14:paraId="12148217">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财政部、司法部关于政府采购支持监狱企业发展有关问题的通知》（财库〔2014〕68号）的规定，供应商为监狱企业的，须提供由省级以上监狱管理局、戒毒管理局（含新疆生产建设兵团）出具的属于监狱企业的证明文件。监狱企业视同小型、微型企业，享受预留份额、评审中价格扣除等政府采购促进中小企业发展的政府采购政策。向监狱企业采购的金额，计入面向中小企业采购的统计数据。监狱企业属于小型、微型企业的，不重复享受政策。</w:t>
      </w:r>
    </w:p>
    <w:p w14:paraId="01DA6E8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trike w:val="0"/>
          <w:dstrike w:val="0"/>
          <w:color w:val="auto"/>
          <w:kern w:val="2"/>
          <w:sz w:val="24"/>
          <w:szCs w:val="24"/>
        </w:rPr>
      </w:pPr>
      <w:r>
        <w:rPr>
          <w:rFonts w:hint="eastAsia" w:ascii="宋体" w:hAnsi="宋体" w:eastAsia="宋体" w:cs="宋体"/>
          <w:b/>
          <w:bCs/>
          <w:color w:val="auto"/>
          <w:sz w:val="24"/>
          <w:szCs w:val="24"/>
          <w:lang w:val="en-US" w:eastAsia="zh-CN"/>
        </w:rPr>
        <w:t xml:space="preserve">16.6 </w:t>
      </w:r>
      <w:r>
        <w:rPr>
          <w:rFonts w:hint="eastAsia" w:ascii="宋体" w:hAnsi="宋体" w:eastAsia="宋体" w:cs="宋体"/>
          <w:b/>
          <w:bCs/>
          <w:strike w:val="0"/>
          <w:dstrike w:val="0"/>
          <w:color w:val="auto"/>
          <w:kern w:val="2"/>
          <w:sz w:val="24"/>
          <w:szCs w:val="24"/>
          <w:lang w:val="en-US" w:eastAsia="zh-CN"/>
        </w:rPr>
        <w:t>政府采购异常低价审查</w:t>
      </w:r>
    </w:p>
    <w:p w14:paraId="2CD1D2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strike w:val="0"/>
          <w:dstrike w:val="0"/>
          <w:color w:val="auto"/>
          <w:kern w:val="2"/>
          <w:sz w:val="24"/>
          <w:szCs w:val="24"/>
          <w:lang w:val="en-US" w:eastAsia="zh-CN"/>
        </w:rPr>
        <w:t>（一）</w:t>
      </w:r>
      <w:r>
        <w:rPr>
          <w:rFonts w:hint="eastAsia" w:ascii="宋体" w:hAnsi="宋体" w:eastAsia="宋体" w:cs="宋体"/>
          <w:color w:val="auto"/>
          <w:kern w:val="2"/>
          <w:sz w:val="24"/>
          <w:szCs w:val="24"/>
          <w:lang w:val="en-US" w:eastAsia="zh-CN"/>
        </w:rPr>
        <w:t>政府采购评审中出现下列情形之一的，磋商小组应当启动异常低价响应审查程序：</w:t>
      </w:r>
    </w:p>
    <w:p w14:paraId="61E05B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1.响应报价（</w:t>
      </w:r>
      <w:r>
        <w:rPr>
          <w:rFonts w:hint="eastAsia" w:ascii="宋体" w:hAnsi="宋体" w:eastAsia="宋体" w:cs="宋体"/>
          <w:bCs/>
          <w:color w:val="auto"/>
          <w:sz w:val="24"/>
          <w:szCs w:val="24"/>
        </w:rPr>
        <w:t>最</w:t>
      </w:r>
      <w:r>
        <w:rPr>
          <w:rFonts w:hint="eastAsia" w:ascii="宋体" w:hAnsi="宋体" w:eastAsia="宋体" w:cs="宋体"/>
          <w:bCs/>
          <w:color w:val="auto"/>
          <w:sz w:val="24"/>
          <w:szCs w:val="24"/>
          <w:lang w:val="en-US" w:eastAsia="zh-CN"/>
        </w:rPr>
        <w:t>后</w:t>
      </w:r>
      <w:r>
        <w:rPr>
          <w:rFonts w:hint="eastAsia" w:ascii="宋体" w:hAnsi="宋体" w:eastAsia="宋体" w:cs="宋体"/>
          <w:color w:val="auto"/>
          <w:sz w:val="24"/>
          <w:szCs w:val="24"/>
        </w:rPr>
        <w:t>报价</w:t>
      </w:r>
      <w:r>
        <w:rPr>
          <w:rFonts w:hint="eastAsia" w:ascii="宋体" w:hAnsi="宋体" w:eastAsia="宋体" w:cs="宋体"/>
          <w:color w:val="auto"/>
          <w:kern w:val="2"/>
          <w:sz w:val="24"/>
          <w:szCs w:val="24"/>
          <w:lang w:val="en-US" w:eastAsia="zh-CN"/>
        </w:rPr>
        <w:t>）低于全部通过符合性审查供应商响应报价平均值50%的，即响应报价&lt;全部通过符合性审查供应商响应报价平均值×50%；</w:t>
      </w:r>
    </w:p>
    <w:p w14:paraId="78B32F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2.响应报价（</w:t>
      </w:r>
      <w:r>
        <w:rPr>
          <w:rFonts w:hint="eastAsia" w:ascii="宋体" w:hAnsi="宋体" w:eastAsia="宋体" w:cs="宋体"/>
          <w:bCs/>
          <w:color w:val="auto"/>
          <w:sz w:val="24"/>
          <w:szCs w:val="24"/>
        </w:rPr>
        <w:t>最</w:t>
      </w:r>
      <w:r>
        <w:rPr>
          <w:rFonts w:hint="eastAsia" w:ascii="宋体" w:hAnsi="宋体" w:eastAsia="宋体" w:cs="宋体"/>
          <w:bCs/>
          <w:color w:val="auto"/>
          <w:sz w:val="24"/>
          <w:szCs w:val="24"/>
          <w:lang w:val="en-US" w:eastAsia="zh-CN"/>
        </w:rPr>
        <w:t>后</w:t>
      </w:r>
      <w:r>
        <w:rPr>
          <w:rFonts w:hint="eastAsia" w:ascii="宋体" w:hAnsi="宋体" w:eastAsia="宋体" w:cs="宋体"/>
          <w:color w:val="auto"/>
          <w:sz w:val="24"/>
          <w:szCs w:val="24"/>
        </w:rPr>
        <w:t>报价</w:t>
      </w:r>
      <w:r>
        <w:rPr>
          <w:rFonts w:hint="eastAsia" w:ascii="宋体" w:hAnsi="宋体" w:eastAsia="宋体" w:cs="宋体"/>
          <w:color w:val="auto"/>
          <w:kern w:val="2"/>
          <w:sz w:val="24"/>
          <w:szCs w:val="24"/>
          <w:lang w:val="en-US" w:eastAsia="zh-CN"/>
        </w:rPr>
        <w:t>）低于通过符合性审查的次低报价供应商响应报价50%的，即响应报价&lt;通过符合性审查的次低报价供应商响应报价×50%；</w:t>
      </w:r>
    </w:p>
    <w:p w14:paraId="39EF4B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3.响应报价（</w:t>
      </w:r>
      <w:r>
        <w:rPr>
          <w:rFonts w:hint="eastAsia" w:ascii="宋体" w:hAnsi="宋体" w:eastAsia="宋体" w:cs="宋体"/>
          <w:bCs/>
          <w:color w:val="auto"/>
          <w:sz w:val="24"/>
          <w:szCs w:val="24"/>
        </w:rPr>
        <w:t>最</w:t>
      </w:r>
      <w:r>
        <w:rPr>
          <w:rFonts w:hint="eastAsia" w:ascii="宋体" w:hAnsi="宋体" w:eastAsia="宋体" w:cs="宋体"/>
          <w:bCs/>
          <w:color w:val="auto"/>
          <w:sz w:val="24"/>
          <w:szCs w:val="24"/>
          <w:lang w:val="en-US" w:eastAsia="zh-CN"/>
        </w:rPr>
        <w:t>后</w:t>
      </w:r>
      <w:r>
        <w:rPr>
          <w:rFonts w:hint="eastAsia" w:ascii="宋体" w:hAnsi="宋体" w:eastAsia="宋体" w:cs="宋体"/>
          <w:color w:val="auto"/>
          <w:sz w:val="24"/>
          <w:szCs w:val="24"/>
        </w:rPr>
        <w:t>报价</w:t>
      </w:r>
      <w:r>
        <w:rPr>
          <w:rFonts w:hint="eastAsia" w:ascii="宋体" w:hAnsi="宋体" w:eastAsia="宋体" w:cs="宋体"/>
          <w:color w:val="auto"/>
          <w:kern w:val="2"/>
          <w:sz w:val="24"/>
          <w:szCs w:val="24"/>
          <w:lang w:val="en-US" w:eastAsia="zh-CN"/>
        </w:rPr>
        <w:t>）低于采购项目最高限价65%的，即响应报价&lt;采购项目最高限价×65%；</w:t>
      </w:r>
    </w:p>
    <w:p w14:paraId="68BD22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4.磋商小组基于专业判断，认为供应商报价过低，有可能影响产品质量或者不能诚信履约的其他情形。</w:t>
      </w:r>
    </w:p>
    <w:p w14:paraId="52ADB8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相关法律法规对供应商报价有规定的，从其规定。</w:t>
      </w:r>
    </w:p>
    <w:p w14:paraId="012AF0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（二）磋商小组启动异常低价响应审查后，属于前述第1项至第4项情形的，应当要求相关供应商</w:t>
      </w:r>
      <w:r>
        <w:rPr>
          <w:rFonts w:hint="eastAsia" w:ascii="宋体" w:hAnsi="宋体" w:eastAsia="宋体" w:cs="宋体"/>
          <w:b/>
          <w:bCs/>
          <w:color w:val="auto"/>
          <w:kern w:val="2"/>
          <w:sz w:val="24"/>
          <w:szCs w:val="24"/>
          <w:lang w:val="en-US" w:eastAsia="zh-CN"/>
        </w:rPr>
        <w:t>在电子交易系统中（时间为60分钟）</w:t>
      </w:r>
      <w:r>
        <w:rPr>
          <w:rFonts w:hint="eastAsia" w:ascii="宋体" w:hAnsi="宋体" w:eastAsia="宋体" w:cs="宋体"/>
          <w:color w:val="auto"/>
          <w:kern w:val="2"/>
          <w:sz w:val="24"/>
          <w:szCs w:val="24"/>
          <w:lang w:val="en-US" w:eastAsia="zh-CN"/>
        </w:rPr>
        <w:t>对响应价格作出解释，提供项目具体成本测算等与报价合理性相关的书面说明及必要的证明材料，包括但不限于原材料成本、人工成本、制造费用等。其中，属于第3项情形，供应商已随响应文件一并提交相关书面说明及必要的证明材料的，在评审现场可不再重复提交。</w:t>
      </w:r>
    </w:p>
    <w:p w14:paraId="5805FB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磋商小组依据专业经验，参考同类项目成交价格、类似产品市场价格水平、行业人工费用标准、国家有关部门指导行业协会发布的行业平均成本等情况，对报价合理性进行判断。供应商</w:t>
      </w:r>
      <w:r>
        <w:rPr>
          <w:rFonts w:hint="eastAsia" w:ascii="宋体" w:hAnsi="宋体" w:eastAsia="宋体" w:cs="宋体"/>
          <w:b/>
          <w:bCs/>
          <w:color w:val="auto"/>
          <w:kern w:val="2"/>
          <w:sz w:val="24"/>
          <w:szCs w:val="24"/>
        </w:rPr>
        <w:t>未在规定时间内</w:t>
      </w:r>
      <w:r>
        <w:rPr>
          <w:rFonts w:hint="eastAsia" w:ascii="宋体" w:hAnsi="宋体" w:eastAsia="宋体" w:cs="宋体"/>
          <w:color w:val="auto"/>
          <w:kern w:val="2"/>
          <w:sz w:val="24"/>
          <w:szCs w:val="24"/>
          <w:lang w:val="en-US" w:eastAsia="zh-CN"/>
        </w:rPr>
        <w:t>提供书面说明、证明材料，或者提供的书面说明、证明材料不能证明其报价合理性的，磋商小组应当将其作为无效响应处理。</w:t>
      </w:r>
    </w:p>
    <w:p w14:paraId="0313E0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采购人、采购代理机构应当为磋商小组在评审现场及时获取同类项目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3A4878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异常低价响应审查的启动原因、审查意见和审查结果应当在评审报告中记录，并随供应商提供的相关书面说明及证明材料，以及磋商小组有关互联网浏览、查询历史一并归档。</w:t>
      </w:r>
    </w:p>
    <w:p w14:paraId="125047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rPr>
        <w:t>（三）财政部门在投诉处理、监督检查中发现磋商小组未按规定对异常低价开展审查的，依法予以纠正并追究评审专家的法律责任。</w:t>
      </w:r>
    </w:p>
    <w:p w14:paraId="020FFD7C">
      <w:pPr>
        <w:widowControl/>
        <w:spacing w:line="360" w:lineRule="auto"/>
        <w:ind w:firstLine="0" w:firstLineChars="0"/>
        <w:jc w:val="left"/>
        <w:outlineLvl w:val="2"/>
        <w:rPr>
          <w:rFonts w:hint="eastAsia" w:ascii="宋体" w:hAnsi="宋体" w:eastAsia="宋体" w:cs="宋体"/>
          <w:b/>
          <w:bCs/>
          <w:color w:val="auto"/>
          <w:sz w:val="24"/>
          <w:szCs w:val="24"/>
        </w:rPr>
      </w:pPr>
      <w:bookmarkStart w:id="117" w:name="_Toc20611"/>
      <w:bookmarkStart w:id="118" w:name="_Toc17722"/>
      <w:bookmarkStart w:id="119" w:name="_Toc325726024"/>
      <w:bookmarkStart w:id="120" w:name="_Toc13668"/>
      <w:bookmarkStart w:id="121" w:name="_Toc376936755"/>
      <w:r>
        <w:rPr>
          <w:rFonts w:hint="eastAsia" w:ascii="宋体" w:hAnsi="宋体" w:eastAsia="宋体" w:cs="宋体"/>
          <w:b/>
          <w:bCs/>
          <w:color w:val="auto"/>
          <w:sz w:val="24"/>
          <w:szCs w:val="24"/>
        </w:rPr>
        <w:t>17.评审办法</w:t>
      </w:r>
      <w:bookmarkEnd w:id="117"/>
      <w:bookmarkEnd w:id="118"/>
      <w:bookmarkEnd w:id="119"/>
      <w:bookmarkEnd w:id="120"/>
      <w:bookmarkEnd w:id="121"/>
    </w:p>
    <w:p w14:paraId="4248ABC5">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17.1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依照《中华人民共和国政府采购法》、《中华人民共和国政府采购法实施条例》、《政府采购竞争性磋商采购方式管理暂行办法》的规定，结合该项目的特点制定本评审办法。本次评审采用综合评分法。</w:t>
      </w:r>
    </w:p>
    <w:p w14:paraId="1D3927C2">
      <w:pPr>
        <w:spacing w:line="360" w:lineRule="auto"/>
        <w:ind w:firstLine="0" w:firstLineChars="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17.2</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评审标准和分值分配：</w:t>
      </w:r>
    </w:p>
    <w:p w14:paraId="5C7BCF96">
      <w:pPr>
        <w:spacing w:line="360" w:lineRule="auto"/>
        <w:ind w:firstLine="482" w:firstLineChars="20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包2：</w:t>
      </w:r>
    </w:p>
    <w:tbl>
      <w:tblPr>
        <w:tblStyle w:val="25"/>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4"/>
        <w:gridCol w:w="1527"/>
        <w:gridCol w:w="881"/>
        <w:gridCol w:w="6573"/>
      </w:tblGrid>
      <w:tr w14:paraId="7133A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24" w:type="dxa"/>
            <w:vAlign w:val="center"/>
          </w:tcPr>
          <w:p w14:paraId="706AD6C9">
            <w:pPr>
              <w:pStyle w:val="21"/>
              <w:keepNext w:val="0"/>
              <w:keepLines w:val="0"/>
              <w:pageBreakBefore w:val="0"/>
              <w:kinsoku/>
              <w:wordWrap/>
              <w:overflowPunct/>
              <w:topLinePunct w:val="0"/>
              <w:autoSpaceDE/>
              <w:autoSpaceDN/>
              <w:bidi w:val="0"/>
              <w:adjustRightInd/>
              <w:snapToGrid/>
              <w:spacing w:before="0" w:beforeAutospacing="0" w:after="0" w:line="240" w:lineRule="auto"/>
              <w:ind w:firstLine="0" w:firstLineChars="0"/>
              <w:jc w:val="center"/>
              <w:textAlignment w:val="auto"/>
              <w:rPr>
                <w:rFonts w:hint="eastAsia" w:ascii="宋体" w:hAnsi="宋体" w:eastAsia="宋体" w:cs="宋体"/>
                <w:b/>
                <w:bCs/>
                <w:color w:val="auto"/>
                <w:kern w:val="2"/>
                <w:sz w:val="24"/>
                <w:szCs w:val="24"/>
                <w:lang w:val="zh-CN"/>
              </w:rPr>
            </w:pPr>
            <w:r>
              <w:rPr>
                <w:rFonts w:hint="eastAsia" w:ascii="宋体" w:hAnsi="宋体" w:eastAsia="宋体" w:cs="宋体"/>
                <w:b/>
                <w:bCs/>
                <w:color w:val="auto"/>
                <w:kern w:val="2"/>
                <w:sz w:val="24"/>
                <w:szCs w:val="24"/>
                <w:lang w:val="zh-CN"/>
              </w:rPr>
              <w:t>评审项目</w:t>
            </w:r>
          </w:p>
        </w:tc>
        <w:tc>
          <w:tcPr>
            <w:tcW w:w="1527" w:type="dxa"/>
            <w:vAlign w:val="center"/>
          </w:tcPr>
          <w:p w14:paraId="052F51F0">
            <w:pPr>
              <w:pStyle w:val="21"/>
              <w:keepNext w:val="0"/>
              <w:keepLines w:val="0"/>
              <w:pageBreakBefore w:val="0"/>
              <w:kinsoku/>
              <w:wordWrap/>
              <w:overflowPunct/>
              <w:topLinePunct w:val="0"/>
              <w:autoSpaceDE/>
              <w:autoSpaceDN/>
              <w:bidi w:val="0"/>
              <w:adjustRightInd/>
              <w:snapToGrid/>
              <w:spacing w:before="0" w:beforeAutospacing="0" w:after="0" w:line="240" w:lineRule="auto"/>
              <w:ind w:firstLine="0" w:firstLineChars="0"/>
              <w:jc w:val="center"/>
              <w:textAlignment w:val="auto"/>
              <w:rPr>
                <w:rFonts w:hint="eastAsia" w:ascii="宋体" w:hAnsi="宋体" w:eastAsia="宋体" w:cs="宋体"/>
                <w:b/>
                <w:bCs/>
                <w:color w:val="auto"/>
                <w:kern w:val="2"/>
                <w:sz w:val="24"/>
                <w:szCs w:val="24"/>
                <w:lang w:val="zh-CN"/>
              </w:rPr>
            </w:pPr>
            <w:r>
              <w:rPr>
                <w:rFonts w:hint="eastAsia" w:ascii="宋体" w:hAnsi="宋体" w:eastAsia="宋体" w:cs="宋体"/>
                <w:b/>
                <w:bCs/>
                <w:color w:val="auto"/>
                <w:kern w:val="2"/>
                <w:sz w:val="24"/>
                <w:szCs w:val="24"/>
                <w:lang w:val="zh-CN"/>
              </w:rPr>
              <w:t>评审因素</w:t>
            </w:r>
          </w:p>
        </w:tc>
        <w:tc>
          <w:tcPr>
            <w:tcW w:w="881" w:type="dxa"/>
            <w:vAlign w:val="center"/>
          </w:tcPr>
          <w:p w14:paraId="5BA21C49">
            <w:pPr>
              <w:pStyle w:val="21"/>
              <w:keepNext w:val="0"/>
              <w:keepLines w:val="0"/>
              <w:pageBreakBefore w:val="0"/>
              <w:kinsoku/>
              <w:wordWrap/>
              <w:overflowPunct/>
              <w:topLinePunct w:val="0"/>
              <w:autoSpaceDE/>
              <w:autoSpaceDN/>
              <w:bidi w:val="0"/>
              <w:adjustRightInd/>
              <w:snapToGrid/>
              <w:spacing w:before="0" w:beforeAutospacing="0" w:after="0" w:line="240" w:lineRule="auto"/>
              <w:ind w:firstLine="0" w:firstLineChars="0"/>
              <w:jc w:val="center"/>
              <w:textAlignment w:val="auto"/>
              <w:rPr>
                <w:rFonts w:hint="eastAsia" w:ascii="宋体" w:hAnsi="宋体" w:eastAsia="宋体" w:cs="宋体"/>
                <w:b/>
                <w:bCs/>
                <w:color w:val="auto"/>
                <w:kern w:val="2"/>
                <w:sz w:val="24"/>
                <w:szCs w:val="24"/>
                <w:lang w:val="zh-CN"/>
              </w:rPr>
            </w:pPr>
            <w:r>
              <w:rPr>
                <w:rFonts w:hint="eastAsia" w:ascii="宋体" w:hAnsi="宋体" w:eastAsia="宋体" w:cs="宋体"/>
                <w:b/>
                <w:bCs/>
                <w:color w:val="auto"/>
                <w:kern w:val="2"/>
                <w:sz w:val="24"/>
                <w:szCs w:val="24"/>
                <w:lang w:val="zh-CN"/>
              </w:rPr>
              <w:t>分值</w:t>
            </w:r>
          </w:p>
        </w:tc>
        <w:tc>
          <w:tcPr>
            <w:tcW w:w="6573" w:type="dxa"/>
            <w:vAlign w:val="center"/>
          </w:tcPr>
          <w:p w14:paraId="36E241BA">
            <w:pPr>
              <w:pStyle w:val="21"/>
              <w:keepNext w:val="0"/>
              <w:keepLines w:val="0"/>
              <w:pageBreakBefore w:val="0"/>
              <w:kinsoku/>
              <w:wordWrap/>
              <w:overflowPunct/>
              <w:topLinePunct w:val="0"/>
              <w:autoSpaceDE/>
              <w:autoSpaceDN/>
              <w:bidi w:val="0"/>
              <w:adjustRightInd/>
              <w:snapToGrid/>
              <w:spacing w:before="0" w:beforeAutospacing="0" w:after="0" w:line="240" w:lineRule="auto"/>
              <w:ind w:firstLine="0" w:firstLineChars="0"/>
              <w:jc w:val="center"/>
              <w:textAlignment w:val="auto"/>
              <w:rPr>
                <w:rFonts w:hint="eastAsia" w:ascii="宋体" w:hAnsi="宋体" w:eastAsia="宋体" w:cs="宋体"/>
                <w:b/>
                <w:bCs/>
                <w:color w:val="auto"/>
                <w:kern w:val="2"/>
                <w:sz w:val="24"/>
                <w:szCs w:val="24"/>
                <w:lang w:val="zh-CN" w:eastAsia="zh-CN"/>
              </w:rPr>
            </w:pPr>
            <w:r>
              <w:rPr>
                <w:rFonts w:hint="eastAsia" w:ascii="宋体" w:hAnsi="宋体" w:eastAsia="宋体" w:cs="宋体"/>
                <w:b/>
                <w:bCs/>
                <w:color w:val="auto"/>
                <w:kern w:val="2"/>
                <w:sz w:val="24"/>
                <w:szCs w:val="24"/>
                <w:lang w:val="zh-CN"/>
              </w:rPr>
              <w:t>评审</w:t>
            </w:r>
            <w:r>
              <w:rPr>
                <w:rFonts w:hint="eastAsia" w:ascii="宋体" w:hAnsi="宋体" w:eastAsia="宋体" w:cs="宋体"/>
                <w:b/>
                <w:bCs/>
                <w:color w:val="auto"/>
                <w:kern w:val="2"/>
                <w:sz w:val="24"/>
                <w:szCs w:val="24"/>
                <w:lang w:val="en-US" w:eastAsia="zh-CN"/>
              </w:rPr>
              <w:t>标准</w:t>
            </w:r>
          </w:p>
        </w:tc>
      </w:tr>
      <w:tr w14:paraId="26CCF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24" w:type="dxa"/>
            <w:vAlign w:val="center"/>
          </w:tcPr>
          <w:p w14:paraId="70D605A2">
            <w:pPr>
              <w:pStyle w:val="21"/>
              <w:keepNext w:val="0"/>
              <w:keepLines w:val="0"/>
              <w:pageBreakBefore w:val="0"/>
              <w:kinsoku/>
              <w:wordWrap/>
              <w:overflowPunct/>
              <w:topLinePunct w:val="0"/>
              <w:autoSpaceDE/>
              <w:autoSpaceDN/>
              <w:bidi w:val="0"/>
              <w:adjustRightInd/>
              <w:snapToGrid/>
              <w:spacing w:before="0" w:beforeAutospacing="0" w:after="0" w:line="240" w:lineRule="auto"/>
              <w:ind w:firstLine="0" w:firstLineChars="0"/>
              <w:jc w:val="center"/>
              <w:textAlignment w:val="auto"/>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zh-CN"/>
              </w:rPr>
              <w:t>磋商报价</w:t>
            </w:r>
          </w:p>
        </w:tc>
        <w:tc>
          <w:tcPr>
            <w:tcW w:w="1527" w:type="dxa"/>
            <w:vAlign w:val="center"/>
          </w:tcPr>
          <w:p w14:paraId="3E03F638">
            <w:pPr>
              <w:pStyle w:val="21"/>
              <w:keepNext w:val="0"/>
              <w:keepLines w:val="0"/>
              <w:pageBreakBefore w:val="0"/>
              <w:kinsoku/>
              <w:wordWrap/>
              <w:overflowPunct/>
              <w:topLinePunct w:val="0"/>
              <w:autoSpaceDE/>
              <w:autoSpaceDN/>
              <w:bidi w:val="0"/>
              <w:adjustRightInd/>
              <w:snapToGrid/>
              <w:spacing w:before="0" w:beforeAutospacing="0" w:after="0" w:line="240" w:lineRule="auto"/>
              <w:ind w:firstLine="0" w:firstLineChars="0"/>
              <w:jc w:val="center"/>
              <w:textAlignment w:val="auto"/>
              <w:rPr>
                <w:rFonts w:hint="eastAsia" w:ascii="宋体" w:hAnsi="宋体" w:eastAsia="宋体" w:cs="宋体"/>
                <w:b w:val="0"/>
                <w:bCs w:val="0"/>
                <w:color w:val="auto"/>
                <w:kern w:val="2"/>
                <w:sz w:val="24"/>
                <w:szCs w:val="24"/>
              </w:rPr>
            </w:pPr>
            <w:r>
              <w:rPr>
                <w:rFonts w:hint="eastAsia" w:ascii="宋体" w:hAnsi="宋体" w:eastAsia="宋体" w:cs="宋体"/>
                <w:b w:val="0"/>
                <w:bCs w:val="0"/>
                <w:color w:val="auto"/>
                <w:kern w:val="2"/>
                <w:sz w:val="24"/>
                <w:szCs w:val="24"/>
              </w:rPr>
              <w:t>报价分</w:t>
            </w:r>
          </w:p>
        </w:tc>
        <w:tc>
          <w:tcPr>
            <w:tcW w:w="881" w:type="dxa"/>
            <w:vAlign w:val="center"/>
          </w:tcPr>
          <w:p w14:paraId="207A4C13">
            <w:pPr>
              <w:pStyle w:val="21"/>
              <w:keepNext w:val="0"/>
              <w:keepLines w:val="0"/>
              <w:pageBreakBefore w:val="0"/>
              <w:kinsoku/>
              <w:wordWrap/>
              <w:overflowPunct/>
              <w:topLinePunct w:val="0"/>
              <w:autoSpaceDE/>
              <w:autoSpaceDN/>
              <w:bidi w:val="0"/>
              <w:adjustRightInd/>
              <w:snapToGrid/>
              <w:spacing w:before="0" w:beforeAutospacing="0" w:after="0" w:line="240" w:lineRule="auto"/>
              <w:ind w:firstLine="0" w:firstLineChars="0"/>
              <w:jc w:val="center"/>
              <w:textAlignment w:val="auto"/>
              <w:rPr>
                <w:rFonts w:hint="eastAsia" w:ascii="宋体" w:hAnsi="宋体" w:eastAsia="宋体" w:cs="宋体"/>
                <w:b w:val="0"/>
                <w:bCs w:val="0"/>
                <w:color w:val="auto"/>
                <w:kern w:val="2"/>
                <w:sz w:val="24"/>
                <w:szCs w:val="24"/>
                <w:lang w:val="en-US" w:eastAsia="zh-CN"/>
              </w:rPr>
            </w:pPr>
            <w:r>
              <w:rPr>
                <w:rFonts w:hint="eastAsia" w:ascii="宋体" w:hAnsi="宋体" w:eastAsia="宋体" w:cs="宋体"/>
                <w:b w:val="0"/>
                <w:bCs w:val="0"/>
                <w:color w:val="auto"/>
                <w:kern w:val="2"/>
                <w:sz w:val="24"/>
                <w:szCs w:val="24"/>
                <w:lang w:val="en-US" w:eastAsia="zh-CN"/>
              </w:rPr>
              <w:t>10</w:t>
            </w:r>
          </w:p>
        </w:tc>
        <w:tc>
          <w:tcPr>
            <w:tcW w:w="6573" w:type="dxa"/>
          </w:tcPr>
          <w:p w14:paraId="4F0F897F">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满足磋商文件要求且最后报价最低的供应商的价格为磋商基准价，其价格分为满分。其他供应商的价格分统一按照下列公式计算：</w:t>
            </w:r>
          </w:p>
          <w:p w14:paraId="06E7F371">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宋体" w:hAnsi="宋体" w:eastAsia="宋体" w:cs="宋体"/>
                <w:color w:val="auto"/>
                <w:kern w:val="2"/>
                <w:sz w:val="24"/>
                <w:szCs w:val="24"/>
                <w:highlight w:val="yellow"/>
                <w:lang w:val="en-US" w:eastAsia="zh-CN"/>
              </w:rPr>
            </w:pPr>
            <w:r>
              <w:rPr>
                <w:rFonts w:hint="eastAsia" w:ascii="宋体" w:hAnsi="宋体" w:eastAsia="宋体" w:cs="宋体"/>
                <w:color w:val="auto"/>
                <w:sz w:val="24"/>
                <w:szCs w:val="24"/>
                <w:lang w:val="zh-CN"/>
              </w:rPr>
              <w:t>磋商报价得分=（磋商基准价/最后磋商报价）×</w:t>
            </w:r>
            <w:r>
              <w:rPr>
                <w:rFonts w:hint="eastAsia" w:ascii="宋体" w:hAnsi="宋体" w:eastAsia="宋体" w:cs="宋体"/>
                <w:color w:val="auto"/>
                <w:sz w:val="24"/>
                <w:szCs w:val="24"/>
                <w:lang w:val="en-US" w:eastAsia="zh-CN"/>
              </w:rPr>
              <w:t>10</w:t>
            </w:r>
          </w:p>
        </w:tc>
      </w:tr>
      <w:tr w14:paraId="46CD0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24" w:type="dxa"/>
            <w:vAlign w:val="center"/>
          </w:tcPr>
          <w:p w14:paraId="1B5149A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rPr>
              <w:t>商务</w:t>
            </w:r>
            <w:r>
              <w:rPr>
                <w:rFonts w:hint="eastAsia" w:ascii="宋体" w:hAnsi="宋体" w:eastAsia="宋体" w:cs="宋体"/>
                <w:b/>
                <w:bCs/>
                <w:color w:val="auto"/>
                <w:kern w:val="2"/>
                <w:sz w:val="24"/>
                <w:szCs w:val="24"/>
                <w:highlight w:val="none"/>
              </w:rPr>
              <w:t>部分</w:t>
            </w:r>
          </w:p>
        </w:tc>
        <w:tc>
          <w:tcPr>
            <w:tcW w:w="1527" w:type="dxa"/>
            <w:shd w:val="clear" w:color="auto" w:fill="auto"/>
            <w:vAlign w:val="center"/>
          </w:tcPr>
          <w:p w14:paraId="40739DD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highlight w:val="none"/>
              </w:rPr>
              <w:t>类似业绩</w:t>
            </w:r>
          </w:p>
        </w:tc>
        <w:tc>
          <w:tcPr>
            <w:tcW w:w="881" w:type="dxa"/>
            <w:shd w:val="clear" w:color="auto" w:fill="auto"/>
            <w:vAlign w:val="center"/>
          </w:tcPr>
          <w:p w14:paraId="76D93CA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highlight w:val="none"/>
                <w:lang w:val="en-US" w:eastAsia="zh-CN"/>
              </w:rPr>
              <w:t>12</w:t>
            </w:r>
          </w:p>
        </w:tc>
        <w:tc>
          <w:tcPr>
            <w:tcW w:w="6573" w:type="dxa"/>
            <w:shd w:val="clear" w:color="auto" w:fill="auto"/>
            <w:vAlign w:val="top"/>
          </w:tcPr>
          <w:p w14:paraId="343C098C">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pacing w:val="0"/>
                <w:w w:val="100"/>
                <w:kern w:val="2"/>
                <w:position w:val="0"/>
                <w:sz w:val="24"/>
                <w:szCs w:val="24"/>
                <w:u w:val="none"/>
                <w:shd w:val="clear" w:color="auto" w:fill="auto"/>
                <w:lang w:val="en-US" w:eastAsia="zh-CN" w:bidi="en-US"/>
              </w:rPr>
            </w:pPr>
            <w:r>
              <w:rPr>
                <w:rFonts w:hint="eastAsia" w:asciiTheme="minorEastAsia" w:hAnsiTheme="minorEastAsia" w:eastAsiaTheme="minorEastAsia" w:cstheme="minorEastAsia"/>
                <w:color w:val="auto"/>
                <w:kern w:val="2"/>
                <w:sz w:val="24"/>
                <w:szCs w:val="24"/>
                <w:highlight w:val="none"/>
                <w:lang w:val="en-US" w:eastAsia="zh-CN"/>
              </w:rPr>
              <w:t>提供2023年1月1日至提交响应文件截止时间前供应商的类似业绩证明材料</w:t>
            </w:r>
            <w:r>
              <w:rPr>
                <w:rFonts w:hint="eastAsia" w:asciiTheme="minorEastAsia" w:hAnsiTheme="minorEastAsia" w:cstheme="minorEastAsia"/>
                <w:color w:val="auto"/>
                <w:kern w:val="2"/>
                <w:sz w:val="24"/>
                <w:szCs w:val="24"/>
                <w:highlight w:val="none"/>
                <w:lang w:val="en-US" w:eastAsia="zh-CN"/>
              </w:rPr>
              <w:t>（类似业绩是指</w:t>
            </w:r>
            <w:r>
              <w:rPr>
                <w:rFonts w:hint="eastAsia" w:asciiTheme="minorEastAsia" w:hAnsiTheme="minorEastAsia" w:eastAsiaTheme="minorEastAsia" w:cstheme="minorEastAsia"/>
                <w:color w:val="auto"/>
                <w:kern w:val="2"/>
                <w:sz w:val="24"/>
                <w:szCs w:val="24"/>
                <w:highlight w:val="none"/>
                <w:lang w:val="en-US" w:eastAsia="zh-CN"/>
              </w:rPr>
              <w:t>饲草、饲料、兽药等</w:t>
            </w:r>
            <w:r>
              <w:rPr>
                <w:rFonts w:hint="eastAsia" w:ascii="宋体" w:hAnsi="宋体" w:eastAsia="宋体" w:cs="宋体"/>
                <w:color w:val="auto"/>
                <w:spacing w:val="0"/>
                <w:w w:val="100"/>
                <w:kern w:val="2"/>
                <w:position w:val="0"/>
                <w:sz w:val="24"/>
                <w:szCs w:val="24"/>
                <w:u w:val="none"/>
                <w:shd w:val="clear" w:color="auto" w:fill="auto"/>
                <w:lang w:val="en-US" w:eastAsia="zh-CN" w:bidi="en-US"/>
              </w:rPr>
              <w:t>农业</w:t>
            </w:r>
            <w:r>
              <w:rPr>
                <w:rFonts w:hint="eastAsia" w:asciiTheme="minorEastAsia" w:hAnsiTheme="minorEastAsia" w:eastAsiaTheme="minorEastAsia" w:cstheme="minorEastAsia"/>
                <w:color w:val="auto"/>
                <w:kern w:val="2"/>
                <w:sz w:val="24"/>
                <w:szCs w:val="24"/>
                <w:highlight w:val="none"/>
                <w:lang w:val="en-US" w:eastAsia="zh-CN"/>
              </w:rPr>
              <w:t>投入品及农产品质量安全监督检测任务</w:t>
            </w:r>
            <w:r>
              <w:rPr>
                <w:rFonts w:hint="eastAsia" w:asciiTheme="minorEastAsia" w:hAnsiTheme="minorEastAsia" w:cstheme="minorEastAsia"/>
                <w:color w:val="auto"/>
                <w:kern w:val="2"/>
                <w:sz w:val="24"/>
                <w:szCs w:val="24"/>
                <w:highlight w:val="none"/>
                <w:lang w:val="en-US" w:eastAsia="zh-CN"/>
              </w:rPr>
              <w:t>等）</w:t>
            </w:r>
            <w:r>
              <w:rPr>
                <w:rFonts w:hint="eastAsia" w:asciiTheme="minorEastAsia" w:hAnsiTheme="minorEastAsia" w:eastAsiaTheme="minorEastAsia" w:cstheme="minorEastAsia"/>
                <w:color w:val="auto"/>
                <w:kern w:val="2"/>
                <w:sz w:val="24"/>
                <w:szCs w:val="24"/>
                <w:highlight w:val="none"/>
                <w:lang w:val="en-US" w:eastAsia="zh-CN"/>
              </w:rPr>
              <w:t>，需提供包含合同首页、标的及金额所在页、合同签字盖章页的扫描件和中标（成交）通知书扫描件，每提供1份得2分，满分12分，未提供不得分。</w:t>
            </w:r>
          </w:p>
        </w:tc>
      </w:tr>
      <w:tr w14:paraId="4A10C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24" w:type="dxa"/>
            <w:vMerge w:val="restart"/>
            <w:vAlign w:val="center"/>
          </w:tcPr>
          <w:p w14:paraId="75F8CC6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rPr>
              <w:t>技术</w:t>
            </w:r>
            <w:r>
              <w:rPr>
                <w:rFonts w:hint="eastAsia" w:ascii="宋体" w:hAnsi="宋体" w:eastAsia="宋体" w:cs="宋体"/>
                <w:b/>
                <w:bCs/>
                <w:color w:val="auto"/>
                <w:kern w:val="2"/>
                <w:sz w:val="24"/>
                <w:szCs w:val="24"/>
                <w:highlight w:val="none"/>
              </w:rPr>
              <w:t>部分</w:t>
            </w:r>
          </w:p>
        </w:tc>
        <w:tc>
          <w:tcPr>
            <w:tcW w:w="1527" w:type="dxa"/>
            <w:shd w:val="clear" w:color="auto" w:fill="auto"/>
            <w:vAlign w:val="center"/>
          </w:tcPr>
          <w:p w14:paraId="5B0861B6">
            <w:pPr>
              <w:pStyle w:val="21"/>
              <w:spacing w:before="0" w:beforeAutospacing="0" w:after="0" w:line="240" w:lineRule="auto"/>
              <w:ind w:firstLine="0" w:firstLineChars="0"/>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项目团队的人员能力</w:t>
            </w:r>
          </w:p>
        </w:tc>
        <w:tc>
          <w:tcPr>
            <w:tcW w:w="881" w:type="dxa"/>
            <w:shd w:val="clear" w:color="auto" w:fill="auto"/>
            <w:vAlign w:val="center"/>
          </w:tcPr>
          <w:p w14:paraId="4584EBCD">
            <w:pPr>
              <w:pStyle w:val="21"/>
              <w:spacing w:before="0" w:beforeAutospacing="0" w:after="0" w:line="240" w:lineRule="auto"/>
              <w:ind w:firstLine="0" w:firstLineChars="0"/>
              <w:jc w:val="center"/>
              <w:rPr>
                <w:rFonts w:hint="eastAsia" w:ascii="宋体" w:hAnsi="宋体" w:eastAsia="宋体" w:cs="宋体"/>
                <w:b w:val="0"/>
                <w:bCs w:val="0"/>
                <w:strike w:val="0"/>
                <w:dstrike w:val="0"/>
                <w:color w:val="auto"/>
                <w:kern w:val="2"/>
                <w:sz w:val="24"/>
                <w:szCs w:val="24"/>
                <w:lang w:val="en-US" w:eastAsia="zh-CN" w:bidi="ar-SA"/>
              </w:rPr>
            </w:pPr>
            <w:r>
              <w:rPr>
                <w:rFonts w:hint="eastAsia" w:eastAsia="宋体" w:cs="宋体"/>
                <w:b w:val="0"/>
                <w:bCs w:val="0"/>
                <w:color w:val="auto"/>
                <w:kern w:val="2"/>
                <w:sz w:val="24"/>
                <w:szCs w:val="24"/>
                <w:lang w:val="en-US" w:eastAsia="zh-CN" w:bidi="ar-SA"/>
              </w:rPr>
              <w:t>10</w:t>
            </w:r>
          </w:p>
        </w:tc>
        <w:tc>
          <w:tcPr>
            <w:tcW w:w="6573" w:type="dxa"/>
            <w:shd w:val="clear" w:color="auto" w:fill="auto"/>
            <w:vAlign w:val="top"/>
          </w:tcPr>
          <w:p w14:paraId="6D9C7BFE">
            <w:pPr>
              <w:spacing w:line="24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供应商拟派本项目技术人员至少为5人，其中技术负责人具有高级技术职称并从事农业投入品</w:t>
            </w:r>
            <w:r>
              <w:rPr>
                <w:rFonts w:hint="eastAsia" w:asciiTheme="minorEastAsia" w:hAnsiTheme="minorEastAsia" w:cstheme="minorEastAsia"/>
                <w:color w:val="auto"/>
                <w:sz w:val="24"/>
                <w:szCs w:val="24"/>
                <w:lang w:val="en-US" w:eastAsia="zh-CN"/>
              </w:rPr>
              <w:t>及农产品</w:t>
            </w:r>
            <w:r>
              <w:rPr>
                <w:rFonts w:hint="eastAsia" w:asciiTheme="minorEastAsia" w:hAnsiTheme="minorEastAsia" w:eastAsiaTheme="minorEastAsia" w:cstheme="minorEastAsia"/>
                <w:color w:val="auto"/>
                <w:sz w:val="24"/>
                <w:szCs w:val="24"/>
                <w:lang w:val="en-US" w:eastAsia="zh-CN"/>
              </w:rPr>
              <w:t>相关专业工作5年以上的得3.5分，质量负责人具有高级技术职称并从事农业投入品</w:t>
            </w:r>
            <w:r>
              <w:rPr>
                <w:rFonts w:hint="eastAsia" w:asciiTheme="minorEastAsia" w:hAnsiTheme="minorEastAsia" w:cstheme="minorEastAsia"/>
                <w:color w:val="auto"/>
                <w:sz w:val="24"/>
                <w:szCs w:val="24"/>
                <w:lang w:val="en-US" w:eastAsia="zh-CN"/>
              </w:rPr>
              <w:t>及农产品</w:t>
            </w:r>
            <w:r>
              <w:rPr>
                <w:rFonts w:hint="eastAsia" w:asciiTheme="minorEastAsia" w:hAnsiTheme="minorEastAsia" w:eastAsiaTheme="minorEastAsia" w:cstheme="minorEastAsia"/>
                <w:color w:val="auto"/>
                <w:sz w:val="24"/>
                <w:szCs w:val="24"/>
                <w:lang w:val="en-US" w:eastAsia="zh-CN"/>
              </w:rPr>
              <w:t>相关专业工作5年以上的得3.5分</w:t>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其余人员具有中级以上（含中级）技术职称并从事农业投入品</w:t>
            </w:r>
            <w:r>
              <w:rPr>
                <w:rFonts w:hint="eastAsia" w:asciiTheme="minorEastAsia" w:hAnsiTheme="minorEastAsia" w:cstheme="minorEastAsia"/>
                <w:color w:val="auto"/>
                <w:sz w:val="24"/>
                <w:szCs w:val="24"/>
                <w:lang w:val="en-US" w:eastAsia="zh-CN"/>
              </w:rPr>
              <w:t>及农产品</w:t>
            </w:r>
            <w:r>
              <w:rPr>
                <w:rFonts w:hint="eastAsia" w:asciiTheme="minorEastAsia" w:hAnsiTheme="minorEastAsia" w:eastAsiaTheme="minorEastAsia" w:cstheme="minorEastAsia"/>
                <w:color w:val="auto"/>
                <w:sz w:val="24"/>
                <w:szCs w:val="24"/>
                <w:lang w:val="en-US" w:eastAsia="zh-CN"/>
              </w:rPr>
              <w:t>相关专业工作</w:t>
            </w:r>
            <w:r>
              <w:rPr>
                <w:rFonts w:hint="eastAsia" w:asciiTheme="minorEastAsia" w:hAnsiTheme="minorEastAsia" w:cstheme="minorEastAsia"/>
                <w:color w:val="auto"/>
                <w:sz w:val="24"/>
                <w:szCs w:val="24"/>
                <w:lang w:val="en-US" w:eastAsia="zh-CN"/>
              </w:rPr>
              <w:t>的，</w:t>
            </w:r>
            <w:r>
              <w:rPr>
                <w:rFonts w:hint="eastAsia" w:asciiTheme="minorEastAsia" w:hAnsiTheme="minorEastAsia" w:eastAsiaTheme="minorEastAsia" w:cstheme="minorEastAsia"/>
                <w:color w:val="auto"/>
                <w:sz w:val="24"/>
                <w:szCs w:val="24"/>
                <w:lang w:val="en-US" w:eastAsia="zh-CN"/>
              </w:rPr>
              <w:t>每人得1分</w:t>
            </w:r>
            <w:r>
              <w:rPr>
                <w:rFonts w:hint="eastAsia" w:asciiTheme="minorEastAsia" w:hAnsiTheme="minorEastAsia" w:cstheme="minorEastAsia"/>
                <w:color w:val="auto"/>
                <w:sz w:val="24"/>
                <w:szCs w:val="24"/>
                <w:lang w:val="en-US" w:eastAsia="zh-CN"/>
              </w:rPr>
              <w:t>，合计3分；</w:t>
            </w:r>
            <w:r>
              <w:rPr>
                <w:rFonts w:hint="eastAsia" w:asciiTheme="minorEastAsia" w:hAnsiTheme="minorEastAsia" w:eastAsiaTheme="minorEastAsia" w:cstheme="minorEastAsia"/>
                <w:color w:val="auto"/>
                <w:sz w:val="24"/>
                <w:szCs w:val="24"/>
                <w:lang w:val="en-US" w:eastAsia="zh-CN"/>
              </w:rPr>
              <w:t>本项满分10分。</w:t>
            </w:r>
          </w:p>
          <w:p w14:paraId="5B15113D">
            <w:pPr>
              <w:pStyle w:val="12"/>
              <w:numPr>
                <w:ilvl w:val="0"/>
                <w:numId w:val="0"/>
              </w:numPr>
              <w:spacing w:line="240" w:lineRule="auto"/>
              <w:ind w:left="0" w:leftChars="0" w:firstLine="0" w:firstLineChars="0"/>
              <w:rPr>
                <w:rFonts w:hint="eastAsia" w:ascii="宋体" w:hAnsi="宋体" w:eastAsia="宋体" w:cs="宋体"/>
                <w:color w:val="auto"/>
                <w:spacing w:val="0"/>
                <w:w w:val="100"/>
                <w:kern w:val="2"/>
                <w:position w:val="0"/>
                <w:sz w:val="24"/>
                <w:szCs w:val="24"/>
                <w:u w:val="none"/>
                <w:shd w:val="clear" w:color="auto" w:fill="auto"/>
                <w:lang w:val="en-US" w:eastAsia="zh-CN" w:bidi="en-US"/>
              </w:rPr>
            </w:pPr>
            <w:r>
              <w:rPr>
                <w:rFonts w:hint="eastAsia" w:asciiTheme="minorEastAsia" w:hAnsiTheme="minorEastAsia" w:eastAsiaTheme="minorEastAsia" w:cstheme="minorEastAsia"/>
                <w:color w:val="auto"/>
                <w:sz w:val="24"/>
                <w:szCs w:val="24"/>
                <w:lang w:val="en-US" w:eastAsia="zh-CN"/>
              </w:rPr>
              <w:t>注：相关专业</w:t>
            </w:r>
            <w:r>
              <w:rPr>
                <w:rFonts w:hint="eastAsia" w:asciiTheme="minorEastAsia" w:hAnsiTheme="minorEastAsia" w:cstheme="minorEastAsia"/>
                <w:color w:val="auto"/>
                <w:sz w:val="24"/>
                <w:szCs w:val="24"/>
                <w:lang w:val="en-US" w:eastAsia="zh-CN"/>
              </w:rPr>
              <w:t>是指</w:t>
            </w:r>
            <w:r>
              <w:rPr>
                <w:rFonts w:hint="eastAsia" w:hAnsi="宋体" w:eastAsia="宋体" w:cs="宋体"/>
                <w:color w:val="auto"/>
                <w:sz w:val="24"/>
                <w:szCs w:val="24"/>
                <w:lang w:val="en-US" w:eastAsia="zh-CN"/>
              </w:rPr>
              <w:t>饲草、</w:t>
            </w:r>
            <w:r>
              <w:rPr>
                <w:rFonts w:hint="eastAsia" w:ascii="宋体" w:hAnsi="宋体" w:eastAsia="宋体" w:cs="宋体"/>
                <w:color w:val="auto"/>
                <w:sz w:val="24"/>
                <w:szCs w:val="24"/>
                <w:lang w:val="en-US" w:eastAsia="zh-CN"/>
              </w:rPr>
              <w:t>饲料、</w:t>
            </w:r>
            <w:r>
              <w:rPr>
                <w:rFonts w:hint="eastAsia" w:hAnsi="宋体" w:eastAsia="宋体" w:cs="宋体"/>
                <w:color w:val="auto"/>
                <w:sz w:val="24"/>
                <w:szCs w:val="24"/>
                <w:lang w:val="en-US" w:eastAsia="zh-CN"/>
              </w:rPr>
              <w:t>兽药等，</w:t>
            </w:r>
            <w:r>
              <w:rPr>
                <w:rFonts w:hint="eastAsia" w:ascii="宋体" w:hAnsi="宋体" w:eastAsia="宋体" w:cs="宋体"/>
                <w:color w:val="auto"/>
                <w:sz w:val="24"/>
                <w:szCs w:val="24"/>
                <w:lang w:val="en-US" w:eastAsia="zh-CN"/>
              </w:rPr>
              <w:t>仪器分析、化学</w:t>
            </w:r>
            <w:r>
              <w:rPr>
                <w:rFonts w:hint="eastAsia" w:hAnsi="宋体" w:eastAsia="宋体" w:cs="宋体"/>
                <w:color w:val="auto"/>
                <w:sz w:val="24"/>
                <w:szCs w:val="24"/>
                <w:lang w:val="en-US" w:eastAsia="zh-CN"/>
              </w:rPr>
              <w:t>，农产品检测</w:t>
            </w:r>
            <w:r>
              <w:rPr>
                <w:rFonts w:hint="eastAsia" w:ascii="宋体" w:hAnsi="宋体" w:eastAsia="宋体" w:cs="宋体"/>
                <w:color w:val="auto"/>
                <w:sz w:val="24"/>
                <w:szCs w:val="24"/>
                <w:lang w:val="en-US" w:eastAsia="zh-CN"/>
              </w:rPr>
              <w:t>等</w:t>
            </w:r>
            <w:r>
              <w:rPr>
                <w:rFonts w:hint="eastAsia" w:hAnsi="宋体" w:eastAsia="宋体" w:cs="宋体"/>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以上人员</w:t>
            </w:r>
            <w:r>
              <w:rPr>
                <w:rFonts w:hint="eastAsia" w:asciiTheme="minorEastAsia" w:hAnsiTheme="minorEastAsia" w:cstheme="minorEastAsia"/>
                <w:color w:val="auto"/>
                <w:sz w:val="24"/>
                <w:szCs w:val="24"/>
                <w:lang w:val="en-US" w:eastAsia="zh-CN"/>
              </w:rPr>
              <w:t>需</w:t>
            </w:r>
            <w:r>
              <w:rPr>
                <w:rFonts w:hint="eastAsia" w:asciiTheme="minorEastAsia" w:hAnsiTheme="minorEastAsia" w:eastAsiaTheme="minorEastAsia" w:cstheme="minorEastAsia"/>
                <w:color w:val="auto"/>
                <w:sz w:val="24"/>
                <w:szCs w:val="24"/>
                <w:lang w:val="en-US" w:eastAsia="zh-CN"/>
              </w:rPr>
              <w:t>提供身份证、职称证书、专业证书、社保证明、劳动合同等证明材料，否则不得分。</w:t>
            </w:r>
          </w:p>
        </w:tc>
      </w:tr>
      <w:tr w14:paraId="5B792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24" w:type="dxa"/>
            <w:vMerge w:val="continue"/>
            <w:vAlign w:val="center"/>
          </w:tcPr>
          <w:p w14:paraId="7C29CA7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kern w:val="2"/>
                <w:sz w:val="24"/>
                <w:szCs w:val="24"/>
                <w:highlight w:val="yellow"/>
              </w:rPr>
            </w:pPr>
          </w:p>
        </w:tc>
        <w:tc>
          <w:tcPr>
            <w:tcW w:w="1527" w:type="dxa"/>
            <w:shd w:val="clear" w:color="auto" w:fill="auto"/>
            <w:vAlign w:val="center"/>
          </w:tcPr>
          <w:p w14:paraId="626C1D6B">
            <w:pPr>
              <w:pStyle w:val="21"/>
              <w:spacing w:before="0" w:beforeAutospacing="0" w:after="0" w:line="240" w:lineRule="auto"/>
              <w:ind w:firstLine="0" w:firstLine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拟投入本项目的仪器设备</w:t>
            </w:r>
          </w:p>
        </w:tc>
        <w:tc>
          <w:tcPr>
            <w:tcW w:w="881" w:type="dxa"/>
            <w:shd w:val="clear" w:color="auto" w:fill="auto"/>
            <w:vAlign w:val="center"/>
          </w:tcPr>
          <w:p w14:paraId="0409E1E6">
            <w:pPr>
              <w:pStyle w:val="21"/>
              <w:spacing w:before="0" w:beforeAutospacing="0" w:after="0" w:line="240" w:lineRule="auto"/>
              <w:ind w:firstLine="0" w:firstLineChars="0"/>
              <w:jc w:val="center"/>
              <w:rPr>
                <w:rFonts w:hint="default" w:ascii="宋体" w:hAnsi="宋体" w:eastAsia="宋体" w:cs="宋体"/>
                <w:b w:val="0"/>
                <w:bCs w:val="0"/>
                <w:color w:val="auto"/>
                <w:kern w:val="2"/>
                <w:sz w:val="24"/>
                <w:szCs w:val="24"/>
                <w:lang w:val="en-US" w:eastAsia="zh-CN" w:bidi="ar-SA"/>
              </w:rPr>
            </w:pPr>
            <w:r>
              <w:rPr>
                <w:rFonts w:hint="eastAsia" w:eastAsia="宋体" w:cs="宋体"/>
                <w:b w:val="0"/>
                <w:bCs w:val="0"/>
                <w:color w:val="auto"/>
                <w:kern w:val="2"/>
                <w:sz w:val="24"/>
                <w:szCs w:val="24"/>
                <w:lang w:val="en-US" w:eastAsia="zh-CN" w:bidi="ar-SA"/>
              </w:rPr>
              <w:t>10</w:t>
            </w:r>
          </w:p>
        </w:tc>
        <w:tc>
          <w:tcPr>
            <w:tcW w:w="6573" w:type="dxa"/>
            <w:shd w:val="clear" w:color="auto" w:fill="auto"/>
            <w:vAlign w:val="top"/>
          </w:tcPr>
          <w:p w14:paraId="48ACA568">
            <w:pPr>
              <w:spacing w:line="240" w:lineRule="auto"/>
              <w:ind w:firstLine="0" w:firstLineChars="0"/>
              <w:jc w:val="left"/>
              <w:rPr>
                <w:rFonts w:hint="eastAsia" w:ascii="宋体" w:hAnsi="宋体" w:eastAsia="宋体" w:cs="宋体"/>
                <w:color w:val="auto"/>
                <w:spacing w:val="0"/>
                <w:w w:val="100"/>
                <w:kern w:val="2"/>
                <w:position w:val="0"/>
                <w:sz w:val="24"/>
                <w:szCs w:val="24"/>
                <w:u w:val="none"/>
                <w:shd w:val="clear" w:color="auto" w:fill="auto"/>
                <w:lang w:val="en-US" w:eastAsia="zh-CN" w:bidi="en-US"/>
              </w:rPr>
            </w:pPr>
            <w:r>
              <w:rPr>
                <w:rFonts w:hint="eastAsia" w:ascii="宋体" w:hAnsi="宋体" w:eastAsia="宋体" w:cs="宋体"/>
                <w:color w:val="auto"/>
                <w:kern w:val="2"/>
                <w:sz w:val="24"/>
                <w:szCs w:val="24"/>
                <w:lang w:val="en-US" w:eastAsia="zh-CN" w:bidi="ar-SA"/>
              </w:rPr>
              <w:t>供应商根据本项目采购需求提供</w:t>
            </w:r>
            <w:r>
              <w:rPr>
                <w:rFonts w:hint="eastAsia" w:ascii="宋体" w:hAnsi="宋体" w:eastAsia="宋体" w:cs="宋体"/>
                <w:b w:val="0"/>
                <w:bCs w:val="0"/>
                <w:color w:val="auto"/>
                <w:kern w:val="2"/>
                <w:sz w:val="24"/>
                <w:szCs w:val="24"/>
                <w:lang w:val="en-US" w:eastAsia="zh-CN" w:bidi="ar-SA"/>
              </w:rPr>
              <w:t>拟投入本项目的仪器设备，提供</w:t>
            </w:r>
            <w:r>
              <w:rPr>
                <w:rFonts w:hint="eastAsia" w:ascii="宋体" w:hAnsi="宋体" w:eastAsia="宋体" w:cs="宋体"/>
                <w:color w:val="auto"/>
                <w:spacing w:val="0"/>
                <w:w w:val="100"/>
                <w:kern w:val="2"/>
                <w:position w:val="0"/>
                <w:sz w:val="24"/>
                <w:szCs w:val="24"/>
                <w:u w:val="none"/>
                <w:shd w:val="clear" w:color="auto" w:fill="auto"/>
                <w:lang w:val="en-US" w:eastAsia="zh-CN" w:bidi="en-US"/>
              </w:rPr>
              <w:t>1台高效液相色谱（HPLC）的得3分、1台原子吸收分光光度计的得2分、1台近红外光谱仪的得2分、1台脂肪仪的得1分、1台凯氏定氮仪的得1分、1台纤维分析仪的得1分，未提供不得分。需提供每类仪器的实物照片、名称、品牌型号、功能等介绍材料、购进发票或资产所有权证明材料等证明材料及有效期内的检定或校准证书复印件，材料不齐全的不得分。</w:t>
            </w:r>
          </w:p>
        </w:tc>
      </w:tr>
      <w:tr w14:paraId="284D7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24" w:type="dxa"/>
            <w:vMerge w:val="continue"/>
            <w:vAlign w:val="center"/>
          </w:tcPr>
          <w:p w14:paraId="10F1CB2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kern w:val="2"/>
                <w:sz w:val="24"/>
                <w:szCs w:val="24"/>
                <w:highlight w:val="yellow"/>
              </w:rPr>
            </w:pPr>
          </w:p>
        </w:tc>
        <w:tc>
          <w:tcPr>
            <w:tcW w:w="1527" w:type="dxa"/>
            <w:shd w:val="clear" w:color="auto" w:fill="auto"/>
            <w:vAlign w:val="center"/>
          </w:tcPr>
          <w:p w14:paraId="739DCB6B">
            <w:pPr>
              <w:pStyle w:val="21"/>
              <w:spacing w:before="0" w:beforeAutospacing="0" w:after="0" w:line="240" w:lineRule="auto"/>
              <w:ind w:firstLine="0" w:firstLineChars="0"/>
              <w:jc w:val="center"/>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实验</w:t>
            </w:r>
            <w:r>
              <w:rPr>
                <w:rFonts w:hint="eastAsia" w:eastAsia="宋体" w:cs="宋体"/>
                <w:color w:val="auto"/>
                <w:sz w:val="24"/>
                <w:szCs w:val="24"/>
                <w:lang w:val="en-US" w:eastAsia="zh-CN"/>
              </w:rPr>
              <w:t>室条件</w:t>
            </w:r>
          </w:p>
        </w:tc>
        <w:tc>
          <w:tcPr>
            <w:tcW w:w="881" w:type="dxa"/>
            <w:shd w:val="clear" w:color="auto" w:fill="auto"/>
            <w:vAlign w:val="center"/>
          </w:tcPr>
          <w:p w14:paraId="27E44B55">
            <w:pPr>
              <w:pStyle w:val="21"/>
              <w:spacing w:before="0" w:beforeAutospacing="0" w:after="0" w:line="240" w:lineRule="auto"/>
              <w:ind w:firstLine="0" w:firstLineChars="0"/>
              <w:jc w:val="center"/>
              <w:rPr>
                <w:rFonts w:hint="default" w:ascii="宋体" w:hAnsi="宋体" w:eastAsia="宋体" w:cs="宋体"/>
                <w:b w:val="0"/>
                <w:bCs w:val="0"/>
                <w:color w:val="auto"/>
                <w:kern w:val="2"/>
                <w:sz w:val="24"/>
                <w:szCs w:val="24"/>
                <w:lang w:val="en-US" w:eastAsia="zh-CN" w:bidi="ar-SA"/>
              </w:rPr>
            </w:pPr>
            <w:r>
              <w:rPr>
                <w:rFonts w:hint="eastAsia" w:eastAsia="宋体" w:cs="宋体"/>
                <w:b w:val="0"/>
                <w:bCs w:val="0"/>
                <w:color w:val="auto"/>
                <w:kern w:val="2"/>
                <w:sz w:val="24"/>
                <w:szCs w:val="24"/>
                <w:lang w:val="en-US" w:eastAsia="zh-CN" w:bidi="ar-SA"/>
              </w:rPr>
              <w:t>5</w:t>
            </w:r>
          </w:p>
        </w:tc>
        <w:tc>
          <w:tcPr>
            <w:tcW w:w="6573" w:type="dxa"/>
            <w:shd w:val="clear" w:color="auto" w:fill="auto"/>
            <w:vAlign w:val="top"/>
          </w:tcPr>
          <w:p w14:paraId="35D06356">
            <w:pPr>
              <w:pStyle w:val="12"/>
              <w:numPr>
                <w:ilvl w:val="0"/>
                <w:numId w:val="0"/>
              </w:numPr>
              <w:spacing w:line="240" w:lineRule="auto"/>
              <w:ind w:left="0" w:leftChars="0" w:firstLine="0" w:firstLineChars="0"/>
              <w:rPr>
                <w:rFonts w:hint="eastAsia" w:ascii="宋体" w:hAnsi="宋体" w:eastAsia="宋体" w:cs="宋体"/>
                <w:color w:val="auto"/>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供应商具有独立实验室，且总场地规模＜1000平方米的得1分，1000平方米≤总场地规模＜</w:t>
            </w: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val="en-US" w:eastAsia="zh-CN"/>
              </w:rPr>
              <w:t>000平方米的得3分，总场地规模≥</w:t>
            </w: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val="en-US" w:eastAsia="zh-CN"/>
              </w:rPr>
              <w:t>000平方米的得5分</w:t>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cstheme="minorEastAsia"/>
                <w:color w:val="auto"/>
                <w:sz w:val="24"/>
                <w:szCs w:val="24"/>
                <w:lang w:val="en-US" w:eastAsia="zh-CN"/>
              </w:rPr>
              <w:t>需</w:t>
            </w:r>
            <w:r>
              <w:rPr>
                <w:rFonts w:hint="eastAsia" w:asciiTheme="minorEastAsia" w:hAnsiTheme="minorEastAsia" w:eastAsiaTheme="minorEastAsia" w:cstheme="minorEastAsia"/>
                <w:color w:val="auto"/>
                <w:sz w:val="24"/>
                <w:szCs w:val="24"/>
                <w:lang w:val="en-US" w:eastAsia="zh-CN"/>
              </w:rPr>
              <w:t>提供相关证明材料，如产权证明或租赁合同复印件、场地图片、满足检测需求的实验室平面布局等</w:t>
            </w:r>
            <w:r>
              <w:rPr>
                <w:rFonts w:hint="eastAsia" w:asciiTheme="minorEastAsia" w:hAnsiTheme="minorEastAsia" w:cstheme="minorEastAsia"/>
                <w:color w:val="auto"/>
                <w:sz w:val="24"/>
                <w:szCs w:val="24"/>
                <w:lang w:val="en-US" w:eastAsia="zh-CN"/>
              </w:rPr>
              <w:t>，否则不得分</w:t>
            </w:r>
            <w:r>
              <w:rPr>
                <w:rFonts w:hint="eastAsia" w:asciiTheme="minorEastAsia" w:hAnsiTheme="minorEastAsia" w:eastAsiaTheme="minorEastAsia" w:cstheme="minorEastAsia"/>
                <w:color w:val="auto"/>
                <w:sz w:val="24"/>
                <w:szCs w:val="24"/>
                <w:lang w:val="en-US" w:eastAsia="zh-CN"/>
              </w:rPr>
              <w:t>)。</w:t>
            </w:r>
          </w:p>
        </w:tc>
      </w:tr>
      <w:tr w14:paraId="7F90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24" w:type="dxa"/>
            <w:vMerge w:val="continue"/>
            <w:vAlign w:val="center"/>
          </w:tcPr>
          <w:p w14:paraId="50B0CD3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kern w:val="2"/>
                <w:sz w:val="24"/>
                <w:szCs w:val="24"/>
                <w:highlight w:val="yellow"/>
              </w:rPr>
            </w:pPr>
          </w:p>
        </w:tc>
        <w:tc>
          <w:tcPr>
            <w:tcW w:w="1527" w:type="dxa"/>
            <w:shd w:val="clear" w:color="auto" w:fill="auto"/>
            <w:vAlign w:val="center"/>
          </w:tcPr>
          <w:p w14:paraId="5A7EEBB8">
            <w:pPr>
              <w:pStyle w:val="21"/>
              <w:spacing w:before="0" w:beforeAutospacing="0" w:after="0" w:line="240" w:lineRule="auto"/>
              <w:ind w:firstLine="0" w:firstLineChars="0"/>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检测能力</w:t>
            </w:r>
          </w:p>
        </w:tc>
        <w:tc>
          <w:tcPr>
            <w:tcW w:w="881" w:type="dxa"/>
            <w:shd w:val="clear" w:color="auto" w:fill="auto"/>
            <w:vAlign w:val="center"/>
          </w:tcPr>
          <w:p w14:paraId="6AECA9F2">
            <w:pPr>
              <w:pStyle w:val="21"/>
              <w:spacing w:before="0" w:beforeAutospacing="0" w:after="0" w:line="240" w:lineRule="auto"/>
              <w:ind w:firstLine="0" w:firstLineChars="0"/>
              <w:jc w:val="center"/>
              <w:rPr>
                <w:rFonts w:hint="default" w:ascii="宋体" w:hAnsi="宋体" w:eastAsia="宋体" w:cs="宋体"/>
                <w:b w:val="0"/>
                <w:bCs w:val="0"/>
                <w:color w:val="auto"/>
                <w:kern w:val="2"/>
                <w:sz w:val="24"/>
                <w:szCs w:val="24"/>
                <w:lang w:val="en-US" w:eastAsia="zh-CN" w:bidi="ar-SA"/>
              </w:rPr>
            </w:pPr>
            <w:r>
              <w:rPr>
                <w:rFonts w:hint="eastAsia" w:eastAsia="宋体" w:cs="宋体"/>
                <w:b w:val="0"/>
                <w:bCs w:val="0"/>
                <w:color w:val="auto"/>
                <w:kern w:val="2"/>
                <w:sz w:val="24"/>
                <w:szCs w:val="24"/>
                <w:lang w:val="en-US" w:eastAsia="zh-CN" w:bidi="ar-SA"/>
              </w:rPr>
              <w:t>15</w:t>
            </w:r>
          </w:p>
        </w:tc>
        <w:tc>
          <w:tcPr>
            <w:tcW w:w="6573" w:type="dxa"/>
            <w:shd w:val="clear" w:color="auto" w:fill="auto"/>
            <w:vAlign w:val="top"/>
          </w:tcPr>
          <w:p w14:paraId="6C96847C">
            <w:pPr>
              <w:keepNext w:val="0"/>
              <w:keepLines w:val="0"/>
              <w:widowControl/>
              <w:suppressLineNumbers w:val="0"/>
              <w:spacing w:line="240" w:lineRule="auto"/>
              <w:ind w:left="0" w:leftChars="0" w:firstLine="0" w:firstLineChars="0"/>
              <w:jc w:val="left"/>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具有CMA资质的检测参数覆盖本项目全部检测指标</w:t>
            </w:r>
            <w:r>
              <w:rPr>
                <w:rFonts w:hint="eastAsia" w:asciiTheme="minorEastAsia" w:hAnsiTheme="minorEastAsia" w:cstheme="minorEastAsia"/>
                <w:b w:val="0"/>
                <w:bCs w:val="0"/>
                <w:color w:val="auto"/>
                <w:sz w:val="24"/>
                <w:szCs w:val="24"/>
                <w:lang w:val="en-US" w:eastAsia="zh-CN"/>
              </w:rPr>
              <w:t>的比例</w:t>
            </w:r>
            <w:r>
              <w:rPr>
                <w:rFonts w:hint="eastAsia" w:asciiTheme="minorEastAsia" w:hAnsiTheme="minorEastAsia" w:eastAsiaTheme="minorEastAsia" w:cstheme="minorEastAsia"/>
                <w:b w:val="0"/>
                <w:bCs w:val="0"/>
                <w:color w:val="auto"/>
                <w:sz w:val="24"/>
                <w:szCs w:val="24"/>
                <w:lang w:val="en-US" w:eastAsia="zh-CN"/>
              </w:rPr>
              <w:t>≥98%的得15分</w:t>
            </w:r>
            <w:r>
              <w:rPr>
                <w:rFonts w:hint="eastAsia" w:asciiTheme="minorEastAsia" w:hAnsi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lang w:val="en-US" w:eastAsia="zh-CN"/>
              </w:rPr>
              <w:t>98%（不含）–95%（含）的得10分</w:t>
            </w:r>
            <w:r>
              <w:rPr>
                <w:rFonts w:hint="eastAsia" w:asciiTheme="minorEastAsia" w:hAnsi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lang w:val="en-US" w:eastAsia="zh-CN"/>
              </w:rPr>
              <w:t>95%（不含）</w:t>
            </w:r>
            <w:r>
              <w:rPr>
                <w:rFonts w:hint="eastAsia" w:asciiTheme="minorEastAsia" w:hAnsi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lang w:val="en-US" w:eastAsia="zh-CN"/>
              </w:rPr>
              <w:t>92%（含）的得5分</w:t>
            </w:r>
            <w:r>
              <w:rPr>
                <w:rFonts w:hint="eastAsia" w:asciiTheme="minorEastAsia" w:hAnsi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lang w:val="en-US" w:eastAsia="zh-CN"/>
              </w:rPr>
              <w:t>＜92%</w:t>
            </w:r>
            <w:r>
              <w:rPr>
                <w:rFonts w:hint="eastAsia" w:asciiTheme="minorEastAsia" w:hAnsiTheme="minorEastAsia" w:cstheme="minorEastAsia"/>
                <w:b w:val="0"/>
                <w:bCs w:val="0"/>
                <w:color w:val="auto"/>
                <w:sz w:val="24"/>
                <w:szCs w:val="24"/>
                <w:lang w:val="en-US" w:eastAsia="zh-CN"/>
              </w:rPr>
              <w:t>（不含）</w:t>
            </w:r>
            <w:r>
              <w:rPr>
                <w:rFonts w:hint="eastAsia" w:asciiTheme="minorEastAsia" w:hAnsiTheme="minorEastAsia" w:eastAsiaTheme="minorEastAsia" w:cstheme="minorEastAsia"/>
                <w:b w:val="0"/>
                <w:bCs w:val="0"/>
                <w:color w:val="auto"/>
                <w:sz w:val="24"/>
                <w:szCs w:val="24"/>
                <w:lang w:val="en-US" w:eastAsia="zh-CN"/>
              </w:rPr>
              <w:t>的得</w:t>
            </w:r>
            <w:r>
              <w:rPr>
                <w:rFonts w:hint="eastAsia" w:asciiTheme="minorEastAsia" w:hAnsiTheme="minorEastAsia" w:cstheme="minorEastAsia"/>
                <w:b w:val="0"/>
                <w:bCs w:val="0"/>
                <w:color w:val="auto"/>
                <w:sz w:val="24"/>
                <w:szCs w:val="24"/>
                <w:lang w:val="en-US" w:eastAsia="zh-CN"/>
              </w:rPr>
              <w:t>0</w:t>
            </w:r>
            <w:r>
              <w:rPr>
                <w:rFonts w:hint="eastAsia" w:asciiTheme="minorEastAsia" w:hAnsiTheme="minorEastAsia" w:eastAsiaTheme="minorEastAsia" w:cstheme="minorEastAsia"/>
                <w:b w:val="0"/>
                <w:bCs w:val="0"/>
                <w:color w:val="auto"/>
                <w:sz w:val="24"/>
                <w:szCs w:val="24"/>
                <w:lang w:val="en-US" w:eastAsia="zh-CN"/>
              </w:rPr>
              <w:t>分。</w:t>
            </w:r>
          </w:p>
          <w:p w14:paraId="4FF33EFB">
            <w:pPr>
              <w:keepNext w:val="0"/>
              <w:keepLines w:val="0"/>
              <w:widowControl/>
              <w:suppressLineNumbers w:val="0"/>
              <w:spacing w:line="240" w:lineRule="auto"/>
              <w:ind w:left="0" w:leftChars="0" w:firstLine="0" w:firstLineChars="0"/>
              <w:jc w:val="left"/>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证明材料（缺一不可，否则该项不得分）：</w:t>
            </w:r>
          </w:p>
          <w:p w14:paraId="6C12E013">
            <w:pPr>
              <w:keepNext w:val="0"/>
              <w:keepLines w:val="0"/>
              <w:widowControl/>
              <w:suppressLineNumbers w:val="0"/>
              <w:spacing w:line="240" w:lineRule="auto"/>
              <w:ind w:left="0" w:leftChars="0" w:firstLine="0" w:firstLineChars="0"/>
              <w:jc w:val="left"/>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① 有效期内CMA证书及完整附表</w:t>
            </w:r>
            <w:r>
              <w:rPr>
                <w:rFonts w:hint="eastAsia" w:asciiTheme="minorEastAsia" w:hAnsiTheme="minorEastAsia" w:cstheme="minorEastAsia"/>
                <w:b w:val="0"/>
                <w:bCs w:val="0"/>
                <w:color w:val="auto"/>
                <w:sz w:val="24"/>
                <w:szCs w:val="24"/>
                <w:lang w:val="en-US" w:eastAsia="zh-CN"/>
              </w:rPr>
              <w:t>扫描</w:t>
            </w:r>
            <w:r>
              <w:rPr>
                <w:rFonts w:hint="eastAsia" w:asciiTheme="minorEastAsia" w:hAnsiTheme="minorEastAsia" w:eastAsiaTheme="minorEastAsia" w:cstheme="minorEastAsia"/>
                <w:b w:val="0"/>
                <w:bCs w:val="0"/>
                <w:color w:val="auto"/>
                <w:sz w:val="24"/>
                <w:szCs w:val="24"/>
                <w:lang w:val="en-US" w:eastAsia="zh-CN"/>
              </w:rPr>
              <w:t>件，并标注本项目对应参数；</w:t>
            </w:r>
          </w:p>
          <w:p w14:paraId="1D33C40E">
            <w:pPr>
              <w:keepNext w:val="0"/>
              <w:keepLines w:val="0"/>
              <w:widowControl/>
              <w:suppressLineNumbers w:val="0"/>
              <w:spacing w:line="240" w:lineRule="auto"/>
              <w:ind w:left="0" w:leftChars="0" w:firstLine="0" w:firstLineChars="0"/>
              <w:jc w:val="left"/>
              <w:rPr>
                <w:rFonts w:hint="eastAsia" w:ascii="宋体" w:hAnsi="宋体" w:eastAsia="宋体" w:cs="宋体"/>
                <w:b w:val="0"/>
                <w:bCs w:val="0"/>
                <w:color w:val="auto"/>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② 加盖公章的CMA覆盖率自查表（含计算公式与结果）</w:t>
            </w:r>
            <w:r>
              <w:rPr>
                <w:rFonts w:hint="eastAsia" w:asciiTheme="minorEastAsia" w:hAnsiTheme="minorEastAsia" w:cstheme="minorEastAsia"/>
                <w:b w:val="0"/>
                <w:bCs w:val="0"/>
                <w:color w:val="auto"/>
                <w:sz w:val="24"/>
                <w:szCs w:val="24"/>
                <w:lang w:val="en-US" w:eastAsia="zh-CN"/>
              </w:rPr>
              <w:t>。</w:t>
            </w:r>
          </w:p>
        </w:tc>
      </w:tr>
      <w:tr w14:paraId="19633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24" w:type="dxa"/>
            <w:vMerge w:val="continue"/>
            <w:vAlign w:val="center"/>
          </w:tcPr>
          <w:p w14:paraId="58A461F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kern w:val="2"/>
                <w:sz w:val="24"/>
                <w:szCs w:val="24"/>
                <w:highlight w:val="yellow"/>
              </w:rPr>
            </w:pPr>
          </w:p>
        </w:tc>
        <w:tc>
          <w:tcPr>
            <w:tcW w:w="1527" w:type="dxa"/>
            <w:shd w:val="clear" w:color="auto" w:fill="auto"/>
            <w:vAlign w:val="center"/>
          </w:tcPr>
          <w:p w14:paraId="77070337">
            <w:pPr>
              <w:spacing w:line="240" w:lineRule="auto"/>
              <w:ind w:firstLine="0" w:firstLine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kern w:val="2"/>
                <w:sz w:val="24"/>
                <w:szCs w:val="24"/>
                <w:vertAlign w:val="baseline"/>
                <w:lang w:val="en-US" w:eastAsia="zh-CN"/>
              </w:rPr>
              <w:t>检测方案</w:t>
            </w:r>
          </w:p>
        </w:tc>
        <w:tc>
          <w:tcPr>
            <w:tcW w:w="881" w:type="dxa"/>
            <w:shd w:val="clear" w:color="auto" w:fill="auto"/>
            <w:vAlign w:val="center"/>
          </w:tcPr>
          <w:p w14:paraId="2D980595">
            <w:pPr>
              <w:pStyle w:val="21"/>
              <w:spacing w:before="0" w:beforeAutospacing="0" w:after="0" w:line="240" w:lineRule="auto"/>
              <w:ind w:firstLine="0" w:firstLineChars="0"/>
              <w:jc w:val="center"/>
              <w:rPr>
                <w:rFonts w:hint="default" w:ascii="宋体" w:hAnsi="宋体" w:eastAsia="宋体" w:cs="宋体"/>
                <w:b w:val="0"/>
                <w:bCs w:val="0"/>
                <w:color w:val="auto"/>
                <w:kern w:val="2"/>
                <w:sz w:val="24"/>
                <w:szCs w:val="24"/>
                <w:lang w:val="en-US" w:eastAsia="zh-CN" w:bidi="ar-SA"/>
              </w:rPr>
            </w:pPr>
            <w:r>
              <w:rPr>
                <w:rFonts w:hint="eastAsia" w:eastAsia="宋体" w:cs="宋体"/>
                <w:color w:val="auto"/>
                <w:kern w:val="2"/>
                <w:sz w:val="24"/>
                <w:szCs w:val="24"/>
                <w:vertAlign w:val="baseline"/>
                <w:lang w:val="en-US" w:eastAsia="zh-CN"/>
              </w:rPr>
              <w:t>30</w:t>
            </w:r>
          </w:p>
        </w:tc>
        <w:tc>
          <w:tcPr>
            <w:tcW w:w="6573" w:type="dxa"/>
            <w:shd w:val="clear" w:color="auto" w:fill="auto"/>
            <w:vAlign w:val="top"/>
          </w:tcPr>
          <w:p w14:paraId="5EDC7373">
            <w:pPr>
              <w:keepNext w:val="0"/>
              <w:keepLines w:val="0"/>
              <w:widowControl/>
              <w:suppressLineNumbers w:val="0"/>
              <w:spacing w:line="240" w:lineRule="auto"/>
              <w:ind w:left="0" w:leftChars="0" w:firstLine="0" w:firstLineChars="0"/>
              <w:jc w:val="left"/>
              <w:rPr>
                <w:rFonts w:hint="eastAsia" w:asciiTheme="minorEastAsia" w:hAnsiTheme="minorEastAsia" w:eastAsiaTheme="minorEastAsia" w:cstheme="minorEastAsia"/>
                <w:b w:val="0"/>
                <w:bCs w:val="0"/>
                <w:color w:val="auto"/>
                <w:sz w:val="24"/>
                <w:szCs w:val="24"/>
                <w:lang w:val="zh-CN" w:eastAsia="zh-CN"/>
              </w:rPr>
            </w:pPr>
            <w:r>
              <w:rPr>
                <w:rFonts w:hint="eastAsia" w:asciiTheme="minorEastAsia" w:hAnsiTheme="minorEastAsia" w:eastAsiaTheme="minorEastAsia" w:cstheme="minorEastAsia"/>
                <w:color w:val="auto"/>
                <w:kern w:val="2"/>
                <w:sz w:val="24"/>
                <w:szCs w:val="24"/>
                <w:lang w:val="en-US" w:eastAsia="zh-CN" w:bidi="ar-SA"/>
              </w:rPr>
              <w:t>供应商根据本项目采购需求</w:t>
            </w:r>
            <w:r>
              <w:rPr>
                <w:rFonts w:hint="eastAsia" w:asciiTheme="minorEastAsia" w:hAnsiTheme="minorEastAsia" w:eastAsiaTheme="minorEastAsia" w:cstheme="minorEastAsia"/>
                <w:color w:val="auto"/>
                <w:sz w:val="24"/>
                <w:szCs w:val="24"/>
                <w:highlight w:val="none"/>
                <w:lang w:val="en-US" w:eastAsia="zh-CN"/>
              </w:rPr>
              <w:t>编制检测方案，方案</w:t>
            </w:r>
            <w:r>
              <w:rPr>
                <w:rFonts w:hint="eastAsia" w:asciiTheme="minorEastAsia" w:hAnsiTheme="minorEastAsia" w:eastAsiaTheme="minorEastAsia" w:cstheme="minorEastAsia"/>
                <w:color w:val="auto"/>
                <w:kern w:val="2"/>
                <w:sz w:val="24"/>
                <w:szCs w:val="24"/>
                <w:lang w:val="en-US" w:eastAsia="zh-CN" w:bidi="ar-SA"/>
              </w:rPr>
              <w:t>内容至少包含：①实施方案（应详细明确体现整体工作时间内容安排，内容明细等）；②检测分析方案（包括检验依据、检验项目、检验方法等）；③风险防控排查；④样品管理制度；⑤数据统计与分析；⑥异议处理和复检工作安排；⑦信息报送方案等内容；⑧应急预案；⑨应急响应；⑩应急保障；⑪后期处置；⑫培训与演练等</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lang w:val="en-US" w:eastAsia="zh-CN"/>
              </w:rPr>
              <w:t>磋商小组</w:t>
            </w:r>
            <w:r>
              <w:rPr>
                <w:rFonts w:hint="eastAsia" w:asciiTheme="minorEastAsia" w:hAnsiTheme="minorEastAsia" w:eastAsiaTheme="minorEastAsia" w:cstheme="minorEastAsia"/>
                <w:b w:val="0"/>
                <w:bCs w:val="0"/>
                <w:color w:val="auto"/>
                <w:sz w:val="24"/>
                <w:szCs w:val="24"/>
                <w:lang w:val="zh-CN" w:eastAsia="zh-CN"/>
              </w:rPr>
              <w:t>对以上内容进行评审，满分</w:t>
            </w:r>
            <w:r>
              <w:rPr>
                <w:rFonts w:hint="eastAsia" w:asciiTheme="minorEastAsia" w:hAnsiTheme="minorEastAsia" w:eastAsiaTheme="minorEastAsia" w:cstheme="minorEastAsia"/>
                <w:b w:val="0"/>
                <w:bCs w:val="0"/>
                <w:color w:val="auto"/>
                <w:sz w:val="24"/>
                <w:szCs w:val="24"/>
                <w:lang w:val="en-US" w:eastAsia="zh-CN"/>
              </w:rPr>
              <w:t>30</w:t>
            </w:r>
            <w:r>
              <w:rPr>
                <w:rFonts w:hint="eastAsia" w:asciiTheme="minorEastAsia" w:hAnsiTheme="minorEastAsia" w:eastAsiaTheme="minorEastAsia" w:cstheme="minorEastAsia"/>
                <w:b w:val="0"/>
                <w:bCs w:val="0"/>
                <w:color w:val="auto"/>
                <w:sz w:val="24"/>
                <w:szCs w:val="24"/>
                <w:lang w:val="zh-CN" w:eastAsia="zh-CN"/>
              </w:rPr>
              <w:t>分，每缺少一项内容扣</w:t>
            </w:r>
            <w:r>
              <w:rPr>
                <w:rFonts w:hint="eastAsia" w:asciiTheme="minorEastAsia" w:hAnsiTheme="minorEastAsia" w:eastAsiaTheme="minorEastAsia" w:cstheme="minorEastAsia"/>
                <w:b w:val="0"/>
                <w:bCs w:val="0"/>
                <w:color w:val="auto"/>
                <w:sz w:val="24"/>
                <w:szCs w:val="24"/>
                <w:lang w:val="en-US" w:eastAsia="zh-CN"/>
              </w:rPr>
              <w:t>2.5</w:t>
            </w:r>
            <w:r>
              <w:rPr>
                <w:rFonts w:hint="eastAsia" w:asciiTheme="minorEastAsia" w:hAnsiTheme="minorEastAsia" w:eastAsiaTheme="minorEastAsia" w:cstheme="minorEastAsia"/>
                <w:b w:val="0"/>
                <w:bCs w:val="0"/>
                <w:color w:val="auto"/>
                <w:sz w:val="24"/>
                <w:szCs w:val="24"/>
                <w:lang w:val="zh-CN" w:eastAsia="zh-CN"/>
              </w:rPr>
              <w:t>分；所提供的每项内容中每存在一处缺陷</w:t>
            </w:r>
            <w:r>
              <w:rPr>
                <w:rFonts w:hint="eastAsia" w:asciiTheme="minorEastAsia" w:hAnsiTheme="minorEastAsia" w:eastAsiaTheme="minorEastAsia" w:cstheme="minorEastAsia"/>
                <w:b w:val="0"/>
                <w:bCs w:val="0"/>
                <w:color w:val="auto"/>
                <w:sz w:val="24"/>
                <w:szCs w:val="24"/>
                <w:lang w:val="en-US" w:eastAsia="zh-CN"/>
              </w:rPr>
              <w:t>或不足的</w:t>
            </w:r>
            <w:r>
              <w:rPr>
                <w:rFonts w:hint="eastAsia" w:asciiTheme="minorEastAsia" w:hAnsiTheme="minorEastAsia" w:eastAsiaTheme="minorEastAsia" w:cstheme="minorEastAsia"/>
                <w:b w:val="0"/>
                <w:bCs w:val="0"/>
                <w:color w:val="auto"/>
                <w:sz w:val="24"/>
                <w:szCs w:val="24"/>
                <w:lang w:val="zh-CN" w:eastAsia="zh-CN"/>
              </w:rPr>
              <w:t>扣</w:t>
            </w:r>
            <w:r>
              <w:rPr>
                <w:rFonts w:hint="eastAsia" w:asciiTheme="minorEastAsia" w:hAnsiTheme="minorEastAsia" w:cstheme="minorEastAsia"/>
                <w:b w:val="0"/>
                <w:bCs w:val="0"/>
                <w:color w:val="auto"/>
                <w:sz w:val="24"/>
                <w:szCs w:val="24"/>
                <w:lang w:val="en-US" w:eastAsia="zh-CN"/>
              </w:rPr>
              <w:t>0.5</w:t>
            </w:r>
            <w:r>
              <w:rPr>
                <w:rFonts w:hint="eastAsia" w:asciiTheme="minorEastAsia" w:hAnsiTheme="minorEastAsia" w:eastAsiaTheme="minorEastAsia" w:cstheme="minorEastAsia"/>
                <w:b w:val="0"/>
                <w:bCs w:val="0"/>
                <w:color w:val="auto"/>
                <w:sz w:val="24"/>
                <w:szCs w:val="24"/>
                <w:lang w:val="zh-CN" w:eastAsia="zh-CN"/>
              </w:rPr>
              <w:t>分，每项</w:t>
            </w:r>
            <w:r>
              <w:rPr>
                <w:rFonts w:hint="eastAsia" w:asciiTheme="minorEastAsia" w:hAnsiTheme="minorEastAsia" w:eastAsiaTheme="minorEastAsia" w:cstheme="minorEastAsia"/>
                <w:b w:val="0"/>
                <w:bCs w:val="0"/>
                <w:color w:val="auto"/>
                <w:sz w:val="24"/>
                <w:szCs w:val="24"/>
                <w:lang w:val="en-US" w:eastAsia="zh-CN"/>
              </w:rPr>
              <w:t>最多</w:t>
            </w:r>
            <w:r>
              <w:rPr>
                <w:rFonts w:hint="eastAsia" w:asciiTheme="minorEastAsia" w:hAnsiTheme="minorEastAsia" w:eastAsiaTheme="minorEastAsia" w:cstheme="minorEastAsia"/>
                <w:b w:val="0"/>
                <w:bCs w:val="0"/>
                <w:color w:val="auto"/>
                <w:sz w:val="24"/>
                <w:szCs w:val="24"/>
                <w:lang w:val="zh-CN" w:eastAsia="zh-CN"/>
              </w:rPr>
              <w:t>扣</w:t>
            </w:r>
            <w:r>
              <w:rPr>
                <w:rFonts w:hint="eastAsia" w:asciiTheme="minorEastAsia" w:hAnsiTheme="minorEastAsia" w:eastAsiaTheme="minorEastAsia" w:cstheme="minorEastAsia"/>
                <w:b w:val="0"/>
                <w:bCs w:val="0"/>
                <w:color w:val="auto"/>
                <w:sz w:val="24"/>
                <w:szCs w:val="24"/>
                <w:lang w:val="en-US" w:eastAsia="zh-CN"/>
              </w:rPr>
              <w:t>2.5</w:t>
            </w:r>
            <w:r>
              <w:rPr>
                <w:rFonts w:hint="eastAsia" w:asciiTheme="minorEastAsia" w:hAnsiTheme="minorEastAsia" w:eastAsiaTheme="minorEastAsia" w:cstheme="minorEastAsia"/>
                <w:b w:val="0"/>
                <w:bCs w:val="0"/>
                <w:color w:val="auto"/>
                <w:sz w:val="24"/>
                <w:szCs w:val="24"/>
                <w:lang w:val="zh-CN" w:eastAsia="zh-CN"/>
              </w:rPr>
              <w:t>分。</w:t>
            </w:r>
          </w:p>
          <w:p w14:paraId="2BA90B22">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宋体" w:hAnsi="宋体" w:eastAsia="宋体" w:cs="宋体"/>
                <w:color w:val="auto"/>
                <w:spacing w:val="0"/>
                <w:w w:val="100"/>
                <w:kern w:val="2"/>
                <w:position w:val="0"/>
                <w:sz w:val="24"/>
                <w:szCs w:val="24"/>
                <w:u w:val="none"/>
                <w:shd w:val="clear" w:color="auto" w:fill="auto"/>
                <w:lang w:val="en-US" w:eastAsia="zh-CN" w:bidi="en-US"/>
              </w:rPr>
            </w:pP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en-US" w:eastAsia="zh-CN" w:bidi="en-US"/>
              </w:rPr>
              <w:t>缺陷或不足是指：内容所阐述的项目信息与本项目实际需求信息不一致、内容照抄照搬磋商文件且只有方案框架无实质性内容、内容不完整、套用其他项目方案、地点区域错误、内容前后矛盾、涉及的规范及标准错误、不符合农业农村部饲料质量安全监管相关工作要求、不可能实现的情形等任意一种情形。</w:t>
            </w:r>
          </w:p>
        </w:tc>
      </w:tr>
      <w:tr w14:paraId="1121B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224" w:type="dxa"/>
            <w:vAlign w:val="center"/>
          </w:tcPr>
          <w:p w14:paraId="415915E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kern w:val="2"/>
                <w:sz w:val="24"/>
                <w:szCs w:val="24"/>
                <w:highlight w:val="yellow"/>
              </w:rPr>
            </w:pPr>
            <w:r>
              <w:rPr>
                <w:rFonts w:hint="eastAsia" w:ascii="宋体" w:hAnsi="宋体" w:eastAsia="宋体" w:cs="宋体"/>
                <w:b/>
                <w:bCs/>
                <w:color w:val="auto"/>
                <w:kern w:val="2"/>
                <w:sz w:val="24"/>
                <w:szCs w:val="24"/>
                <w:highlight w:val="none"/>
              </w:rPr>
              <w:t>商务部分</w:t>
            </w:r>
          </w:p>
        </w:tc>
        <w:tc>
          <w:tcPr>
            <w:tcW w:w="1527" w:type="dxa"/>
            <w:shd w:val="clear" w:color="auto" w:fill="auto"/>
            <w:vAlign w:val="center"/>
          </w:tcPr>
          <w:p w14:paraId="6C207492">
            <w:pPr>
              <w:pStyle w:val="21"/>
              <w:spacing w:before="0" w:beforeAutospacing="0" w:after="0" w:line="240" w:lineRule="auto"/>
              <w:ind w:firstLine="0" w:firstLine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售后服务</w:t>
            </w:r>
            <w:r>
              <w:rPr>
                <w:rFonts w:hint="eastAsia" w:eastAsia="宋体" w:cs="宋体"/>
                <w:b w:val="0"/>
                <w:bCs w:val="0"/>
                <w:color w:val="auto"/>
                <w:kern w:val="2"/>
                <w:sz w:val="24"/>
                <w:szCs w:val="24"/>
                <w:lang w:val="en-US" w:eastAsia="zh-CN" w:bidi="ar-SA"/>
              </w:rPr>
              <w:t>方案</w:t>
            </w:r>
          </w:p>
        </w:tc>
        <w:tc>
          <w:tcPr>
            <w:tcW w:w="881" w:type="dxa"/>
            <w:shd w:val="clear" w:color="auto" w:fill="auto"/>
            <w:vAlign w:val="center"/>
          </w:tcPr>
          <w:p w14:paraId="16E5AC68">
            <w:pPr>
              <w:pStyle w:val="21"/>
              <w:spacing w:before="0" w:beforeAutospacing="0" w:after="0" w:line="240" w:lineRule="auto"/>
              <w:ind w:firstLine="0" w:firstLineChars="0"/>
              <w:jc w:val="center"/>
              <w:rPr>
                <w:rFonts w:hint="default" w:ascii="宋体" w:hAnsi="宋体" w:eastAsia="宋体" w:cs="宋体"/>
                <w:b w:val="0"/>
                <w:bCs w:val="0"/>
                <w:color w:val="auto"/>
                <w:kern w:val="2"/>
                <w:sz w:val="24"/>
                <w:szCs w:val="24"/>
                <w:lang w:val="en-US" w:eastAsia="zh-CN" w:bidi="ar-SA"/>
              </w:rPr>
            </w:pPr>
            <w:r>
              <w:rPr>
                <w:rFonts w:hint="eastAsia" w:eastAsia="宋体" w:cs="宋体"/>
                <w:b w:val="0"/>
                <w:bCs w:val="0"/>
                <w:color w:val="auto"/>
                <w:kern w:val="2"/>
                <w:sz w:val="24"/>
                <w:szCs w:val="24"/>
                <w:lang w:val="en-US" w:eastAsia="zh-CN" w:bidi="ar-SA"/>
              </w:rPr>
              <w:t>8</w:t>
            </w:r>
          </w:p>
        </w:tc>
        <w:tc>
          <w:tcPr>
            <w:tcW w:w="6573" w:type="dxa"/>
            <w:shd w:val="clear" w:color="auto" w:fill="auto"/>
            <w:vAlign w:val="top"/>
          </w:tcPr>
          <w:p w14:paraId="5CC8736D">
            <w:pPr>
              <w:keepNext w:val="0"/>
              <w:keepLines w:val="0"/>
              <w:widowControl/>
              <w:suppressLineNumbers w:val="0"/>
              <w:spacing w:line="240" w:lineRule="auto"/>
              <w:ind w:left="0" w:leftChars="0" w:firstLine="0" w:firstLineChars="0"/>
              <w:jc w:val="left"/>
              <w:rPr>
                <w:rFonts w:hint="eastAsia" w:ascii="宋体" w:hAnsi="宋体" w:eastAsia="宋体" w:cs="宋体"/>
                <w:b w:val="0"/>
                <w:bCs w:val="0"/>
                <w:color w:val="auto"/>
                <w:sz w:val="24"/>
                <w:szCs w:val="24"/>
                <w:lang w:val="zh-CN" w:eastAsia="zh-CN"/>
              </w:rPr>
            </w:pPr>
            <w:r>
              <w:rPr>
                <w:rFonts w:hint="eastAsia" w:ascii="宋体" w:hAnsi="宋体" w:eastAsia="宋体" w:cs="宋体"/>
                <w:color w:val="auto"/>
                <w:kern w:val="2"/>
                <w:sz w:val="24"/>
                <w:szCs w:val="24"/>
                <w:lang w:val="en-US" w:eastAsia="zh-CN" w:bidi="ar-SA"/>
              </w:rPr>
              <w:t>供应商根据本项目采购需求</w:t>
            </w:r>
            <w:r>
              <w:rPr>
                <w:rFonts w:hint="eastAsia" w:ascii="宋体" w:hAnsi="宋体" w:eastAsia="宋体" w:cs="宋体"/>
                <w:color w:val="auto"/>
                <w:sz w:val="24"/>
                <w:szCs w:val="24"/>
                <w:highlight w:val="none"/>
                <w:lang w:val="en-US" w:eastAsia="zh-CN"/>
              </w:rPr>
              <w:t>编制</w:t>
            </w:r>
            <w:r>
              <w:rPr>
                <w:rFonts w:hint="eastAsia" w:ascii="宋体" w:hAnsi="宋体" w:eastAsia="宋体" w:cs="宋体"/>
                <w:b w:val="0"/>
                <w:bCs w:val="0"/>
                <w:color w:val="auto"/>
                <w:kern w:val="2"/>
                <w:sz w:val="24"/>
                <w:szCs w:val="24"/>
                <w:lang w:val="en-US" w:eastAsia="zh-CN" w:bidi="ar-SA"/>
              </w:rPr>
              <w:t>售后服务方案</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kern w:val="2"/>
                <w:sz w:val="24"/>
                <w:szCs w:val="24"/>
                <w:lang w:val="en-US" w:eastAsia="zh-CN" w:bidi="ar-SA"/>
              </w:rPr>
              <w:t>内容至少包含：①服务响应时间；②后续服务的人员安排；③补充修改完善成果文件；④电话响应、技术支持、2日内到达现场保证</w:t>
            </w:r>
            <w:r>
              <w:rPr>
                <w:rFonts w:hint="eastAsia" w:ascii="宋体" w:hAnsi="宋体" w:eastAsia="宋体" w:cs="宋体"/>
                <w:color w:val="auto"/>
                <w:sz w:val="24"/>
                <w:szCs w:val="24"/>
                <w:lang w:val="en-US" w:eastAsia="zh-CN"/>
              </w:rPr>
              <w:t>等。</w:t>
            </w:r>
            <w:r>
              <w:rPr>
                <w:rFonts w:hint="eastAsia" w:ascii="宋体" w:hAnsi="宋体" w:eastAsia="宋体" w:cs="宋体"/>
                <w:b w:val="0"/>
                <w:bCs w:val="0"/>
                <w:color w:val="auto"/>
                <w:sz w:val="24"/>
                <w:szCs w:val="24"/>
                <w:lang w:val="en-US" w:eastAsia="zh-CN"/>
              </w:rPr>
              <w:t>磋商小组</w:t>
            </w:r>
            <w:r>
              <w:rPr>
                <w:rFonts w:hint="eastAsia" w:ascii="宋体" w:hAnsi="宋体" w:eastAsia="宋体" w:cs="宋体"/>
                <w:b w:val="0"/>
                <w:bCs w:val="0"/>
                <w:color w:val="auto"/>
                <w:sz w:val="24"/>
                <w:szCs w:val="24"/>
                <w:lang w:val="zh-CN" w:eastAsia="zh-CN"/>
              </w:rPr>
              <w:t>对以上内容进行评审，满分</w:t>
            </w: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lang w:val="zh-CN" w:eastAsia="zh-CN"/>
              </w:rPr>
              <w:t>分，每缺少一项内容扣</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val="zh-CN" w:eastAsia="zh-CN"/>
              </w:rPr>
              <w:t>分；所提供的每项内容中每存在一处缺陷</w:t>
            </w:r>
            <w:r>
              <w:rPr>
                <w:rFonts w:hint="eastAsia" w:ascii="宋体" w:hAnsi="宋体" w:eastAsia="宋体" w:cs="宋体"/>
                <w:b w:val="0"/>
                <w:bCs w:val="0"/>
                <w:color w:val="auto"/>
                <w:sz w:val="24"/>
                <w:szCs w:val="24"/>
                <w:lang w:val="en-US" w:eastAsia="zh-CN"/>
              </w:rPr>
              <w:t>或不足的</w:t>
            </w:r>
            <w:r>
              <w:rPr>
                <w:rFonts w:hint="eastAsia" w:ascii="宋体" w:hAnsi="宋体" w:eastAsia="宋体" w:cs="宋体"/>
                <w:b w:val="0"/>
                <w:bCs w:val="0"/>
                <w:color w:val="auto"/>
                <w:sz w:val="24"/>
                <w:szCs w:val="24"/>
                <w:lang w:val="zh-CN" w:eastAsia="zh-CN"/>
              </w:rPr>
              <w:t>扣</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lang w:val="zh-CN" w:eastAsia="zh-CN"/>
              </w:rPr>
              <w:t>分，每项</w:t>
            </w:r>
            <w:r>
              <w:rPr>
                <w:rFonts w:hint="eastAsia" w:ascii="宋体" w:hAnsi="宋体" w:eastAsia="宋体" w:cs="宋体"/>
                <w:b w:val="0"/>
                <w:bCs w:val="0"/>
                <w:color w:val="auto"/>
                <w:sz w:val="24"/>
                <w:szCs w:val="24"/>
                <w:lang w:val="en-US" w:eastAsia="zh-CN"/>
              </w:rPr>
              <w:t>最多</w:t>
            </w:r>
            <w:r>
              <w:rPr>
                <w:rFonts w:hint="eastAsia" w:ascii="宋体" w:hAnsi="宋体" w:eastAsia="宋体" w:cs="宋体"/>
                <w:b w:val="0"/>
                <w:bCs w:val="0"/>
                <w:color w:val="auto"/>
                <w:sz w:val="24"/>
                <w:szCs w:val="24"/>
                <w:lang w:val="zh-CN" w:eastAsia="zh-CN"/>
              </w:rPr>
              <w:t>扣</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val="zh-CN" w:eastAsia="zh-CN"/>
              </w:rPr>
              <w:t>分。</w:t>
            </w:r>
          </w:p>
          <w:p w14:paraId="0289EA16">
            <w:pPr>
              <w:spacing w:line="240" w:lineRule="auto"/>
              <w:ind w:firstLine="0" w:firstLineChars="0"/>
              <w:jc w:val="left"/>
              <w:rPr>
                <w:rFonts w:hint="eastAsia" w:ascii="宋体" w:hAnsi="宋体" w:eastAsia="宋体" w:cs="宋体"/>
                <w:color w:val="auto"/>
                <w:spacing w:val="0"/>
                <w:w w:val="100"/>
                <w:kern w:val="2"/>
                <w:position w:val="0"/>
                <w:sz w:val="24"/>
                <w:szCs w:val="24"/>
                <w:u w:val="none"/>
                <w:shd w:val="clear" w:color="auto" w:fill="auto"/>
                <w:lang w:val="en-US" w:eastAsia="zh-CN" w:bidi="en-US"/>
              </w:rPr>
            </w:pPr>
            <w:r>
              <w:rPr>
                <w:rFonts w:hint="eastAsia" w:ascii="宋体" w:hAnsi="宋体" w:eastAsia="宋体" w:cs="宋体"/>
                <w:color w:val="auto"/>
                <w:spacing w:val="0"/>
                <w:w w:val="100"/>
                <w:kern w:val="2"/>
                <w:position w:val="0"/>
                <w:sz w:val="24"/>
                <w:szCs w:val="24"/>
                <w:u w:val="none"/>
                <w:shd w:val="clear" w:color="auto" w:fill="auto"/>
                <w:lang w:val="en-US" w:eastAsia="zh-CN" w:bidi="en-US"/>
              </w:rPr>
              <w:t>缺陷或不足是指：内容所阐述的项目信息与本项目实际需求信息不一致、内容照抄照搬磋商文件且只有方案框架无实质性内容、内容不完整、套用其他项目方案、地点区域错误、内容前后矛盾、涉及的规范及标准错误、不可能实现的情形等任意一种情形。</w:t>
            </w:r>
          </w:p>
        </w:tc>
      </w:tr>
    </w:tbl>
    <w:p w14:paraId="62346490">
      <w:pPr>
        <w:wordWrap w:val="0"/>
        <w:spacing w:line="360" w:lineRule="auto"/>
        <w:ind w:firstLine="0" w:firstLineChars="0"/>
        <w:jc w:val="both"/>
        <w:rPr>
          <w:rFonts w:hint="eastAsia" w:ascii="宋体" w:hAnsi="宋体" w:eastAsia="宋体" w:cs="宋体"/>
          <w:color w:val="auto"/>
          <w:sz w:val="24"/>
          <w:szCs w:val="24"/>
          <w:lang w:val="zh-CN"/>
        </w:rPr>
      </w:pPr>
    </w:p>
    <w:p w14:paraId="57674F38">
      <w:pPr>
        <w:keepNext/>
        <w:pageBreakBefore/>
        <w:widowControl/>
        <w:spacing w:line="360" w:lineRule="auto"/>
        <w:ind w:firstLine="0" w:firstLineChars="0"/>
        <w:jc w:val="center"/>
        <w:outlineLvl w:val="1"/>
        <w:rPr>
          <w:rFonts w:hint="eastAsia" w:ascii="宋体" w:hAnsi="宋体" w:eastAsia="宋体" w:cs="宋体"/>
          <w:b/>
          <w:bCs/>
          <w:color w:val="auto"/>
          <w:sz w:val="24"/>
          <w:szCs w:val="24"/>
        </w:rPr>
      </w:pPr>
      <w:bookmarkStart w:id="122" w:name="_Toc376936756"/>
      <w:bookmarkStart w:id="123" w:name="_Toc325726025"/>
      <w:bookmarkStart w:id="124" w:name="_Toc6689"/>
      <w:bookmarkStart w:id="125" w:name="_Toc31736"/>
      <w:bookmarkStart w:id="126" w:name="_Toc2506"/>
      <w:r>
        <w:rPr>
          <w:rFonts w:hint="eastAsia" w:ascii="宋体" w:hAnsi="宋体" w:eastAsia="宋体" w:cs="宋体"/>
          <w:b/>
          <w:bCs/>
          <w:color w:val="auto"/>
          <w:sz w:val="24"/>
          <w:szCs w:val="24"/>
        </w:rPr>
        <w:t>七、</w:t>
      </w:r>
      <w:bookmarkEnd w:id="122"/>
      <w:bookmarkEnd w:id="123"/>
      <w:r>
        <w:rPr>
          <w:rFonts w:hint="eastAsia" w:ascii="宋体" w:hAnsi="宋体" w:eastAsia="宋体" w:cs="宋体"/>
          <w:b/>
          <w:bCs/>
          <w:color w:val="auto"/>
          <w:sz w:val="24"/>
          <w:szCs w:val="24"/>
        </w:rPr>
        <w:t>确定成交供应商</w:t>
      </w:r>
      <w:bookmarkEnd w:id="124"/>
      <w:bookmarkEnd w:id="125"/>
      <w:bookmarkEnd w:id="126"/>
    </w:p>
    <w:p w14:paraId="2865E1AB">
      <w:pPr>
        <w:widowControl/>
        <w:spacing w:line="360" w:lineRule="auto"/>
        <w:ind w:firstLine="0" w:firstLineChars="0"/>
        <w:jc w:val="left"/>
        <w:outlineLvl w:val="2"/>
        <w:rPr>
          <w:rFonts w:hint="eastAsia" w:ascii="宋体" w:hAnsi="宋体" w:eastAsia="宋体" w:cs="宋体"/>
          <w:b/>
          <w:bCs/>
          <w:color w:val="auto"/>
          <w:sz w:val="24"/>
          <w:szCs w:val="24"/>
        </w:rPr>
      </w:pPr>
      <w:bookmarkStart w:id="127" w:name="_Toc325726026"/>
      <w:bookmarkStart w:id="128" w:name="_Toc376936757"/>
      <w:bookmarkStart w:id="129" w:name="_Toc17038"/>
      <w:bookmarkStart w:id="130" w:name="_Toc28889"/>
      <w:bookmarkStart w:id="131" w:name="_Toc30568"/>
      <w:r>
        <w:rPr>
          <w:rFonts w:hint="eastAsia" w:ascii="宋体" w:hAnsi="宋体" w:eastAsia="宋体" w:cs="宋体"/>
          <w:b/>
          <w:bCs/>
          <w:color w:val="auto"/>
          <w:sz w:val="24"/>
          <w:szCs w:val="24"/>
        </w:rPr>
        <w:t>18.推荐并确定成交</w:t>
      </w:r>
      <w:bookmarkEnd w:id="127"/>
      <w:bookmarkEnd w:id="128"/>
      <w:r>
        <w:rPr>
          <w:rFonts w:hint="eastAsia" w:ascii="宋体" w:hAnsi="宋体" w:eastAsia="宋体" w:cs="宋体"/>
          <w:b/>
          <w:bCs/>
          <w:color w:val="auto"/>
          <w:sz w:val="24"/>
          <w:szCs w:val="24"/>
        </w:rPr>
        <w:t>供应商</w:t>
      </w:r>
      <w:bookmarkEnd w:id="129"/>
      <w:bookmarkEnd w:id="130"/>
      <w:bookmarkEnd w:id="131"/>
    </w:p>
    <w:p w14:paraId="449ECF06">
      <w:pPr>
        <w:spacing w:line="360" w:lineRule="auto"/>
        <w:ind w:firstLine="480"/>
        <w:jc w:val="left"/>
        <w:rPr>
          <w:rFonts w:hint="eastAsia" w:ascii="宋体" w:hAnsi="宋体" w:eastAsia="宋体" w:cs="宋体"/>
          <w:color w:val="auto"/>
          <w:sz w:val="24"/>
          <w:szCs w:val="24"/>
        </w:rPr>
      </w:pPr>
      <w:r>
        <w:rPr>
          <w:rFonts w:hint="eastAsia" w:ascii="宋体" w:hAnsi="宋体" w:eastAsia="宋体" w:cs="宋体"/>
          <w:color w:val="auto"/>
          <w:sz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1EA96F5">
      <w:pPr>
        <w:widowControl/>
        <w:spacing w:line="360" w:lineRule="auto"/>
        <w:ind w:firstLine="0" w:firstLineChars="0"/>
        <w:jc w:val="left"/>
        <w:outlineLvl w:val="2"/>
        <w:rPr>
          <w:rFonts w:hint="eastAsia" w:ascii="宋体" w:hAnsi="宋体" w:eastAsia="宋体" w:cs="宋体"/>
          <w:b/>
          <w:bCs/>
          <w:color w:val="auto"/>
          <w:sz w:val="24"/>
          <w:szCs w:val="24"/>
        </w:rPr>
      </w:pPr>
      <w:bookmarkStart w:id="132" w:name="_Toc21324"/>
      <w:bookmarkStart w:id="133" w:name="_Toc325726028"/>
      <w:bookmarkStart w:id="134" w:name="_Toc2963"/>
      <w:bookmarkStart w:id="135" w:name="_Toc2346"/>
      <w:bookmarkStart w:id="136" w:name="_Toc376936759"/>
      <w:bookmarkStart w:id="137" w:name="_Toc325726027"/>
      <w:r>
        <w:rPr>
          <w:rFonts w:hint="eastAsia" w:ascii="宋体" w:hAnsi="宋体" w:eastAsia="宋体" w:cs="宋体"/>
          <w:b/>
          <w:bCs/>
          <w:color w:val="auto"/>
          <w:sz w:val="24"/>
          <w:szCs w:val="24"/>
        </w:rPr>
        <w:t>19.成交通知</w:t>
      </w:r>
      <w:bookmarkEnd w:id="132"/>
      <w:bookmarkEnd w:id="133"/>
      <w:bookmarkEnd w:id="134"/>
      <w:bookmarkEnd w:id="135"/>
      <w:bookmarkEnd w:id="136"/>
    </w:p>
    <w:p w14:paraId="552906CC">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19.1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采购人或者采购代理机构应当在成交供应商确定后2个工作日内，在青海政府采购网上公告成交结果，同时向成交供应商发出成交通知书。</w:t>
      </w:r>
    </w:p>
    <w:p w14:paraId="181AA28E">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19.2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《成交通知书》发出后，采购人改变成交结果的，或者成交供应商无正当理由放弃成交项目的，依法承担法律责任。</w:t>
      </w:r>
    </w:p>
    <w:p w14:paraId="6ABE5541">
      <w:pPr>
        <w:widowControl/>
        <w:spacing w:line="360" w:lineRule="auto"/>
        <w:ind w:firstLine="0" w:firstLineChars="0"/>
        <w:jc w:val="center"/>
        <w:outlineLvl w:val="1"/>
        <w:rPr>
          <w:rFonts w:hint="eastAsia" w:ascii="宋体" w:hAnsi="宋体" w:eastAsia="宋体" w:cs="宋体"/>
          <w:b/>
          <w:bCs/>
          <w:color w:val="auto"/>
          <w:sz w:val="24"/>
          <w:szCs w:val="24"/>
        </w:rPr>
      </w:pPr>
      <w:bookmarkStart w:id="138" w:name="_Toc18063"/>
      <w:bookmarkStart w:id="139" w:name="_Toc5556"/>
      <w:bookmarkStart w:id="140" w:name="_Toc376936758"/>
      <w:bookmarkStart w:id="141" w:name="_Toc3447"/>
      <w:r>
        <w:rPr>
          <w:rFonts w:hint="eastAsia" w:ascii="宋体" w:hAnsi="宋体" w:eastAsia="宋体" w:cs="宋体"/>
          <w:b/>
          <w:bCs/>
          <w:color w:val="auto"/>
          <w:sz w:val="24"/>
          <w:szCs w:val="24"/>
        </w:rPr>
        <w:t>八、授予合同</w:t>
      </w:r>
      <w:bookmarkEnd w:id="137"/>
      <w:bookmarkEnd w:id="138"/>
      <w:bookmarkEnd w:id="139"/>
      <w:bookmarkEnd w:id="140"/>
      <w:bookmarkEnd w:id="141"/>
    </w:p>
    <w:p w14:paraId="5B6E4EF2">
      <w:pPr>
        <w:widowControl/>
        <w:spacing w:line="360" w:lineRule="auto"/>
        <w:ind w:firstLine="0" w:firstLineChars="0"/>
        <w:jc w:val="left"/>
        <w:outlineLvl w:val="2"/>
        <w:rPr>
          <w:rFonts w:hint="eastAsia" w:ascii="宋体" w:hAnsi="宋体" w:eastAsia="宋体" w:cs="宋体"/>
          <w:b/>
          <w:bCs/>
          <w:color w:val="auto"/>
          <w:sz w:val="24"/>
          <w:szCs w:val="24"/>
        </w:rPr>
      </w:pPr>
      <w:bookmarkStart w:id="142" w:name="_Toc28394"/>
      <w:bookmarkStart w:id="143" w:name="_Toc3109"/>
      <w:bookmarkStart w:id="144" w:name="_Toc325726029"/>
      <w:bookmarkStart w:id="145" w:name="_Toc376936760"/>
      <w:bookmarkStart w:id="146" w:name="_Toc921"/>
      <w:r>
        <w:rPr>
          <w:rFonts w:hint="eastAsia" w:ascii="宋体" w:hAnsi="宋体" w:eastAsia="宋体" w:cs="宋体"/>
          <w:b/>
          <w:bCs/>
          <w:color w:val="auto"/>
          <w:sz w:val="24"/>
          <w:szCs w:val="24"/>
        </w:rPr>
        <w:t>20.签订合同</w:t>
      </w:r>
      <w:bookmarkEnd w:id="142"/>
      <w:bookmarkEnd w:id="143"/>
      <w:bookmarkEnd w:id="144"/>
      <w:bookmarkEnd w:id="145"/>
      <w:bookmarkEnd w:id="146"/>
    </w:p>
    <w:p w14:paraId="250CBEDD">
      <w:pPr>
        <w:spacing w:line="360" w:lineRule="auto"/>
        <w:ind w:firstLine="0" w:firstLineChars="0"/>
        <w:jc w:val="left"/>
        <w:rPr>
          <w:rFonts w:hint="eastAsia" w:ascii="宋体" w:hAnsi="宋体" w:eastAsia="宋体" w:cs="宋体"/>
          <w:color w:val="auto"/>
          <w:sz w:val="24"/>
          <w:szCs w:val="24"/>
        </w:rPr>
      </w:pPr>
      <w:bookmarkStart w:id="147" w:name="_Toc325726030"/>
      <w:bookmarkStart w:id="148" w:name="_Toc376936761"/>
      <w:r>
        <w:rPr>
          <w:rFonts w:hint="eastAsia" w:ascii="宋体" w:hAnsi="宋体" w:eastAsia="宋体" w:cs="宋体"/>
          <w:color w:val="auto"/>
          <w:sz w:val="24"/>
          <w:szCs w:val="24"/>
        </w:rPr>
        <w:t>20.1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采购人与成交供应商应当在成交通知书发出之日起30日内，按照磋商文件确定的合同文本以及采购标的、规格型号、采购金额、采购数量、技术和服务要求等事项签订政府采购合同。</w:t>
      </w:r>
    </w:p>
    <w:p w14:paraId="50148021">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en-US" w:eastAsia="zh-CN"/>
        </w:rPr>
        <w:t xml:space="preserve">2 </w:t>
      </w:r>
      <w:r>
        <w:rPr>
          <w:rFonts w:hint="eastAsia" w:ascii="宋体" w:hAnsi="宋体" w:eastAsia="宋体" w:cs="宋体"/>
          <w:color w:val="auto"/>
          <w:sz w:val="24"/>
          <w:szCs w:val="24"/>
        </w:rPr>
        <w:t>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105CEA6A">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20.3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签订合同时，成交供应商应当</w:t>
      </w:r>
      <w:r>
        <w:rPr>
          <w:rFonts w:hint="eastAsia" w:ascii="宋体" w:hAnsi="宋体" w:eastAsia="宋体" w:cs="宋体"/>
          <w:color w:val="auto"/>
          <w:sz w:val="24"/>
          <w:szCs w:val="24"/>
          <w:lang w:val="en-US" w:eastAsia="zh-CN"/>
        </w:rPr>
        <w:t>以支票、汇票、本票或者金融机构、担保机构出具的保函（含电子保函，电子保函是指供应商利用青海省政府采购云平台电子保函系统（模块）出具的，有关业务操作流程和手册可从“青海省政府采购云平台”查阅下载，供应商在电子保函的申请、使用、查看应用过程中遇到问题可咨询技术支撑方：95763。政采云平台不向供应商收取服务费用）等非现金形式</w:t>
      </w:r>
      <w:r>
        <w:rPr>
          <w:rFonts w:hint="eastAsia" w:ascii="宋体" w:hAnsi="宋体" w:eastAsia="宋体" w:cs="宋体"/>
          <w:color w:val="auto"/>
          <w:sz w:val="24"/>
          <w:szCs w:val="24"/>
        </w:rPr>
        <w:t>向采购人指定的账户交纳履约保证金。</w:t>
      </w:r>
      <w:r>
        <w:rPr>
          <w:rFonts w:hint="eastAsia" w:ascii="宋体" w:hAnsi="宋体" w:eastAsia="宋体" w:cs="宋体"/>
          <w:b/>
          <w:bCs/>
          <w:color w:val="auto"/>
          <w:sz w:val="24"/>
        </w:rPr>
        <w:t>本项目履约保证金</w:t>
      </w:r>
      <w:r>
        <w:rPr>
          <w:rFonts w:hint="eastAsia" w:ascii="宋体" w:hAnsi="宋体" w:eastAsia="宋体" w:cs="宋体"/>
          <w:b/>
          <w:bCs/>
          <w:color w:val="auto"/>
          <w:sz w:val="24"/>
          <w:lang w:val="en-US" w:eastAsia="zh-CN"/>
        </w:rPr>
        <w:t>为各包成交金额的5%</w:t>
      </w:r>
      <w:r>
        <w:rPr>
          <w:rFonts w:hint="eastAsia" w:ascii="宋体" w:hAnsi="宋体" w:eastAsia="宋体" w:cs="宋体"/>
          <w:b/>
          <w:bCs/>
          <w:color w:val="auto"/>
          <w:sz w:val="24"/>
          <w:szCs w:val="24"/>
          <w:highlight w:val="none"/>
          <w:lang w:val="zh-CN" w:eastAsia="zh-CN"/>
        </w:rPr>
        <w:t>。</w:t>
      </w:r>
    </w:p>
    <w:p w14:paraId="37D32E90">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20.4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781C3515">
      <w:pPr>
        <w:widowControl/>
        <w:spacing w:line="360" w:lineRule="auto"/>
        <w:ind w:firstLine="0" w:firstLineChars="0"/>
        <w:jc w:val="center"/>
        <w:outlineLvl w:val="1"/>
        <w:rPr>
          <w:rFonts w:hint="eastAsia" w:ascii="宋体" w:hAnsi="宋体" w:eastAsia="宋体" w:cs="宋体"/>
          <w:b/>
          <w:bCs/>
          <w:color w:val="auto"/>
          <w:sz w:val="24"/>
          <w:szCs w:val="24"/>
        </w:rPr>
      </w:pPr>
      <w:bookmarkStart w:id="149" w:name="_Toc1151"/>
      <w:bookmarkStart w:id="150" w:name="_Toc896"/>
      <w:bookmarkStart w:id="151" w:name="_Toc22442"/>
      <w:r>
        <w:rPr>
          <w:rFonts w:hint="eastAsia" w:ascii="宋体" w:hAnsi="宋体" w:eastAsia="宋体" w:cs="宋体"/>
          <w:b/>
          <w:bCs/>
          <w:color w:val="auto"/>
          <w:sz w:val="24"/>
          <w:szCs w:val="24"/>
        </w:rPr>
        <w:t>九、</w:t>
      </w:r>
      <w:bookmarkEnd w:id="147"/>
      <w:bookmarkEnd w:id="148"/>
      <w:r>
        <w:rPr>
          <w:rFonts w:hint="eastAsia" w:ascii="宋体" w:hAnsi="宋体" w:eastAsia="宋体" w:cs="宋体"/>
          <w:b/>
          <w:bCs/>
          <w:color w:val="auto"/>
          <w:sz w:val="24"/>
          <w:szCs w:val="24"/>
        </w:rPr>
        <w:t>磋商活动终止</w:t>
      </w:r>
      <w:bookmarkEnd w:id="149"/>
      <w:bookmarkEnd w:id="150"/>
      <w:bookmarkEnd w:id="151"/>
    </w:p>
    <w:p w14:paraId="769545D7">
      <w:pPr>
        <w:widowControl/>
        <w:spacing w:line="360" w:lineRule="auto"/>
        <w:ind w:firstLine="0" w:firstLineChars="0"/>
        <w:jc w:val="left"/>
        <w:outlineLvl w:val="2"/>
        <w:rPr>
          <w:rFonts w:hint="eastAsia" w:ascii="宋体" w:hAnsi="宋体" w:eastAsia="宋体" w:cs="宋体"/>
          <w:b/>
          <w:bCs/>
          <w:color w:val="auto"/>
          <w:sz w:val="24"/>
          <w:szCs w:val="24"/>
        </w:rPr>
      </w:pPr>
      <w:bookmarkStart w:id="152" w:name="_Toc11684"/>
      <w:bookmarkStart w:id="153" w:name="_Toc2673"/>
      <w:bookmarkStart w:id="154" w:name="_Toc7098"/>
      <w:bookmarkStart w:id="155" w:name="_Toc376936762"/>
      <w:bookmarkStart w:id="156" w:name="_Toc325726031"/>
      <w:r>
        <w:rPr>
          <w:rFonts w:hint="eastAsia" w:ascii="宋体" w:hAnsi="宋体" w:eastAsia="宋体" w:cs="宋体"/>
          <w:b/>
          <w:bCs/>
          <w:color w:val="auto"/>
          <w:sz w:val="24"/>
          <w:szCs w:val="24"/>
        </w:rPr>
        <w:t>21.终止情形</w:t>
      </w:r>
      <w:bookmarkEnd w:id="152"/>
      <w:bookmarkEnd w:id="153"/>
      <w:bookmarkEnd w:id="154"/>
    </w:p>
    <w:p w14:paraId="7E7F5292">
      <w:pPr>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21.1</w:t>
      </w:r>
      <w:bookmarkEnd w:id="155"/>
      <w:bookmarkEnd w:id="156"/>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出现下列情形之一的，采购代理机构应当终止竞争性磋商采购活动，发布项目终止公告并说明原因，重新开展采购活动：</w:t>
      </w:r>
    </w:p>
    <w:p w14:paraId="63F18F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（1）因情况变化，不再符合规定的竞争性磋商采购方式适用情形的；</w:t>
      </w:r>
    </w:p>
    <w:p w14:paraId="3CEBA0B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14:paraId="071611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（3）在采购过程中符合要求的供应商或者报价未超过采购预算的供应商不足</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家的。</w:t>
      </w:r>
    </w:p>
    <w:p w14:paraId="43490C05">
      <w:pPr>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21.2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终止磋商活动后，由采购代理机构发布终止公告并说明原因。</w:t>
      </w:r>
      <w:bookmarkStart w:id="157" w:name="_Toc325726032"/>
    </w:p>
    <w:p w14:paraId="3AC73247">
      <w:pPr>
        <w:widowControl/>
        <w:spacing w:line="360" w:lineRule="auto"/>
        <w:ind w:firstLine="0" w:firstLineChars="0"/>
        <w:jc w:val="center"/>
        <w:outlineLvl w:val="1"/>
        <w:rPr>
          <w:rFonts w:hint="eastAsia" w:ascii="宋体" w:hAnsi="宋体" w:eastAsia="宋体" w:cs="宋体"/>
          <w:b/>
          <w:bCs/>
          <w:color w:val="auto"/>
          <w:sz w:val="24"/>
          <w:szCs w:val="24"/>
        </w:rPr>
      </w:pPr>
      <w:bookmarkStart w:id="158" w:name="_Toc376936763"/>
      <w:bookmarkStart w:id="159" w:name="_Toc1803"/>
      <w:bookmarkStart w:id="160" w:name="_Toc6646"/>
      <w:bookmarkStart w:id="161" w:name="_Toc27950"/>
      <w:r>
        <w:rPr>
          <w:rFonts w:hint="eastAsia" w:ascii="宋体" w:hAnsi="宋体" w:eastAsia="宋体" w:cs="宋体"/>
          <w:b/>
          <w:bCs/>
          <w:color w:val="auto"/>
          <w:sz w:val="24"/>
          <w:szCs w:val="24"/>
        </w:rPr>
        <w:t>十、处罚</w:t>
      </w:r>
      <w:bookmarkEnd w:id="157"/>
      <w:bookmarkEnd w:id="158"/>
      <w:bookmarkEnd w:id="159"/>
      <w:bookmarkEnd w:id="160"/>
      <w:bookmarkEnd w:id="161"/>
    </w:p>
    <w:p w14:paraId="61BD28E6">
      <w:pPr>
        <w:widowControl/>
        <w:spacing w:line="360" w:lineRule="auto"/>
        <w:ind w:firstLine="0" w:firstLineChars="0"/>
        <w:jc w:val="left"/>
        <w:outlineLvl w:val="2"/>
        <w:rPr>
          <w:rFonts w:hint="eastAsia" w:ascii="宋体" w:hAnsi="宋体" w:eastAsia="宋体" w:cs="宋体"/>
          <w:b/>
          <w:bCs/>
          <w:color w:val="auto"/>
          <w:sz w:val="24"/>
          <w:szCs w:val="24"/>
        </w:rPr>
      </w:pPr>
      <w:bookmarkStart w:id="162" w:name="_Toc17567"/>
      <w:bookmarkStart w:id="163" w:name="_Toc376936764"/>
      <w:bookmarkStart w:id="164" w:name="_Toc28018"/>
      <w:bookmarkStart w:id="165" w:name="_Toc5020"/>
      <w:bookmarkStart w:id="166" w:name="_Toc325726033"/>
      <w:r>
        <w:rPr>
          <w:rFonts w:hint="eastAsia" w:ascii="宋体" w:hAnsi="宋体" w:eastAsia="宋体" w:cs="宋体"/>
          <w:b/>
          <w:bCs/>
          <w:color w:val="auto"/>
          <w:sz w:val="24"/>
          <w:szCs w:val="24"/>
        </w:rPr>
        <w:t>22.处罚情形</w:t>
      </w:r>
      <w:bookmarkEnd w:id="162"/>
      <w:bookmarkEnd w:id="163"/>
      <w:bookmarkEnd w:id="164"/>
      <w:bookmarkEnd w:id="165"/>
      <w:bookmarkEnd w:id="166"/>
    </w:p>
    <w:p w14:paraId="4B0E8171">
      <w:pPr>
        <w:autoSpaceDE w:val="0"/>
        <w:autoSpaceDN w:val="0"/>
        <w:spacing w:line="360" w:lineRule="auto"/>
        <w:ind w:firstLine="480"/>
        <w:rPr>
          <w:rFonts w:hint="eastAsia" w:ascii="宋体" w:hAnsi="宋体" w:eastAsia="宋体" w:cs="宋体"/>
          <w:color w:val="auto"/>
          <w:sz w:val="24"/>
          <w:lang w:val="zh-CN"/>
        </w:rPr>
      </w:pPr>
      <w:r>
        <w:rPr>
          <w:rFonts w:hint="eastAsia" w:ascii="宋体" w:hAnsi="宋体" w:eastAsia="宋体" w:cs="宋体"/>
          <w:color w:val="auto"/>
          <w:sz w:val="24"/>
          <w:lang w:val="en-US" w:eastAsia="zh-CN"/>
        </w:rPr>
        <w:t>成交供应商</w:t>
      </w:r>
      <w:r>
        <w:rPr>
          <w:rFonts w:hint="eastAsia" w:ascii="宋体" w:hAnsi="宋体" w:eastAsia="宋体" w:cs="宋体"/>
          <w:color w:val="auto"/>
          <w:sz w:val="24"/>
          <w:lang w:val="zh-CN"/>
        </w:rPr>
        <w:t>有下列情形之一的，</w:t>
      </w:r>
      <w:r>
        <w:rPr>
          <w:rFonts w:hint="eastAsia" w:ascii="宋体" w:hAnsi="宋体" w:eastAsia="宋体" w:cs="宋体"/>
          <w:color w:val="auto"/>
          <w:sz w:val="24"/>
          <w:lang w:val="en-US" w:eastAsia="zh-CN"/>
        </w:rPr>
        <w:t>成交</w:t>
      </w:r>
      <w:r>
        <w:rPr>
          <w:rFonts w:hint="eastAsia" w:ascii="宋体" w:hAnsi="宋体" w:eastAsia="宋体" w:cs="宋体"/>
          <w:color w:val="auto"/>
          <w:sz w:val="24"/>
          <w:lang w:val="zh-CN"/>
        </w:rPr>
        <w:t>无效，磋商保证金不予退还。情节严重的，报同级财政部门依法进行处理：</w:t>
      </w:r>
    </w:p>
    <w:p w14:paraId="1489295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rPr>
        <w:t>1</w:t>
      </w:r>
      <w:r>
        <w:rPr>
          <w:rFonts w:hint="eastAsia" w:ascii="宋体" w:hAnsi="宋体" w:eastAsia="宋体" w:cs="宋体"/>
          <w:color w:val="auto"/>
          <w:sz w:val="24"/>
          <w:lang w:val="zh-CN"/>
        </w:rPr>
        <w:t>）提供虚假材料谋取成交的；</w:t>
      </w:r>
    </w:p>
    <w:p w14:paraId="1E08F81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rPr>
        <w:t>2</w:t>
      </w:r>
      <w:r>
        <w:rPr>
          <w:rFonts w:hint="eastAsia" w:ascii="宋体" w:hAnsi="宋体" w:eastAsia="宋体" w:cs="宋体"/>
          <w:color w:val="auto"/>
          <w:sz w:val="24"/>
          <w:lang w:val="zh-CN"/>
        </w:rPr>
        <w:t>）采取不正当手段诋毁、排挤其他供应商的；</w:t>
      </w:r>
    </w:p>
    <w:p w14:paraId="3736BFE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rPr>
        <w:t>3</w:t>
      </w:r>
      <w:r>
        <w:rPr>
          <w:rFonts w:hint="eastAsia" w:ascii="宋体" w:hAnsi="宋体" w:eastAsia="宋体" w:cs="宋体"/>
          <w:color w:val="auto"/>
          <w:sz w:val="24"/>
          <w:lang w:val="zh-CN"/>
        </w:rPr>
        <w:t>）与采购人、其他供应商或者采购代理机构恶意串通的；</w:t>
      </w:r>
    </w:p>
    <w:p w14:paraId="7215CAF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rPr>
        <w:t>4</w:t>
      </w:r>
      <w:r>
        <w:rPr>
          <w:rFonts w:hint="eastAsia" w:ascii="宋体" w:hAnsi="宋体" w:eastAsia="宋体" w:cs="宋体"/>
          <w:color w:val="auto"/>
          <w:sz w:val="24"/>
          <w:lang w:val="zh-CN"/>
        </w:rPr>
        <w:t>）向采购人、采购代理机构行贿或者提供其他不正当利益的；</w:t>
      </w:r>
    </w:p>
    <w:p w14:paraId="637B7D2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rPr>
        <w:t>5</w:t>
      </w:r>
      <w:r>
        <w:rPr>
          <w:rFonts w:hint="eastAsia" w:ascii="宋体" w:hAnsi="宋体" w:eastAsia="宋体" w:cs="宋体"/>
          <w:color w:val="auto"/>
          <w:sz w:val="24"/>
          <w:lang w:val="zh-CN"/>
        </w:rPr>
        <w:t>）在招标采购过程中与采购人进行协商谈判的；</w:t>
      </w:r>
    </w:p>
    <w:p w14:paraId="1A6A343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sz w:val="24"/>
          <w:lang w:val="zh-CN"/>
        </w:rPr>
        <w:t>（</w:t>
      </w:r>
      <w:r>
        <w:rPr>
          <w:rFonts w:hint="eastAsia" w:ascii="宋体" w:hAnsi="宋体" w:eastAsia="宋体" w:cs="宋体"/>
          <w:color w:val="auto"/>
          <w:sz w:val="24"/>
        </w:rPr>
        <w:t>6</w:t>
      </w:r>
      <w:r>
        <w:rPr>
          <w:rFonts w:hint="eastAsia" w:ascii="宋体" w:hAnsi="宋体" w:eastAsia="宋体" w:cs="宋体"/>
          <w:color w:val="auto"/>
          <w:sz w:val="24"/>
          <w:lang w:val="zh-CN"/>
        </w:rPr>
        <w:t>）向磋商小组行贿或者提供其他不正当利益。</w:t>
      </w:r>
    </w:p>
    <w:p w14:paraId="3A60A869">
      <w:pPr>
        <w:widowControl/>
        <w:spacing w:line="360" w:lineRule="auto"/>
        <w:ind w:firstLine="0" w:firstLineChars="0"/>
        <w:jc w:val="center"/>
        <w:outlineLvl w:val="1"/>
        <w:rPr>
          <w:rFonts w:hint="eastAsia" w:ascii="宋体" w:hAnsi="宋体" w:eastAsia="宋体" w:cs="宋体"/>
          <w:b/>
          <w:bCs/>
          <w:color w:val="auto"/>
          <w:sz w:val="24"/>
          <w:szCs w:val="24"/>
        </w:rPr>
      </w:pPr>
      <w:bookmarkStart w:id="167" w:name="_Toc7607"/>
      <w:bookmarkStart w:id="168" w:name="_Toc376936765"/>
      <w:bookmarkStart w:id="169" w:name="_Toc325726034"/>
      <w:bookmarkStart w:id="170" w:name="_Toc19538"/>
      <w:bookmarkStart w:id="171" w:name="_Toc16406"/>
      <w:r>
        <w:rPr>
          <w:rFonts w:hint="eastAsia" w:ascii="宋体" w:hAnsi="宋体" w:eastAsia="宋体" w:cs="宋体"/>
          <w:b/>
          <w:bCs/>
          <w:color w:val="auto"/>
          <w:sz w:val="24"/>
          <w:szCs w:val="24"/>
        </w:rPr>
        <w:t>十一、其他</w:t>
      </w:r>
      <w:bookmarkEnd w:id="167"/>
      <w:bookmarkEnd w:id="168"/>
      <w:bookmarkEnd w:id="169"/>
      <w:bookmarkEnd w:id="170"/>
      <w:bookmarkEnd w:id="171"/>
    </w:p>
    <w:p w14:paraId="040117CC">
      <w:pPr>
        <w:widowControl/>
        <w:spacing w:line="360" w:lineRule="auto"/>
        <w:ind w:firstLine="0" w:firstLineChars="0"/>
        <w:jc w:val="left"/>
        <w:outlineLvl w:val="2"/>
        <w:rPr>
          <w:rFonts w:hint="eastAsia" w:ascii="宋体" w:hAnsi="宋体" w:eastAsia="宋体" w:cs="宋体"/>
          <w:color w:val="auto"/>
          <w:sz w:val="28"/>
          <w:szCs w:val="28"/>
          <w:lang w:val="en-US" w:eastAsia="zh-CN"/>
        </w:rPr>
      </w:pPr>
      <w:bookmarkStart w:id="172" w:name="_Toc2862"/>
      <w:r>
        <w:rPr>
          <w:rFonts w:hint="eastAsia" w:ascii="宋体" w:hAnsi="宋体" w:eastAsia="宋体" w:cs="宋体"/>
          <w:b/>
          <w:bCs/>
          <w:color w:val="auto"/>
          <w:sz w:val="24"/>
          <w:szCs w:val="24"/>
          <w:lang w:val="en-US" w:eastAsia="zh-CN"/>
        </w:rPr>
        <w:t>23.中止或终止采购活动</w:t>
      </w:r>
      <w:bookmarkEnd w:id="172"/>
    </w:p>
    <w:p w14:paraId="596D8001">
      <w:pPr>
        <w:autoSpaceDE w:val="0"/>
        <w:autoSpaceDN w:val="0"/>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采购过程中出现以下情形，导致电子交易系统无法正常运行，或者无法保证电子交易的公平、公正和安全时，采购人及采购代理机构可中止电子交易活动：</w:t>
      </w:r>
    </w:p>
    <w:p w14:paraId="5CB2685C">
      <w:pPr>
        <w:autoSpaceDE w:val="0"/>
        <w:autoSpaceDN w:val="0"/>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（1）电子交易系统发生故障而无法登录访问的；</w:t>
      </w:r>
    </w:p>
    <w:p w14:paraId="6117E33F">
      <w:pPr>
        <w:autoSpaceDE w:val="0"/>
        <w:autoSpaceDN w:val="0"/>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（2）电子交易系统应用或数据库出现错误，不能进行正常操作的；</w:t>
      </w:r>
    </w:p>
    <w:p w14:paraId="2C9EA81B">
      <w:pPr>
        <w:autoSpaceDE w:val="0"/>
        <w:autoSpaceDN w:val="0"/>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（3）电子交易系统发现严重安全漏洞，有潜在泄密危险的；</w:t>
      </w:r>
    </w:p>
    <w:p w14:paraId="3278C276">
      <w:pPr>
        <w:autoSpaceDE w:val="0"/>
        <w:autoSpaceDN w:val="0"/>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（4）因计算机病毒发作导致不能进行正常操作的；</w:t>
      </w:r>
    </w:p>
    <w:p w14:paraId="76B48827">
      <w:pPr>
        <w:autoSpaceDE w:val="0"/>
        <w:autoSpaceDN w:val="0"/>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（5）其他无法保证电子交易的公平、公正和安全的情况。</w:t>
      </w:r>
    </w:p>
    <w:p w14:paraId="16E8F058">
      <w:pPr>
        <w:wordWrap w:val="0"/>
        <w:spacing w:line="360" w:lineRule="auto"/>
        <w:ind w:firstLine="48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出现前款规定情形，不影响采购公平、公正性的，采购人及采购代理机构可以待上述情形消除后继续组织采购活动；出现违法违规情形，影响或可能影响采购公平、公正性的，应当依法废标或者终止采购活动。</w:t>
      </w:r>
    </w:p>
    <w:p w14:paraId="09011199">
      <w:pPr>
        <w:widowControl/>
        <w:spacing w:line="360" w:lineRule="auto"/>
        <w:ind w:firstLine="0" w:firstLineChars="0"/>
        <w:jc w:val="left"/>
        <w:outlineLvl w:val="2"/>
        <w:rPr>
          <w:rFonts w:hint="eastAsia" w:ascii="宋体" w:hAnsi="宋体" w:eastAsia="宋体" w:cs="宋体"/>
          <w:color w:val="auto"/>
          <w:sz w:val="24"/>
          <w:szCs w:val="24"/>
          <w:lang w:val="en-US" w:eastAsia="zh-CN"/>
        </w:rPr>
      </w:pPr>
      <w:bookmarkStart w:id="173" w:name="_Toc3551"/>
      <w:r>
        <w:rPr>
          <w:rFonts w:hint="eastAsia" w:ascii="宋体" w:hAnsi="宋体" w:eastAsia="宋体" w:cs="宋体"/>
          <w:b/>
          <w:bCs/>
          <w:color w:val="auto"/>
          <w:sz w:val="24"/>
          <w:szCs w:val="24"/>
          <w:lang w:val="en-US" w:eastAsia="zh-CN"/>
        </w:rPr>
        <w:t>24.其他事项</w:t>
      </w:r>
      <w:bookmarkEnd w:id="173"/>
    </w:p>
    <w:p w14:paraId="7C5B01DD">
      <w:pPr>
        <w:keepNext w:val="0"/>
        <w:keepLines w:val="0"/>
        <w:pageBreakBefore w:val="0"/>
        <w:widowControl/>
        <w:suppressLineNumbers w:val="0"/>
        <w:kinsoku/>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24.1 </w:t>
      </w:r>
      <w:r>
        <w:rPr>
          <w:rFonts w:hint="eastAsia" w:ascii="宋体" w:hAnsi="宋体" w:eastAsia="宋体" w:cs="宋体"/>
          <w:b/>
          <w:bCs/>
          <w:color w:val="auto"/>
          <w:kern w:val="0"/>
          <w:sz w:val="24"/>
          <w:szCs w:val="24"/>
          <w:lang w:val="en-US" w:eastAsia="zh-CN" w:bidi="ar"/>
        </w:rPr>
        <w:t>有下列情形之一的，视为供应商串通投标，其响应无效，并书面报告本级财政部门：</w:t>
      </w:r>
    </w:p>
    <w:p w14:paraId="663A400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（1）不同供应商的响应文件由同一电子设备编制、打印、复印、加密或者上传；电子响应文件记录的网卡（MAC）地址、CPU序列号和硬盘序列号等硬件信息各有一条以上相同，且无法提供合理解释的；</w:t>
      </w:r>
    </w:p>
    <w:p w14:paraId="6ABDE79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
        </w:rPr>
        <w:t>（2）从同一个供应商或者同一个自然人的IP地址下载采购文件或上传响应文件IP地址相同，且无法提供合理解释的。</w:t>
      </w:r>
    </w:p>
    <w:p w14:paraId="615269BB">
      <w:pPr>
        <w:keepNext w:val="0"/>
        <w:keepLines w:val="0"/>
        <w:pageBreakBefore w:val="0"/>
        <w:kinsoku/>
        <w:wordWrap w:val="0"/>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sz w:val="24"/>
          <w:szCs w:val="24"/>
          <w:lang w:val="en-US" w:eastAsia="zh-CN"/>
        </w:rPr>
        <w:t xml:space="preserve">24.2 </w:t>
      </w:r>
      <w:r>
        <w:rPr>
          <w:rFonts w:hint="eastAsia" w:ascii="宋体" w:hAnsi="宋体" w:eastAsia="宋体" w:cs="宋体"/>
          <w:color w:val="auto"/>
          <w:sz w:val="24"/>
          <w:szCs w:val="24"/>
        </w:rPr>
        <w:t>其他未尽事宜，按照《中华人民共和国政府采购法》、</w:t>
      </w:r>
      <w:r>
        <w:rPr>
          <w:rFonts w:hint="eastAsia" w:ascii="宋体" w:hAnsi="宋体" w:eastAsia="宋体" w:cs="宋体"/>
          <w:color w:val="auto"/>
          <w:sz w:val="24"/>
          <w:szCs w:val="24"/>
          <w:lang w:eastAsia="zh-CN"/>
        </w:rPr>
        <w:t>《中华人民共和国民法典》</w:t>
      </w:r>
      <w:r>
        <w:rPr>
          <w:rFonts w:hint="eastAsia" w:ascii="宋体" w:hAnsi="宋体" w:eastAsia="宋体" w:cs="宋体"/>
          <w:color w:val="auto"/>
          <w:sz w:val="24"/>
          <w:szCs w:val="24"/>
        </w:rPr>
        <w:t>、《中华人民共和国政府采购法实施条例》、《政府采购竞争性磋商采购方式管理暂行办法》等法律法规的有关条款执行。</w:t>
      </w:r>
    </w:p>
    <w:p w14:paraId="6B31B6B3">
      <w:pPr>
        <w:wordWrap w:val="0"/>
        <w:spacing w:line="360" w:lineRule="auto"/>
        <w:ind w:firstLine="480"/>
        <w:jc w:val="cente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4ADD8678">
      <w:pPr>
        <w:keepNext/>
        <w:keepLines/>
        <w:widowControl/>
        <w:snapToGrid w:val="0"/>
        <w:spacing w:line="360" w:lineRule="auto"/>
        <w:ind w:firstLine="0" w:firstLineChars="0"/>
        <w:jc w:val="center"/>
        <w:outlineLvl w:val="0"/>
        <w:rPr>
          <w:rFonts w:hint="eastAsia" w:ascii="宋体" w:hAnsi="宋体" w:eastAsia="宋体" w:cs="宋体"/>
          <w:color w:val="auto"/>
          <w:sz w:val="24"/>
          <w:szCs w:val="24"/>
        </w:rPr>
      </w:pPr>
      <w:bookmarkStart w:id="174" w:name="_Toc6462"/>
      <w:r>
        <w:rPr>
          <w:rFonts w:hint="eastAsia" w:ascii="宋体" w:hAnsi="宋体" w:eastAsia="宋体" w:cs="宋体"/>
          <w:b/>
          <w:color w:val="auto"/>
          <w:kern w:val="28"/>
          <w:sz w:val="36"/>
          <w:szCs w:val="20"/>
        </w:rPr>
        <w:t>第四部分  采购项目合同书</w:t>
      </w:r>
      <w:bookmarkEnd w:id="174"/>
    </w:p>
    <w:p w14:paraId="405F51BE">
      <w:pPr>
        <w:spacing w:line="360" w:lineRule="auto"/>
        <w:ind w:firstLine="0" w:firstLineChars="0"/>
        <w:rPr>
          <w:rFonts w:hint="eastAsia" w:ascii="宋体" w:hAnsi="宋体" w:eastAsia="宋体" w:cs="宋体"/>
          <w:color w:val="auto"/>
          <w:sz w:val="24"/>
          <w:szCs w:val="24"/>
        </w:rPr>
      </w:pPr>
    </w:p>
    <w:p w14:paraId="537F451B">
      <w:pPr>
        <w:spacing w:line="360" w:lineRule="auto"/>
        <w:ind w:firstLine="0" w:firstLineChars="0"/>
        <w:rPr>
          <w:rFonts w:hint="eastAsia" w:ascii="宋体" w:hAnsi="宋体" w:eastAsia="宋体" w:cs="宋体"/>
          <w:color w:val="auto"/>
          <w:sz w:val="24"/>
          <w:szCs w:val="24"/>
        </w:rPr>
      </w:pPr>
    </w:p>
    <w:p w14:paraId="42C88A70">
      <w:pPr>
        <w:spacing w:line="360" w:lineRule="auto"/>
        <w:ind w:firstLine="0" w:firstLineChars="0"/>
        <w:rPr>
          <w:rFonts w:hint="eastAsia" w:ascii="宋体" w:hAnsi="宋体" w:eastAsia="宋体" w:cs="宋体"/>
          <w:color w:val="auto"/>
          <w:sz w:val="24"/>
          <w:szCs w:val="24"/>
        </w:rPr>
      </w:pPr>
    </w:p>
    <w:p w14:paraId="11D81E67">
      <w:pPr>
        <w:spacing w:line="360" w:lineRule="auto"/>
        <w:ind w:firstLine="0" w:firstLineChars="0"/>
        <w:rPr>
          <w:rFonts w:hint="eastAsia" w:ascii="宋体" w:hAnsi="宋体" w:eastAsia="宋体" w:cs="宋体"/>
          <w:color w:val="auto"/>
          <w:sz w:val="24"/>
          <w:szCs w:val="24"/>
        </w:rPr>
      </w:pPr>
    </w:p>
    <w:p w14:paraId="2ED74413">
      <w:pPr>
        <w:autoSpaceDE w:val="0"/>
        <w:autoSpaceDN w:val="0"/>
        <w:spacing w:line="360" w:lineRule="auto"/>
        <w:ind w:firstLine="0" w:firstLineChars="0"/>
        <w:jc w:val="center"/>
        <w:rPr>
          <w:rFonts w:hint="eastAsia" w:ascii="宋体" w:hAnsi="宋体" w:eastAsia="宋体" w:cs="宋体"/>
          <w:b/>
          <w:bCs/>
          <w:color w:val="auto"/>
          <w:sz w:val="48"/>
          <w:szCs w:val="48"/>
          <w:lang w:val="zh-CN"/>
        </w:rPr>
      </w:pPr>
      <w:r>
        <w:rPr>
          <w:rFonts w:hint="eastAsia" w:ascii="宋体" w:hAnsi="宋体" w:eastAsia="宋体" w:cs="宋体"/>
          <w:b/>
          <w:bCs/>
          <w:color w:val="auto"/>
          <w:sz w:val="48"/>
          <w:szCs w:val="48"/>
          <w:lang w:val="zh-CN"/>
        </w:rPr>
        <w:t>青海省政府采购项目合同书</w:t>
      </w:r>
    </w:p>
    <w:p w14:paraId="504C85E2">
      <w:pPr>
        <w:autoSpaceDE w:val="0"/>
        <w:autoSpaceDN w:val="0"/>
        <w:spacing w:line="360" w:lineRule="auto"/>
        <w:ind w:firstLine="0" w:firstLineChars="0"/>
        <w:jc w:val="center"/>
        <w:rPr>
          <w:rFonts w:hint="eastAsia" w:ascii="宋体" w:hAnsi="宋体" w:eastAsia="宋体" w:cs="宋体"/>
          <w:b/>
          <w:bCs/>
          <w:color w:val="auto"/>
          <w:sz w:val="48"/>
          <w:szCs w:val="48"/>
          <w:lang w:eastAsia="zh-CN"/>
        </w:rPr>
      </w:pPr>
    </w:p>
    <w:p w14:paraId="7224DE51">
      <w:pPr>
        <w:autoSpaceDE w:val="0"/>
        <w:autoSpaceDN w:val="0"/>
        <w:spacing w:line="360" w:lineRule="auto"/>
        <w:ind w:firstLine="0" w:firstLineChars="0"/>
        <w:jc w:val="center"/>
        <w:rPr>
          <w:rFonts w:hint="eastAsia" w:ascii="宋体" w:hAnsi="宋体" w:eastAsia="宋体" w:cs="宋体"/>
          <w:b/>
          <w:bCs/>
          <w:color w:val="auto"/>
          <w:sz w:val="48"/>
          <w:szCs w:val="48"/>
          <w:lang w:val="zh-CN" w:eastAsia="zh-CN"/>
        </w:rPr>
      </w:pPr>
      <w:r>
        <w:rPr>
          <w:rFonts w:hint="eastAsia" w:ascii="宋体" w:hAnsi="宋体" w:eastAsia="宋体" w:cs="宋体"/>
          <w:b/>
          <w:color w:val="auto"/>
          <w:sz w:val="32"/>
          <w:szCs w:val="32"/>
          <w:lang w:eastAsia="zh-CN"/>
        </w:rPr>
        <w:t>（</w:t>
      </w:r>
      <w:r>
        <w:rPr>
          <w:rFonts w:hint="eastAsia" w:ascii="宋体" w:hAnsi="宋体" w:eastAsia="宋体" w:cs="宋体"/>
          <w:b/>
          <w:color w:val="auto"/>
          <w:sz w:val="32"/>
          <w:szCs w:val="32"/>
          <w:lang w:val="en-US" w:eastAsia="zh-CN"/>
        </w:rPr>
        <w:t>本合同为中小企业预留合同</w:t>
      </w:r>
      <w:r>
        <w:rPr>
          <w:rFonts w:hint="eastAsia" w:ascii="宋体" w:hAnsi="宋体" w:eastAsia="宋体" w:cs="宋体"/>
          <w:b/>
          <w:color w:val="auto"/>
          <w:sz w:val="32"/>
          <w:szCs w:val="32"/>
          <w:lang w:eastAsia="zh-CN"/>
        </w:rPr>
        <w:t>）</w:t>
      </w:r>
    </w:p>
    <w:p w14:paraId="209CBB41">
      <w:pPr>
        <w:spacing w:line="360" w:lineRule="auto"/>
        <w:ind w:firstLine="0" w:firstLineChars="0"/>
        <w:jc w:val="both"/>
        <w:rPr>
          <w:rFonts w:hint="eastAsia" w:ascii="宋体" w:hAnsi="宋体" w:eastAsia="宋体" w:cs="宋体"/>
          <w:color w:val="auto"/>
          <w:sz w:val="24"/>
          <w:szCs w:val="24"/>
        </w:rPr>
      </w:pPr>
    </w:p>
    <w:p w14:paraId="2AEF2455">
      <w:pPr>
        <w:spacing w:line="360" w:lineRule="auto"/>
        <w:ind w:firstLine="0" w:firstLineChars="0"/>
        <w:rPr>
          <w:rFonts w:hint="eastAsia" w:ascii="宋体" w:hAnsi="宋体" w:eastAsia="宋体" w:cs="宋体"/>
          <w:color w:val="auto"/>
          <w:sz w:val="24"/>
          <w:szCs w:val="24"/>
        </w:rPr>
      </w:pPr>
    </w:p>
    <w:p w14:paraId="16EB7C47">
      <w:pPr>
        <w:spacing w:line="360" w:lineRule="auto"/>
        <w:ind w:firstLine="0" w:firstLineChars="0"/>
        <w:rPr>
          <w:rFonts w:hint="eastAsia" w:ascii="宋体" w:hAnsi="宋体" w:eastAsia="宋体" w:cs="宋体"/>
          <w:color w:val="auto"/>
          <w:sz w:val="24"/>
          <w:szCs w:val="24"/>
        </w:rPr>
      </w:pPr>
    </w:p>
    <w:p w14:paraId="36A5C41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bCs/>
          <w:color w:val="auto"/>
          <w:sz w:val="30"/>
          <w:szCs w:val="30"/>
          <w:lang w:val="zh-CN"/>
        </w:rPr>
      </w:pPr>
      <w:r>
        <w:rPr>
          <w:rFonts w:hint="eastAsia" w:ascii="宋体" w:hAnsi="宋体" w:eastAsia="宋体" w:cs="宋体"/>
          <w:b/>
          <w:bCs/>
          <w:color w:val="auto"/>
          <w:sz w:val="30"/>
          <w:szCs w:val="30"/>
          <w:lang w:val="zh-CN"/>
        </w:rPr>
        <w:t>采购项目编号：</w:t>
      </w:r>
      <w:r>
        <w:rPr>
          <w:rFonts w:hint="eastAsia" w:ascii="宋体" w:hAnsi="宋体" w:eastAsia="宋体" w:cs="宋体"/>
          <w:b/>
          <w:bCs/>
          <w:color w:val="auto"/>
          <w:sz w:val="30"/>
          <w:szCs w:val="30"/>
          <w:u w:val="single"/>
          <w:lang w:val="zh-CN"/>
        </w:rPr>
        <w:t>青海鼎钊竞磋（服务）2026-028</w:t>
      </w:r>
    </w:p>
    <w:p w14:paraId="7A3B5299">
      <w:pPr>
        <w:pStyle w:val="37"/>
        <w:keepNext w:val="0"/>
        <w:keepLines w:val="0"/>
        <w:pageBreakBefore w:val="0"/>
        <w:widowControl w:val="0"/>
        <w:kinsoku/>
        <w:wordWrap/>
        <w:overflowPunct/>
        <w:topLinePunct w:val="0"/>
        <w:bidi w:val="0"/>
        <w:adjustRightInd/>
        <w:snapToGrid/>
        <w:spacing w:line="360" w:lineRule="auto"/>
        <w:ind w:firstLine="0" w:firstLineChars="0"/>
        <w:jc w:val="left"/>
        <w:textAlignment w:val="auto"/>
        <w:rPr>
          <w:rFonts w:hint="eastAsia" w:ascii="宋体" w:hAnsi="宋体" w:eastAsia="宋体" w:cs="宋体"/>
          <w:b/>
          <w:bCs/>
          <w:color w:val="auto"/>
          <w:sz w:val="30"/>
          <w:szCs w:val="30"/>
        </w:rPr>
      </w:pPr>
      <w:r>
        <w:rPr>
          <w:rFonts w:hint="eastAsia" w:ascii="宋体" w:hAnsi="宋体" w:eastAsia="宋体" w:cs="宋体"/>
          <w:b/>
          <w:bCs/>
          <w:color w:val="auto"/>
          <w:sz w:val="30"/>
          <w:szCs w:val="30"/>
          <w:lang w:val="zh-CN"/>
        </w:rPr>
        <w:t>采购项目名称：</w:t>
      </w:r>
      <w:r>
        <w:rPr>
          <w:rFonts w:hint="eastAsia" w:ascii="宋体" w:hAnsi="宋体" w:eastAsia="宋体" w:cs="宋体"/>
          <w:b/>
          <w:bCs/>
          <w:color w:val="auto"/>
          <w:sz w:val="30"/>
          <w:szCs w:val="30"/>
          <w:u w:val="single"/>
          <w:lang w:val="zh-CN" w:eastAsia="zh-CN" w:bidi="ar-SA"/>
        </w:rPr>
        <w:t>农产品质量安全监管项目（第二次）</w:t>
      </w:r>
    </w:p>
    <w:p w14:paraId="23B75B6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default"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zh-CN"/>
        </w:rPr>
        <w:t>采购合同编号：</w:t>
      </w:r>
      <w:r>
        <w:rPr>
          <w:rFonts w:hint="eastAsia" w:ascii="宋体" w:hAnsi="宋体" w:eastAsia="宋体" w:cs="宋体"/>
          <w:b/>
          <w:bCs/>
          <w:color w:val="auto"/>
          <w:sz w:val="30"/>
          <w:szCs w:val="30"/>
          <w:u w:val="single"/>
          <w:lang w:val="zh-CN"/>
        </w:rPr>
        <w:t>QH</w:t>
      </w:r>
      <w:r>
        <w:rPr>
          <w:rFonts w:hint="eastAsia" w:ascii="宋体" w:hAnsi="宋体" w:eastAsia="宋体" w:cs="宋体"/>
          <w:b/>
          <w:bCs/>
          <w:color w:val="auto"/>
          <w:sz w:val="30"/>
          <w:szCs w:val="30"/>
          <w:u w:val="single"/>
          <w:lang w:val="en-US" w:eastAsia="zh-CN"/>
        </w:rPr>
        <w:t>DZ</w:t>
      </w:r>
      <w:r>
        <w:rPr>
          <w:rFonts w:hint="eastAsia" w:ascii="宋体" w:hAnsi="宋体" w:eastAsia="宋体" w:cs="宋体"/>
          <w:b/>
          <w:bCs/>
          <w:color w:val="auto"/>
          <w:sz w:val="30"/>
          <w:szCs w:val="30"/>
          <w:u w:val="single"/>
          <w:lang w:val="zh-CN"/>
        </w:rPr>
        <w:t>-2026-028</w:t>
      </w:r>
      <w:r>
        <w:rPr>
          <w:rFonts w:hint="eastAsia" w:ascii="宋体" w:hAnsi="宋体" w:eastAsia="宋体" w:cs="宋体"/>
          <w:b/>
          <w:bCs/>
          <w:color w:val="auto"/>
          <w:sz w:val="30"/>
          <w:szCs w:val="30"/>
          <w:u w:val="single"/>
          <w:lang w:val="en-US" w:eastAsia="zh-CN"/>
        </w:rPr>
        <w:t>-包*</w:t>
      </w:r>
    </w:p>
    <w:p w14:paraId="315FFE3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bCs/>
          <w:color w:val="auto"/>
          <w:sz w:val="30"/>
          <w:szCs w:val="30"/>
          <w:u w:val="single"/>
          <w:lang w:val="en-US" w:eastAsia="zh-CN"/>
        </w:rPr>
      </w:pPr>
      <w:r>
        <w:rPr>
          <w:rFonts w:hint="eastAsia" w:ascii="宋体" w:hAnsi="宋体" w:eastAsia="宋体" w:cs="宋体"/>
          <w:b/>
          <w:bCs/>
          <w:color w:val="auto"/>
          <w:sz w:val="30"/>
          <w:szCs w:val="30"/>
          <w:lang w:val="zh-CN"/>
        </w:rPr>
        <w:t>合同金额（人民币）：</w:t>
      </w:r>
      <w:r>
        <w:rPr>
          <w:rFonts w:hint="eastAsia" w:ascii="宋体" w:hAnsi="宋体" w:eastAsia="宋体" w:cs="宋体"/>
          <w:b/>
          <w:bCs/>
          <w:color w:val="auto"/>
          <w:sz w:val="30"/>
          <w:szCs w:val="30"/>
          <w:u w:val="single"/>
          <w:lang w:val="en-US" w:eastAsia="zh-CN"/>
        </w:rPr>
        <w:t xml:space="preserve">                      </w:t>
      </w:r>
    </w:p>
    <w:p w14:paraId="565C537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bCs/>
          <w:color w:val="auto"/>
          <w:sz w:val="30"/>
          <w:szCs w:val="30"/>
        </w:rPr>
      </w:pPr>
      <w:r>
        <w:rPr>
          <w:rFonts w:hint="eastAsia" w:ascii="宋体" w:hAnsi="宋体" w:eastAsia="宋体" w:cs="宋体"/>
          <w:b/>
          <w:bCs/>
          <w:color w:val="auto"/>
          <w:sz w:val="30"/>
          <w:szCs w:val="30"/>
          <w:lang w:val="zh-CN"/>
        </w:rPr>
        <w:t>采购人（甲方）：</w:t>
      </w:r>
      <w:r>
        <w:rPr>
          <w:rFonts w:hint="eastAsia" w:ascii="宋体" w:hAnsi="宋体" w:eastAsia="宋体" w:cs="宋体"/>
          <w:b/>
          <w:bCs/>
          <w:color w:val="auto"/>
          <w:sz w:val="30"/>
          <w:szCs w:val="30"/>
          <w:u w:val="single"/>
          <w:lang w:val="en-US" w:eastAsia="zh-CN"/>
        </w:rPr>
        <w:t xml:space="preserve">                      </w:t>
      </w:r>
      <w:r>
        <w:rPr>
          <w:rFonts w:hint="eastAsia" w:ascii="宋体" w:hAnsi="宋体" w:eastAsia="宋体" w:cs="宋体"/>
          <w:b/>
          <w:bCs/>
          <w:color w:val="auto"/>
          <w:sz w:val="30"/>
          <w:szCs w:val="30"/>
          <w:u w:val="single"/>
          <w:lang w:val="zh-CN"/>
        </w:rPr>
        <w:t>（盖章）</w:t>
      </w:r>
    </w:p>
    <w:p w14:paraId="47BFD5C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bCs/>
          <w:color w:val="auto"/>
          <w:sz w:val="30"/>
          <w:szCs w:val="30"/>
        </w:rPr>
      </w:pPr>
      <w:r>
        <w:rPr>
          <w:rFonts w:hint="eastAsia" w:ascii="宋体" w:hAnsi="宋体" w:eastAsia="宋体" w:cs="宋体"/>
          <w:b/>
          <w:bCs/>
          <w:color w:val="auto"/>
          <w:sz w:val="30"/>
          <w:szCs w:val="30"/>
          <w:lang w:val="zh-CN"/>
        </w:rPr>
        <w:t>供应商（乙方）：</w:t>
      </w:r>
      <w:r>
        <w:rPr>
          <w:rFonts w:hint="eastAsia" w:ascii="宋体" w:hAnsi="宋体" w:eastAsia="宋体" w:cs="宋体"/>
          <w:b/>
          <w:bCs/>
          <w:color w:val="auto"/>
          <w:sz w:val="30"/>
          <w:szCs w:val="30"/>
          <w:u w:val="single"/>
          <w:lang w:val="en-US" w:eastAsia="zh-CN"/>
        </w:rPr>
        <w:t xml:space="preserve">                      </w:t>
      </w:r>
      <w:r>
        <w:rPr>
          <w:rFonts w:hint="eastAsia" w:ascii="宋体" w:hAnsi="宋体" w:eastAsia="宋体" w:cs="宋体"/>
          <w:b/>
          <w:bCs/>
          <w:color w:val="auto"/>
          <w:sz w:val="30"/>
          <w:szCs w:val="30"/>
          <w:u w:val="single"/>
          <w:lang w:val="zh-CN"/>
        </w:rPr>
        <w:t>（盖章）</w:t>
      </w:r>
    </w:p>
    <w:p w14:paraId="389307F5">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bCs/>
          <w:color w:val="auto"/>
          <w:sz w:val="30"/>
          <w:szCs w:val="30"/>
          <w:u w:val="single"/>
          <w:lang w:val="en-US" w:eastAsia="zh-CN"/>
        </w:rPr>
      </w:pPr>
      <w:r>
        <w:rPr>
          <w:rFonts w:hint="eastAsia" w:ascii="宋体" w:hAnsi="宋体" w:eastAsia="宋体" w:cs="宋体"/>
          <w:b/>
          <w:bCs/>
          <w:color w:val="auto"/>
          <w:sz w:val="30"/>
          <w:szCs w:val="30"/>
          <w:lang w:val="zh-CN"/>
        </w:rPr>
        <w:t>采购日期：</w:t>
      </w:r>
      <w:r>
        <w:rPr>
          <w:rFonts w:hint="eastAsia" w:ascii="宋体" w:hAnsi="宋体" w:eastAsia="宋体" w:cs="宋体"/>
          <w:b/>
          <w:bCs/>
          <w:color w:val="auto"/>
          <w:sz w:val="30"/>
          <w:szCs w:val="30"/>
          <w:u w:val="single"/>
          <w:lang w:val="en-US" w:eastAsia="zh-CN"/>
        </w:rPr>
        <w:t xml:space="preserve">                             </w:t>
      </w:r>
    </w:p>
    <w:p w14:paraId="10773562">
      <w:pPr>
        <w:spacing w:line="360" w:lineRule="auto"/>
        <w:ind w:left="0" w:leftChars="0" w:firstLine="0" w:firstLineChars="0"/>
        <w:rPr>
          <w:rFonts w:hint="eastAsia" w:ascii="宋体" w:hAnsi="宋体" w:eastAsia="宋体" w:cs="宋体"/>
          <w:color w:val="auto"/>
          <w:sz w:val="24"/>
          <w:szCs w:val="24"/>
        </w:rPr>
      </w:pPr>
    </w:p>
    <w:p w14:paraId="60D8C360">
      <w:pPr>
        <w:spacing w:line="360" w:lineRule="auto"/>
        <w:ind w:left="0" w:leftChars="0" w:firstLine="0" w:firstLineChars="0"/>
        <w:rPr>
          <w:rFonts w:hint="eastAsia" w:ascii="宋体" w:hAnsi="宋体" w:eastAsia="宋体" w:cs="宋体"/>
          <w:color w:val="auto"/>
          <w:sz w:val="24"/>
          <w:szCs w:val="24"/>
        </w:rPr>
      </w:pPr>
    </w:p>
    <w:p w14:paraId="15FAB1C8">
      <w:pPr>
        <w:spacing w:line="360" w:lineRule="auto"/>
        <w:ind w:left="0" w:leftChars="0" w:firstLine="0" w:firstLineChars="0"/>
        <w:rPr>
          <w:rFonts w:hint="eastAsia" w:ascii="宋体" w:hAnsi="宋体" w:eastAsia="宋体" w:cs="宋体"/>
          <w:color w:val="auto"/>
          <w:sz w:val="24"/>
          <w:szCs w:val="24"/>
        </w:rPr>
      </w:pPr>
    </w:p>
    <w:p w14:paraId="437A5A2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hint="eastAsia" w:ascii="宋体" w:hAnsi="宋体" w:eastAsia="宋体" w:cs="宋体"/>
          <w:b/>
          <w:bCs/>
          <w:color w:val="auto"/>
          <w:sz w:val="28"/>
          <w:szCs w:val="28"/>
        </w:rPr>
      </w:pPr>
      <w:r>
        <w:rPr>
          <w:rFonts w:hint="eastAsia" w:ascii="宋体" w:hAnsi="宋体" w:eastAsia="宋体" w:cs="宋体"/>
          <w:color w:val="auto"/>
          <w:sz w:val="28"/>
          <w:szCs w:val="28"/>
        </w:rPr>
        <w:br w:type="page"/>
      </w:r>
      <w:r>
        <w:rPr>
          <w:rFonts w:hint="eastAsia" w:ascii="宋体" w:hAnsi="宋体" w:eastAsia="宋体" w:cs="宋体"/>
          <w:b/>
          <w:bCs/>
          <w:color w:val="auto"/>
          <w:sz w:val="28"/>
          <w:szCs w:val="28"/>
          <w:lang w:val="zh-CN"/>
        </w:rPr>
        <w:t>采购人（以下简称甲方）：</w:t>
      </w:r>
    </w:p>
    <w:p w14:paraId="2369A77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lang w:val="zh-CN"/>
        </w:rPr>
        <w:t>供应商（以下简称乙方）：</w:t>
      </w:r>
    </w:p>
    <w:p w14:paraId="6A1C2F30">
      <w:pPr>
        <w:pStyle w:val="37"/>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甲、乙双方根据</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zh-CN"/>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zh-CN"/>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zh-CN"/>
        </w:rPr>
        <w:t>日“农产品质量安全监管项目（第二次）”（项目编号：青海鼎钊竞磋（服务）2026-028）的磋商文件要求和青海鼎钊招标代理有限公司出具的《成交通知书》，并经双方协商一致，签订本合同协议书。</w:t>
      </w:r>
    </w:p>
    <w:p w14:paraId="4CB911D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一、签订本政府采购合同的依据</w:t>
      </w:r>
    </w:p>
    <w:p w14:paraId="7B881B0F">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本政府采购合同所附下列文件是构成本政府采购合同不可分割的部分：</w:t>
      </w:r>
    </w:p>
    <w:p w14:paraId="212D04A5">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1.磋商文件；</w:t>
      </w:r>
    </w:p>
    <w:p w14:paraId="696E5052">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2.磋商文件的更正、变更公告；</w:t>
      </w:r>
    </w:p>
    <w:p w14:paraId="04563361">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w:t>
      </w: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lang w:val="zh-CN"/>
        </w:rPr>
        <w:t>提交的响应文件；</w:t>
      </w:r>
    </w:p>
    <w:p w14:paraId="1A8075AF">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rPr>
        <w:t>成交通知书；</w:t>
      </w:r>
    </w:p>
    <w:p w14:paraId="57E92D9D">
      <w:pPr>
        <w:autoSpaceDE w:val="0"/>
        <w:autoSpaceDN w:val="0"/>
        <w:spacing w:line="360" w:lineRule="auto"/>
        <w:ind w:firstLine="48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5.履约保证金缴费证明。</w:t>
      </w:r>
    </w:p>
    <w:p w14:paraId="7CC1DC6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color w:val="auto"/>
          <w:sz w:val="24"/>
          <w:szCs w:val="24"/>
          <w:lang w:val="zh-CN"/>
        </w:rPr>
      </w:pPr>
      <w:r>
        <w:rPr>
          <w:rFonts w:hint="eastAsia" w:ascii="宋体" w:hAnsi="宋体" w:eastAsia="宋体" w:cs="宋体"/>
          <w:b/>
          <w:color w:val="auto"/>
          <w:kern w:val="0"/>
          <w:sz w:val="24"/>
          <w:szCs w:val="24"/>
          <w:lang w:val="en-US" w:eastAsia="zh-CN" w:bidi="ar"/>
        </w:rPr>
        <w:t>二、</w:t>
      </w:r>
      <w:r>
        <w:rPr>
          <w:rFonts w:hint="eastAsia" w:ascii="宋体" w:hAnsi="宋体" w:eastAsia="宋体" w:cs="宋体"/>
          <w:b/>
          <w:bCs/>
          <w:color w:val="auto"/>
          <w:sz w:val="24"/>
          <w:szCs w:val="24"/>
          <w:lang w:val="zh-CN"/>
        </w:rPr>
        <w:t>合同标的及金额</w:t>
      </w:r>
      <w:r>
        <w:rPr>
          <w:rFonts w:hint="eastAsia" w:ascii="宋体" w:hAnsi="宋体" w:eastAsia="宋体" w:cs="宋体"/>
          <w:color w:val="auto"/>
          <w:sz w:val="24"/>
          <w:szCs w:val="24"/>
          <w:lang w:val="zh-CN"/>
        </w:rPr>
        <w:t xml:space="preserve">                                       单位：元</w:t>
      </w:r>
    </w:p>
    <w:tbl>
      <w:tblPr>
        <w:tblStyle w:val="24"/>
        <w:tblW w:w="8277" w:type="dxa"/>
        <w:jc w:val="center"/>
        <w:tblLayout w:type="fixed"/>
        <w:tblCellMar>
          <w:top w:w="0" w:type="dxa"/>
          <w:left w:w="28" w:type="dxa"/>
          <w:bottom w:w="0" w:type="dxa"/>
          <w:right w:w="28" w:type="dxa"/>
        </w:tblCellMar>
      </w:tblPr>
      <w:tblGrid>
        <w:gridCol w:w="632"/>
        <w:gridCol w:w="1804"/>
        <w:gridCol w:w="1160"/>
        <w:gridCol w:w="1125"/>
        <w:gridCol w:w="1153"/>
        <w:gridCol w:w="1228"/>
        <w:gridCol w:w="1175"/>
      </w:tblGrid>
      <w:tr w14:paraId="00683D76">
        <w:tblPrEx>
          <w:tblCellMar>
            <w:top w:w="0" w:type="dxa"/>
            <w:left w:w="28" w:type="dxa"/>
            <w:bottom w:w="0" w:type="dxa"/>
            <w:right w:w="28" w:type="dxa"/>
          </w:tblCellMar>
        </w:tblPrEx>
        <w:trPr>
          <w:trHeight w:val="23" w:hRule="atLeast"/>
          <w:jc w:val="center"/>
        </w:trPr>
        <w:tc>
          <w:tcPr>
            <w:tcW w:w="576" w:type="dxa"/>
            <w:tcBorders>
              <w:top w:val="single" w:color="000000" w:sz="8" w:space="0"/>
              <w:left w:val="single" w:color="000000" w:sz="8" w:space="0"/>
              <w:bottom w:val="single" w:color="000000" w:sz="6" w:space="0"/>
              <w:right w:val="single" w:color="000000" w:sz="6" w:space="0"/>
            </w:tcBorders>
            <w:noWrap w:val="0"/>
            <w:vAlign w:val="center"/>
          </w:tcPr>
          <w:p w14:paraId="1F3D524D">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序号</w:t>
            </w:r>
          </w:p>
        </w:tc>
        <w:tc>
          <w:tcPr>
            <w:tcW w:w="1643" w:type="dxa"/>
            <w:tcBorders>
              <w:top w:val="single" w:color="000000" w:sz="8" w:space="0"/>
              <w:left w:val="single" w:color="000000" w:sz="6" w:space="0"/>
              <w:bottom w:val="single" w:color="000000" w:sz="6" w:space="0"/>
              <w:right w:val="single" w:color="000000" w:sz="6" w:space="0"/>
            </w:tcBorders>
            <w:noWrap w:val="0"/>
            <w:vAlign w:val="center"/>
          </w:tcPr>
          <w:p w14:paraId="6670EA91">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en-US" w:eastAsia="zh-CN"/>
              </w:rPr>
              <w:t>服务内容</w:t>
            </w:r>
          </w:p>
        </w:tc>
        <w:tc>
          <w:tcPr>
            <w:tcW w:w="1057" w:type="dxa"/>
            <w:tcBorders>
              <w:top w:val="single" w:color="000000" w:sz="8" w:space="0"/>
              <w:left w:val="single" w:color="000000" w:sz="6" w:space="0"/>
              <w:bottom w:val="single" w:color="000000" w:sz="6" w:space="0"/>
              <w:right w:val="single" w:color="000000" w:sz="6" w:space="0"/>
            </w:tcBorders>
            <w:noWrap w:val="0"/>
            <w:vAlign w:val="center"/>
          </w:tcPr>
          <w:p w14:paraId="0FC91B72">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rPr>
              <w:t>数量</w:t>
            </w:r>
          </w:p>
        </w:tc>
        <w:tc>
          <w:tcPr>
            <w:tcW w:w="1025" w:type="dxa"/>
            <w:tcBorders>
              <w:top w:val="single" w:color="000000" w:sz="8" w:space="0"/>
              <w:left w:val="single" w:color="000000" w:sz="6" w:space="0"/>
              <w:bottom w:val="single" w:color="000000" w:sz="6" w:space="0"/>
              <w:right w:val="single" w:color="000000" w:sz="6" w:space="0"/>
            </w:tcBorders>
            <w:noWrap w:val="0"/>
            <w:vAlign w:val="center"/>
          </w:tcPr>
          <w:p w14:paraId="65143FF2">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zh-CN"/>
              </w:rPr>
              <w:t>单位</w:t>
            </w:r>
          </w:p>
        </w:tc>
        <w:tc>
          <w:tcPr>
            <w:tcW w:w="1050" w:type="dxa"/>
            <w:tcBorders>
              <w:top w:val="single" w:color="000000" w:sz="8" w:space="0"/>
              <w:left w:val="single" w:color="000000" w:sz="6" w:space="0"/>
              <w:bottom w:val="single" w:color="000000" w:sz="6" w:space="0"/>
              <w:right w:val="single" w:color="000000" w:sz="6" w:space="0"/>
            </w:tcBorders>
            <w:noWrap w:val="0"/>
            <w:vAlign w:val="center"/>
          </w:tcPr>
          <w:p w14:paraId="677ABDAA">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rPr>
              <w:t>单价</w:t>
            </w:r>
          </w:p>
        </w:tc>
        <w:tc>
          <w:tcPr>
            <w:tcW w:w="1119" w:type="dxa"/>
            <w:tcBorders>
              <w:top w:val="single" w:color="000000" w:sz="8" w:space="0"/>
              <w:left w:val="single" w:color="000000" w:sz="6" w:space="0"/>
              <w:bottom w:val="single" w:color="000000" w:sz="6" w:space="0"/>
              <w:right w:val="single" w:color="000000" w:sz="6" w:space="0"/>
            </w:tcBorders>
            <w:noWrap w:val="0"/>
            <w:vAlign w:val="center"/>
          </w:tcPr>
          <w:p w14:paraId="683F9CB7">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rPr>
              <w:t>合计</w:t>
            </w:r>
          </w:p>
        </w:tc>
        <w:tc>
          <w:tcPr>
            <w:tcW w:w="1070" w:type="dxa"/>
            <w:tcBorders>
              <w:top w:val="single" w:color="000000" w:sz="8" w:space="0"/>
              <w:left w:val="single" w:color="000000" w:sz="6" w:space="0"/>
              <w:bottom w:val="single" w:color="000000" w:sz="6" w:space="0"/>
              <w:right w:val="single" w:color="000000" w:sz="8" w:space="0"/>
            </w:tcBorders>
            <w:noWrap w:val="0"/>
            <w:vAlign w:val="center"/>
          </w:tcPr>
          <w:p w14:paraId="2964AEC0">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sz w:val="24"/>
                <w:szCs w:val="24"/>
                <w:lang w:val="en-US" w:eastAsia="zh-CN"/>
              </w:rPr>
              <w:t>备注</w:t>
            </w:r>
          </w:p>
        </w:tc>
      </w:tr>
      <w:tr w14:paraId="57F28DEF">
        <w:tblPrEx>
          <w:tblCellMar>
            <w:top w:w="0" w:type="dxa"/>
            <w:left w:w="28" w:type="dxa"/>
            <w:bottom w:w="0" w:type="dxa"/>
            <w:right w:w="28" w:type="dxa"/>
          </w:tblCellMar>
        </w:tblPrEx>
        <w:trPr>
          <w:trHeight w:val="23" w:hRule="atLeast"/>
          <w:jc w:val="center"/>
        </w:trPr>
        <w:tc>
          <w:tcPr>
            <w:tcW w:w="576" w:type="dxa"/>
            <w:tcBorders>
              <w:top w:val="single" w:color="000000" w:sz="6" w:space="0"/>
              <w:left w:val="single" w:color="000000" w:sz="8" w:space="0"/>
              <w:bottom w:val="single" w:color="000000" w:sz="6" w:space="0"/>
              <w:right w:val="single" w:color="000000" w:sz="6" w:space="0"/>
            </w:tcBorders>
            <w:noWrap w:val="0"/>
            <w:vAlign w:val="center"/>
          </w:tcPr>
          <w:p w14:paraId="3EFDA85D">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1</w:t>
            </w:r>
          </w:p>
        </w:tc>
        <w:tc>
          <w:tcPr>
            <w:tcW w:w="1643" w:type="dxa"/>
            <w:tcBorders>
              <w:top w:val="single" w:color="000000" w:sz="6" w:space="0"/>
              <w:left w:val="single" w:color="000000" w:sz="6" w:space="0"/>
              <w:bottom w:val="single" w:color="000000" w:sz="6" w:space="0"/>
              <w:right w:val="single" w:color="000000" w:sz="6" w:space="0"/>
            </w:tcBorders>
            <w:noWrap w:val="0"/>
            <w:vAlign w:val="center"/>
          </w:tcPr>
          <w:p w14:paraId="681C61F5">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57" w:type="dxa"/>
            <w:tcBorders>
              <w:top w:val="single" w:color="000000" w:sz="6" w:space="0"/>
              <w:left w:val="single" w:color="000000" w:sz="6" w:space="0"/>
              <w:bottom w:val="single" w:color="000000" w:sz="6" w:space="0"/>
              <w:right w:val="single" w:color="000000" w:sz="6" w:space="0"/>
            </w:tcBorders>
            <w:noWrap w:val="0"/>
            <w:vAlign w:val="center"/>
          </w:tcPr>
          <w:p w14:paraId="5B1D7004">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25" w:type="dxa"/>
            <w:tcBorders>
              <w:top w:val="single" w:color="000000" w:sz="6" w:space="0"/>
              <w:left w:val="single" w:color="000000" w:sz="6" w:space="0"/>
              <w:bottom w:val="single" w:color="000000" w:sz="6" w:space="0"/>
              <w:right w:val="single" w:color="000000" w:sz="6" w:space="0"/>
            </w:tcBorders>
            <w:noWrap w:val="0"/>
            <w:vAlign w:val="center"/>
          </w:tcPr>
          <w:p w14:paraId="19DC8123">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50" w:type="dxa"/>
            <w:tcBorders>
              <w:top w:val="single" w:color="000000" w:sz="6" w:space="0"/>
              <w:left w:val="single" w:color="000000" w:sz="6" w:space="0"/>
              <w:bottom w:val="single" w:color="000000" w:sz="6" w:space="0"/>
              <w:right w:val="single" w:color="000000" w:sz="6" w:space="0"/>
            </w:tcBorders>
            <w:noWrap w:val="0"/>
            <w:vAlign w:val="center"/>
          </w:tcPr>
          <w:p w14:paraId="76F60BB1">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119" w:type="dxa"/>
            <w:tcBorders>
              <w:top w:val="single" w:color="000000" w:sz="6" w:space="0"/>
              <w:left w:val="single" w:color="000000" w:sz="6" w:space="0"/>
              <w:bottom w:val="single" w:color="000000" w:sz="6" w:space="0"/>
              <w:right w:val="single" w:color="000000" w:sz="6" w:space="0"/>
            </w:tcBorders>
            <w:noWrap w:val="0"/>
            <w:vAlign w:val="center"/>
          </w:tcPr>
          <w:p w14:paraId="08A9C727">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70" w:type="dxa"/>
            <w:tcBorders>
              <w:top w:val="single" w:color="000000" w:sz="6" w:space="0"/>
              <w:left w:val="single" w:color="000000" w:sz="6" w:space="0"/>
              <w:bottom w:val="single" w:color="000000" w:sz="6" w:space="0"/>
              <w:right w:val="single" w:color="000000" w:sz="8" w:space="0"/>
            </w:tcBorders>
            <w:noWrap w:val="0"/>
            <w:vAlign w:val="center"/>
          </w:tcPr>
          <w:p w14:paraId="24D84ED1">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r>
      <w:tr w14:paraId="5400E757">
        <w:tblPrEx>
          <w:tblCellMar>
            <w:top w:w="0" w:type="dxa"/>
            <w:left w:w="28" w:type="dxa"/>
            <w:bottom w:w="0" w:type="dxa"/>
            <w:right w:w="28" w:type="dxa"/>
          </w:tblCellMar>
        </w:tblPrEx>
        <w:trPr>
          <w:trHeight w:val="23" w:hRule="atLeast"/>
          <w:jc w:val="center"/>
        </w:trPr>
        <w:tc>
          <w:tcPr>
            <w:tcW w:w="576" w:type="dxa"/>
            <w:tcBorders>
              <w:top w:val="single" w:color="000000" w:sz="6" w:space="0"/>
              <w:left w:val="single" w:color="000000" w:sz="8" w:space="0"/>
              <w:bottom w:val="single" w:color="000000" w:sz="6" w:space="0"/>
              <w:right w:val="single" w:color="000000" w:sz="6" w:space="0"/>
            </w:tcBorders>
            <w:noWrap w:val="0"/>
            <w:vAlign w:val="center"/>
          </w:tcPr>
          <w:p w14:paraId="2C8279E6">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2</w:t>
            </w:r>
          </w:p>
        </w:tc>
        <w:tc>
          <w:tcPr>
            <w:tcW w:w="1643" w:type="dxa"/>
            <w:tcBorders>
              <w:top w:val="single" w:color="000000" w:sz="6" w:space="0"/>
              <w:left w:val="single" w:color="000000" w:sz="6" w:space="0"/>
              <w:bottom w:val="single" w:color="000000" w:sz="6" w:space="0"/>
              <w:right w:val="single" w:color="000000" w:sz="6" w:space="0"/>
            </w:tcBorders>
            <w:noWrap w:val="0"/>
            <w:vAlign w:val="center"/>
          </w:tcPr>
          <w:p w14:paraId="3F71AD81">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57" w:type="dxa"/>
            <w:tcBorders>
              <w:top w:val="single" w:color="000000" w:sz="6" w:space="0"/>
              <w:left w:val="single" w:color="000000" w:sz="6" w:space="0"/>
              <w:bottom w:val="single" w:color="000000" w:sz="6" w:space="0"/>
              <w:right w:val="single" w:color="000000" w:sz="6" w:space="0"/>
            </w:tcBorders>
            <w:noWrap w:val="0"/>
            <w:vAlign w:val="center"/>
          </w:tcPr>
          <w:p w14:paraId="6D9F4797">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25" w:type="dxa"/>
            <w:tcBorders>
              <w:top w:val="single" w:color="000000" w:sz="6" w:space="0"/>
              <w:left w:val="single" w:color="000000" w:sz="6" w:space="0"/>
              <w:bottom w:val="single" w:color="000000" w:sz="6" w:space="0"/>
              <w:right w:val="single" w:color="000000" w:sz="6" w:space="0"/>
            </w:tcBorders>
            <w:noWrap w:val="0"/>
            <w:vAlign w:val="center"/>
          </w:tcPr>
          <w:p w14:paraId="53D9CADE">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50" w:type="dxa"/>
            <w:tcBorders>
              <w:top w:val="single" w:color="000000" w:sz="6" w:space="0"/>
              <w:left w:val="single" w:color="000000" w:sz="6" w:space="0"/>
              <w:bottom w:val="single" w:color="000000" w:sz="6" w:space="0"/>
              <w:right w:val="single" w:color="000000" w:sz="6" w:space="0"/>
            </w:tcBorders>
            <w:noWrap w:val="0"/>
            <w:vAlign w:val="center"/>
          </w:tcPr>
          <w:p w14:paraId="1A88C1FD">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119" w:type="dxa"/>
            <w:tcBorders>
              <w:top w:val="single" w:color="000000" w:sz="6" w:space="0"/>
              <w:left w:val="single" w:color="000000" w:sz="6" w:space="0"/>
              <w:bottom w:val="single" w:color="000000" w:sz="6" w:space="0"/>
              <w:right w:val="single" w:color="000000" w:sz="6" w:space="0"/>
            </w:tcBorders>
            <w:noWrap w:val="0"/>
            <w:vAlign w:val="center"/>
          </w:tcPr>
          <w:p w14:paraId="6BEC85E2">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70" w:type="dxa"/>
            <w:tcBorders>
              <w:top w:val="single" w:color="000000" w:sz="6" w:space="0"/>
              <w:left w:val="single" w:color="000000" w:sz="6" w:space="0"/>
              <w:bottom w:val="single" w:color="000000" w:sz="6" w:space="0"/>
              <w:right w:val="single" w:color="000000" w:sz="8" w:space="0"/>
            </w:tcBorders>
            <w:noWrap w:val="0"/>
            <w:vAlign w:val="center"/>
          </w:tcPr>
          <w:p w14:paraId="26ABCDDD">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r>
      <w:tr w14:paraId="483D2A2E">
        <w:tblPrEx>
          <w:tblCellMar>
            <w:top w:w="0" w:type="dxa"/>
            <w:left w:w="28" w:type="dxa"/>
            <w:bottom w:w="0" w:type="dxa"/>
            <w:right w:w="28" w:type="dxa"/>
          </w:tblCellMar>
        </w:tblPrEx>
        <w:trPr>
          <w:trHeight w:val="23" w:hRule="atLeast"/>
          <w:jc w:val="center"/>
        </w:trPr>
        <w:tc>
          <w:tcPr>
            <w:tcW w:w="576" w:type="dxa"/>
            <w:tcBorders>
              <w:top w:val="single" w:color="000000" w:sz="6" w:space="0"/>
              <w:left w:val="single" w:color="000000" w:sz="8" w:space="0"/>
              <w:bottom w:val="single" w:color="000000" w:sz="6" w:space="0"/>
              <w:right w:val="single" w:color="000000" w:sz="6" w:space="0"/>
            </w:tcBorders>
            <w:noWrap w:val="0"/>
            <w:vAlign w:val="center"/>
          </w:tcPr>
          <w:p w14:paraId="2AF02385">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eastAsia="zh-CN"/>
              </w:rPr>
            </w:pPr>
            <w:r>
              <w:rPr>
                <w:rFonts w:hint="eastAsia" w:ascii="宋体" w:hAnsi="宋体" w:eastAsia="宋体" w:cs="宋体"/>
                <w:color w:val="auto"/>
                <w:kern w:val="0"/>
                <w:sz w:val="24"/>
                <w:szCs w:val="24"/>
                <w:lang w:val="en-US" w:eastAsia="zh-CN"/>
              </w:rPr>
              <w:t>……</w:t>
            </w:r>
          </w:p>
        </w:tc>
        <w:tc>
          <w:tcPr>
            <w:tcW w:w="1643" w:type="dxa"/>
            <w:tcBorders>
              <w:top w:val="single" w:color="000000" w:sz="6" w:space="0"/>
              <w:left w:val="single" w:color="000000" w:sz="6" w:space="0"/>
              <w:bottom w:val="single" w:color="000000" w:sz="6" w:space="0"/>
              <w:right w:val="single" w:color="000000" w:sz="6" w:space="0"/>
            </w:tcBorders>
            <w:noWrap w:val="0"/>
            <w:vAlign w:val="center"/>
          </w:tcPr>
          <w:p w14:paraId="672CD8D2">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57" w:type="dxa"/>
            <w:tcBorders>
              <w:top w:val="single" w:color="000000" w:sz="6" w:space="0"/>
              <w:left w:val="single" w:color="000000" w:sz="6" w:space="0"/>
              <w:bottom w:val="single" w:color="000000" w:sz="6" w:space="0"/>
              <w:right w:val="single" w:color="000000" w:sz="6" w:space="0"/>
            </w:tcBorders>
            <w:noWrap w:val="0"/>
            <w:vAlign w:val="center"/>
          </w:tcPr>
          <w:p w14:paraId="4E79347F">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25" w:type="dxa"/>
            <w:tcBorders>
              <w:top w:val="single" w:color="000000" w:sz="6" w:space="0"/>
              <w:left w:val="single" w:color="000000" w:sz="6" w:space="0"/>
              <w:bottom w:val="single" w:color="000000" w:sz="6" w:space="0"/>
              <w:right w:val="single" w:color="000000" w:sz="6" w:space="0"/>
            </w:tcBorders>
            <w:noWrap w:val="0"/>
            <w:vAlign w:val="center"/>
          </w:tcPr>
          <w:p w14:paraId="15926B49">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50" w:type="dxa"/>
            <w:tcBorders>
              <w:top w:val="single" w:color="000000" w:sz="6" w:space="0"/>
              <w:left w:val="single" w:color="000000" w:sz="6" w:space="0"/>
              <w:bottom w:val="single" w:color="000000" w:sz="6" w:space="0"/>
              <w:right w:val="single" w:color="000000" w:sz="6" w:space="0"/>
            </w:tcBorders>
            <w:noWrap w:val="0"/>
            <w:vAlign w:val="center"/>
          </w:tcPr>
          <w:p w14:paraId="18322B56">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119" w:type="dxa"/>
            <w:tcBorders>
              <w:top w:val="single" w:color="000000" w:sz="6" w:space="0"/>
              <w:left w:val="single" w:color="000000" w:sz="6" w:space="0"/>
              <w:bottom w:val="single" w:color="000000" w:sz="6" w:space="0"/>
              <w:right w:val="single" w:color="000000" w:sz="6" w:space="0"/>
            </w:tcBorders>
            <w:noWrap w:val="0"/>
            <w:vAlign w:val="center"/>
          </w:tcPr>
          <w:p w14:paraId="4A67D80B">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70" w:type="dxa"/>
            <w:tcBorders>
              <w:top w:val="single" w:color="000000" w:sz="6" w:space="0"/>
              <w:left w:val="single" w:color="000000" w:sz="6" w:space="0"/>
              <w:bottom w:val="single" w:color="000000" w:sz="6" w:space="0"/>
              <w:right w:val="single" w:color="000000" w:sz="8" w:space="0"/>
            </w:tcBorders>
            <w:noWrap w:val="0"/>
            <w:vAlign w:val="center"/>
          </w:tcPr>
          <w:p w14:paraId="22B0FA15">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r>
    </w:tbl>
    <w:p w14:paraId="57F4C3C6">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根据上述政府采购合同文件要求，本政府采购合同的总金额为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zh-CN"/>
        </w:rPr>
        <w:t>。</w:t>
      </w:r>
    </w:p>
    <w:p w14:paraId="30020765">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本合同以人民币进行结算，合同总价包括：检测服务费、采购代理服务费及售前、售中及售后服务费（如试剂耗材费、复检费、样品邮费、协助抽样费、人员工资、交通费、验收费、保险费）、税费及不可预见费等全部费用。</w:t>
      </w:r>
      <w:r>
        <w:rPr>
          <w:rFonts w:hint="eastAsia" w:ascii="宋体" w:hAnsi="宋体" w:eastAsia="宋体" w:cs="宋体"/>
          <w:color w:val="auto"/>
          <w:sz w:val="24"/>
          <w:szCs w:val="24"/>
          <w:lang w:val="zh-CN" w:eastAsia="zh-CN"/>
        </w:rPr>
        <w:t>除上述费用外，甲方不再承担任何其他费用。</w:t>
      </w:r>
    </w:p>
    <w:p w14:paraId="25F872C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lang w:val="zh-CN"/>
        </w:rPr>
        <w:t>、</w:t>
      </w:r>
      <w:r>
        <w:rPr>
          <w:rFonts w:hint="eastAsia" w:ascii="宋体" w:hAnsi="宋体" w:eastAsia="宋体" w:cs="宋体"/>
          <w:b/>
          <w:bCs/>
          <w:color w:val="auto"/>
          <w:sz w:val="24"/>
          <w:szCs w:val="24"/>
          <w:lang w:val="en-US" w:eastAsia="zh-CN"/>
        </w:rPr>
        <w:t>服务</w:t>
      </w:r>
      <w:r>
        <w:rPr>
          <w:rFonts w:hint="eastAsia" w:ascii="宋体" w:hAnsi="宋体" w:eastAsia="宋体" w:cs="宋体"/>
          <w:b/>
          <w:bCs/>
          <w:color w:val="auto"/>
          <w:sz w:val="24"/>
          <w:szCs w:val="24"/>
          <w:lang w:val="zh-CN"/>
        </w:rPr>
        <w:t>期限、地点和要求</w:t>
      </w:r>
    </w:p>
    <w:p w14:paraId="1AB4975A">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服务期限：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lang w:val="zh-CN"/>
        </w:rPr>
        <w:t>服务地点：</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zh-CN"/>
        </w:rPr>
        <w:t>。</w:t>
      </w:r>
    </w:p>
    <w:p w14:paraId="7BD26026">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乙方提供不符合磋商、响应文件和本合同规定的产品（</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lang w:val="zh-CN"/>
        </w:rPr>
        <w:t>），甲方有权拒绝接受。</w:t>
      </w:r>
    </w:p>
    <w:p w14:paraId="4DDC4D32">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乙方应将提供产品（</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lang w:val="zh-CN"/>
        </w:rPr>
        <w:t>）的</w:t>
      </w:r>
      <w:r>
        <w:rPr>
          <w:rFonts w:hint="eastAsia" w:ascii="宋体" w:hAnsi="宋体" w:eastAsia="宋体" w:cs="宋体"/>
          <w:color w:val="auto"/>
          <w:sz w:val="24"/>
          <w:szCs w:val="24"/>
          <w:lang w:val="en-US" w:eastAsia="zh-CN"/>
        </w:rPr>
        <w:t>所有材料、成果文件及原始记录完整</w:t>
      </w:r>
      <w:r>
        <w:rPr>
          <w:rFonts w:hint="eastAsia" w:ascii="宋体" w:hAnsi="宋体" w:eastAsia="宋体" w:cs="宋体"/>
          <w:color w:val="auto"/>
          <w:sz w:val="24"/>
          <w:szCs w:val="24"/>
          <w:lang w:val="zh-CN"/>
        </w:rPr>
        <w:t>交付给甲方，如</w:t>
      </w:r>
      <w:r>
        <w:rPr>
          <w:rFonts w:hint="eastAsia" w:ascii="宋体" w:hAnsi="宋体" w:eastAsia="宋体" w:cs="宋体"/>
          <w:color w:val="auto"/>
          <w:sz w:val="24"/>
          <w:szCs w:val="24"/>
          <w:lang w:val="en-US" w:eastAsia="zh-CN"/>
        </w:rPr>
        <w:t>材料</w:t>
      </w:r>
      <w:r>
        <w:rPr>
          <w:rFonts w:hint="eastAsia" w:ascii="宋体" w:hAnsi="宋体" w:eastAsia="宋体" w:cs="宋体"/>
          <w:color w:val="auto"/>
          <w:sz w:val="24"/>
          <w:szCs w:val="24"/>
          <w:lang w:val="zh-CN"/>
        </w:rPr>
        <w:t>有缺失应及时补齐，否则视为逾期交货，</w:t>
      </w:r>
      <w:r>
        <w:rPr>
          <w:rFonts w:hint="eastAsia" w:ascii="宋体" w:hAnsi="宋体" w:eastAsia="宋体" w:cs="宋体"/>
          <w:color w:val="auto"/>
          <w:sz w:val="24"/>
          <w:szCs w:val="24"/>
          <w:lang w:val="en-US" w:eastAsia="zh-CN"/>
        </w:rPr>
        <w:t>甲方有权按合同约定追究乙方逾期交货的违约责任</w:t>
      </w:r>
      <w:r>
        <w:rPr>
          <w:rFonts w:hint="eastAsia" w:ascii="宋体" w:hAnsi="宋体" w:eastAsia="宋体" w:cs="宋体"/>
          <w:color w:val="auto"/>
          <w:sz w:val="24"/>
          <w:szCs w:val="24"/>
          <w:lang w:val="zh-CN"/>
        </w:rPr>
        <w:t>。</w:t>
      </w:r>
    </w:p>
    <w:p w14:paraId="16D0536D">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甲方应当在</w:t>
      </w:r>
      <w:r>
        <w:rPr>
          <w:rFonts w:hint="eastAsia" w:ascii="宋体" w:hAnsi="宋体" w:eastAsia="宋体" w:cs="宋体"/>
          <w:color w:val="auto"/>
          <w:sz w:val="24"/>
          <w:szCs w:val="24"/>
          <w:lang w:val="en-US" w:eastAsia="zh-CN"/>
        </w:rPr>
        <w:t>项目完成后</w:t>
      </w:r>
      <w:r>
        <w:rPr>
          <w:rFonts w:hint="eastAsia" w:ascii="宋体" w:hAnsi="宋体" w:eastAsia="宋体" w:cs="宋体"/>
          <w:color w:val="auto"/>
          <w:sz w:val="24"/>
          <w:szCs w:val="24"/>
          <w:u w:val="single"/>
          <w:lang w:val="en-US" w:eastAsia="zh-CN"/>
        </w:rPr>
        <w:t>20</w:t>
      </w:r>
      <w:r>
        <w:rPr>
          <w:rFonts w:hint="eastAsia" w:ascii="宋体" w:hAnsi="宋体" w:eastAsia="宋体" w:cs="宋体"/>
          <w:color w:val="auto"/>
          <w:sz w:val="24"/>
          <w:szCs w:val="24"/>
          <w:lang w:val="zh-CN"/>
        </w:rPr>
        <w:t>个工作日内进行验收，</w:t>
      </w:r>
      <w:r>
        <w:rPr>
          <w:rFonts w:hint="eastAsia" w:ascii="宋体" w:hAnsi="宋体" w:eastAsia="宋体" w:cs="宋体"/>
          <w:color w:val="auto"/>
          <w:sz w:val="24"/>
          <w:szCs w:val="24"/>
          <w:lang w:val="en-US" w:eastAsia="zh-CN"/>
        </w:rPr>
        <w:t>甲方</w:t>
      </w:r>
      <w:r>
        <w:rPr>
          <w:rFonts w:hint="eastAsia" w:ascii="宋体" w:hAnsi="宋体" w:eastAsia="宋体" w:cs="宋体"/>
          <w:color w:val="auto"/>
          <w:sz w:val="24"/>
          <w:szCs w:val="24"/>
          <w:lang w:val="zh-CN"/>
        </w:rPr>
        <w:t>逾期</w:t>
      </w:r>
      <w:r>
        <w:rPr>
          <w:rFonts w:hint="eastAsia" w:ascii="宋体" w:hAnsi="宋体" w:eastAsia="宋体" w:cs="宋体"/>
          <w:color w:val="auto"/>
          <w:sz w:val="24"/>
          <w:szCs w:val="24"/>
          <w:lang w:val="en-US" w:eastAsia="zh-CN"/>
        </w:rPr>
        <w:t>未</w:t>
      </w:r>
      <w:r>
        <w:rPr>
          <w:rFonts w:hint="eastAsia" w:ascii="宋体" w:hAnsi="宋体" w:eastAsia="宋体" w:cs="宋体"/>
          <w:color w:val="auto"/>
          <w:sz w:val="24"/>
          <w:szCs w:val="24"/>
          <w:lang w:val="zh-CN"/>
        </w:rPr>
        <w:t>验收</w:t>
      </w:r>
      <w:r>
        <w:rPr>
          <w:rFonts w:hint="eastAsia" w:ascii="宋体" w:hAnsi="宋体" w:eastAsia="宋体" w:cs="宋体"/>
          <w:color w:val="auto"/>
          <w:sz w:val="24"/>
          <w:szCs w:val="24"/>
          <w:lang w:val="en-US" w:eastAsia="zh-CN"/>
        </w:rPr>
        <w:t>且未提出书面异议</w:t>
      </w:r>
      <w:r>
        <w:rPr>
          <w:rFonts w:hint="eastAsia" w:ascii="宋体" w:hAnsi="宋体" w:eastAsia="宋体" w:cs="宋体"/>
          <w:color w:val="auto"/>
          <w:sz w:val="24"/>
          <w:szCs w:val="24"/>
          <w:lang w:val="zh-CN"/>
        </w:rPr>
        <w:t>的，乙方</w:t>
      </w:r>
      <w:r>
        <w:rPr>
          <w:rFonts w:hint="eastAsia" w:ascii="宋体" w:hAnsi="宋体" w:eastAsia="宋体" w:cs="宋体"/>
          <w:color w:val="auto"/>
          <w:sz w:val="24"/>
          <w:szCs w:val="24"/>
          <w:lang w:val="en-US" w:eastAsia="zh-CN"/>
        </w:rPr>
        <w:t>可书面催告，经催告30个工作日内甲方仍未验收的，方</w:t>
      </w:r>
      <w:r>
        <w:rPr>
          <w:rFonts w:hint="eastAsia" w:ascii="宋体" w:hAnsi="宋体" w:eastAsia="宋体" w:cs="宋体"/>
          <w:color w:val="auto"/>
          <w:sz w:val="24"/>
          <w:szCs w:val="24"/>
          <w:lang w:val="zh-CN"/>
        </w:rPr>
        <w:t>可视为验收合格。</w:t>
      </w:r>
    </w:p>
    <w:p w14:paraId="3650E06F">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甲方应</w:t>
      </w:r>
      <w:r>
        <w:rPr>
          <w:rFonts w:hint="eastAsia" w:ascii="宋体" w:hAnsi="宋体" w:eastAsia="宋体" w:cs="宋体"/>
          <w:color w:val="auto"/>
          <w:sz w:val="24"/>
          <w:szCs w:val="24"/>
          <w:lang w:val="en-US" w:eastAsia="zh-CN"/>
        </w:rPr>
        <w:t>在验收合格后及时</w:t>
      </w:r>
      <w:r>
        <w:rPr>
          <w:rFonts w:hint="eastAsia" w:ascii="宋体" w:hAnsi="宋体" w:eastAsia="宋体" w:cs="宋体"/>
          <w:color w:val="auto"/>
          <w:sz w:val="24"/>
          <w:szCs w:val="24"/>
          <w:lang w:val="zh-CN"/>
        </w:rPr>
        <w:t>提供该项目验收报告交同级财政监管部门，由财政部门按规定程序抽验后办理资金拨付。</w:t>
      </w:r>
      <w:r>
        <w:rPr>
          <w:rFonts w:hint="eastAsia" w:ascii="宋体" w:hAnsi="宋体" w:eastAsia="宋体" w:cs="宋体"/>
          <w:color w:val="auto"/>
          <w:sz w:val="24"/>
          <w:szCs w:val="24"/>
          <w:lang w:val="en-US" w:eastAsia="zh-CN"/>
        </w:rPr>
        <w:t>若因财政审批流程原因导致付款延迟，不视为甲方违约。</w:t>
      </w:r>
    </w:p>
    <w:p w14:paraId="1C238A0D">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甲方在验收过程中发现乙方有违约问题，</w:t>
      </w:r>
      <w:r>
        <w:rPr>
          <w:rFonts w:hint="eastAsia" w:ascii="宋体" w:hAnsi="宋体" w:eastAsia="宋体" w:cs="宋体"/>
          <w:color w:val="auto"/>
          <w:sz w:val="24"/>
          <w:szCs w:val="24"/>
          <w:lang w:val="zh-CN" w:eastAsia="zh-CN"/>
        </w:rPr>
        <w:t>有权</w:t>
      </w:r>
      <w:r>
        <w:rPr>
          <w:rFonts w:hint="eastAsia" w:ascii="宋体" w:hAnsi="宋体" w:eastAsia="宋体" w:cs="宋体"/>
          <w:color w:val="auto"/>
          <w:sz w:val="24"/>
          <w:szCs w:val="24"/>
          <w:lang w:val="zh-CN"/>
        </w:rPr>
        <w:t>按磋商、响应文件的规定要求乙方及时予以解决，可暂缓资金结算，待违约问题解决后，方可办理资金结算事宜。</w:t>
      </w:r>
    </w:p>
    <w:p w14:paraId="5252BA1D">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乙方向甲方提供产品（</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lang w:val="zh-CN"/>
        </w:rPr>
        <w:t>）相关完税销售发票。</w:t>
      </w:r>
    </w:p>
    <w:p w14:paraId="037D65DA">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8.乙方应熟悉饲料领域相关法律法规、饲料质量安全监督抽查工作相关规定及饲料检测相关标准，确保检验和报告等相关事宜符合相关要求和规定。</w:t>
      </w:r>
    </w:p>
    <w:p w14:paraId="6ACF6685">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9.乙方具有检验本合同项目的合法资质，保证检验结果的准确性和真实性，对检测报告结果的准确性、真实性、合法性、时效性负责，并承担相应的法律后果。</w:t>
      </w:r>
    </w:p>
    <w:p w14:paraId="42139918">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10.乙方有义务对检测人员进行必要的培训并持证上岗，必要时要具备专用的检测工具。</w:t>
      </w:r>
    </w:p>
    <w:p w14:paraId="162EA055">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11.乙方接收样品时应履行严格检查程序，对不符合检验要求的样品应当立即退回抽样人员，并出具书面理由说明。对接收的复检备份样品，应按照相关要求妥善保管。</w:t>
      </w:r>
    </w:p>
    <w:p w14:paraId="4ACF2B4C">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乙方应自收到样品之日起在20个工作日内完成检测工作并出具检测报告。检测结论不合格的，应当在检测结果结论做出2个工作日内报甲方，其余检测结论做出后10个工作日内，将检测结论报送甲方，自检测结论作出之日起3个月内妥善保存检测样品，如未按上述时限提交成果文件，履约保证金不予退还，相应责任由乙方全权承担。</w:t>
      </w:r>
    </w:p>
    <w:p w14:paraId="2534DE49">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13.乙方应无条件配合复检工作。</w:t>
      </w:r>
    </w:p>
    <w:p w14:paraId="7B5AE1FE">
      <w:pPr>
        <w:pStyle w:val="2"/>
        <w:rPr>
          <w:rFonts w:hint="default"/>
          <w:color w:val="auto"/>
          <w:lang w:val="en-US" w:eastAsia="zh-CN"/>
        </w:rPr>
      </w:pPr>
      <w:r>
        <w:rPr>
          <w:rFonts w:hint="eastAsia" w:ascii="宋体" w:hAnsi="宋体" w:eastAsia="宋体" w:cs="宋体"/>
          <w:color w:val="auto"/>
          <w:sz w:val="24"/>
          <w:szCs w:val="24"/>
          <w:lang w:val="en-US" w:eastAsia="zh-CN"/>
        </w:rPr>
        <w:t>14.乙方应熟悉饲料抽样工作，协助开展抽样工作。</w:t>
      </w:r>
    </w:p>
    <w:p w14:paraId="60E3E69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lang w:val="zh-CN"/>
        </w:rPr>
        <w:t>、付款方式</w:t>
      </w:r>
    </w:p>
    <w:p w14:paraId="5420372F">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2" w:firstLineChars="200"/>
        <w:jc w:val="left"/>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kern w:val="0"/>
          <w:sz w:val="24"/>
          <w:szCs w:val="24"/>
          <w:lang w:val="en-US" w:eastAsia="zh-CN" w:bidi="ar"/>
        </w:rPr>
        <w:t>合同签订前，乙方向甲方交纳</w:t>
      </w:r>
      <w:r>
        <w:rPr>
          <w:rFonts w:hint="eastAsia" w:ascii="宋体" w:hAnsi="宋体" w:eastAsia="宋体" w:cs="宋体"/>
          <w:b/>
          <w:bCs/>
          <w:color w:val="auto"/>
          <w:sz w:val="24"/>
          <w:szCs w:val="24"/>
          <w:lang w:val="en-US" w:eastAsia="zh-CN"/>
        </w:rPr>
        <w:t>合同金额</w:t>
      </w:r>
      <w:r>
        <w:rPr>
          <w:rFonts w:hint="eastAsia" w:ascii="宋体" w:hAnsi="宋体" w:eastAsia="宋体" w:cs="宋体"/>
          <w:b/>
          <w:bCs/>
          <w:color w:val="auto"/>
          <w:kern w:val="0"/>
          <w:sz w:val="24"/>
          <w:szCs w:val="24"/>
          <w:lang w:val="en-US" w:eastAsia="zh-CN" w:bidi="ar"/>
        </w:rPr>
        <w:t>的5%作为履约保证金，</w:t>
      </w:r>
      <w:r>
        <w:rPr>
          <w:rFonts w:hint="eastAsia" w:ascii="宋体" w:hAnsi="宋体" w:eastAsia="宋体" w:cs="宋体"/>
          <w:b/>
          <w:bCs/>
          <w:color w:val="auto"/>
          <w:sz w:val="24"/>
          <w:szCs w:val="24"/>
          <w:lang w:val="en-US" w:eastAsia="zh-CN"/>
        </w:rPr>
        <w:t>即人民币（大写）：</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lang w:val="en-US" w:eastAsia="zh-CN"/>
        </w:rPr>
        <w:t>元转入甲方指定账户，待项目验收合格后，甲方以转账方式据实无息退还。</w:t>
      </w:r>
    </w:p>
    <w:p w14:paraId="1CCDCE2D">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2" w:firstLineChars="200"/>
        <w:jc w:val="left"/>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合同签订后，乙方向甲方开具符合甲方要求的发票后，甲方向乙方支付合同金额的20%，即人民币（大写）：</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lang w:val="en-US" w:eastAsia="zh-CN"/>
        </w:rPr>
        <w:t>元，项目检测样品数量完成50%且乙方向甲方提交相关检测结果清单经甲方确认无误后，乙方向甲方开具符合甲方要求的发票后，甲方向乙方支付合同金额的40%，即人民币（大写）：</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lang w:val="en-US" w:eastAsia="zh-CN"/>
        </w:rPr>
        <w:t>元；项目整体验收合格后，乙方向甲方开具符合甲方要求的发票后，甲方向乙方支付合同金额的40%，即人民币（大写）：</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lang w:val="en-US" w:eastAsia="zh-CN"/>
        </w:rPr>
        <w:t>元。</w:t>
      </w:r>
    </w:p>
    <w:p w14:paraId="38DC555D">
      <w:pPr>
        <w:autoSpaceDE w:val="0"/>
        <w:autoSpaceDN w:val="0"/>
        <w:spacing w:line="360" w:lineRule="auto"/>
        <w:ind w:firstLine="0" w:firstLineChars="0"/>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zh-CN" w:eastAsia="zh-CN"/>
        </w:rPr>
        <w:t>五、</w:t>
      </w:r>
      <w:r>
        <w:rPr>
          <w:rFonts w:hint="eastAsia" w:ascii="宋体" w:hAnsi="宋体" w:eastAsia="宋体" w:cs="宋体"/>
          <w:b/>
          <w:bCs/>
          <w:color w:val="auto"/>
          <w:sz w:val="24"/>
          <w:szCs w:val="24"/>
          <w:lang w:val="zh-CN"/>
        </w:rPr>
        <w:t>甲方的权利和义务</w:t>
      </w:r>
    </w:p>
    <w:p w14:paraId="7C59575C">
      <w:pPr>
        <w:autoSpaceDE w:val="0"/>
        <w:autoSpaceDN w:val="0"/>
        <w:spacing w:line="360" w:lineRule="auto"/>
        <w:ind w:firstLine="48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1.签署合同后，甲方应确定项目负责人（或项目联系人），负责与本合同有关的事务。甲方有权对乙方的履约行为进行检查，并及时确认乙方提交的事项。甲方应当配合乙方完成相关项目实施工作。</w:t>
      </w:r>
    </w:p>
    <w:p w14:paraId="3C0686DF">
      <w:pPr>
        <w:autoSpaceDE w:val="0"/>
        <w:autoSpaceDN w:val="0"/>
        <w:spacing w:line="360" w:lineRule="auto"/>
        <w:ind w:firstLine="48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2.甲方有权要求乙方按时提交各阶段有关安排计划，并有权定期核对乙方提供货物数量、规格、质量等内容。甲方有权督促乙方工作并要求乙方更换不符合要求的货物。</w:t>
      </w:r>
    </w:p>
    <w:p w14:paraId="6DE7B9AB">
      <w:pPr>
        <w:autoSpaceDE w:val="0"/>
        <w:autoSpaceDN w:val="0"/>
        <w:spacing w:line="360" w:lineRule="auto"/>
        <w:ind w:firstLine="48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3.甲方有权要求乙方对缺陷部分予以修复，并按合同约定享有货物保修及其他合同约定的权利。</w:t>
      </w:r>
    </w:p>
    <w:p w14:paraId="5C29D7D5">
      <w:pPr>
        <w:autoSpaceDE w:val="0"/>
        <w:autoSpaceDN w:val="0"/>
        <w:spacing w:line="360" w:lineRule="auto"/>
        <w:ind w:firstLine="48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4.甲方应当按照合同约定及时对交付的货物进行验收，甲方逾期未验收且未提出书面异议的，乙方可书面催告，经催告30个工作日内甲方仍未验收的，方可视为验收合格。</w:t>
      </w:r>
    </w:p>
    <w:p w14:paraId="6CD7E059">
      <w:pPr>
        <w:autoSpaceDE w:val="0"/>
        <w:autoSpaceDN w:val="0"/>
        <w:spacing w:line="360" w:lineRule="auto"/>
        <w:ind w:firstLine="48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5.甲方应当根据合同约定及时向乙方支付合同价款，不得以内部人员变更、履行内部付款流程等为由，拒绝或迟延支付。</w:t>
      </w:r>
    </w:p>
    <w:p w14:paraId="2899C461">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6.国家法律法规规定及合同约定应由甲方承担的其他义务和责任。</w:t>
      </w:r>
    </w:p>
    <w:p w14:paraId="50AD91A3">
      <w:pPr>
        <w:autoSpaceDE w:val="0"/>
        <w:autoSpaceDN w:val="0"/>
        <w:spacing w:line="360" w:lineRule="auto"/>
        <w:ind w:left="0" w:leftChars="0" w:firstLine="0" w:firstLineChars="0"/>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zh-CN" w:eastAsia="zh-CN"/>
        </w:rPr>
        <w:t>六、</w:t>
      </w:r>
      <w:r>
        <w:rPr>
          <w:rFonts w:hint="eastAsia" w:ascii="宋体" w:hAnsi="宋体" w:eastAsia="宋体" w:cs="宋体"/>
          <w:b/>
          <w:bCs/>
          <w:color w:val="auto"/>
          <w:sz w:val="24"/>
          <w:szCs w:val="24"/>
          <w:lang w:val="zh-CN"/>
        </w:rPr>
        <w:t>乙方的权利和义务</w:t>
      </w:r>
    </w:p>
    <w:p w14:paraId="64303824">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1.</w:t>
      </w:r>
      <w:r>
        <w:rPr>
          <w:rFonts w:hint="eastAsia" w:ascii="宋体" w:hAnsi="宋体" w:eastAsia="宋体" w:cs="宋体"/>
          <w:color w:val="auto"/>
          <w:sz w:val="24"/>
          <w:szCs w:val="24"/>
          <w:lang w:val="zh-CN"/>
        </w:rPr>
        <w:t>签署合同后，乙方</w:t>
      </w:r>
      <w:r>
        <w:rPr>
          <w:rFonts w:hint="eastAsia" w:ascii="宋体" w:hAnsi="宋体" w:eastAsia="宋体" w:cs="宋体"/>
          <w:color w:val="auto"/>
          <w:sz w:val="24"/>
          <w:szCs w:val="24"/>
          <w:lang w:val="zh-CN" w:eastAsia="zh-CN"/>
        </w:rPr>
        <w:t>应</w:t>
      </w:r>
      <w:r>
        <w:rPr>
          <w:rFonts w:hint="eastAsia" w:ascii="宋体" w:hAnsi="宋体" w:eastAsia="宋体" w:cs="宋体"/>
          <w:color w:val="auto"/>
          <w:sz w:val="24"/>
          <w:szCs w:val="24"/>
          <w:lang w:val="zh-CN"/>
        </w:rPr>
        <w:t>确定</w:t>
      </w:r>
      <w:r>
        <w:rPr>
          <w:rFonts w:hint="eastAsia" w:ascii="宋体" w:hAnsi="宋体" w:eastAsia="宋体" w:cs="宋体"/>
          <w:color w:val="auto"/>
          <w:sz w:val="24"/>
          <w:szCs w:val="24"/>
          <w:lang w:val="zh-CN" w:eastAsia="zh-CN"/>
        </w:rPr>
        <w:t>项目负责人（或项目联系人）</w:t>
      </w:r>
      <w:r>
        <w:rPr>
          <w:rFonts w:hint="eastAsia" w:ascii="宋体" w:hAnsi="宋体" w:eastAsia="宋体" w:cs="宋体"/>
          <w:color w:val="auto"/>
          <w:sz w:val="24"/>
          <w:szCs w:val="24"/>
          <w:lang w:val="zh-CN"/>
        </w:rPr>
        <w:t>，负责与本合同有关的事务。</w:t>
      </w:r>
    </w:p>
    <w:p w14:paraId="06BE90D6">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2.</w:t>
      </w:r>
      <w:r>
        <w:rPr>
          <w:rFonts w:hint="eastAsia" w:ascii="宋体" w:hAnsi="宋体" w:eastAsia="宋体" w:cs="宋体"/>
          <w:color w:val="auto"/>
          <w:sz w:val="24"/>
          <w:szCs w:val="24"/>
          <w:lang w:val="zh-CN"/>
        </w:rPr>
        <w:t>乙方应按照合同要求履约，充分合理安排，确保提供的货物</w:t>
      </w:r>
      <w:r>
        <w:rPr>
          <w:rFonts w:hint="eastAsia" w:ascii="宋体" w:hAnsi="宋体" w:eastAsia="宋体" w:cs="宋体"/>
          <w:color w:val="auto"/>
          <w:sz w:val="24"/>
          <w:szCs w:val="24"/>
          <w:lang w:val="zh-CN" w:eastAsia="zh-CN"/>
        </w:rPr>
        <w:t>及相关</w:t>
      </w:r>
      <w:r>
        <w:rPr>
          <w:rFonts w:hint="eastAsia" w:ascii="宋体" w:hAnsi="宋体" w:eastAsia="宋体" w:cs="宋体"/>
          <w:color w:val="auto"/>
          <w:sz w:val="24"/>
          <w:szCs w:val="24"/>
          <w:lang w:val="zh-CN"/>
        </w:rPr>
        <w:t>服务符合合同</w:t>
      </w:r>
      <w:r>
        <w:rPr>
          <w:rFonts w:hint="eastAsia" w:ascii="宋体" w:hAnsi="宋体" w:eastAsia="宋体" w:cs="宋体"/>
          <w:color w:val="auto"/>
          <w:sz w:val="24"/>
          <w:szCs w:val="24"/>
          <w:lang w:val="zh-CN" w:eastAsia="zh-CN"/>
        </w:rPr>
        <w:t>有关</w:t>
      </w:r>
      <w:r>
        <w:rPr>
          <w:rFonts w:hint="eastAsia" w:ascii="宋体" w:hAnsi="宋体" w:eastAsia="宋体" w:cs="宋体"/>
          <w:color w:val="auto"/>
          <w:sz w:val="24"/>
          <w:szCs w:val="24"/>
          <w:lang w:val="zh-CN"/>
        </w:rPr>
        <w:t>要求。接受项目行业管理部门及政府有关部门的指导，配合甲方的履约检查</w:t>
      </w:r>
      <w:r>
        <w:rPr>
          <w:rFonts w:hint="eastAsia" w:ascii="宋体" w:hAnsi="宋体" w:eastAsia="宋体" w:cs="宋体"/>
          <w:color w:val="auto"/>
          <w:sz w:val="24"/>
          <w:szCs w:val="24"/>
          <w:lang w:val="zh-CN" w:eastAsia="zh-CN"/>
        </w:rPr>
        <w:t>及验收</w:t>
      </w:r>
      <w:r>
        <w:rPr>
          <w:rFonts w:hint="eastAsia" w:ascii="宋体" w:hAnsi="宋体" w:eastAsia="宋体" w:cs="宋体"/>
          <w:color w:val="auto"/>
          <w:sz w:val="24"/>
          <w:szCs w:val="24"/>
          <w:lang w:val="zh-CN"/>
        </w:rPr>
        <w:t>，并负责项目实施过程中的所有协调工作。</w:t>
      </w:r>
    </w:p>
    <w:p w14:paraId="43782F4B">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3.</w:t>
      </w:r>
      <w:r>
        <w:rPr>
          <w:rFonts w:hint="eastAsia" w:ascii="宋体" w:hAnsi="宋体" w:eastAsia="宋体" w:cs="宋体"/>
          <w:color w:val="auto"/>
          <w:sz w:val="24"/>
          <w:szCs w:val="24"/>
          <w:lang w:val="zh-CN"/>
        </w:rPr>
        <w:t>乙方有权根据合同约定向甲方收取</w:t>
      </w:r>
      <w:r>
        <w:rPr>
          <w:rFonts w:hint="eastAsia" w:ascii="宋体" w:hAnsi="宋体" w:eastAsia="宋体" w:cs="宋体"/>
          <w:color w:val="auto"/>
          <w:sz w:val="24"/>
          <w:szCs w:val="24"/>
          <w:lang w:val="zh-CN" w:eastAsia="zh-CN"/>
        </w:rPr>
        <w:t>合同价款</w:t>
      </w:r>
      <w:r>
        <w:rPr>
          <w:rFonts w:hint="eastAsia" w:ascii="宋体" w:hAnsi="宋体" w:eastAsia="宋体" w:cs="宋体"/>
          <w:color w:val="auto"/>
          <w:sz w:val="24"/>
          <w:szCs w:val="24"/>
          <w:lang w:val="zh-CN"/>
        </w:rPr>
        <w:t>。</w:t>
      </w:r>
    </w:p>
    <w:p w14:paraId="1081EDDF">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4.</w:t>
      </w:r>
      <w:r>
        <w:rPr>
          <w:rFonts w:hint="eastAsia" w:ascii="宋体" w:hAnsi="宋体" w:eastAsia="宋体" w:cs="宋体"/>
          <w:color w:val="auto"/>
          <w:sz w:val="24"/>
          <w:szCs w:val="24"/>
          <w:lang w:val="zh-CN"/>
        </w:rPr>
        <w:t>国家法律法规规定</w:t>
      </w:r>
      <w:r>
        <w:rPr>
          <w:rFonts w:hint="eastAsia" w:ascii="宋体" w:hAnsi="宋体" w:eastAsia="宋体" w:cs="宋体"/>
          <w:color w:val="auto"/>
          <w:sz w:val="24"/>
          <w:szCs w:val="24"/>
          <w:lang w:val="zh-CN" w:eastAsia="zh-CN"/>
        </w:rPr>
        <w:t>及合同约定应</w:t>
      </w:r>
      <w:r>
        <w:rPr>
          <w:rFonts w:hint="eastAsia" w:ascii="宋体" w:hAnsi="宋体" w:eastAsia="宋体" w:cs="宋体"/>
          <w:color w:val="auto"/>
          <w:sz w:val="24"/>
          <w:szCs w:val="24"/>
          <w:lang w:val="zh-CN"/>
        </w:rPr>
        <w:t>由乙方承担的其他义务和责任。</w:t>
      </w:r>
    </w:p>
    <w:p w14:paraId="764BAB83">
      <w:pPr>
        <w:autoSpaceDE w:val="0"/>
        <w:autoSpaceDN w:val="0"/>
        <w:spacing w:line="360" w:lineRule="auto"/>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非经甲方事先书面同意，乙方不得将由甲方提供的有关合同或任何合同条文、规格、计划、样品、检测数据及客户信息提供给与履行本合同无关的其他任何人。即使向履行本合同有关的人员提供，也应注意保密并限于履行合同的必需范围。</w:t>
      </w:r>
    </w:p>
    <w:p w14:paraId="4C8E3DDA">
      <w:pPr>
        <w:autoSpaceDE w:val="0"/>
        <w:autoSpaceDN w:val="0"/>
        <w:spacing w:line="360" w:lineRule="auto"/>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被检测单位对不合格样品检验结论提出复检的，乙方应协助配合复检样品的调取工作，并符合复检机构接收样品要求。根据甲方需求，开展不合格样品复检工作，并承担复检相关费用。经复检后发现乙方样品检验结论确有错误的，该样品产生的检测费用、复检费用均由乙方承担。</w:t>
      </w:r>
    </w:p>
    <w:p w14:paraId="0B57B699">
      <w:pPr>
        <w:autoSpaceDE w:val="0"/>
        <w:autoSpaceDN w:val="0"/>
        <w:spacing w:line="360" w:lineRule="auto"/>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7.乙方出具的检验报告存在错误、遗漏、超出时效等问题的，乙方应在甲方要求时限内免费整改，因此产生的费用由乙方承担，因此导致乙方未能按期交付检验报告的，乙方应承担逾期交付的违约责任。</w:t>
      </w:r>
    </w:p>
    <w:p w14:paraId="612405FC">
      <w:pPr>
        <w:autoSpaceDE w:val="0"/>
        <w:autoSpaceDN w:val="0"/>
        <w:spacing w:line="360" w:lineRule="auto"/>
        <w:ind w:firstLine="48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8.乙方对履行本合同事项过程中的人身及财产安全负责，因乙方原因造成甲方、第三方及乙方自身人身、财产损失的，责任由乙方承担，损失由乙方负责赔偿。</w:t>
      </w:r>
    </w:p>
    <w:p w14:paraId="53F55CC9">
      <w:pPr>
        <w:autoSpaceDE w:val="0"/>
        <w:autoSpaceDN w:val="0"/>
        <w:spacing w:line="360" w:lineRule="auto"/>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9.乙方负责对检测的样品进行接收、清点、核对，并按照甲方确定的抽样规则要求进行确认。</w:t>
      </w:r>
    </w:p>
    <w:p w14:paraId="4E1577D5">
      <w:pPr>
        <w:autoSpaceDE w:val="0"/>
        <w:autoSpaceDN w:val="0"/>
        <w:spacing w:line="360" w:lineRule="auto"/>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10.乙方负责妥善保存与检验有关的各类数据、资料、文书、备份样品记录，按要求及时报送，并建立档案备查。</w:t>
      </w:r>
    </w:p>
    <w:p w14:paraId="1A744393">
      <w:pPr>
        <w:autoSpaceDE w:val="0"/>
        <w:autoSpaceDN w:val="0"/>
        <w:spacing w:line="360" w:lineRule="auto"/>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11.乙方应选派称职的执业人员承办甲方委托的业务，并保证其没有应当回避的情况。</w:t>
      </w:r>
    </w:p>
    <w:p w14:paraId="7ABE219C">
      <w:pPr>
        <w:autoSpaceDE w:val="0"/>
        <w:autoSpaceDN w:val="0"/>
        <w:spacing w:line="360" w:lineRule="auto"/>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12.乙方不得转移、隐匿、篡改、毁弃检验资料以及与检验有关的业务、管理等资料。</w:t>
      </w:r>
    </w:p>
    <w:p w14:paraId="229D0AA3">
      <w:pPr>
        <w:autoSpaceDE w:val="0"/>
        <w:autoSpaceDN w:val="0"/>
        <w:spacing w:line="360" w:lineRule="auto"/>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13.乙方应保持执业谨慎，不能隐瞒和保留。遇到重要事项，应与甲方一起研究处理。</w:t>
      </w:r>
    </w:p>
    <w:p w14:paraId="7758F00A">
      <w:pPr>
        <w:autoSpaceDE w:val="0"/>
        <w:autoSpaceDN w:val="0"/>
        <w:spacing w:line="360" w:lineRule="auto"/>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14.甲方有权对乙方提交的检验检测报告提出修改建议，乙方在不违反法律强制性规定的情况下，必须按甲方建议对报告进行修改。</w:t>
      </w:r>
    </w:p>
    <w:p w14:paraId="2D6C4085">
      <w:pPr>
        <w:autoSpaceDE w:val="0"/>
        <w:autoSpaceDN w:val="0"/>
        <w:spacing w:line="360" w:lineRule="auto"/>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15.乙方存在检测错误、数据错误、报告错误、重大过失，出具的成果文件造成甲方或相关利益方损失的，应当承担全部赔偿责任，并应退还甲方支付的全部费用。</w:t>
      </w:r>
    </w:p>
    <w:p w14:paraId="1239F2EF">
      <w:pPr>
        <w:autoSpaceDE w:val="0"/>
        <w:autoSpaceDN w:val="0"/>
        <w:spacing w:line="360" w:lineRule="auto"/>
        <w:ind w:firstLine="48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16.乙方不得将本合同项下的全部或部分工作转包、分包给任何第三方，不得将本合同项下工作肢解后以分包名义变相转包。</w:t>
      </w:r>
    </w:p>
    <w:p w14:paraId="4FADB714">
      <w:pPr>
        <w:autoSpaceDE w:val="0"/>
        <w:autoSpaceDN w:val="0"/>
        <w:spacing w:line="360" w:lineRule="auto"/>
        <w:ind w:left="0" w:leftChars="0" w:firstLine="0" w:firstLineChars="0"/>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zh-CN" w:eastAsia="zh-CN"/>
        </w:rPr>
        <w:t>七</w:t>
      </w:r>
      <w:r>
        <w:rPr>
          <w:rFonts w:hint="eastAsia" w:ascii="宋体" w:hAnsi="宋体" w:eastAsia="宋体" w:cs="宋体"/>
          <w:b/>
          <w:bCs/>
          <w:color w:val="auto"/>
          <w:sz w:val="24"/>
          <w:szCs w:val="24"/>
          <w:lang w:val="zh-CN"/>
        </w:rPr>
        <w:t>、合同的变更、终止与转让</w:t>
      </w:r>
    </w:p>
    <w:p w14:paraId="000FDA17">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1.除《中华人民共和国政府采购法》第</w:t>
      </w:r>
      <w:r>
        <w:rPr>
          <w:rFonts w:hint="eastAsia" w:ascii="宋体" w:hAnsi="宋体" w:eastAsia="宋体" w:cs="宋体"/>
          <w:color w:val="auto"/>
          <w:sz w:val="24"/>
          <w:szCs w:val="24"/>
          <w:lang w:val="en-US" w:eastAsia="zh-CN"/>
        </w:rPr>
        <w:t>五十</w:t>
      </w:r>
      <w:r>
        <w:rPr>
          <w:rFonts w:hint="eastAsia" w:ascii="宋体" w:hAnsi="宋体" w:eastAsia="宋体" w:cs="宋体"/>
          <w:color w:val="auto"/>
          <w:sz w:val="24"/>
          <w:szCs w:val="24"/>
          <w:lang w:val="zh-CN"/>
        </w:rPr>
        <w:t>条规定的情形外，本合同一经签订，甲乙双方不得擅自变更、中止或终止。</w:t>
      </w:r>
    </w:p>
    <w:p w14:paraId="59FA29ED">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2.乙方不得擅自转让其应履行的合同义务。</w:t>
      </w:r>
    </w:p>
    <w:p w14:paraId="61682D3E">
      <w:pPr>
        <w:autoSpaceDE w:val="0"/>
        <w:autoSpaceDN w:val="0"/>
        <w:spacing w:line="360" w:lineRule="auto"/>
        <w:ind w:left="0" w:leftChars="0" w:firstLine="0" w:firstLineChars="0"/>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zh-CN" w:eastAsia="zh-CN"/>
        </w:rPr>
        <w:t>八</w:t>
      </w:r>
      <w:r>
        <w:rPr>
          <w:rFonts w:hint="eastAsia" w:ascii="宋体" w:hAnsi="宋体" w:eastAsia="宋体" w:cs="宋体"/>
          <w:b/>
          <w:bCs/>
          <w:color w:val="auto"/>
          <w:sz w:val="24"/>
          <w:szCs w:val="24"/>
          <w:lang w:val="zh-CN"/>
        </w:rPr>
        <w:t>、违约责任</w:t>
      </w:r>
    </w:p>
    <w:p w14:paraId="084BB11A">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1.乙方所提供的产品规格、技术标准、材料、</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lang w:val="zh-CN"/>
        </w:rPr>
        <w:t>等质量不合格的，应及时更换；更换不及时的，按逾期交货处罚；因质量问题甲方不同意接收的，质保金全额扣除，并由乙方赔偿由此引起的甲方的一切经济损失。</w:t>
      </w:r>
    </w:p>
    <w:p w14:paraId="5EA9939C">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2.乙方提供的货物（</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lang w:val="zh-CN"/>
        </w:rPr>
        <w:t>）如侵犯了第三方权益而引发纠纷或诉讼的，均由乙方负责交涉并承担全部责任。</w:t>
      </w:r>
    </w:p>
    <w:p w14:paraId="1F8CC655">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3.因包装、运输引起的货物损坏，按质量不合格处罚。</w:t>
      </w:r>
    </w:p>
    <w:p w14:paraId="7295DAE4">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4.甲方无故延期接受货物和乙方逾期交货的，每天应向对方偿付未交货物的货款</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‰的违约金，但违约金累计不得超过违约货款的</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val="zh-CN"/>
        </w:rPr>
        <w:t>%，超过</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天对方有权解除合同，违约方承担因此给对方造成的经济损失。</w:t>
      </w:r>
    </w:p>
    <w:p w14:paraId="4D230F8F">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5.乙方未按本合同和</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val="zh-CN"/>
        </w:rPr>
        <w:t>文件中的服务承诺提供售后服务的，乙方应按本合同合计金额的5%向甲方支付违约金。</w:t>
      </w:r>
    </w:p>
    <w:p w14:paraId="05D07FE7">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6.乙方提供的货物在质量保证期内，因设计、工艺或材料的缺陷和其它质量原因造成的问题，由乙方负责，费用从履约保证金中扣除，不足另补。</w:t>
      </w:r>
    </w:p>
    <w:p w14:paraId="46B2CBFC">
      <w:pPr>
        <w:autoSpaceDE w:val="0"/>
        <w:autoSpaceDN w:val="0"/>
        <w:spacing w:line="360" w:lineRule="auto"/>
        <w:ind w:left="0" w:leftChars="0"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val="zh-CN"/>
        </w:rPr>
        <w:t>因乙方原因造成无法提供复检样品或无法复检的，甲方有权不予支付该次检验费用，且甲方有权单方解除本</w:t>
      </w:r>
      <w:r>
        <w:rPr>
          <w:rFonts w:hint="eastAsia" w:ascii="宋体" w:hAnsi="宋体" w:eastAsia="宋体" w:cs="宋体"/>
          <w:color w:val="auto"/>
          <w:sz w:val="24"/>
          <w:szCs w:val="24"/>
          <w:lang w:val="en-US" w:eastAsia="zh-CN"/>
        </w:rPr>
        <w:t>合同</w:t>
      </w:r>
      <w:r>
        <w:rPr>
          <w:rFonts w:hint="eastAsia" w:ascii="宋体" w:hAnsi="宋体" w:eastAsia="宋体" w:cs="宋体"/>
          <w:color w:val="auto"/>
          <w:sz w:val="24"/>
          <w:szCs w:val="24"/>
          <w:lang w:val="zh-CN"/>
        </w:rPr>
        <w:t>，乙方应向甲方支付合同总价款30%的违约金</w:t>
      </w:r>
      <w:r>
        <w:rPr>
          <w:rFonts w:hint="eastAsia" w:ascii="宋体" w:hAnsi="宋体" w:eastAsia="宋体" w:cs="宋体"/>
          <w:color w:val="auto"/>
          <w:sz w:val="24"/>
          <w:szCs w:val="24"/>
          <w:lang w:val="en-US" w:eastAsia="zh-CN"/>
        </w:rPr>
        <w:t>并承担相应的责任</w:t>
      </w:r>
      <w:r>
        <w:rPr>
          <w:rFonts w:hint="eastAsia" w:ascii="宋体" w:hAnsi="宋体" w:eastAsia="宋体" w:cs="宋体"/>
          <w:color w:val="auto"/>
          <w:sz w:val="24"/>
          <w:szCs w:val="24"/>
          <w:lang w:val="zh-CN"/>
        </w:rPr>
        <w:t>，违约金不足以弥补因此给甲方造成的全部经济损失的，乙方应予以补足。</w:t>
      </w:r>
    </w:p>
    <w:p w14:paraId="5A3488B1">
      <w:pPr>
        <w:autoSpaceDE w:val="0"/>
        <w:autoSpaceDN w:val="0"/>
        <w:spacing w:line="360" w:lineRule="auto"/>
        <w:ind w:left="0" w:leftChars="0"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8.乙方违反本合同保密条款约定的，应承担合同总价款20%的违约金，并及时、完整地赔偿给甲方造成的损失。</w:t>
      </w:r>
    </w:p>
    <w:p w14:paraId="21805D2E">
      <w:pPr>
        <w:autoSpaceDE w:val="0"/>
        <w:autoSpaceDN w:val="0"/>
        <w:spacing w:line="360" w:lineRule="auto"/>
        <w:ind w:left="0" w:leftChars="0" w:firstLine="480" w:firstLineChars="200"/>
        <w:rPr>
          <w:rFonts w:hint="eastAsia" w:ascii="宋体" w:hAnsi="宋体" w:eastAsia="宋体" w:cs="宋体"/>
          <w:b/>
          <w:bCs/>
          <w:color w:val="auto"/>
          <w:sz w:val="24"/>
          <w:szCs w:val="24"/>
          <w:lang w:val="zh-CN" w:eastAsia="zh-CN"/>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val="zh-CN"/>
        </w:rPr>
        <w:t>.其它违约行为按违约货款额5%收取违约金并赔偿经济损失。</w:t>
      </w:r>
    </w:p>
    <w:p w14:paraId="00818BE6">
      <w:pPr>
        <w:autoSpaceDE w:val="0"/>
        <w:autoSpaceDN w:val="0"/>
        <w:spacing w:line="360" w:lineRule="auto"/>
        <w:ind w:left="0" w:leftChars="0" w:firstLine="0" w:firstLineChars="0"/>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zh-CN" w:eastAsia="zh-CN"/>
        </w:rPr>
        <w:t>九</w:t>
      </w:r>
      <w:r>
        <w:rPr>
          <w:rFonts w:hint="eastAsia" w:ascii="宋体" w:hAnsi="宋体" w:eastAsia="宋体" w:cs="宋体"/>
          <w:b/>
          <w:bCs/>
          <w:color w:val="auto"/>
          <w:sz w:val="24"/>
          <w:szCs w:val="24"/>
          <w:lang w:val="zh-CN"/>
        </w:rPr>
        <w:t>、不可抗力</w:t>
      </w:r>
    </w:p>
    <w:p w14:paraId="0CF8E21F">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不可抗力使合同的某些内容有变更必要的，双方应通过协商在</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天内达成进一步履行合同的协议，因不可抗力致使合同不能履行的，合同终止。</w:t>
      </w:r>
    </w:p>
    <w:p w14:paraId="498F3944">
      <w:pPr>
        <w:numPr>
          <w:ilvl w:val="0"/>
          <w:numId w:val="0"/>
        </w:numPr>
        <w:autoSpaceDE w:val="0"/>
        <w:autoSpaceDN w:val="0"/>
        <w:spacing w:line="360" w:lineRule="auto"/>
        <w:ind w:left="0" w:leftChars="0" w:firstLine="0" w:firstLineChars="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eastAsia="zh-CN" w:bidi="ar-SA"/>
        </w:rPr>
        <w:t>十、</w:t>
      </w:r>
      <w:r>
        <w:rPr>
          <w:rFonts w:hint="eastAsia" w:ascii="宋体" w:hAnsi="宋体" w:eastAsia="宋体" w:cs="宋体"/>
          <w:b/>
          <w:bCs/>
          <w:color w:val="auto"/>
          <w:sz w:val="24"/>
          <w:szCs w:val="24"/>
          <w:lang w:val="zh-CN"/>
        </w:rPr>
        <w:t>知识产权：</w:t>
      </w:r>
    </w:p>
    <w:p w14:paraId="7AB038DF">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rPr>
        <w:t>.任何第三方提出侵权指控，乙方须与第三方交涉并承担由此产生的一切责任、费用和经济赔偿。</w:t>
      </w:r>
    </w:p>
    <w:p w14:paraId="161DC677">
      <w:pPr>
        <w:autoSpaceDE w:val="0"/>
        <w:autoSpaceDN w:val="0"/>
        <w:spacing w:line="360" w:lineRule="auto"/>
        <w:ind w:firstLine="480"/>
        <w:rPr>
          <w:rFonts w:hint="eastAsia" w:ascii="宋体" w:hAnsi="宋体" w:eastAsia="宋体" w:cs="宋体"/>
          <w:strike/>
          <w:dstrike w:val="0"/>
          <w:color w:val="auto"/>
          <w:sz w:val="24"/>
          <w:szCs w:val="24"/>
          <w:lang w:val="zh-CN"/>
        </w:rPr>
      </w:pPr>
      <w:r>
        <w:rPr>
          <w:rFonts w:hint="eastAsia" w:ascii="宋体" w:hAnsi="宋体" w:eastAsia="宋体" w:cs="宋体"/>
          <w:strike w:val="0"/>
          <w:dstrike w:val="0"/>
          <w:color w:val="auto"/>
          <w:sz w:val="24"/>
          <w:szCs w:val="24"/>
          <w:lang w:val="en-US" w:eastAsia="zh-CN"/>
        </w:rPr>
        <w:t>2</w:t>
      </w:r>
      <w:r>
        <w:rPr>
          <w:rFonts w:hint="eastAsia" w:ascii="宋体" w:hAnsi="宋体" w:eastAsia="宋体" w:cs="宋体"/>
          <w:strike w:val="0"/>
          <w:dstrike w:val="0"/>
          <w:color w:val="auto"/>
          <w:sz w:val="24"/>
          <w:szCs w:val="24"/>
          <w:lang w:val="zh-CN"/>
        </w:rPr>
        <w:t>.双方应共同遵守国家有关版权、专利、商标等知识产权方面的法律规定，相互尊重对方的知识产权，对本合同内容、对方的技术秘密和商业秘密负有保密责任。如有违反，违约方负相关法律责任。</w:t>
      </w:r>
    </w:p>
    <w:p w14:paraId="58EDA964">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.在本合同生效时已经存在并为各方合法拥有或使用的所有技术、资料和信息的知识产权，仍应属于其各自的原权利人所有或享有，另有约定的除外。</w:t>
      </w:r>
    </w:p>
    <w:p w14:paraId="327D9DEE">
      <w:pPr>
        <w:autoSpaceDE w:val="0"/>
        <w:autoSpaceDN w:val="0"/>
        <w:spacing w:line="360" w:lineRule="auto"/>
        <w:ind w:left="0" w:leftChars="0" w:firstLine="0" w:firstLineChars="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eastAsia="zh-CN"/>
        </w:rPr>
        <w:t>十一</w:t>
      </w:r>
      <w:r>
        <w:rPr>
          <w:rFonts w:hint="eastAsia" w:ascii="宋体" w:hAnsi="宋体" w:eastAsia="宋体" w:cs="宋体"/>
          <w:b/>
          <w:bCs/>
          <w:color w:val="auto"/>
          <w:sz w:val="24"/>
          <w:szCs w:val="24"/>
          <w:lang w:val="zh-CN"/>
        </w:rPr>
        <w:t>、其他约定：</w:t>
      </w:r>
    </w:p>
    <w:p w14:paraId="0C4603F3">
      <w:pPr>
        <w:pStyle w:val="12"/>
        <w:rPr>
          <w:rFonts w:hint="eastAsia" w:ascii="宋体" w:hAnsi="宋体" w:eastAsia="宋体" w:cs="宋体"/>
          <w:color w:val="auto"/>
        </w:rPr>
      </w:pPr>
      <w:r>
        <w:rPr>
          <w:rFonts w:hint="eastAsia" w:ascii="宋体" w:hAnsi="宋体" w:eastAsia="宋体" w:cs="宋体"/>
          <w:b/>
          <w:bCs/>
          <w:color w:val="auto"/>
          <w:sz w:val="24"/>
          <w:szCs w:val="24"/>
        </w:rPr>
        <w:t>验收方案：</w:t>
      </w:r>
      <w:r>
        <w:rPr>
          <w:rFonts w:hint="eastAsia" w:ascii="宋体" w:hAnsi="宋体" w:eastAsia="宋体" w:cs="宋体"/>
          <w:b/>
          <w:bCs/>
          <w:color w:val="auto"/>
          <w:sz w:val="24"/>
          <w:szCs w:val="24"/>
          <w:lang w:val="en-US" w:eastAsia="zh-CN"/>
        </w:rPr>
        <w:t>由甲方组织相关专业技术人员，对项目进行全面验收。</w:t>
      </w:r>
    </w:p>
    <w:p w14:paraId="6F0ED5FF">
      <w:pPr>
        <w:autoSpaceDE w:val="0"/>
        <w:autoSpaceDN w:val="0"/>
        <w:spacing w:line="360" w:lineRule="auto"/>
        <w:ind w:left="0" w:leftChars="0" w:firstLine="0" w:firstLineChars="0"/>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zh-CN"/>
        </w:rPr>
        <w:t>十</w:t>
      </w:r>
      <w:r>
        <w:rPr>
          <w:rFonts w:hint="eastAsia" w:ascii="宋体" w:hAnsi="宋体" w:eastAsia="宋体" w:cs="宋体"/>
          <w:b/>
          <w:bCs/>
          <w:color w:val="auto"/>
          <w:sz w:val="24"/>
          <w:szCs w:val="24"/>
          <w:lang w:val="zh-CN" w:eastAsia="zh-CN"/>
        </w:rPr>
        <w:t>二</w:t>
      </w:r>
      <w:r>
        <w:rPr>
          <w:rFonts w:hint="eastAsia" w:ascii="宋体" w:hAnsi="宋体" w:eastAsia="宋体" w:cs="宋体"/>
          <w:b/>
          <w:bCs/>
          <w:color w:val="auto"/>
          <w:sz w:val="24"/>
          <w:szCs w:val="24"/>
          <w:lang w:val="zh-CN"/>
        </w:rPr>
        <w:t>、合同争议解决</w:t>
      </w:r>
    </w:p>
    <w:p w14:paraId="5EC96E5F">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1.因产品质量问题发生争议的，应邀请国家</w:t>
      </w:r>
      <w:r>
        <w:rPr>
          <w:rFonts w:hint="eastAsia" w:ascii="宋体" w:hAnsi="宋体" w:eastAsia="宋体" w:cs="宋体"/>
          <w:color w:val="auto"/>
          <w:sz w:val="24"/>
          <w:szCs w:val="24"/>
          <w:lang w:val="zh-CN" w:eastAsia="zh-CN"/>
        </w:rPr>
        <w:t>或双方</w:t>
      </w:r>
      <w:r>
        <w:rPr>
          <w:rFonts w:hint="eastAsia" w:ascii="宋体" w:hAnsi="宋体" w:eastAsia="宋体" w:cs="宋体"/>
          <w:color w:val="auto"/>
          <w:sz w:val="24"/>
          <w:szCs w:val="24"/>
          <w:lang w:val="zh-CN"/>
        </w:rPr>
        <w:t>认可的质量检测机构进行鉴定。产品符合标准的，鉴定费由甲方承担；产品不符合标准的，鉴定费由乙方承担。</w:t>
      </w:r>
    </w:p>
    <w:p w14:paraId="4779CE27">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2.因履行本合同引起的或与本合同有关的争议，甲乙双方应首先通过友好协商解决，如果协商不能解决，可向甲方所在地仲裁委员会申请仲裁或向甲方所在地</w:t>
      </w:r>
      <w:r>
        <w:rPr>
          <w:rFonts w:hint="eastAsia" w:ascii="宋体" w:hAnsi="宋体" w:eastAsia="宋体" w:cs="宋体"/>
          <w:color w:val="auto"/>
          <w:sz w:val="24"/>
          <w:szCs w:val="24"/>
          <w:lang w:val="en-US" w:eastAsia="zh-CN"/>
        </w:rPr>
        <w:t>有管辖权的</w:t>
      </w:r>
      <w:r>
        <w:rPr>
          <w:rFonts w:hint="eastAsia" w:ascii="宋体" w:hAnsi="宋体" w:eastAsia="宋体" w:cs="宋体"/>
          <w:color w:val="auto"/>
          <w:sz w:val="24"/>
          <w:szCs w:val="24"/>
          <w:lang w:val="zh-CN"/>
        </w:rPr>
        <w:t>人民法院提起诉讼。</w:t>
      </w:r>
    </w:p>
    <w:p w14:paraId="304E9DD4">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3.诉讼期间，本合同继续履行。</w:t>
      </w:r>
    </w:p>
    <w:p w14:paraId="0F19A316">
      <w:pPr>
        <w:autoSpaceDE w:val="0"/>
        <w:autoSpaceDN w:val="0"/>
        <w:spacing w:line="360" w:lineRule="auto"/>
        <w:ind w:left="0" w:leftChars="0" w:firstLine="0" w:firstLineChars="0"/>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zh-CN"/>
        </w:rPr>
        <w:t>十</w:t>
      </w:r>
      <w:r>
        <w:rPr>
          <w:rFonts w:hint="eastAsia" w:ascii="宋体" w:hAnsi="宋体" w:eastAsia="宋体" w:cs="宋体"/>
          <w:b/>
          <w:bCs/>
          <w:color w:val="auto"/>
          <w:sz w:val="24"/>
          <w:szCs w:val="24"/>
          <w:lang w:val="zh-CN" w:eastAsia="zh-CN"/>
        </w:rPr>
        <w:t>三</w:t>
      </w:r>
      <w:r>
        <w:rPr>
          <w:rFonts w:hint="eastAsia" w:ascii="宋体" w:hAnsi="宋体" w:eastAsia="宋体" w:cs="宋体"/>
          <w:b/>
          <w:bCs/>
          <w:color w:val="auto"/>
          <w:sz w:val="24"/>
          <w:szCs w:val="24"/>
          <w:lang w:val="zh-CN"/>
        </w:rPr>
        <w:t>、合同生效及其它：</w:t>
      </w:r>
    </w:p>
    <w:p w14:paraId="74E88DC0">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1.本合同一式</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份，经双方</w:t>
      </w:r>
      <w:r>
        <w:rPr>
          <w:rFonts w:hint="eastAsia" w:ascii="宋体" w:hAnsi="宋体" w:eastAsia="宋体" w:cs="宋体"/>
          <w:color w:val="auto"/>
          <w:sz w:val="24"/>
          <w:szCs w:val="24"/>
          <w:lang w:val="zh-CN" w:eastAsia="zh-CN"/>
        </w:rPr>
        <w:t>法定代表人或</w:t>
      </w:r>
      <w:r>
        <w:rPr>
          <w:rFonts w:hint="eastAsia" w:ascii="宋体" w:hAnsi="宋体" w:eastAsia="宋体" w:cs="宋体"/>
          <w:color w:val="auto"/>
          <w:sz w:val="24"/>
          <w:szCs w:val="24"/>
          <w:lang w:val="zh-CN"/>
        </w:rPr>
        <w:t>委托代理人签字，并加盖公章即为生效。</w:t>
      </w:r>
    </w:p>
    <w:p w14:paraId="0D913307">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2.本合同未尽事宜，按民法典有关规定处理。</w:t>
      </w:r>
    </w:p>
    <w:p w14:paraId="3B32015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甲方（盖章）：</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乙方（盖章）：</w:t>
      </w:r>
    </w:p>
    <w:p w14:paraId="42A3096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法定代表人或委托代理人</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法定代表人或委托代理人</w:t>
      </w:r>
      <w:r>
        <w:rPr>
          <w:rFonts w:hint="eastAsia" w:ascii="宋体" w:hAnsi="宋体" w:eastAsia="宋体" w:cs="宋体"/>
          <w:color w:val="auto"/>
          <w:sz w:val="24"/>
          <w:szCs w:val="24"/>
        </w:rPr>
        <w:t>：</w:t>
      </w:r>
    </w:p>
    <w:p w14:paraId="1C20831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开户银行：</w:t>
      </w:r>
    </w:p>
    <w:p w14:paraId="5F91F01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账号：</w:t>
      </w:r>
    </w:p>
    <w:p w14:paraId="42FB5DC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地址：</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地址：</w:t>
      </w:r>
    </w:p>
    <w:p w14:paraId="31D17BD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联系电话：</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联系电话：</w:t>
      </w:r>
    </w:p>
    <w:p w14:paraId="3FF8BA68">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签约时间：</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年</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月</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日</w:t>
      </w:r>
    </w:p>
    <w:p w14:paraId="1F6B736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p>
    <w:p w14:paraId="5581074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采购代理机构：青海鼎钊招标代理有限公司</w:t>
      </w:r>
    </w:p>
    <w:p w14:paraId="13A9D29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负责人或经办人：</w:t>
      </w:r>
    </w:p>
    <w:p w14:paraId="528FC0E3">
      <w:pPr>
        <w:wordWrap w:val="0"/>
        <w:spacing w:line="360" w:lineRule="auto"/>
        <w:jc w:val="both"/>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时间：</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年</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月</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日</w:t>
      </w:r>
    </w:p>
    <w:p w14:paraId="577453A7">
      <w:pPr>
        <w:wordWrap w:val="0"/>
        <w:spacing w:line="360" w:lineRule="auto"/>
        <w:jc w:val="both"/>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br w:type="page"/>
      </w:r>
    </w:p>
    <w:p w14:paraId="2735EAE4">
      <w:pPr>
        <w:spacing w:line="360" w:lineRule="auto"/>
        <w:ind w:firstLine="0" w:firstLineChars="0"/>
        <w:rPr>
          <w:rFonts w:hint="eastAsia" w:ascii="宋体" w:hAnsi="宋体" w:eastAsia="宋体" w:cs="宋体"/>
          <w:color w:val="auto"/>
          <w:sz w:val="24"/>
          <w:szCs w:val="24"/>
        </w:rPr>
      </w:pPr>
      <w:bookmarkStart w:id="175" w:name="_Toc7874"/>
    </w:p>
    <w:p w14:paraId="728F0B00">
      <w:pPr>
        <w:spacing w:line="360" w:lineRule="auto"/>
        <w:ind w:firstLine="0" w:firstLineChars="0"/>
        <w:rPr>
          <w:rFonts w:hint="eastAsia" w:ascii="宋体" w:hAnsi="宋体" w:eastAsia="宋体" w:cs="宋体"/>
          <w:color w:val="auto"/>
          <w:sz w:val="24"/>
          <w:szCs w:val="24"/>
        </w:rPr>
      </w:pPr>
    </w:p>
    <w:p w14:paraId="5549D5AF">
      <w:pPr>
        <w:spacing w:line="360" w:lineRule="auto"/>
        <w:ind w:firstLine="0" w:firstLineChars="0"/>
        <w:rPr>
          <w:rFonts w:hint="eastAsia" w:ascii="宋体" w:hAnsi="宋体" w:eastAsia="宋体" w:cs="宋体"/>
          <w:color w:val="auto"/>
          <w:sz w:val="24"/>
          <w:szCs w:val="24"/>
        </w:rPr>
      </w:pPr>
    </w:p>
    <w:p w14:paraId="46648648">
      <w:pPr>
        <w:spacing w:line="360" w:lineRule="auto"/>
        <w:ind w:firstLine="0" w:firstLineChars="0"/>
        <w:rPr>
          <w:rFonts w:hint="eastAsia" w:ascii="宋体" w:hAnsi="宋体" w:eastAsia="宋体" w:cs="宋体"/>
          <w:color w:val="auto"/>
          <w:sz w:val="24"/>
          <w:szCs w:val="24"/>
        </w:rPr>
      </w:pPr>
    </w:p>
    <w:p w14:paraId="5C26F91A">
      <w:pPr>
        <w:pStyle w:val="3"/>
        <w:bidi w:val="0"/>
        <w:jc w:val="center"/>
        <w:rPr>
          <w:rFonts w:hint="eastAsia" w:ascii="宋体" w:hAnsi="宋体" w:eastAsia="宋体" w:cs="宋体"/>
          <w:color w:val="auto"/>
        </w:rPr>
      </w:pPr>
      <w:r>
        <w:rPr>
          <w:rFonts w:hint="eastAsia" w:ascii="宋体" w:hAnsi="宋体" w:eastAsia="宋体" w:cs="宋体"/>
          <w:b/>
          <w:color w:val="auto"/>
          <w:kern w:val="28"/>
          <w:sz w:val="36"/>
          <w:szCs w:val="20"/>
          <w:lang w:val="en-US" w:eastAsia="zh-CN" w:bidi="ar-SA"/>
        </w:rPr>
        <w:t>第五部分  响应文件格式</w:t>
      </w:r>
      <w:bookmarkEnd w:id="175"/>
    </w:p>
    <w:p w14:paraId="2BB210C4">
      <w:pPr>
        <w:widowControl/>
        <w:snapToGrid w:val="0"/>
        <w:spacing w:line="360" w:lineRule="auto"/>
        <w:ind w:firstLine="0" w:firstLineChars="0"/>
        <w:outlineLvl w:val="1"/>
        <w:rPr>
          <w:rFonts w:hint="eastAsia" w:ascii="宋体" w:hAnsi="宋体" w:eastAsia="宋体" w:cs="宋体"/>
          <w:b/>
          <w:color w:val="auto"/>
          <w:kern w:val="28"/>
          <w:sz w:val="36"/>
          <w:szCs w:val="20"/>
        </w:rPr>
      </w:pPr>
      <w:bookmarkStart w:id="176" w:name="_Toc12676"/>
      <w:bookmarkStart w:id="177" w:name="_Toc16431"/>
      <w:bookmarkStart w:id="178" w:name="_Toc9848"/>
      <w:r>
        <w:rPr>
          <w:rFonts w:hint="eastAsia" w:ascii="宋体" w:hAnsi="宋体" w:eastAsia="宋体" w:cs="宋体"/>
          <w:b/>
          <w:color w:val="auto"/>
          <w:sz w:val="28"/>
          <w:szCs w:val="28"/>
        </w:rPr>
        <w:t>附件1：响应文件封面</w:t>
      </w:r>
      <w:bookmarkEnd w:id="176"/>
      <w:bookmarkEnd w:id="177"/>
      <w:bookmarkEnd w:id="178"/>
    </w:p>
    <w:p w14:paraId="1F438957">
      <w:pPr>
        <w:spacing w:line="360" w:lineRule="auto"/>
        <w:ind w:firstLine="0" w:firstLineChars="0"/>
        <w:rPr>
          <w:rFonts w:hint="eastAsia" w:ascii="宋体" w:hAnsi="宋体" w:eastAsia="宋体" w:cs="宋体"/>
          <w:b/>
          <w:color w:val="auto"/>
          <w:sz w:val="36"/>
          <w:szCs w:val="36"/>
        </w:rPr>
      </w:pPr>
    </w:p>
    <w:p w14:paraId="672EA196">
      <w:pPr>
        <w:spacing w:line="360" w:lineRule="auto"/>
        <w:ind w:firstLine="0" w:firstLineChars="0"/>
        <w:rPr>
          <w:rFonts w:hint="eastAsia" w:ascii="宋体" w:hAnsi="宋体" w:eastAsia="宋体" w:cs="宋体"/>
          <w:b/>
          <w:color w:val="auto"/>
          <w:sz w:val="36"/>
          <w:szCs w:val="36"/>
        </w:rPr>
      </w:pPr>
    </w:p>
    <w:p w14:paraId="6471A4CC">
      <w:pPr>
        <w:spacing w:line="360" w:lineRule="auto"/>
        <w:ind w:firstLine="0" w:firstLineChars="0"/>
        <w:rPr>
          <w:rFonts w:hint="eastAsia" w:ascii="宋体" w:hAnsi="宋体" w:eastAsia="宋体" w:cs="宋体"/>
          <w:b/>
          <w:color w:val="auto"/>
          <w:sz w:val="36"/>
          <w:szCs w:val="36"/>
        </w:rPr>
      </w:pPr>
    </w:p>
    <w:p w14:paraId="1FF9EE03">
      <w:pPr>
        <w:spacing w:line="360" w:lineRule="auto"/>
        <w:ind w:firstLine="2364" w:firstLineChars="327"/>
        <w:rPr>
          <w:rFonts w:hint="eastAsia" w:ascii="宋体" w:hAnsi="宋体" w:eastAsia="宋体" w:cs="宋体"/>
          <w:b/>
          <w:color w:val="auto"/>
          <w:sz w:val="72"/>
          <w:szCs w:val="72"/>
        </w:rPr>
      </w:pPr>
      <w:r>
        <w:rPr>
          <w:rFonts w:hint="eastAsia" w:ascii="宋体" w:hAnsi="宋体" w:eastAsia="宋体" w:cs="宋体"/>
          <w:b/>
          <w:color w:val="auto"/>
          <w:sz w:val="72"/>
          <w:szCs w:val="72"/>
        </w:rPr>
        <w:t>响应文件</w:t>
      </w:r>
    </w:p>
    <w:p w14:paraId="2093A0A2">
      <w:pPr>
        <w:adjustRightInd w:val="0"/>
        <w:spacing w:line="360" w:lineRule="auto"/>
        <w:ind w:firstLine="0" w:firstLineChars="0"/>
        <w:textAlignment w:val="baseline"/>
        <w:rPr>
          <w:rFonts w:hint="eastAsia" w:ascii="宋体" w:hAnsi="宋体" w:eastAsia="宋体" w:cs="宋体"/>
          <w:b/>
          <w:bCs/>
          <w:color w:val="auto"/>
          <w:sz w:val="36"/>
          <w:szCs w:val="36"/>
        </w:rPr>
      </w:pPr>
    </w:p>
    <w:p w14:paraId="4BFBCCBE">
      <w:pPr>
        <w:adjustRightInd w:val="0"/>
        <w:spacing w:line="360" w:lineRule="auto"/>
        <w:ind w:firstLine="0" w:firstLineChars="0"/>
        <w:textAlignment w:val="baseline"/>
        <w:rPr>
          <w:rFonts w:hint="eastAsia" w:ascii="宋体" w:hAnsi="宋体" w:eastAsia="宋体" w:cs="宋体"/>
          <w:b/>
          <w:color w:val="auto"/>
          <w:sz w:val="36"/>
          <w:szCs w:val="36"/>
        </w:rPr>
      </w:pPr>
      <w:r>
        <w:rPr>
          <w:rFonts w:hint="eastAsia" w:ascii="宋体" w:hAnsi="宋体" w:eastAsia="宋体" w:cs="宋体"/>
          <w:b/>
          <w:bCs/>
          <w:color w:val="auto"/>
          <w:sz w:val="36"/>
          <w:szCs w:val="36"/>
        </w:rPr>
        <w:t>采购项目编号</w:t>
      </w:r>
      <w:r>
        <w:rPr>
          <w:rFonts w:hint="eastAsia" w:ascii="宋体" w:hAnsi="宋体" w:eastAsia="宋体" w:cs="宋体"/>
          <w:b/>
          <w:color w:val="auto"/>
          <w:sz w:val="36"/>
          <w:szCs w:val="36"/>
        </w:rPr>
        <w:t>：</w:t>
      </w:r>
    </w:p>
    <w:p w14:paraId="6745ABDA">
      <w:pPr>
        <w:adjustRightInd w:val="0"/>
        <w:spacing w:line="360" w:lineRule="auto"/>
        <w:ind w:left="2530" w:hanging="2530" w:hangingChars="700"/>
        <w:textAlignment w:val="baseline"/>
        <w:rPr>
          <w:rFonts w:hint="eastAsia" w:ascii="宋体" w:hAnsi="宋体" w:eastAsia="宋体" w:cs="宋体"/>
          <w:b/>
          <w:bCs/>
          <w:color w:val="auto"/>
          <w:sz w:val="36"/>
          <w:szCs w:val="36"/>
        </w:rPr>
      </w:pPr>
      <w:r>
        <w:rPr>
          <w:rFonts w:hint="eastAsia" w:ascii="宋体" w:hAnsi="宋体" w:eastAsia="宋体" w:cs="宋体"/>
          <w:b/>
          <w:bCs/>
          <w:color w:val="auto"/>
          <w:sz w:val="36"/>
          <w:szCs w:val="36"/>
        </w:rPr>
        <w:t>采购项目名称：</w:t>
      </w:r>
    </w:p>
    <w:p w14:paraId="55177A64">
      <w:pPr>
        <w:adjustRightInd w:val="0"/>
        <w:spacing w:line="360" w:lineRule="auto"/>
        <w:ind w:firstLine="0" w:firstLineChars="0"/>
        <w:textAlignment w:val="baseline"/>
        <w:rPr>
          <w:rFonts w:hint="eastAsia" w:ascii="宋体" w:hAnsi="宋体" w:eastAsia="宋体" w:cs="宋体"/>
          <w:b/>
          <w:color w:val="auto"/>
          <w:sz w:val="36"/>
          <w:szCs w:val="36"/>
        </w:rPr>
      </w:pPr>
      <w:r>
        <w:rPr>
          <w:rFonts w:hint="eastAsia" w:ascii="宋体" w:hAnsi="宋体" w:eastAsia="宋体" w:cs="宋体"/>
          <w:b/>
          <w:bCs/>
          <w:color w:val="auto"/>
          <w:sz w:val="36"/>
          <w:szCs w:val="36"/>
        </w:rPr>
        <w:t>供应商名称</w:t>
      </w:r>
      <w:r>
        <w:rPr>
          <w:rFonts w:hint="eastAsia" w:ascii="宋体" w:hAnsi="宋体" w:eastAsia="宋体" w:cs="宋体"/>
          <w:b/>
          <w:color w:val="auto"/>
          <w:sz w:val="36"/>
          <w:szCs w:val="36"/>
        </w:rPr>
        <w:t>：</w:t>
      </w:r>
    </w:p>
    <w:p w14:paraId="35898CC6">
      <w:pPr>
        <w:adjustRightInd w:val="0"/>
        <w:spacing w:line="360" w:lineRule="auto"/>
        <w:ind w:firstLine="0" w:firstLineChars="0"/>
        <w:textAlignment w:val="baseline"/>
        <w:rPr>
          <w:rFonts w:hint="default"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所投包号：</w:t>
      </w:r>
    </w:p>
    <w:p w14:paraId="2A01528C">
      <w:pPr>
        <w:adjustRightInd w:val="0"/>
        <w:spacing w:line="360" w:lineRule="auto"/>
        <w:ind w:firstLine="0" w:firstLineChars="0"/>
        <w:textAlignment w:val="baseline"/>
        <w:rPr>
          <w:rFonts w:hint="eastAsia" w:ascii="宋体" w:hAnsi="宋体" w:eastAsia="宋体" w:cs="宋体"/>
          <w:b/>
          <w:color w:val="auto"/>
          <w:sz w:val="36"/>
          <w:szCs w:val="36"/>
        </w:rPr>
      </w:pPr>
    </w:p>
    <w:p w14:paraId="2DFCF542">
      <w:pPr>
        <w:adjustRightInd w:val="0"/>
        <w:spacing w:line="360" w:lineRule="auto"/>
        <w:ind w:firstLine="0" w:firstLineChars="0"/>
        <w:textAlignment w:val="baseline"/>
        <w:rPr>
          <w:rFonts w:hint="eastAsia" w:ascii="宋体" w:hAnsi="宋体" w:eastAsia="宋体" w:cs="宋体"/>
          <w:b/>
          <w:color w:val="auto"/>
          <w:sz w:val="36"/>
          <w:szCs w:val="36"/>
        </w:rPr>
      </w:pPr>
    </w:p>
    <w:p w14:paraId="3C837FB7">
      <w:pPr>
        <w:spacing w:line="360" w:lineRule="auto"/>
        <w:ind w:firstLine="643"/>
        <w:jc w:val="center"/>
        <w:rPr>
          <w:rFonts w:hint="eastAsia" w:ascii="宋体" w:hAnsi="宋体" w:eastAsia="宋体" w:cs="宋体"/>
          <w:b/>
          <w:color w:val="auto"/>
          <w:sz w:val="32"/>
        </w:rPr>
      </w:pPr>
      <w:r>
        <w:rPr>
          <w:rFonts w:hint="eastAsia" w:ascii="宋体" w:hAnsi="宋体" w:eastAsia="宋体" w:cs="宋体"/>
          <w:b/>
          <w:color w:val="auto"/>
          <w:sz w:val="32"/>
        </w:rPr>
        <w:t>供应商：</w:t>
      </w:r>
      <w:r>
        <w:rPr>
          <w:rFonts w:hint="eastAsia" w:ascii="宋体" w:hAnsi="宋体" w:eastAsia="宋体" w:cs="宋体"/>
          <w:b/>
          <w:color w:val="auto"/>
          <w:sz w:val="32"/>
          <w:u w:val="single"/>
          <w:lang w:val="en-US" w:eastAsia="zh-CN"/>
        </w:rPr>
        <w:t xml:space="preserve">            </w:t>
      </w:r>
      <w:r>
        <w:rPr>
          <w:rFonts w:hint="eastAsia" w:ascii="宋体" w:hAnsi="宋体" w:eastAsia="宋体" w:cs="宋体"/>
          <w:b/>
          <w:color w:val="auto"/>
          <w:sz w:val="32"/>
        </w:rPr>
        <w:t>（公章）</w:t>
      </w:r>
    </w:p>
    <w:p w14:paraId="08B36E8D">
      <w:pPr>
        <w:spacing w:line="360" w:lineRule="auto"/>
        <w:ind w:firstLine="643"/>
        <w:jc w:val="center"/>
        <w:rPr>
          <w:rFonts w:hint="eastAsia" w:ascii="宋体" w:hAnsi="宋体" w:eastAsia="宋体" w:cs="宋体"/>
          <w:b/>
          <w:color w:val="auto"/>
          <w:sz w:val="32"/>
        </w:rPr>
      </w:pPr>
      <w:r>
        <w:rPr>
          <w:rFonts w:hint="eastAsia" w:ascii="宋体" w:hAnsi="宋体" w:eastAsia="宋体" w:cs="宋体"/>
          <w:b/>
          <w:color w:val="auto"/>
          <w:sz w:val="32"/>
        </w:rPr>
        <w:t>法定代表人或委托代理人：</w:t>
      </w:r>
      <w:r>
        <w:rPr>
          <w:rFonts w:hint="eastAsia" w:ascii="宋体" w:hAnsi="宋体" w:eastAsia="宋体" w:cs="宋体"/>
          <w:b/>
          <w:color w:val="auto"/>
          <w:sz w:val="32"/>
          <w:u w:val="single"/>
          <w:lang w:val="en-US" w:eastAsia="zh-CN"/>
        </w:rPr>
        <w:t xml:space="preserve">          </w:t>
      </w:r>
      <w:r>
        <w:rPr>
          <w:rFonts w:hint="eastAsia" w:ascii="宋体" w:hAnsi="宋体" w:eastAsia="宋体" w:cs="宋体"/>
          <w:b/>
          <w:color w:val="auto"/>
          <w:sz w:val="32"/>
        </w:rPr>
        <w:t>（签字或盖章）</w:t>
      </w:r>
    </w:p>
    <w:p w14:paraId="6F90B8E9">
      <w:pPr>
        <w:wordWrap w:val="0"/>
        <w:spacing w:line="360" w:lineRule="auto"/>
        <w:ind w:firstLine="0" w:firstLineChars="0"/>
        <w:jc w:val="center"/>
        <w:rPr>
          <w:rFonts w:hint="eastAsia" w:ascii="宋体" w:hAnsi="宋体" w:eastAsia="宋体" w:cs="宋体"/>
          <w:b/>
          <w:color w:val="auto"/>
          <w:sz w:val="32"/>
        </w:rPr>
      </w:pPr>
      <w:r>
        <w:rPr>
          <w:rFonts w:hint="eastAsia" w:ascii="宋体" w:hAnsi="宋体" w:eastAsia="宋体" w:cs="宋体"/>
          <w:b/>
          <w:color w:val="auto"/>
          <w:sz w:val="32"/>
        </w:rPr>
        <w:t xml:space="preserve">年   月 </w:t>
      </w:r>
      <w:r>
        <w:rPr>
          <w:rFonts w:hint="eastAsia" w:ascii="宋体" w:hAnsi="宋体" w:eastAsia="宋体" w:cs="宋体"/>
          <w:b/>
          <w:color w:val="auto"/>
          <w:sz w:val="32"/>
          <w:lang w:val="en-US" w:eastAsia="zh-CN"/>
        </w:rPr>
        <w:t xml:space="preserve"> </w:t>
      </w:r>
      <w:r>
        <w:rPr>
          <w:rFonts w:hint="eastAsia" w:ascii="宋体" w:hAnsi="宋体" w:eastAsia="宋体" w:cs="宋体"/>
          <w:b/>
          <w:color w:val="auto"/>
          <w:sz w:val="32"/>
        </w:rPr>
        <w:t xml:space="preserve"> 日</w:t>
      </w:r>
    </w:p>
    <w:p w14:paraId="37B1C91D">
      <w:pPr>
        <w:wordWrap w:val="0"/>
        <w:spacing w:line="360" w:lineRule="auto"/>
        <w:ind w:firstLine="0" w:firstLineChars="0"/>
        <w:jc w:val="center"/>
        <w:rPr>
          <w:rFonts w:hint="eastAsia" w:ascii="宋体" w:hAnsi="宋体" w:eastAsia="宋体" w:cs="宋体"/>
          <w:b/>
          <w:color w:val="auto"/>
          <w:sz w:val="32"/>
        </w:rPr>
      </w:pPr>
      <w:r>
        <w:rPr>
          <w:rFonts w:hint="eastAsia" w:ascii="宋体" w:hAnsi="宋体" w:eastAsia="宋体" w:cs="宋体"/>
          <w:b/>
          <w:color w:val="auto"/>
          <w:sz w:val="32"/>
        </w:rPr>
        <w:br w:type="page"/>
      </w:r>
    </w:p>
    <w:p w14:paraId="79265B01">
      <w:pPr>
        <w:keepNext/>
        <w:pageBreakBefore/>
        <w:widowControl/>
        <w:spacing w:line="360" w:lineRule="auto"/>
        <w:ind w:firstLine="0" w:firstLineChars="0"/>
        <w:jc w:val="left"/>
        <w:outlineLvl w:val="1"/>
        <w:rPr>
          <w:rFonts w:hint="eastAsia" w:ascii="宋体" w:hAnsi="宋体" w:eastAsia="宋体" w:cs="宋体"/>
          <w:b/>
          <w:color w:val="auto"/>
          <w:sz w:val="24"/>
          <w:szCs w:val="24"/>
        </w:rPr>
      </w:pPr>
      <w:bookmarkStart w:id="179" w:name="_Toc17238"/>
      <w:bookmarkStart w:id="180" w:name="_Toc197"/>
      <w:bookmarkStart w:id="181" w:name="_Toc30269"/>
      <w:r>
        <w:rPr>
          <w:rFonts w:hint="eastAsia" w:ascii="宋体" w:hAnsi="宋体" w:eastAsia="宋体" w:cs="宋体"/>
          <w:b/>
          <w:color w:val="auto"/>
          <w:sz w:val="24"/>
          <w:szCs w:val="24"/>
        </w:rPr>
        <w:t>附件2</w:t>
      </w:r>
      <w:bookmarkStart w:id="182" w:name="_Toc376936768"/>
      <w:bookmarkStart w:id="183" w:name="_Toc325726037"/>
      <w:r>
        <w:rPr>
          <w:rFonts w:hint="eastAsia" w:ascii="宋体" w:hAnsi="宋体" w:eastAsia="宋体" w:cs="宋体"/>
          <w:b/>
          <w:color w:val="auto"/>
          <w:sz w:val="24"/>
          <w:szCs w:val="24"/>
        </w:rPr>
        <w:t>：磋商函</w:t>
      </w:r>
      <w:bookmarkEnd w:id="179"/>
      <w:bookmarkEnd w:id="180"/>
      <w:bookmarkEnd w:id="181"/>
      <w:bookmarkEnd w:id="182"/>
      <w:bookmarkEnd w:id="183"/>
    </w:p>
    <w:p w14:paraId="02B0AB93">
      <w:pPr>
        <w:spacing w:line="360" w:lineRule="auto"/>
        <w:ind w:firstLine="0" w:firstLineChars="0"/>
        <w:rPr>
          <w:rFonts w:hint="eastAsia" w:ascii="宋体" w:hAnsi="宋体" w:eastAsia="宋体" w:cs="宋体"/>
          <w:b/>
          <w:color w:val="auto"/>
          <w:sz w:val="24"/>
          <w:szCs w:val="24"/>
        </w:rPr>
      </w:pPr>
    </w:p>
    <w:p w14:paraId="1D650336">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磋商函</w:t>
      </w:r>
    </w:p>
    <w:p w14:paraId="48A9C269">
      <w:pPr>
        <w:spacing w:line="360" w:lineRule="auto"/>
        <w:ind w:firstLine="0" w:firstLineChars="0"/>
        <w:textAlignment w:val="baseline"/>
        <w:rPr>
          <w:rFonts w:hint="eastAsia" w:ascii="宋体" w:hAnsi="宋体" w:eastAsia="宋体" w:cs="宋体"/>
          <w:b/>
          <w:color w:val="auto"/>
          <w:sz w:val="24"/>
          <w:szCs w:val="24"/>
        </w:rPr>
      </w:pPr>
    </w:p>
    <w:p w14:paraId="4840875F">
      <w:pPr>
        <w:spacing w:line="360" w:lineRule="auto"/>
        <w:ind w:firstLine="0" w:firstLineChars="0"/>
        <w:textAlignment w:val="baseline"/>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致：</w:t>
      </w:r>
      <w:r>
        <w:rPr>
          <w:rFonts w:hint="eastAsia" w:ascii="宋体" w:hAnsi="宋体" w:eastAsia="宋体" w:cs="宋体"/>
          <w:b/>
          <w:color w:val="auto"/>
          <w:sz w:val="24"/>
          <w:szCs w:val="24"/>
          <w:lang w:eastAsia="zh-CN"/>
        </w:rPr>
        <w:t>青海鼎钊招标代理有限公司</w:t>
      </w:r>
    </w:p>
    <w:p w14:paraId="05114115">
      <w:pPr>
        <w:spacing w:line="360" w:lineRule="auto"/>
        <w:ind w:firstLine="0" w:firstLineChars="0"/>
        <w:textAlignment w:val="baseline"/>
        <w:rPr>
          <w:rFonts w:hint="eastAsia" w:ascii="宋体" w:hAnsi="宋体" w:eastAsia="宋体" w:cs="宋体"/>
          <w:color w:val="auto"/>
          <w:sz w:val="24"/>
          <w:szCs w:val="24"/>
        </w:rPr>
      </w:pPr>
    </w:p>
    <w:p w14:paraId="7935CE4B">
      <w:pPr>
        <w:spacing w:line="360" w:lineRule="auto"/>
        <w:ind w:firstLine="48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我们收到</w:t>
      </w:r>
      <w:r>
        <w:rPr>
          <w:rFonts w:hint="eastAsia" w:ascii="宋体" w:hAnsi="宋体" w:eastAsia="宋体" w:cs="宋体"/>
          <w:b/>
          <w:bCs/>
          <w:color w:val="auto"/>
          <w:sz w:val="24"/>
          <w:szCs w:val="24"/>
          <w:u w:val="single"/>
          <w:lang w:eastAsia="zh-CN"/>
        </w:rPr>
        <w:t>青海鼎钊竞磋（服务）2026-028</w:t>
      </w:r>
      <w:r>
        <w:rPr>
          <w:rFonts w:hint="eastAsia" w:ascii="宋体" w:hAnsi="宋体" w:eastAsia="宋体" w:cs="宋体"/>
          <w:color w:val="auto"/>
          <w:sz w:val="24"/>
          <w:szCs w:val="24"/>
        </w:rPr>
        <w:t>磋商文件，经研究，法定代表人（</w:t>
      </w:r>
      <w:r>
        <w:rPr>
          <w:rFonts w:hint="eastAsia" w:ascii="宋体" w:hAnsi="宋体" w:eastAsia="宋体" w:cs="宋体"/>
          <w:color w:val="auto"/>
          <w:sz w:val="24"/>
          <w:szCs w:val="24"/>
          <w:u w:val="single"/>
        </w:rPr>
        <w:t>姓名、职务</w:t>
      </w:r>
      <w:r>
        <w:rPr>
          <w:rFonts w:hint="eastAsia" w:ascii="宋体" w:hAnsi="宋体" w:eastAsia="宋体" w:cs="宋体"/>
          <w:color w:val="auto"/>
          <w:sz w:val="24"/>
          <w:szCs w:val="24"/>
        </w:rPr>
        <w:t>）正式授权（</w:t>
      </w:r>
      <w:r>
        <w:rPr>
          <w:rFonts w:hint="eastAsia" w:ascii="宋体" w:hAnsi="宋体" w:eastAsia="宋体" w:cs="宋体"/>
          <w:color w:val="auto"/>
          <w:sz w:val="24"/>
          <w:szCs w:val="24"/>
          <w:u w:val="single"/>
        </w:rPr>
        <w:t>委托代理人姓名、职务</w:t>
      </w:r>
      <w:r>
        <w:rPr>
          <w:rFonts w:hint="eastAsia" w:ascii="宋体" w:hAnsi="宋体" w:eastAsia="宋体" w:cs="宋体"/>
          <w:color w:val="auto"/>
          <w:sz w:val="24"/>
          <w:szCs w:val="24"/>
        </w:rPr>
        <w:t>）代表供应商（</w:t>
      </w:r>
      <w:r>
        <w:rPr>
          <w:rFonts w:hint="eastAsia" w:ascii="宋体" w:hAnsi="宋体" w:eastAsia="宋体" w:cs="宋体"/>
          <w:color w:val="auto"/>
          <w:sz w:val="24"/>
          <w:szCs w:val="24"/>
          <w:u w:val="single"/>
        </w:rPr>
        <w:t>供应商名称、地址</w:t>
      </w:r>
      <w:r>
        <w:rPr>
          <w:rFonts w:hint="eastAsia" w:ascii="宋体" w:hAnsi="宋体" w:eastAsia="宋体" w:cs="宋体"/>
          <w:color w:val="auto"/>
          <w:sz w:val="24"/>
          <w:szCs w:val="24"/>
        </w:rPr>
        <w:t>）提交响应文件。</w:t>
      </w:r>
    </w:p>
    <w:p w14:paraId="73F5AB5D">
      <w:pPr>
        <w:spacing w:line="360" w:lineRule="auto"/>
        <w:ind w:firstLine="0"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据此函，签字代表宣布同意如下：</w:t>
      </w:r>
    </w:p>
    <w:p w14:paraId="5ACDFB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我方已详阅磋商文件的全部内容，包括澄清、修改条款等有关附件，承诺对其完全理解并接受。</w:t>
      </w:r>
    </w:p>
    <w:p w14:paraId="188645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磋商有效期自磋商开始之日起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个日历日</w:t>
      </w:r>
      <w:r>
        <w:rPr>
          <w:rFonts w:hint="eastAsia" w:ascii="宋体" w:hAnsi="宋体" w:eastAsia="宋体" w:cs="宋体"/>
          <w:color w:val="auto"/>
          <w:sz w:val="24"/>
          <w:szCs w:val="24"/>
          <w:lang w:eastAsia="zh-CN"/>
        </w:rPr>
        <w:t>内有效</w:t>
      </w:r>
      <w:r>
        <w:rPr>
          <w:rFonts w:hint="eastAsia" w:ascii="宋体" w:hAnsi="宋体" w:eastAsia="宋体" w:cs="宋体"/>
          <w:color w:val="auto"/>
          <w:sz w:val="24"/>
          <w:szCs w:val="24"/>
        </w:rPr>
        <w:t>。如果在规定的磋商时间后，我方在磋商有效期内撤回投标或成交后不签约的，磋商保证金将被贵方没收。</w:t>
      </w:r>
    </w:p>
    <w:p w14:paraId="7C10B4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我方同意按照贵方要求提供与磋商有关的一切数据或资料，理解并接受贵方制定的评标办法。</w:t>
      </w:r>
    </w:p>
    <w:p w14:paraId="5B2C67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与本磋商有关的一切正式往来通讯请寄：</w:t>
      </w:r>
    </w:p>
    <w:p w14:paraId="59F2504D">
      <w:pPr>
        <w:spacing w:line="360" w:lineRule="auto"/>
        <w:ind w:firstLine="0"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地址：_______________        邮编：____________</w:t>
      </w:r>
    </w:p>
    <w:p w14:paraId="24AA4102">
      <w:pPr>
        <w:spacing w:line="360" w:lineRule="auto"/>
        <w:ind w:firstLine="0"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电话：_______________        传真：____________</w:t>
      </w:r>
    </w:p>
    <w:p w14:paraId="04841E17">
      <w:pPr>
        <w:spacing w:line="360" w:lineRule="auto"/>
        <w:ind w:firstLine="0" w:firstLineChars="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法定代表人姓名： ___________ 职务：____________</w:t>
      </w:r>
    </w:p>
    <w:p w14:paraId="3D92B4C5">
      <w:pPr>
        <w:spacing w:line="360" w:lineRule="auto"/>
        <w:ind w:firstLine="0" w:firstLineChars="0"/>
        <w:rPr>
          <w:rFonts w:hint="eastAsia" w:ascii="宋体" w:hAnsi="宋体" w:eastAsia="宋体" w:cs="宋体"/>
          <w:color w:val="auto"/>
          <w:sz w:val="24"/>
          <w:szCs w:val="24"/>
        </w:rPr>
      </w:pPr>
    </w:p>
    <w:p w14:paraId="455ACE11">
      <w:pPr>
        <w:spacing w:line="360" w:lineRule="auto"/>
        <w:ind w:firstLine="0" w:firstLineChars="0"/>
        <w:textAlignment w:val="baseline"/>
        <w:rPr>
          <w:rFonts w:hint="eastAsia" w:ascii="宋体" w:hAnsi="宋体" w:eastAsia="宋体" w:cs="宋体"/>
          <w:color w:val="auto"/>
          <w:sz w:val="24"/>
          <w:szCs w:val="24"/>
        </w:rPr>
      </w:pPr>
    </w:p>
    <w:p w14:paraId="478056E5">
      <w:pPr>
        <w:spacing w:line="360" w:lineRule="auto"/>
        <w:ind w:firstLine="0" w:firstLineChars="0"/>
        <w:textAlignment w:val="baseline"/>
        <w:rPr>
          <w:rFonts w:hint="eastAsia" w:ascii="宋体" w:hAnsi="宋体" w:eastAsia="宋体" w:cs="宋体"/>
          <w:color w:val="auto"/>
          <w:sz w:val="24"/>
          <w:szCs w:val="24"/>
        </w:rPr>
      </w:pPr>
    </w:p>
    <w:p w14:paraId="55E21E6E">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供应商：</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（公章）</w:t>
      </w:r>
    </w:p>
    <w:p w14:paraId="4F75749C">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法定代表人或委托代理人：</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（签字或盖章）</w:t>
      </w:r>
    </w:p>
    <w:p w14:paraId="242B3DAB">
      <w:pPr>
        <w:wordWrap w:val="0"/>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年   月 </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 xml:space="preserve"> 日</w:t>
      </w:r>
    </w:p>
    <w:p w14:paraId="7C850256">
      <w:pPr>
        <w:wordWrap w:val="0"/>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12F28D0D">
      <w:pPr>
        <w:keepNext/>
        <w:pageBreakBefore/>
        <w:widowControl/>
        <w:spacing w:line="360" w:lineRule="auto"/>
        <w:ind w:firstLine="0" w:firstLineChars="0"/>
        <w:jc w:val="left"/>
        <w:outlineLvl w:val="1"/>
        <w:rPr>
          <w:rFonts w:hint="eastAsia" w:ascii="宋体" w:hAnsi="宋体" w:eastAsia="宋体" w:cs="宋体"/>
          <w:b/>
          <w:color w:val="auto"/>
          <w:sz w:val="24"/>
          <w:szCs w:val="24"/>
        </w:rPr>
      </w:pPr>
      <w:bookmarkStart w:id="184" w:name="_Toc31069"/>
      <w:bookmarkStart w:id="185" w:name="_Toc26950"/>
      <w:bookmarkStart w:id="186" w:name="_Toc26652"/>
      <w:r>
        <w:rPr>
          <w:rFonts w:hint="eastAsia" w:ascii="宋体" w:hAnsi="宋体" w:eastAsia="宋体" w:cs="宋体"/>
          <w:b/>
          <w:color w:val="auto"/>
          <w:sz w:val="24"/>
          <w:szCs w:val="24"/>
        </w:rPr>
        <w:t>附件3</w:t>
      </w: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：投标报价一览表</w:t>
      </w:r>
      <w:bookmarkEnd w:id="184"/>
      <w:bookmarkEnd w:id="185"/>
      <w:bookmarkEnd w:id="186"/>
    </w:p>
    <w:p w14:paraId="756B6E37">
      <w:pPr>
        <w:spacing w:line="360" w:lineRule="auto"/>
        <w:ind w:firstLine="0" w:firstLineChars="0"/>
        <w:textAlignment w:val="baseline"/>
        <w:rPr>
          <w:rFonts w:hint="eastAsia" w:ascii="宋体" w:hAnsi="宋体" w:eastAsia="宋体" w:cs="宋体"/>
          <w:color w:val="auto"/>
          <w:sz w:val="24"/>
          <w:szCs w:val="24"/>
        </w:rPr>
      </w:pPr>
    </w:p>
    <w:p w14:paraId="54D03FC8">
      <w:pPr>
        <w:autoSpaceDE w:val="0"/>
        <w:autoSpaceDN w:val="0"/>
        <w:spacing w:line="360" w:lineRule="auto"/>
        <w:ind w:firstLine="0" w:firstLineChars="0"/>
        <w:jc w:val="center"/>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t>投标报价</w:t>
      </w:r>
      <w:r>
        <w:rPr>
          <w:rFonts w:hint="eastAsia" w:ascii="宋体" w:hAnsi="宋体" w:eastAsia="宋体" w:cs="宋体"/>
          <w:b/>
          <w:bCs/>
          <w:color w:val="auto"/>
          <w:sz w:val="24"/>
          <w:szCs w:val="24"/>
          <w:lang w:val="zh-CN"/>
        </w:rPr>
        <w:t>一览表</w:t>
      </w:r>
    </w:p>
    <w:p w14:paraId="03C369AD">
      <w:pPr>
        <w:autoSpaceDE w:val="0"/>
        <w:autoSpaceDN w:val="0"/>
        <w:spacing w:line="360" w:lineRule="auto"/>
        <w:ind w:firstLine="0" w:firstLineChars="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供应商名称：</w:t>
      </w:r>
    </w:p>
    <w:p w14:paraId="7242E03B">
      <w:pPr>
        <w:autoSpaceDE w:val="0"/>
        <w:autoSpaceDN w:val="0"/>
        <w:spacing w:line="360" w:lineRule="auto"/>
        <w:ind w:firstLine="0" w:firstLineChars="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所投包号：</w:t>
      </w:r>
    </w:p>
    <w:tbl>
      <w:tblPr>
        <w:tblStyle w:val="24"/>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114"/>
        <w:gridCol w:w="6163"/>
      </w:tblGrid>
      <w:tr w14:paraId="21AF4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114" w:type="dxa"/>
            <w:vAlign w:val="center"/>
          </w:tcPr>
          <w:p w14:paraId="07D5A564">
            <w:pPr>
              <w:pStyle w:val="7"/>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tc>
        <w:tc>
          <w:tcPr>
            <w:tcW w:w="6163" w:type="dxa"/>
            <w:vAlign w:val="center"/>
          </w:tcPr>
          <w:p w14:paraId="152B33FC">
            <w:pPr>
              <w:pStyle w:val="7"/>
              <w:spacing w:line="360" w:lineRule="auto"/>
              <w:ind w:firstLine="0" w:firstLineChars="0"/>
              <w:rPr>
                <w:rFonts w:hint="eastAsia" w:ascii="宋体" w:hAnsi="宋体" w:eastAsia="宋体" w:cs="宋体"/>
                <w:color w:val="auto"/>
                <w:sz w:val="24"/>
                <w:szCs w:val="24"/>
              </w:rPr>
            </w:pPr>
          </w:p>
        </w:tc>
      </w:tr>
      <w:tr w14:paraId="21E9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114" w:type="dxa"/>
            <w:vAlign w:val="center"/>
          </w:tcPr>
          <w:p w14:paraId="1556538E">
            <w:pPr>
              <w:pStyle w:val="7"/>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6163" w:type="dxa"/>
            <w:vAlign w:val="center"/>
          </w:tcPr>
          <w:p w14:paraId="3D09BCF0">
            <w:pPr>
              <w:pStyle w:val="7"/>
              <w:spacing w:line="360" w:lineRule="auto"/>
              <w:ind w:firstLine="0" w:firstLineChars="0"/>
              <w:rPr>
                <w:rFonts w:hint="eastAsia" w:ascii="宋体" w:hAnsi="宋体" w:eastAsia="宋体" w:cs="宋体"/>
                <w:color w:val="auto"/>
                <w:sz w:val="24"/>
                <w:szCs w:val="24"/>
              </w:rPr>
            </w:pPr>
          </w:p>
        </w:tc>
      </w:tr>
      <w:tr w14:paraId="6C4AD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114" w:type="dxa"/>
            <w:vAlign w:val="center"/>
          </w:tcPr>
          <w:p w14:paraId="0D22F919">
            <w:pPr>
              <w:pStyle w:val="7"/>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投标报价</w:t>
            </w:r>
          </w:p>
        </w:tc>
        <w:tc>
          <w:tcPr>
            <w:tcW w:w="6163" w:type="dxa"/>
            <w:vAlign w:val="center"/>
          </w:tcPr>
          <w:p w14:paraId="0F819729">
            <w:pPr>
              <w:pStyle w:val="7"/>
              <w:spacing w:line="360" w:lineRule="auto"/>
              <w:ind w:firstLine="0" w:firstLineChars="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大写：</w:t>
            </w:r>
            <w:r>
              <w:rPr>
                <w:rFonts w:hint="eastAsia" w:ascii="宋体" w:hAnsi="宋体" w:eastAsia="宋体" w:cs="宋体"/>
                <w:color w:val="auto"/>
                <w:sz w:val="24"/>
                <w:szCs w:val="24"/>
                <w:u w:val="single"/>
                <w:lang w:val="en-US" w:eastAsia="zh-CN"/>
              </w:rPr>
              <w:t xml:space="preserve">          </w:t>
            </w:r>
          </w:p>
          <w:p w14:paraId="04D6F4FE">
            <w:pPr>
              <w:pStyle w:val="7"/>
              <w:spacing w:line="360" w:lineRule="auto"/>
              <w:ind w:firstLine="0" w:firstLineChars="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小写：</w:t>
            </w:r>
            <w:r>
              <w:rPr>
                <w:rFonts w:hint="eastAsia" w:ascii="宋体" w:hAnsi="宋体" w:eastAsia="宋体" w:cs="宋体"/>
                <w:color w:val="auto"/>
                <w:sz w:val="24"/>
                <w:szCs w:val="24"/>
                <w:u w:val="single"/>
                <w:lang w:val="en-US" w:eastAsia="zh-CN"/>
              </w:rPr>
              <w:t xml:space="preserve">          </w:t>
            </w:r>
          </w:p>
        </w:tc>
      </w:tr>
      <w:tr w14:paraId="3D1F9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8" w:hRule="atLeast"/>
          <w:jc w:val="center"/>
        </w:trPr>
        <w:tc>
          <w:tcPr>
            <w:tcW w:w="2114" w:type="dxa"/>
            <w:vAlign w:val="center"/>
          </w:tcPr>
          <w:p w14:paraId="58505688">
            <w:pPr>
              <w:pStyle w:val="7"/>
              <w:spacing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lang w:eastAsia="zh-CN"/>
              </w:rPr>
              <w:t>期限</w:t>
            </w:r>
          </w:p>
        </w:tc>
        <w:tc>
          <w:tcPr>
            <w:tcW w:w="6163" w:type="dxa"/>
            <w:vAlign w:val="center"/>
          </w:tcPr>
          <w:p w14:paraId="0EA61833">
            <w:pPr>
              <w:pStyle w:val="7"/>
              <w:spacing w:line="360" w:lineRule="auto"/>
              <w:ind w:firstLine="0" w:firstLineChars="0"/>
              <w:rPr>
                <w:rFonts w:hint="eastAsia" w:ascii="宋体" w:hAnsi="宋体" w:eastAsia="宋体" w:cs="宋体"/>
                <w:color w:val="auto"/>
                <w:sz w:val="24"/>
                <w:szCs w:val="24"/>
              </w:rPr>
            </w:pPr>
          </w:p>
        </w:tc>
      </w:tr>
      <w:tr w14:paraId="2353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8277" w:type="dxa"/>
            <w:gridSpan w:val="2"/>
            <w:vAlign w:val="center"/>
          </w:tcPr>
          <w:p w14:paraId="3DC5EACB">
            <w:pPr>
              <w:pStyle w:val="7"/>
              <w:spacing w:line="360" w:lineRule="auto"/>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优惠承诺及其</w:t>
            </w:r>
            <w:r>
              <w:rPr>
                <w:rFonts w:hint="eastAsia" w:ascii="宋体" w:hAnsi="宋体" w:eastAsia="宋体" w:cs="宋体"/>
                <w:color w:val="auto"/>
                <w:sz w:val="24"/>
                <w:szCs w:val="24"/>
                <w:lang w:val="en-US" w:eastAsia="zh-CN"/>
              </w:rPr>
              <w:t>它</w:t>
            </w:r>
            <w:r>
              <w:rPr>
                <w:rFonts w:hint="eastAsia" w:ascii="宋体" w:hAnsi="宋体" w:eastAsia="宋体" w:cs="宋体"/>
                <w:color w:val="auto"/>
                <w:sz w:val="24"/>
                <w:szCs w:val="24"/>
                <w:lang w:val="zh-CN"/>
              </w:rPr>
              <w:t>：</w:t>
            </w:r>
          </w:p>
          <w:p w14:paraId="6F28DCF4">
            <w:pPr>
              <w:pStyle w:val="7"/>
              <w:spacing w:line="360" w:lineRule="auto"/>
              <w:ind w:firstLine="0" w:firstLineChars="0"/>
              <w:rPr>
                <w:rFonts w:hint="eastAsia" w:ascii="宋体" w:hAnsi="宋体" w:eastAsia="宋体" w:cs="宋体"/>
                <w:color w:val="auto"/>
                <w:sz w:val="24"/>
                <w:szCs w:val="24"/>
                <w:lang w:val="zh-CN"/>
              </w:rPr>
            </w:pPr>
          </w:p>
          <w:p w14:paraId="3AFB7593">
            <w:pPr>
              <w:pStyle w:val="7"/>
              <w:spacing w:line="360" w:lineRule="auto"/>
              <w:ind w:firstLine="0" w:firstLineChars="0"/>
              <w:rPr>
                <w:rFonts w:hint="eastAsia" w:ascii="宋体" w:hAnsi="宋体" w:eastAsia="宋体" w:cs="宋体"/>
                <w:color w:val="auto"/>
                <w:sz w:val="24"/>
                <w:szCs w:val="24"/>
                <w:lang w:val="zh-CN"/>
              </w:rPr>
            </w:pPr>
          </w:p>
          <w:p w14:paraId="39F2C4E8">
            <w:pPr>
              <w:pStyle w:val="7"/>
              <w:spacing w:line="360" w:lineRule="auto"/>
              <w:ind w:firstLine="0" w:firstLineChars="0"/>
              <w:rPr>
                <w:rFonts w:hint="eastAsia" w:ascii="宋体" w:hAnsi="宋体" w:eastAsia="宋体" w:cs="宋体"/>
                <w:color w:val="auto"/>
                <w:sz w:val="24"/>
                <w:szCs w:val="24"/>
                <w:lang w:val="zh-CN"/>
              </w:rPr>
            </w:pPr>
          </w:p>
          <w:p w14:paraId="4FEB84A8">
            <w:pPr>
              <w:pStyle w:val="7"/>
              <w:spacing w:line="360" w:lineRule="auto"/>
              <w:ind w:firstLine="0" w:firstLineChars="0"/>
              <w:rPr>
                <w:rFonts w:hint="eastAsia" w:ascii="宋体" w:hAnsi="宋体" w:eastAsia="宋体" w:cs="宋体"/>
                <w:color w:val="auto"/>
                <w:sz w:val="24"/>
                <w:szCs w:val="24"/>
                <w:lang w:val="zh-CN"/>
              </w:rPr>
            </w:pPr>
          </w:p>
          <w:p w14:paraId="318B1F5D">
            <w:pPr>
              <w:pStyle w:val="7"/>
              <w:spacing w:line="360" w:lineRule="auto"/>
              <w:ind w:firstLine="0" w:firstLineChars="0"/>
              <w:rPr>
                <w:rFonts w:hint="eastAsia" w:ascii="宋体" w:hAnsi="宋体" w:eastAsia="宋体" w:cs="宋体"/>
                <w:color w:val="auto"/>
                <w:sz w:val="24"/>
                <w:szCs w:val="24"/>
                <w:lang w:val="zh-CN"/>
              </w:rPr>
            </w:pPr>
          </w:p>
        </w:tc>
      </w:tr>
    </w:tbl>
    <w:p w14:paraId="5CD724C3">
      <w:pPr>
        <w:spacing w:line="360" w:lineRule="auto"/>
        <w:ind w:firstLine="0" w:firstLineChars="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注：</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val="zh-CN"/>
        </w:rPr>
        <w:t>填写此表时不得改变表格形式。</w:t>
      </w:r>
    </w:p>
    <w:p w14:paraId="4CF11023">
      <w:pPr>
        <w:spacing w:line="360" w:lineRule="auto"/>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kern w:val="0"/>
          <w:sz w:val="24"/>
          <w:szCs w:val="24"/>
          <w:lang w:val="zh-CN"/>
        </w:rPr>
        <w:t>“投标报价”为</w:t>
      </w:r>
      <w:r>
        <w:rPr>
          <w:rFonts w:hint="eastAsia" w:ascii="宋体" w:hAnsi="宋体" w:eastAsia="宋体" w:cs="宋体"/>
          <w:b/>
          <w:bCs/>
          <w:color w:val="auto"/>
          <w:kern w:val="0"/>
          <w:sz w:val="24"/>
          <w:szCs w:val="24"/>
          <w:lang w:val="en-US" w:eastAsia="zh-CN"/>
        </w:rPr>
        <w:t>投标总价</w:t>
      </w:r>
      <w:r>
        <w:rPr>
          <w:rFonts w:hint="eastAsia" w:ascii="宋体" w:hAnsi="宋体" w:eastAsia="宋体" w:cs="宋体"/>
          <w:color w:val="auto"/>
          <w:kern w:val="0"/>
          <w:sz w:val="24"/>
          <w:szCs w:val="24"/>
          <w:lang w:val="zh-CN"/>
        </w:rPr>
        <w:t>。</w:t>
      </w:r>
      <w:r>
        <w:rPr>
          <w:rFonts w:hint="eastAsia" w:ascii="宋体" w:hAnsi="宋体" w:eastAsia="宋体" w:cs="宋体"/>
          <w:b/>
          <w:bCs/>
          <w:color w:val="auto"/>
          <w:kern w:val="0"/>
          <w:sz w:val="24"/>
          <w:szCs w:val="24"/>
          <w:lang w:val="zh-CN"/>
        </w:rPr>
        <w:t>投标报价必须包括：</w:t>
      </w:r>
      <w:r>
        <w:rPr>
          <w:rFonts w:hint="eastAsia" w:ascii="宋体" w:hAnsi="宋体" w:eastAsia="宋体" w:cs="宋体"/>
          <w:color w:val="auto"/>
          <w:sz w:val="24"/>
          <w:szCs w:val="24"/>
          <w:lang w:val="zh-CN"/>
        </w:rPr>
        <w:t>检测服务费、采购代理服务费及售前、售中及售后服务费（如试剂耗材费、复检费、样品邮费、协助抽样费、人员工资、交通费、验收费、保险费）、税费及不可预见费等全部费用。</w:t>
      </w:r>
    </w:p>
    <w:p w14:paraId="7BF1B188">
      <w:pPr>
        <w:spacing w:line="360" w:lineRule="auto"/>
        <w:rPr>
          <w:rFonts w:hint="eastAsia" w:ascii="宋体" w:hAnsi="宋体" w:eastAsia="宋体" w:cs="宋体"/>
          <w:color w:val="auto"/>
          <w:sz w:val="24"/>
          <w:szCs w:val="24"/>
        </w:rPr>
      </w:pPr>
      <w:r>
        <w:rPr>
          <w:rFonts w:hint="eastAsia" w:ascii="宋体" w:hAnsi="宋体" w:eastAsia="宋体" w:cs="宋体"/>
          <w:color w:val="auto"/>
          <w:kern w:val="0"/>
          <w:sz w:val="24"/>
          <w:szCs w:val="24"/>
        </w:rPr>
        <w:t>3</w:t>
      </w:r>
      <w:r>
        <w:rPr>
          <w:rFonts w:hint="eastAsia" w:ascii="宋体" w:hAnsi="宋体" w:eastAsia="宋体" w:cs="宋体"/>
          <w:color w:val="auto"/>
          <w:kern w:val="0"/>
          <w:sz w:val="24"/>
          <w:szCs w:val="24"/>
          <w:lang w:val="zh-CN"/>
        </w:rPr>
        <w:t>.投标报价不能有两个或两个以上的报价方案，</w:t>
      </w:r>
      <w:r>
        <w:rPr>
          <w:rFonts w:hint="eastAsia" w:ascii="宋体" w:hAnsi="宋体" w:eastAsia="宋体" w:cs="宋体"/>
          <w:b/>
          <w:bCs/>
          <w:color w:val="auto"/>
          <w:sz w:val="24"/>
          <w:szCs w:val="24"/>
        </w:rPr>
        <w:t>否则</w:t>
      </w:r>
      <w:r>
        <w:rPr>
          <w:rFonts w:hint="eastAsia" w:ascii="宋体" w:hAnsi="宋体" w:eastAsia="宋体" w:cs="宋体"/>
          <w:b/>
          <w:bCs/>
          <w:color w:val="auto"/>
          <w:kern w:val="0"/>
          <w:sz w:val="24"/>
          <w:szCs w:val="24"/>
          <w:lang w:eastAsia="zh-CN"/>
        </w:rPr>
        <w:t>响应无效</w:t>
      </w:r>
      <w:r>
        <w:rPr>
          <w:rFonts w:hint="eastAsia" w:ascii="宋体" w:hAnsi="宋体" w:eastAsia="宋体" w:cs="宋体"/>
          <w:b/>
          <w:bCs/>
          <w:color w:val="auto"/>
          <w:kern w:val="0"/>
          <w:sz w:val="24"/>
          <w:szCs w:val="24"/>
          <w:lang w:val="zh-CN"/>
        </w:rPr>
        <w:t>。</w:t>
      </w:r>
    </w:p>
    <w:p w14:paraId="7C2303D8">
      <w:pPr>
        <w:spacing w:line="360" w:lineRule="auto"/>
        <w:ind w:firstLine="0" w:firstLineChars="0"/>
        <w:textAlignment w:val="baseline"/>
        <w:rPr>
          <w:rFonts w:hint="eastAsia" w:ascii="宋体" w:hAnsi="宋体" w:eastAsia="宋体" w:cs="宋体"/>
          <w:color w:val="auto"/>
          <w:sz w:val="24"/>
          <w:szCs w:val="24"/>
        </w:rPr>
      </w:pPr>
    </w:p>
    <w:p w14:paraId="11E84E35">
      <w:pPr>
        <w:spacing w:line="360" w:lineRule="auto"/>
        <w:ind w:firstLine="0" w:firstLineChars="0"/>
        <w:textAlignment w:val="baseline"/>
        <w:rPr>
          <w:rFonts w:hint="eastAsia" w:ascii="宋体" w:hAnsi="宋体" w:eastAsia="宋体" w:cs="宋体"/>
          <w:color w:val="auto"/>
          <w:sz w:val="24"/>
          <w:szCs w:val="24"/>
        </w:rPr>
      </w:pPr>
    </w:p>
    <w:p w14:paraId="0367FEE8">
      <w:pPr>
        <w:spacing w:line="360" w:lineRule="auto"/>
        <w:ind w:firstLine="0" w:firstLineChars="0"/>
        <w:textAlignment w:val="baseline"/>
        <w:rPr>
          <w:rFonts w:hint="eastAsia" w:ascii="宋体" w:hAnsi="宋体" w:eastAsia="宋体" w:cs="宋体"/>
          <w:color w:val="auto"/>
          <w:sz w:val="24"/>
          <w:szCs w:val="24"/>
        </w:rPr>
      </w:pPr>
    </w:p>
    <w:p w14:paraId="69897DA7">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供应商：</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（公章）</w:t>
      </w:r>
    </w:p>
    <w:p w14:paraId="1BDAD8C8">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法定代表人或委托代理人：</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（签字或盖章）</w:t>
      </w:r>
    </w:p>
    <w:p w14:paraId="58D35046">
      <w:pPr>
        <w:wordWrap w:val="0"/>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年   月 </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 xml:space="preserve"> 日</w:t>
      </w:r>
    </w:p>
    <w:p w14:paraId="15F4175C">
      <w:pPr>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375EDFBF">
      <w:pPr>
        <w:keepNext/>
        <w:pageBreakBefore/>
        <w:widowControl/>
        <w:spacing w:line="360" w:lineRule="auto"/>
        <w:ind w:firstLine="0" w:firstLineChars="0"/>
        <w:jc w:val="left"/>
        <w:outlineLvl w:val="1"/>
        <w:rPr>
          <w:rFonts w:hint="eastAsia" w:ascii="宋体" w:hAnsi="宋体" w:eastAsia="宋体" w:cs="宋体"/>
          <w:b/>
          <w:bCs/>
          <w:color w:val="auto"/>
          <w:kern w:val="0"/>
          <w:sz w:val="28"/>
          <w:szCs w:val="28"/>
          <w:lang w:val="zh-CN"/>
        </w:rPr>
      </w:pPr>
      <w:bookmarkStart w:id="187" w:name="_Toc12215"/>
      <w:r>
        <w:rPr>
          <w:rFonts w:hint="eastAsia" w:ascii="宋体" w:hAnsi="宋体" w:eastAsia="宋体" w:cs="宋体"/>
          <w:b/>
          <w:color w:val="auto"/>
          <w:sz w:val="24"/>
          <w:szCs w:val="24"/>
        </w:rPr>
        <w:t>附件3</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：分项报价表</w:t>
      </w:r>
      <w:bookmarkEnd w:id="187"/>
    </w:p>
    <w:p w14:paraId="00D9A91B">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b/>
          <w:bCs/>
          <w:color w:val="auto"/>
          <w:kern w:val="0"/>
          <w:sz w:val="28"/>
          <w:szCs w:val="28"/>
          <w:lang w:val="zh-CN"/>
        </w:rPr>
      </w:pPr>
      <w:r>
        <w:rPr>
          <w:rFonts w:hint="eastAsia" w:ascii="宋体" w:hAnsi="宋体" w:eastAsia="宋体" w:cs="宋体"/>
          <w:b/>
          <w:bCs/>
          <w:color w:val="auto"/>
          <w:kern w:val="0"/>
          <w:sz w:val="24"/>
          <w:szCs w:val="24"/>
          <w:lang w:val="zh-CN"/>
        </w:rPr>
        <w:t>分项报价表</w:t>
      </w:r>
    </w:p>
    <w:p w14:paraId="15EF7C40">
      <w:pPr>
        <w:pStyle w:val="2"/>
        <w:keepNext w:val="0"/>
        <w:keepLines w:val="0"/>
        <w:pageBreakBefore w:val="0"/>
        <w:widowControl w:val="0"/>
        <w:kinsoku/>
        <w:wordWrap/>
        <w:overflowPunct/>
        <w:topLinePunct w:val="0"/>
        <w:bidi w:val="0"/>
        <w:adjustRightInd/>
        <w:snapToGrid/>
        <w:ind w:left="0" w:firstLine="0" w:firstLineChars="0"/>
        <w:textAlignment w:val="auto"/>
        <w:rPr>
          <w:rFonts w:hint="eastAsia" w:ascii="宋体" w:hAnsi="宋体" w:eastAsia="宋体" w:cs="宋体"/>
          <w:b/>
          <w:bCs/>
          <w:color w:val="auto"/>
          <w:sz w:val="24"/>
          <w:szCs w:val="24"/>
          <w:lang w:val="zh-CN"/>
        </w:rPr>
      </w:pPr>
    </w:p>
    <w:p w14:paraId="685E9A44">
      <w:pPr>
        <w:pStyle w:val="2"/>
        <w:keepNext w:val="0"/>
        <w:keepLines w:val="0"/>
        <w:pageBreakBefore w:val="0"/>
        <w:widowControl w:val="0"/>
        <w:kinsoku/>
        <w:wordWrap/>
        <w:overflowPunct/>
        <w:topLinePunct w:val="0"/>
        <w:bidi w:val="0"/>
        <w:adjustRightInd/>
        <w:snapToGrid/>
        <w:ind w:left="0" w:firstLine="0" w:firstLineChars="0"/>
        <w:textAlignment w:val="auto"/>
        <w:rPr>
          <w:rFonts w:hint="eastAsia" w:ascii="宋体" w:hAnsi="宋体" w:eastAsia="宋体" w:cs="宋体"/>
          <w:b/>
          <w:bCs/>
          <w:color w:val="auto"/>
          <w:sz w:val="24"/>
          <w:szCs w:val="24"/>
          <w:lang w:val="zh-CN"/>
        </w:rPr>
      </w:pPr>
      <w:bookmarkStart w:id="188" w:name="_Toc10547"/>
      <w:r>
        <w:rPr>
          <w:rFonts w:hint="eastAsia" w:ascii="宋体" w:hAnsi="宋体" w:eastAsia="宋体" w:cs="宋体"/>
          <w:b/>
          <w:bCs/>
          <w:color w:val="auto"/>
          <w:sz w:val="24"/>
          <w:szCs w:val="24"/>
          <w:lang w:val="zh-CN"/>
        </w:rPr>
        <w:t>供应商名称：</w:t>
      </w:r>
    </w:p>
    <w:p w14:paraId="130CFCA6">
      <w:pPr>
        <w:ind w:left="0" w:leftChars="0" w:firstLine="0" w:firstLineChars="0"/>
        <w:rPr>
          <w:rFonts w:hint="default" w:eastAsia="宋体"/>
          <w:color w:val="auto"/>
          <w:lang w:val="en-US" w:eastAsia="zh-CN"/>
        </w:rPr>
      </w:pPr>
      <w:r>
        <w:rPr>
          <w:rFonts w:hint="eastAsia" w:ascii="宋体" w:hAnsi="宋体" w:eastAsia="宋体" w:cs="宋体"/>
          <w:b/>
          <w:bCs/>
          <w:color w:val="auto"/>
          <w:sz w:val="24"/>
          <w:szCs w:val="24"/>
          <w:lang w:val="en-US" w:eastAsia="zh-CN"/>
        </w:rPr>
        <w:t>所投包号：</w:t>
      </w:r>
    </w:p>
    <w:tbl>
      <w:tblPr>
        <w:tblStyle w:val="24"/>
        <w:tblW w:w="10205" w:type="dxa"/>
        <w:jc w:val="center"/>
        <w:tblLayout w:type="fixed"/>
        <w:tblCellMar>
          <w:top w:w="0" w:type="dxa"/>
          <w:left w:w="28" w:type="dxa"/>
          <w:bottom w:w="0" w:type="dxa"/>
          <w:right w:w="28" w:type="dxa"/>
        </w:tblCellMar>
      </w:tblPr>
      <w:tblGrid>
        <w:gridCol w:w="539"/>
        <w:gridCol w:w="2520"/>
        <w:gridCol w:w="1825"/>
        <w:gridCol w:w="1057"/>
        <w:gridCol w:w="1025"/>
        <w:gridCol w:w="1050"/>
        <w:gridCol w:w="1119"/>
        <w:gridCol w:w="1070"/>
      </w:tblGrid>
      <w:tr w14:paraId="26252281">
        <w:tblPrEx>
          <w:tblCellMar>
            <w:top w:w="0" w:type="dxa"/>
            <w:left w:w="28" w:type="dxa"/>
            <w:bottom w:w="0" w:type="dxa"/>
            <w:right w:w="28" w:type="dxa"/>
          </w:tblCellMar>
        </w:tblPrEx>
        <w:trPr>
          <w:trHeight w:val="23" w:hRule="atLeast"/>
          <w:jc w:val="center"/>
        </w:trPr>
        <w:tc>
          <w:tcPr>
            <w:tcW w:w="539" w:type="dxa"/>
            <w:tcBorders>
              <w:top w:val="single" w:color="000000" w:sz="8" w:space="0"/>
              <w:left w:val="single" w:color="000000" w:sz="8" w:space="0"/>
              <w:bottom w:val="single" w:color="000000" w:sz="6" w:space="0"/>
              <w:right w:val="single" w:color="000000" w:sz="6" w:space="0"/>
            </w:tcBorders>
            <w:noWrap w:val="0"/>
            <w:vAlign w:val="center"/>
          </w:tcPr>
          <w:p w14:paraId="08115550">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序号</w:t>
            </w:r>
          </w:p>
        </w:tc>
        <w:tc>
          <w:tcPr>
            <w:tcW w:w="2520" w:type="dxa"/>
            <w:tcBorders>
              <w:top w:val="single" w:color="000000" w:sz="8" w:space="0"/>
              <w:left w:val="single" w:color="000000" w:sz="6" w:space="0"/>
              <w:bottom w:val="single" w:color="000000" w:sz="6" w:space="0"/>
              <w:right w:val="single" w:color="000000" w:sz="6" w:space="0"/>
            </w:tcBorders>
            <w:noWrap w:val="0"/>
            <w:vAlign w:val="center"/>
          </w:tcPr>
          <w:p w14:paraId="4DBC0238">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en-US" w:eastAsia="zh-CN"/>
              </w:rPr>
              <w:t>服务内容</w:t>
            </w:r>
          </w:p>
        </w:tc>
        <w:tc>
          <w:tcPr>
            <w:tcW w:w="1825" w:type="dxa"/>
            <w:tcBorders>
              <w:top w:val="single" w:color="000000" w:sz="8" w:space="0"/>
              <w:left w:val="single" w:color="000000" w:sz="6" w:space="0"/>
              <w:bottom w:val="single" w:color="000000" w:sz="6" w:space="0"/>
              <w:right w:val="single" w:color="000000" w:sz="6" w:space="0"/>
            </w:tcBorders>
            <w:noWrap w:val="0"/>
            <w:vAlign w:val="center"/>
          </w:tcPr>
          <w:p w14:paraId="2B55F6FF">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eastAsia="zh-CN"/>
              </w:rPr>
            </w:pPr>
            <w:r>
              <w:rPr>
                <w:rFonts w:hint="eastAsia" w:ascii="宋体" w:hAnsi="宋体" w:eastAsia="宋体" w:cs="宋体"/>
                <w:color w:val="auto"/>
                <w:kern w:val="0"/>
                <w:sz w:val="24"/>
                <w:szCs w:val="24"/>
                <w:lang w:val="en-US" w:eastAsia="zh-CN"/>
              </w:rPr>
              <w:t>服务商</w:t>
            </w:r>
          </w:p>
        </w:tc>
        <w:tc>
          <w:tcPr>
            <w:tcW w:w="1057" w:type="dxa"/>
            <w:tcBorders>
              <w:top w:val="single" w:color="000000" w:sz="8" w:space="0"/>
              <w:left w:val="single" w:color="000000" w:sz="6" w:space="0"/>
              <w:bottom w:val="single" w:color="000000" w:sz="6" w:space="0"/>
              <w:right w:val="single" w:color="000000" w:sz="6" w:space="0"/>
            </w:tcBorders>
            <w:noWrap w:val="0"/>
            <w:vAlign w:val="center"/>
          </w:tcPr>
          <w:p w14:paraId="785C0C8B">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rPr>
              <w:t>数量</w:t>
            </w:r>
          </w:p>
        </w:tc>
        <w:tc>
          <w:tcPr>
            <w:tcW w:w="1025" w:type="dxa"/>
            <w:tcBorders>
              <w:top w:val="single" w:color="000000" w:sz="8" w:space="0"/>
              <w:left w:val="single" w:color="000000" w:sz="6" w:space="0"/>
              <w:bottom w:val="single" w:color="000000" w:sz="6" w:space="0"/>
              <w:right w:val="single" w:color="000000" w:sz="6" w:space="0"/>
            </w:tcBorders>
            <w:noWrap w:val="0"/>
            <w:vAlign w:val="center"/>
          </w:tcPr>
          <w:p w14:paraId="4424D208">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zh-CN"/>
              </w:rPr>
              <w:t>单位</w:t>
            </w:r>
          </w:p>
        </w:tc>
        <w:tc>
          <w:tcPr>
            <w:tcW w:w="1050" w:type="dxa"/>
            <w:tcBorders>
              <w:top w:val="single" w:color="000000" w:sz="8" w:space="0"/>
              <w:left w:val="single" w:color="000000" w:sz="6" w:space="0"/>
              <w:bottom w:val="single" w:color="000000" w:sz="6" w:space="0"/>
              <w:right w:val="single" w:color="000000" w:sz="6" w:space="0"/>
            </w:tcBorders>
            <w:noWrap w:val="0"/>
            <w:vAlign w:val="center"/>
          </w:tcPr>
          <w:p w14:paraId="3C1A3803">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rPr>
              <w:t>单价（</w:t>
            </w:r>
            <w:r>
              <w:rPr>
                <w:rFonts w:hint="eastAsia" w:ascii="宋体" w:hAnsi="宋体" w:eastAsia="宋体" w:cs="宋体"/>
                <w:color w:val="auto"/>
                <w:kern w:val="0"/>
                <w:sz w:val="24"/>
                <w:szCs w:val="24"/>
                <w:lang w:val="en-US" w:eastAsia="zh-CN"/>
              </w:rPr>
              <w:t>元</w:t>
            </w:r>
            <w:r>
              <w:rPr>
                <w:rFonts w:hint="eastAsia" w:ascii="宋体" w:hAnsi="宋体" w:eastAsia="宋体" w:cs="宋体"/>
                <w:color w:val="auto"/>
                <w:kern w:val="0"/>
                <w:sz w:val="24"/>
                <w:szCs w:val="24"/>
                <w:lang w:val="zh-CN"/>
              </w:rPr>
              <w:t>）</w:t>
            </w:r>
          </w:p>
        </w:tc>
        <w:tc>
          <w:tcPr>
            <w:tcW w:w="1119" w:type="dxa"/>
            <w:tcBorders>
              <w:top w:val="single" w:color="000000" w:sz="8" w:space="0"/>
              <w:left w:val="single" w:color="000000" w:sz="6" w:space="0"/>
              <w:bottom w:val="single" w:color="000000" w:sz="6" w:space="0"/>
              <w:right w:val="single" w:color="000000" w:sz="6" w:space="0"/>
            </w:tcBorders>
            <w:noWrap w:val="0"/>
            <w:vAlign w:val="center"/>
          </w:tcPr>
          <w:p w14:paraId="1F0338C4">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rPr>
              <w:t>合计（</w:t>
            </w:r>
            <w:r>
              <w:rPr>
                <w:rFonts w:hint="eastAsia" w:ascii="宋体" w:hAnsi="宋体" w:eastAsia="宋体" w:cs="宋体"/>
                <w:color w:val="auto"/>
                <w:kern w:val="0"/>
                <w:sz w:val="24"/>
                <w:szCs w:val="24"/>
                <w:lang w:val="en-US" w:eastAsia="zh-CN"/>
              </w:rPr>
              <w:t>元</w:t>
            </w:r>
            <w:r>
              <w:rPr>
                <w:rFonts w:hint="eastAsia" w:ascii="宋体" w:hAnsi="宋体" w:eastAsia="宋体" w:cs="宋体"/>
                <w:color w:val="auto"/>
                <w:kern w:val="0"/>
                <w:sz w:val="24"/>
                <w:szCs w:val="24"/>
                <w:lang w:val="zh-CN"/>
              </w:rPr>
              <w:t>）</w:t>
            </w:r>
          </w:p>
        </w:tc>
        <w:tc>
          <w:tcPr>
            <w:tcW w:w="1070" w:type="dxa"/>
            <w:tcBorders>
              <w:top w:val="single" w:color="000000" w:sz="8" w:space="0"/>
              <w:left w:val="single" w:color="000000" w:sz="6" w:space="0"/>
              <w:bottom w:val="single" w:color="000000" w:sz="6" w:space="0"/>
              <w:right w:val="single" w:color="000000" w:sz="8" w:space="0"/>
            </w:tcBorders>
            <w:noWrap w:val="0"/>
            <w:vAlign w:val="center"/>
          </w:tcPr>
          <w:p w14:paraId="25AF6ED0">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sz w:val="24"/>
                <w:szCs w:val="24"/>
                <w:lang w:val="en-US" w:eastAsia="zh-CN"/>
              </w:rPr>
              <w:t>备注</w:t>
            </w:r>
          </w:p>
        </w:tc>
      </w:tr>
      <w:tr w14:paraId="42B63837">
        <w:tblPrEx>
          <w:tblCellMar>
            <w:top w:w="0" w:type="dxa"/>
            <w:left w:w="28" w:type="dxa"/>
            <w:bottom w:w="0" w:type="dxa"/>
            <w:right w:w="28" w:type="dxa"/>
          </w:tblCellMar>
        </w:tblPrEx>
        <w:trPr>
          <w:trHeight w:val="23" w:hRule="atLeast"/>
          <w:jc w:val="center"/>
        </w:trPr>
        <w:tc>
          <w:tcPr>
            <w:tcW w:w="539" w:type="dxa"/>
            <w:tcBorders>
              <w:top w:val="single" w:color="000000" w:sz="6" w:space="0"/>
              <w:left w:val="single" w:color="000000" w:sz="8" w:space="0"/>
              <w:bottom w:val="single" w:color="000000" w:sz="6" w:space="0"/>
              <w:right w:val="single" w:color="000000" w:sz="6" w:space="0"/>
            </w:tcBorders>
            <w:noWrap w:val="0"/>
            <w:vAlign w:val="center"/>
          </w:tcPr>
          <w:p w14:paraId="53BD07D2">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1</w:t>
            </w:r>
          </w:p>
        </w:tc>
        <w:tc>
          <w:tcPr>
            <w:tcW w:w="2520" w:type="dxa"/>
            <w:tcBorders>
              <w:top w:val="single" w:color="000000" w:sz="6" w:space="0"/>
              <w:left w:val="single" w:color="000000" w:sz="6" w:space="0"/>
              <w:bottom w:val="single" w:color="000000" w:sz="6" w:space="0"/>
              <w:right w:val="single" w:color="000000" w:sz="6" w:space="0"/>
            </w:tcBorders>
            <w:noWrap w:val="0"/>
            <w:vAlign w:val="center"/>
          </w:tcPr>
          <w:p w14:paraId="107F48D6">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825" w:type="dxa"/>
            <w:tcBorders>
              <w:top w:val="single" w:color="000000" w:sz="6" w:space="0"/>
              <w:left w:val="single" w:color="000000" w:sz="6" w:space="0"/>
              <w:bottom w:val="single" w:color="000000" w:sz="6" w:space="0"/>
              <w:right w:val="single" w:color="000000" w:sz="6" w:space="0"/>
            </w:tcBorders>
            <w:noWrap w:val="0"/>
            <w:vAlign w:val="center"/>
          </w:tcPr>
          <w:p w14:paraId="254C6B68">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57" w:type="dxa"/>
            <w:tcBorders>
              <w:top w:val="single" w:color="000000" w:sz="6" w:space="0"/>
              <w:left w:val="single" w:color="000000" w:sz="6" w:space="0"/>
              <w:bottom w:val="single" w:color="000000" w:sz="6" w:space="0"/>
              <w:right w:val="single" w:color="000000" w:sz="6" w:space="0"/>
            </w:tcBorders>
            <w:noWrap w:val="0"/>
            <w:vAlign w:val="center"/>
          </w:tcPr>
          <w:p w14:paraId="2F0F92E3">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25" w:type="dxa"/>
            <w:tcBorders>
              <w:top w:val="single" w:color="000000" w:sz="6" w:space="0"/>
              <w:left w:val="single" w:color="000000" w:sz="6" w:space="0"/>
              <w:bottom w:val="single" w:color="000000" w:sz="6" w:space="0"/>
              <w:right w:val="single" w:color="000000" w:sz="6" w:space="0"/>
            </w:tcBorders>
            <w:noWrap w:val="0"/>
            <w:vAlign w:val="center"/>
          </w:tcPr>
          <w:p w14:paraId="60237E15">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50" w:type="dxa"/>
            <w:tcBorders>
              <w:top w:val="single" w:color="000000" w:sz="6" w:space="0"/>
              <w:left w:val="single" w:color="000000" w:sz="6" w:space="0"/>
              <w:bottom w:val="single" w:color="000000" w:sz="6" w:space="0"/>
              <w:right w:val="single" w:color="000000" w:sz="6" w:space="0"/>
            </w:tcBorders>
            <w:noWrap w:val="0"/>
            <w:vAlign w:val="center"/>
          </w:tcPr>
          <w:p w14:paraId="4791B43E">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119" w:type="dxa"/>
            <w:tcBorders>
              <w:top w:val="single" w:color="000000" w:sz="6" w:space="0"/>
              <w:left w:val="single" w:color="000000" w:sz="6" w:space="0"/>
              <w:bottom w:val="single" w:color="000000" w:sz="6" w:space="0"/>
              <w:right w:val="single" w:color="000000" w:sz="6" w:space="0"/>
            </w:tcBorders>
            <w:noWrap w:val="0"/>
            <w:vAlign w:val="center"/>
          </w:tcPr>
          <w:p w14:paraId="33609D63">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70" w:type="dxa"/>
            <w:tcBorders>
              <w:top w:val="single" w:color="000000" w:sz="6" w:space="0"/>
              <w:left w:val="single" w:color="000000" w:sz="6" w:space="0"/>
              <w:bottom w:val="single" w:color="000000" w:sz="6" w:space="0"/>
              <w:right w:val="single" w:color="000000" w:sz="8" w:space="0"/>
            </w:tcBorders>
            <w:noWrap w:val="0"/>
            <w:vAlign w:val="center"/>
          </w:tcPr>
          <w:p w14:paraId="448BFC8F">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r>
      <w:tr w14:paraId="3035E761">
        <w:tblPrEx>
          <w:tblCellMar>
            <w:top w:w="0" w:type="dxa"/>
            <w:left w:w="28" w:type="dxa"/>
            <w:bottom w:w="0" w:type="dxa"/>
            <w:right w:w="28" w:type="dxa"/>
          </w:tblCellMar>
        </w:tblPrEx>
        <w:trPr>
          <w:trHeight w:val="23" w:hRule="atLeast"/>
          <w:jc w:val="center"/>
        </w:trPr>
        <w:tc>
          <w:tcPr>
            <w:tcW w:w="539" w:type="dxa"/>
            <w:tcBorders>
              <w:top w:val="single" w:color="000000" w:sz="6" w:space="0"/>
              <w:left w:val="single" w:color="000000" w:sz="8" w:space="0"/>
              <w:bottom w:val="single" w:color="000000" w:sz="6" w:space="0"/>
              <w:right w:val="single" w:color="000000" w:sz="6" w:space="0"/>
            </w:tcBorders>
            <w:noWrap w:val="0"/>
            <w:vAlign w:val="center"/>
          </w:tcPr>
          <w:p w14:paraId="44C96148">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2</w:t>
            </w:r>
          </w:p>
        </w:tc>
        <w:tc>
          <w:tcPr>
            <w:tcW w:w="2520" w:type="dxa"/>
            <w:tcBorders>
              <w:top w:val="single" w:color="000000" w:sz="6" w:space="0"/>
              <w:left w:val="single" w:color="000000" w:sz="6" w:space="0"/>
              <w:bottom w:val="single" w:color="000000" w:sz="6" w:space="0"/>
              <w:right w:val="single" w:color="000000" w:sz="6" w:space="0"/>
            </w:tcBorders>
            <w:noWrap w:val="0"/>
            <w:vAlign w:val="center"/>
          </w:tcPr>
          <w:p w14:paraId="7DF678E8">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825" w:type="dxa"/>
            <w:tcBorders>
              <w:top w:val="single" w:color="000000" w:sz="6" w:space="0"/>
              <w:left w:val="single" w:color="000000" w:sz="6" w:space="0"/>
              <w:bottom w:val="single" w:color="000000" w:sz="6" w:space="0"/>
              <w:right w:val="single" w:color="000000" w:sz="6" w:space="0"/>
            </w:tcBorders>
            <w:noWrap w:val="0"/>
            <w:vAlign w:val="center"/>
          </w:tcPr>
          <w:p w14:paraId="1DF2629A">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57" w:type="dxa"/>
            <w:tcBorders>
              <w:top w:val="single" w:color="000000" w:sz="6" w:space="0"/>
              <w:left w:val="single" w:color="000000" w:sz="6" w:space="0"/>
              <w:bottom w:val="single" w:color="000000" w:sz="6" w:space="0"/>
              <w:right w:val="single" w:color="000000" w:sz="6" w:space="0"/>
            </w:tcBorders>
            <w:noWrap w:val="0"/>
            <w:vAlign w:val="center"/>
          </w:tcPr>
          <w:p w14:paraId="4A96100B">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25" w:type="dxa"/>
            <w:tcBorders>
              <w:top w:val="single" w:color="000000" w:sz="6" w:space="0"/>
              <w:left w:val="single" w:color="000000" w:sz="6" w:space="0"/>
              <w:bottom w:val="single" w:color="000000" w:sz="6" w:space="0"/>
              <w:right w:val="single" w:color="000000" w:sz="6" w:space="0"/>
            </w:tcBorders>
            <w:noWrap w:val="0"/>
            <w:vAlign w:val="center"/>
          </w:tcPr>
          <w:p w14:paraId="69114CC3">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50" w:type="dxa"/>
            <w:tcBorders>
              <w:top w:val="single" w:color="000000" w:sz="6" w:space="0"/>
              <w:left w:val="single" w:color="000000" w:sz="6" w:space="0"/>
              <w:bottom w:val="single" w:color="000000" w:sz="6" w:space="0"/>
              <w:right w:val="single" w:color="000000" w:sz="6" w:space="0"/>
            </w:tcBorders>
            <w:noWrap w:val="0"/>
            <w:vAlign w:val="center"/>
          </w:tcPr>
          <w:p w14:paraId="480001E4">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119" w:type="dxa"/>
            <w:tcBorders>
              <w:top w:val="single" w:color="000000" w:sz="6" w:space="0"/>
              <w:left w:val="single" w:color="000000" w:sz="6" w:space="0"/>
              <w:bottom w:val="single" w:color="000000" w:sz="6" w:space="0"/>
              <w:right w:val="single" w:color="000000" w:sz="6" w:space="0"/>
            </w:tcBorders>
            <w:noWrap w:val="0"/>
            <w:vAlign w:val="center"/>
          </w:tcPr>
          <w:p w14:paraId="180396F4">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70" w:type="dxa"/>
            <w:tcBorders>
              <w:top w:val="single" w:color="000000" w:sz="6" w:space="0"/>
              <w:left w:val="single" w:color="000000" w:sz="6" w:space="0"/>
              <w:bottom w:val="single" w:color="000000" w:sz="6" w:space="0"/>
              <w:right w:val="single" w:color="000000" w:sz="8" w:space="0"/>
            </w:tcBorders>
            <w:noWrap w:val="0"/>
            <w:vAlign w:val="center"/>
          </w:tcPr>
          <w:p w14:paraId="78EAEE07">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r>
      <w:tr w14:paraId="543B40C0">
        <w:tblPrEx>
          <w:tblCellMar>
            <w:top w:w="0" w:type="dxa"/>
            <w:left w:w="28" w:type="dxa"/>
            <w:bottom w:w="0" w:type="dxa"/>
            <w:right w:w="28" w:type="dxa"/>
          </w:tblCellMar>
        </w:tblPrEx>
        <w:trPr>
          <w:trHeight w:val="23" w:hRule="atLeast"/>
          <w:jc w:val="center"/>
        </w:trPr>
        <w:tc>
          <w:tcPr>
            <w:tcW w:w="539" w:type="dxa"/>
            <w:tcBorders>
              <w:top w:val="single" w:color="000000" w:sz="6" w:space="0"/>
              <w:left w:val="single" w:color="000000" w:sz="8" w:space="0"/>
              <w:bottom w:val="single" w:color="000000" w:sz="6" w:space="0"/>
              <w:right w:val="single" w:color="000000" w:sz="6" w:space="0"/>
            </w:tcBorders>
            <w:noWrap w:val="0"/>
            <w:vAlign w:val="center"/>
          </w:tcPr>
          <w:p w14:paraId="07AB015A">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3</w:t>
            </w:r>
          </w:p>
        </w:tc>
        <w:tc>
          <w:tcPr>
            <w:tcW w:w="2520" w:type="dxa"/>
            <w:tcBorders>
              <w:top w:val="single" w:color="000000" w:sz="6" w:space="0"/>
              <w:left w:val="single" w:color="000000" w:sz="6" w:space="0"/>
              <w:bottom w:val="single" w:color="000000" w:sz="6" w:space="0"/>
              <w:right w:val="single" w:color="000000" w:sz="6" w:space="0"/>
            </w:tcBorders>
            <w:noWrap w:val="0"/>
            <w:vAlign w:val="center"/>
          </w:tcPr>
          <w:p w14:paraId="20035FC8">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825" w:type="dxa"/>
            <w:tcBorders>
              <w:top w:val="single" w:color="000000" w:sz="6" w:space="0"/>
              <w:left w:val="single" w:color="000000" w:sz="6" w:space="0"/>
              <w:bottom w:val="single" w:color="000000" w:sz="6" w:space="0"/>
              <w:right w:val="single" w:color="000000" w:sz="6" w:space="0"/>
            </w:tcBorders>
            <w:noWrap w:val="0"/>
            <w:vAlign w:val="center"/>
          </w:tcPr>
          <w:p w14:paraId="2DBAB113">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57" w:type="dxa"/>
            <w:tcBorders>
              <w:top w:val="single" w:color="000000" w:sz="6" w:space="0"/>
              <w:left w:val="single" w:color="000000" w:sz="6" w:space="0"/>
              <w:bottom w:val="single" w:color="000000" w:sz="6" w:space="0"/>
              <w:right w:val="single" w:color="000000" w:sz="6" w:space="0"/>
            </w:tcBorders>
            <w:noWrap w:val="0"/>
            <w:vAlign w:val="center"/>
          </w:tcPr>
          <w:p w14:paraId="577891AE">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25" w:type="dxa"/>
            <w:tcBorders>
              <w:top w:val="single" w:color="000000" w:sz="6" w:space="0"/>
              <w:left w:val="single" w:color="000000" w:sz="6" w:space="0"/>
              <w:bottom w:val="single" w:color="000000" w:sz="6" w:space="0"/>
              <w:right w:val="single" w:color="000000" w:sz="6" w:space="0"/>
            </w:tcBorders>
            <w:noWrap w:val="0"/>
            <w:vAlign w:val="center"/>
          </w:tcPr>
          <w:p w14:paraId="1B8DA9FC">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50" w:type="dxa"/>
            <w:tcBorders>
              <w:top w:val="single" w:color="000000" w:sz="6" w:space="0"/>
              <w:left w:val="single" w:color="000000" w:sz="6" w:space="0"/>
              <w:bottom w:val="single" w:color="000000" w:sz="6" w:space="0"/>
              <w:right w:val="single" w:color="000000" w:sz="6" w:space="0"/>
            </w:tcBorders>
            <w:noWrap w:val="0"/>
            <w:vAlign w:val="center"/>
          </w:tcPr>
          <w:p w14:paraId="6CCFC37A">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119" w:type="dxa"/>
            <w:tcBorders>
              <w:top w:val="single" w:color="000000" w:sz="6" w:space="0"/>
              <w:left w:val="single" w:color="000000" w:sz="6" w:space="0"/>
              <w:bottom w:val="single" w:color="000000" w:sz="6" w:space="0"/>
              <w:right w:val="single" w:color="000000" w:sz="6" w:space="0"/>
            </w:tcBorders>
            <w:noWrap w:val="0"/>
            <w:vAlign w:val="center"/>
          </w:tcPr>
          <w:p w14:paraId="511EAD43">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70" w:type="dxa"/>
            <w:tcBorders>
              <w:top w:val="single" w:color="000000" w:sz="6" w:space="0"/>
              <w:left w:val="single" w:color="000000" w:sz="6" w:space="0"/>
              <w:bottom w:val="single" w:color="000000" w:sz="6" w:space="0"/>
              <w:right w:val="single" w:color="000000" w:sz="8" w:space="0"/>
            </w:tcBorders>
            <w:noWrap w:val="0"/>
            <w:vAlign w:val="center"/>
          </w:tcPr>
          <w:p w14:paraId="1E91659A">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r>
      <w:tr w14:paraId="1001DA15">
        <w:tblPrEx>
          <w:tblCellMar>
            <w:top w:w="0" w:type="dxa"/>
            <w:left w:w="28" w:type="dxa"/>
            <w:bottom w:w="0" w:type="dxa"/>
            <w:right w:w="28" w:type="dxa"/>
          </w:tblCellMar>
        </w:tblPrEx>
        <w:trPr>
          <w:trHeight w:val="23" w:hRule="atLeast"/>
          <w:jc w:val="center"/>
        </w:trPr>
        <w:tc>
          <w:tcPr>
            <w:tcW w:w="539" w:type="dxa"/>
            <w:tcBorders>
              <w:top w:val="single" w:color="000000" w:sz="6" w:space="0"/>
              <w:left w:val="single" w:color="000000" w:sz="8" w:space="0"/>
              <w:bottom w:val="single" w:color="000000" w:sz="6" w:space="0"/>
              <w:right w:val="single" w:color="000000" w:sz="6" w:space="0"/>
            </w:tcBorders>
            <w:noWrap w:val="0"/>
            <w:vAlign w:val="center"/>
          </w:tcPr>
          <w:p w14:paraId="35F14562">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4</w:t>
            </w:r>
          </w:p>
        </w:tc>
        <w:tc>
          <w:tcPr>
            <w:tcW w:w="2520" w:type="dxa"/>
            <w:tcBorders>
              <w:top w:val="single" w:color="000000" w:sz="6" w:space="0"/>
              <w:left w:val="single" w:color="000000" w:sz="6" w:space="0"/>
              <w:bottom w:val="single" w:color="000000" w:sz="6" w:space="0"/>
              <w:right w:val="single" w:color="000000" w:sz="6" w:space="0"/>
            </w:tcBorders>
            <w:noWrap w:val="0"/>
            <w:vAlign w:val="center"/>
          </w:tcPr>
          <w:p w14:paraId="3BFB11D0">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825" w:type="dxa"/>
            <w:tcBorders>
              <w:top w:val="single" w:color="000000" w:sz="6" w:space="0"/>
              <w:left w:val="single" w:color="000000" w:sz="6" w:space="0"/>
              <w:bottom w:val="single" w:color="000000" w:sz="6" w:space="0"/>
              <w:right w:val="single" w:color="000000" w:sz="6" w:space="0"/>
            </w:tcBorders>
            <w:noWrap w:val="0"/>
            <w:vAlign w:val="center"/>
          </w:tcPr>
          <w:p w14:paraId="4530DE84">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57" w:type="dxa"/>
            <w:tcBorders>
              <w:top w:val="single" w:color="000000" w:sz="6" w:space="0"/>
              <w:left w:val="single" w:color="000000" w:sz="6" w:space="0"/>
              <w:bottom w:val="single" w:color="000000" w:sz="6" w:space="0"/>
              <w:right w:val="single" w:color="000000" w:sz="6" w:space="0"/>
            </w:tcBorders>
            <w:noWrap w:val="0"/>
            <w:vAlign w:val="center"/>
          </w:tcPr>
          <w:p w14:paraId="37ABA39E">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25" w:type="dxa"/>
            <w:tcBorders>
              <w:top w:val="single" w:color="000000" w:sz="6" w:space="0"/>
              <w:left w:val="single" w:color="000000" w:sz="6" w:space="0"/>
              <w:bottom w:val="single" w:color="000000" w:sz="6" w:space="0"/>
              <w:right w:val="single" w:color="000000" w:sz="6" w:space="0"/>
            </w:tcBorders>
            <w:noWrap w:val="0"/>
            <w:vAlign w:val="center"/>
          </w:tcPr>
          <w:p w14:paraId="1176A5A8">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50" w:type="dxa"/>
            <w:tcBorders>
              <w:top w:val="single" w:color="000000" w:sz="6" w:space="0"/>
              <w:left w:val="single" w:color="000000" w:sz="6" w:space="0"/>
              <w:bottom w:val="single" w:color="000000" w:sz="6" w:space="0"/>
              <w:right w:val="single" w:color="000000" w:sz="6" w:space="0"/>
            </w:tcBorders>
            <w:noWrap w:val="0"/>
            <w:vAlign w:val="center"/>
          </w:tcPr>
          <w:p w14:paraId="2F69135F">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119" w:type="dxa"/>
            <w:tcBorders>
              <w:top w:val="single" w:color="000000" w:sz="6" w:space="0"/>
              <w:left w:val="single" w:color="000000" w:sz="6" w:space="0"/>
              <w:bottom w:val="single" w:color="000000" w:sz="6" w:space="0"/>
              <w:right w:val="single" w:color="000000" w:sz="6" w:space="0"/>
            </w:tcBorders>
            <w:noWrap w:val="0"/>
            <w:vAlign w:val="center"/>
          </w:tcPr>
          <w:p w14:paraId="0B045731">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70" w:type="dxa"/>
            <w:tcBorders>
              <w:top w:val="single" w:color="000000" w:sz="6" w:space="0"/>
              <w:left w:val="single" w:color="000000" w:sz="6" w:space="0"/>
              <w:bottom w:val="single" w:color="000000" w:sz="6" w:space="0"/>
              <w:right w:val="single" w:color="000000" w:sz="8" w:space="0"/>
            </w:tcBorders>
            <w:noWrap w:val="0"/>
            <w:vAlign w:val="center"/>
          </w:tcPr>
          <w:p w14:paraId="42A7B9AF">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r>
      <w:tr w14:paraId="014372D0">
        <w:tblPrEx>
          <w:tblCellMar>
            <w:top w:w="0" w:type="dxa"/>
            <w:left w:w="28" w:type="dxa"/>
            <w:bottom w:w="0" w:type="dxa"/>
            <w:right w:w="28" w:type="dxa"/>
          </w:tblCellMar>
        </w:tblPrEx>
        <w:trPr>
          <w:trHeight w:val="23" w:hRule="atLeast"/>
          <w:jc w:val="center"/>
        </w:trPr>
        <w:tc>
          <w:tcPr>
            <w:tcW w:w="539" w:type="dxa"/>
            <w:tcBorders>
              <w:top w:val="single" w:color="000000" w:sz="6" w:space="0"/>
              <w:left w:val="single" w:color="000000" w:sz="8" w:space="0"/>
              <w:bottom w:val="single" w:color="000000" w:sz="6" w:space="0"/>
              <w:right w:val="single" w:color="000000" w:sz="6" w:space="0"/>
            </w:tcBorders>
            <w:noWrap w:val="0"/>
            <w:vAlign w:val="center"/>
          </w:tcPr>
          <w:p w14:paraId="70FE4E78">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w:t>
            </w:r>
          </w:p>
        </w:tc>
        <w:tc>
          <w:tcPr>
            <w:tcW w:w="2520" w:type="dxa"/>
            <w:tcBorders>
              <w:top w:val="single" w:color="000000" w:sz="6" w:space="0"/>
              <w:left w:val="single" w:color="000000" w:sz="6" w:space="0"/>
              <w:bottom w:val="single" w:color="000000" w:sz="6" w:space="0"/>
              <w:right w:val="single" w:color="000000" w:sz="6" w:space="0"/>
            </w:tcBorders>
            <w:noWrap w:val="0"/>
            <w:vAlign w:val="center"/>
          </w:tcPr>
          <w:p w14:paraId="1C6436D5">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825" w:type="dxa"/>
            <w:tcBorders>
              <w:top w:val="single" w:color="000000" w:sz="6" w:space="0"/>
              <w:left w:val="single" w:color="000000" w:sz="6" w:space="0"/>
              <w:bottom w:val="single" w:color="000000" w:sz="6" w:space="0"/>
              <w:right w:val="single" w:color="000000" w:sz="6" w:space="0"/>
            </w:tcBorders>
            <w:noWrap w:val="0"/>
            <w:vAlign w:val="center"/>
          </w:tcPr>
          <w:p w14:paraId="217FC8D5">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57" w:type="dxa"/>
            <w:tcBorders>
              <w:top w:val="single" w:color="000000" w:sz="6" w:space="0"/>
              <w:left w:val="single" w:color="000000" w:sz="6" w:space="0"/>
              <w:bottom w:val="single" w:color="000000" w:sz="6" w:space="0"/>
              <w:right w:val="single" w:color="000000" w:sz="6" w:space="0"/>
            </w:tcBorders>
            <w:noWrap w:val="0"/>
            <w:vAlign w:val="center"/>
          </w:tcPr>
          <w:p w14:paraId="16108F77">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25" w:type="dxa"/>
            <w:tcBorders>
              <w:top w:val="single" w:color="000000" w:sz="6" w:space="0"/>
              <w:left w:val="single" w:color="000000" w:sz="6" w:space="0"/>
              <w:bottom w:val="single" w:color="000000" w:sz="6" w:space="0"/>
              <w:right w:val="single" w:color="000000" w:sz="6" w:space="0"/>
            </w:tcBorders>
            <w:noWrap w:val="0"/>
            <w:vAlign w:val="center"/>
          </w:tcPr>
          <w:p w14:paraId="08109D06">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50" w:type="dxa"/>
            <w:tcBorders>
              <w:top w:val="single" w:color="000000" w:sz="6" w:space="0"/>
              <w:left w:val="single" w:color="000000" w:sz="6" w:space="0"/>
              <w:bottom w:val="single" w:color="000000" w:sz="6" w:space="0"/>
              <w:right w:val="single" w:color="000000" w:sz="6" w:space="0"/>
            </w:tcBorders>
            <w:noWrap w:val="0"/>
            <w:vAlign w:val="center"/>
          </w:tcPr>
          <w:p w14:paraId="20033870">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119" w:type="dxa"/>
            <w:tcBorders>
              <w:top w:val="single" w:color="000000" w:sz="6" w:space="0"/>
              <w:left w:val="single" w:color="000000" w:sz="6" w:space="0"/>
              <w:bottom w:val="single" w:color="000000" w:sz="6" w:space="0"/>
              <w:right w:val="single" w:color="000000" w:sz="6" w:space="0"/>
            </w:tcBorders>
            <w:noWrap w:val="0"/>
            <w:vAlign w:val="center"/>
          </w:tcPr>
          <w:p w14:paraId="05BC6711">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c>
          <w:tcPr>
            <w:tcW w:w="1070" w:type="dxa"/>
            <w:tcBorders>
              <w:top w:val="single" w:color="000000" w:sz="6" w:space="0"/>
              <w:left w:val="single" w:color="000000" w:sz="6" w:space="0"/>
              <w:bottom w:val="single" w:color="000000" w:sz="6" w:space="0"/>
              <w:right w:val="single" w:color="000000" w:sz="8" w:space="0"/>
            </w:tcBorders>
            <w:noWrap w:val="0"/>
            <w:vAlign w:val="center"/>
          </w:tcPr>
          <w:p w14:paraId="7ED8A0A5">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p>
        </w:tc>
      </w:tr>
      <w:tr w14:paraId="008B8286">
        <w:tblPrEx>
          <w:tblCellMar>
            <w:top w:w="0" w:type="dxa"/>
            <w:left w:w="28" w:type="dxa"/>
            <w:bottom w:w="0" w:type="dxa"/>
            <w:right w:w="28" w:type="dxa"/>
          </w:tblCellMar>
        </w:tblPrEx>
        <w:trPr>
          <w:trHeight w:val="23" w:hRule="atLeast"/>
          <w:jc w:val="center"/>
        </w:trPr>
        <w:tc>
          <w:tcPr>
            <w:tcW w:w="3059" w:type="dxa"/>
            <w:gridSpan w:val="2"/>
            <w:tcBorders>
              <w:top w:val="single" w:color="000000" w:sz="6" w:space="0"/>
              <w:left w:val="single" w:color="000000" w:sz="8" w:space="0"/>
              <w:bottom w:val="single" w:color="000000" w:sz="8" w:space="0"/>
              <w:right w:val="single" w:color="000000" w:sz="6" w:space="0"/>
            </w:tcBorders>
            <w:noWrap w:val="0"/>
            <w:vAlign w:val="center"/>
          </w:tcPr>
          <w:p w14:paraId="2371F749">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jc w:val="center"/>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投标总价</w:t>
            </w:r>
          </w:p>
        </w:tc>
        <w:tc>
          <w:tcPr>
            <w:tcW w:w="7146" w:type="dxa"/>
            <w:gridSpan w:val="6"/>
            <w:tcBorders>
              <w:top w:val="single" w:color="000000" w:sz="6" w:space="0"/>
              <w:left w:val="single" w:color="000000" w:sz="6" w:space="0"/>
              <w:bottom w:val="single" w:color="000000" w:sz="8" w:space="0"/>
              <w:right w:val="single" w:color="000000" w:sz="8" w:space="0"/>
            </w:tcBorders>
            <w:noWrap w:val="0"/>
            <w:vAlign w:val="center"/>
          </w:tcPr>
          <w:p w14:paraId="6F74B62D">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大写：</w:t>
            </w:r>
          </w:p>
          <w:p w14:paraId="28B5279D">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小写：</w:t>
            </w:r>
          </w:p>
        </w:tc>
      </w:tr>
    </w:tbl>
    <w:p w14:paraId="09DA620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kern w:val="0"/>
          <w:sz w:val="24"/>
          <w:szCs w:val="24"/>
          <w:lang w:val="zh-CN"/>
        </w:rPr>
      </w:pPr>
      <w:r>
        <w:rPr>
          <w:rFonts w:hint="eastAsia" w:ascii="宋体" w:hAnsi="宋体" w:eastAsia="宋体" w:cs="宋体"/>
          <w:b/>
          <w:bCs/>
          <w:color w:val="auto"/>
          <w:kern w:val="0"/>
          <w:sz w:val="24"/>
          <w:szCs w:val="24"/>
          <w:lang w:val="zh-CN"/>
        </w:rPr>
        <w:t>注：</w:t>
      </w: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zh-CN"/>
        </w:rPr>
        <w:t>本表应按照“</w:t>
      </w:r>
      <w:r>
        <w:rPr>
          <w:rFonts w:hint="eastAsia" w:ascii="宋体" w:hAnsi="宋体" w:eastAsia="宋体" w:cs="宋体"/>
          <w:b/>
          <w:bCs/>
          <w:color w:val="auto"/>
          <w:kern w:val="0"/>
          <w:sz w:val="24"/>
          <w:szCs w:val="24"/>
          <w:lang w:val="zh-CN"/>
        </w:rPr>
        <w:t>第六部分</w:t>
      </w:r>
      <w:r>
        <w:rPr>
          <w:rFonts w:hint="eastAsia" w:ascii="宋体" w:hAnsi="宋体" w:eastAsia="宋体" w:cs="宋体"/>
          <w:color w:val="auto"/>
          <w:kern w:val="0"/>
          <w:sz w:val="24"/>
          <w:szCs w:val="24"/>
          <w:lang w:val="zh-CN"/>
        </w:rPr>
        <w:t xml:space="preserve">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b/>
          <w:bCs/>
          <w:color w:val="auto"/>
          <w:kern w:val="0"/>
          <w:sz w:val="24"/>
          <w:szCs w:val="24"/>
          <w:lang w:val="zh-CN" w:eastAsia="zh-CN"/>
        </w:rPr>
        <w:t>采购项目要求</w:t>
      </w:r>
      <w:r>
        <w:rPr>
          <w:rFonts w:hint="eastAsia" w:ascii="宋体" w:hAnsi="宋体" w:eastAsia="宋体" w:cs="宋体"/>
          <w:color w:val="auto"/>
          <w:kern w:val="0"/>
          <w:sz w:val="24"/>
          <w:szCs w:val="24"/>
          <w:lang w:val="zh-CN"/>
        </w:rPr>
        <w:t>”</w:t>
      </w:r>
      <w:r>
        <w:rPr>
          <w:rFonts w:hint="eastAsia" w:ascii="宋体" w:hAnsi="宋体" w:eastAsia="宋体" w:cs="宋体"/>
          <w:color w:val="auto"/>
          <w:kern w:val="0"/>
          <w:sz w:val="24"/>
          <w:szCs w:val="24"/>
          <w:lang w:val="en-US" w:eastAsia="zh-CN"/>
        </w:rPr>
        <w:t>中</w:t>
      </w:r>
      <w:r>
        <w:rPr>
          <w:rFonts w:hint="eastAsia" w:ascii="宋体" w:hAnsi="宋体" w:eastAsia="宋体" w:cs="宋体"/>
          <w:b w:val="0"/>
          <w:bCs/>
          <w:strike w:val="0"/>
          <w:dstrike w:val="0"/>
          <w:color w:val="auto"/>
          <w:sz w:val="24"/>
          <w:szCs w:val="24"/>
          <w:lang w:val="en-US" w:eastAsia="zh-CN" w:bidi="ar-SA"/>
        </w:rPr>
        <w:t>“</w:t>
      </w:r>
      <w:r>
        <w:rPr>
          <w:rFonts w:hint="eastAsia" w:ascii="宋体" w:hAnsi="宋体" w:eastAsia="宋体" w:cs="宋体"/>
          <w:b/>
          <w:bCs w:val="0"/>
          <w:color w:val="auto"/>
          <w:sz w:val="24"/>
          <w:szCs w:val="24"/>
          <w:lang w:val="en-US" w:eastAsia="zh-CN"/>
        </w:rPr>
        <w:t>3.服务内容</w:t>
      </w:r>
      <w:r>
        <w:rPr>
          <w:rFonts w:hint="eastAsia" w:ascii="宋体" w:hAnsi="宋体" w:eastAsia="宋体" w:cs="宋体"/>
          <w:b w:val="0"/>
          <w:bCs/>
          <w:strike w:val="0"/>
          <w:dstrike w:val="0"/>
          <w:color w:val="auto"/>
          <w:sz w:val="24"/>
          <w:szCs w:val="24"/>
          <w:lang w:val="en-US" w:eastAsia="zh-CN" w:bidi="ar-SA"/>
        </w:rPr>
        <w:t>”各包的</w:t>
      </w:r>
      <w:r>
        <w:rPr>
          <w:rFonts w:hint="eastAsia" w:ascii="宋体" w:hAnsi="宋体" w:eastAsia="宋体" w:cs="宋体"/>
          <w:b w:val="0"/>
          <w:bCs/>
          <w:color w:val="auto"/>
          <w:sz w:val="24"/>
          <w:szCs w:val="24"/>
          <w:lang w:val="en-US" w:eastAsia="zh-CN"/>
        </w:rPr>
        <w:t>所含全部</w:t>
      </w:r>
      <w:r>
        <w:rPr>
          <w:rFonts w:hint="eastAsia" w:ascii="宋体" w:hAnsi="宋体" w:eastAsia="宋体" w:cs="宋体"/>
          <w:b w:val="0"/>
          <w:bCs/>
          <w:strike w:val="0"/>
          <w:dstrike w:val="0"/>
          <w:color w:val="auto"/>
          <w:sz w:val="24"/>
          <w:szCs w:val="24"/>
          <w:lang w:val="en-US" w:eastAsia="zh-CN" w:bidi="ar-SA"/>
        </w:rPr>
        <w:t>内容</w:t>
      </w:r>
      <w:r>
        <w:rPr>
          <w:rFonts w:hint="eastAsia" w:ascii="宋体" w:hAnsi="宋体" w:eastAsia="宋体" w:cs="宋体"/>
          <w:b w:val="0"/>
          <w:bCs/>
          <w:color w:val="auto"/>
          <w:kern w:val="0"/>
          <w:sz w:val="24"/>
          <w:szCs w:val="24"/>
          <w:lang w:val="zh-CN"/>
        </w:rPr>
        <w:t>填写</w:t>
      </w:r>
      <w:r>
        <w:rPr>
          <w:rFonts w:hint="eastAsia" w:ascii="宋体" w:hAnsi="宋体" w:eastAsia="宋体" w:cs="宋体"/>
          <w:color w:val="auto"/>
          <w:kern w:val="0"/>
          <w:sz w:val="24"/>
          <w:szCs w:val="24"/>
          <w:lang w:val="zh-CN"/>
        </w:rPr>
        <w:t>，</w:t>
      </w:r>
      <w:r>
        <w:rPr>
          <w:rFonts w:hint="eastAsia" w:ascii="宋体" w:hAnsi="宋体" w:eastAsia="宋体" w:cs="宋体"/>
          <w:b/>
          <w:bCs/>
          <w:color w:val="auto"/>
          <w:sz w:val="24"/>
          <w:szCs w:val="24"/>
        </w:rPr>
        <w:t>否则</w:t>
      </w:r>
      <w:r>
        <w:rPr>
          <w:rFonts w:hint="eastAsia" w:ascii="宋体" w:hAnsi="宋体" w:eastAsia="宋体" w:cs="宋体"/>
          <w:b/>
          <w:bCs/>
          <w:color w:val="auto"/>
          <w:kern w:val="0"/>
          <w:sz w:val="24"/>
          <w:szCs w:val="24"/>
          <w:lang w:eastAsia="zh-CN"/>
        </w:rPr>
        <w:t>响应无效</w:t>
      </w:r>
      <w:r>
        <w:rPr>
          <w:rFonts w:hint="eastAsia" w:ascii="宋体" w:hAnsi="宋体" w:eastAsia="宋体" w:cs="宋体"/>
          <w:b/>
          <w:bCs/>
          <w:color w:val="auto"/>
          <w:kern w:val="0"/>
          <w:sz w:val="24"/>
          <w:szCs w:val="24"/>
          <w:lang w:val="zh-CN"/>
        </w:rPr>
        <w:t>。</w:t>
      </w:r>
    </w:p>
    <w:p w14:paraId="1A85BAF3">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eastAsia" w:ascii="宋体" w:hAnsi="宋体" w:eastAsia="宋体" w:cs="宋体"/>
          <w:color w:val="auto"/>
          <w:kern w:val="0"/>
          <w:lang w:val="zh-CN"/>
        </w:rPr>
      </w:pPr>
      <w:r>
        <w:rPr>
          <w:rFonts w:hint="eastAsia" w:ascii="宋体" w:hAnsi="宋体" w:eastAsia="宋体" w:cs="宋体"/>
          <w:color w:val="auto"/>
          <w:kern w:val="0"/>
          <w:sz w:val="24"/>
          <w:szCs w:val="24"/>
        </w:rPr>
        <w:t xml:space="preserve">    2.</w:t>
      </w:r>
      <w:r>
        <w:rPr>
          <w:rFonts w:hint="eastAsia" w:ascii="宋体" w:hAnsi="宋体" w:eastAsia="宋体" w:cs="宋体"/>
          <w:color w:val="auto"/>
          <w:kern w:val="0"/>
          <w:sz w:val="24"/>
          <w:szCs w:val="24"/>
          <w:lang w:val="zh-CN"/>
        </w:rPr>
        <w:t>投标报价不能有两个或两个以上的报价方案，</w:t>
      </w:r>
      <w:r>
        <w:rPr>
          <w:rFonts w:hint="eastAsia" w:ascii="宋体" w:hAnsi="宋体" w:eastAsia="宋体" w:cs="宋体"/>
          <w:b/>
          <w:bCs/>
          <w:color w:val="auto"/>
          <w:sz w:val="24"/>
          <w:szCs w:val="24"/>
        </w:rPr>
        <w:t>否则</w:t>
      </w:r>
      <w:r>
        <w:rPr>
          <w:rFonts w:hint="eastAsia" w:ascii="宋体" w:hAnsi="宋体" w:eastAsia="宋体" w:cs="宋体"/>
          <w:b/>
          <w:bCs/>
          <w:color w:val="auto"/>
          <w:kern w:val="0"/>
          <w:sz w:val="24"/>
          <w:szCs w:val="24"/>
          <w:lang w:eastAsia="zh-CN"/>
        </w:rPr>
        <w:t>响应无效</w:t>
      </w:r>
      <w:r>
        <w:rPr>
          <w:rFonts w:hint="eastAsia" w:ascii="宋体" w:hAnsi="宋体" w:eastAsia="宋体" w:cs="宋体"/>
          <w:b/>
          <w:bCs/>
          <w:color w:val="auto"/>
          <w:kern w:val="0"/>
          <w:sz w:val="24"/>
          <w:szCs w:val="24"/>
          <w:lang w:val="zh-CN"/>
        </w:rPr>
        <w:t>。</w:t>
      </w:r>
    </w:p>
    <w:p w14:paraId="1B0B8F3F">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eastAsia" w:ascii="宋体" w:hAnsi="宋体" w:eastAsia="宋体" w:cs="宋体"/>
          <w:b/>
          <w:bCs/>
          <w:color w:val="auto"/>
          <w:kern w:val="0"/>
          <w:lang w:val="zh-CN"/>
        </w:rPr>
      </w:pPr>
    </w:p>
    <w:p w14:paraId="30EB40E7">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eastAsia" w:ascii="宋体" w:hAnsi="宋体" w:eastAsia="宋体" w:cs="宋体"/>
          <w:b/>
          <w:bCs/>
          <w:color w:val="auto"/>
          <w:kern w:val="0"/>
          <w:lang w:val="zh-CN"/>
        </w:rPr>
      </w:pPr>
    </w:p>
    <w:p w14:paraId="2F499C4B">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textAlignment w:val="auto"/>
        <w:rPr>
          <w:rFonts w:hint="eastAsia" w:ascii="宋体" w:hAnsi="宋体" w:eastAsia="宋体" w:cs="宋体"/>
          <w:color w:val="auto"/>
          <w:kern w:val="0"/>
          <w:lang w:val="zh-CN"/>
        </w:rPr>
      </w:pPr>
    </w:p>
    <w:p w14:paraId="3D708F0F">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供应商：</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（公章）</w:t>
      </w:r>
    </w:p>
    <w:p w14:paraId="1605A64B">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法定代表人或委托代理人：</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（签字或盖章）</w:t>
      </w:r>
    </w:p>
    <w:p w14:paraId="57EC3A65">
      <w:pPr>
        <w:autoSpaceDE w:val="0"/>
        <w:autoSpaceDN w:val="0"/>
        <w:spacing w:line="360" w:lineRule="auto"/>
        <w:ind w:firstLine="3373" w:firstLineChars="1400"/>
        <w:rPr>
          <w:rFonts w:hint="eastAsia" w:ascii="宋体" w:hAnsi="宋体" w:eastAsia="宋体" w:cs="宋体"/>
          <w:color w:val="auto"/>
          <w:kern w:val="0"/>
          <w:sz w:val="28"/>
          <w:szCs w:val="28"/>
          <w:lang w:val="zh-CN"/>
        </w:rPr>
      </w:pPr>
      <w:r>
        <w:rPr>
          <w:rFonts w:hint="eastAsia" w:ascii="宋体" w:hAnsi="宋体" w:eastAsia="宋体" w:cs="宋体"/>
          <w:b/>
          <w:color w:val="auto"/>
          <w:sz w:val="24"/>
          <w:szCs w:val="24"/>
        </w:rPr>
        <w:t xml:space="preserve">年   月 </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 xml:space="preserve"> 日</w:t>
      </w:r>
    </w:p>
    <w:p w14:paraId="233CEE99">
      <w:pPr>
        <w:keepNext/>
        <w:pageBreakBefore/>
        <w:widowControl/>
        <w:spacing w:line="360" w:lineRule="auto"/>
        <w:ind w:firstLine="0" w:firstLineChars="0"/>
        <w:jc w:val="left"/>
        <w:outlineLvl w:val="1"/>
        <w:rPr>
          <w:rFonts w:hint="eastAsia" w:ascii="宋体" w:hAnsi="宋体" w:eastAsia="宋体" w:cs="宋体"/>
          <w:b/>
          <w:bCs/>
          <w:color w:val="auto"/>
          <w:kern w:val="0"/>
          <w:sz w:val="36"/>
          <w:szCs w:val="36"/>
          <w:lang w:val="zh-CN"/>
        </w:rPr>
      </w:pPr>
      <w:r>
        <w:rPr>
          <w:rFonts w:hint="eastAsia" w:ascii="宋体" w:hAnsi="宋体" w:eastAsia="宋体" w:cs="宋体"/>
          <w:b/>
          <w:color w:val="auto"/>
          <w:sz w:val="24"/>
          <w:szCs w:val="24"/>
        </w:rPr>
        <w:t>附件3</w:t>
      </w: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服务</w:t>
      </w:r>
      <w:r>
        <w:rPr>
          <w:rFonts w:hint="eastAsia" w:ascii="宋体" w:hAnsi="宋体" w:eastAsia="宋体" w:cs="宋体"/>
          <w:b/>
          <w:color w:val="auto"/>
          <w:sz w:val="24"/>
          <w:szCs w:val="24"/>
          <w:lang w:val="zh-CN"/>
        </w:rPr>
        <w:t>响应表</w:t>
      </w:r>
      <w:bookmarkEnd w:id="188"/>
    </w:p>
    <w:p w14:paraId="7FEBF79D">
      <w:pPr>
        <w:autoSpaceDE w:val="0"/>
        <w:autoSpaceDN w:val="0"/>
        <w:spacing w:line="360" w:lineRule="auto"/>
        <w:ind w:firstLine="0" w:firstLineChars="0"/>
        <w:jc w:val="center"/>
        <w:rPr>
          <w:rFonts w:hint="eastAsia" w:ascii="宋体" w:hAnsi="宋体" w:eastAsia="宋体" w:cs="宋体"/>
          <w:b/>
          <w:bCs/>
          <w:color w:val="auto"/>
          <w:kern w:val="0"/>
          <w:lang w:val="zh-CN"/>
        </w:rPr>
      </w:pPr>
      <w:r>
        <w:rPr>
          <w:rFonts w:hint="eastAsia" w:ascii="宋体" w:hAnsi="宋体" w:eastAsia="宋体" w:cs="宋体"/>
          <w:b/>
          <w:bCs/>
          <w:color w:val="auto"/>
          <w:kern w:val="0"/>
          <w:sz w:val="24"/>
          <w:szCs w:val="24"/>
          <w:lang w:val="en-US" w:eastAsia="zh-CN"/>
        </w:rPr>
        <w:t>服务</w:t>
      </w:r>
      <w:r>
        <w:rPr>
          <w:rFonts w:hint="eastAsia" w:ascii="宋体" w:hAnsi="宋体" w:eastAsia="宋体" w:cs="宋体"/>
          <w:b/>
          <w:bCs/>
          <w:color w:val="auto"/>
          <w:kern w:val="0"/>
          <w:sz w:val="24"/>
          <w:szCs w:val="24"/>
          <w:lang w:val="zh-CN"/>
        </w:rPr>
        <w:t>响应表</w:t>
      </w:r>
    </w:p>
    <w:p w14:paraId="7AFBDAF0">
      <w:pPr>
        <w:pStyle w:val="2"/>
        <w:keepNext w:val="0"/>
        <w:keepLines w:val="0"/>
        <w:pageBreakBefore w:val="0"/>
        <w:widowControl w:val="0"/>
        <w:kinsoku/>
        <w:wordWrap/>
        <w:overflowPunct/>
        <w:topLinePunct w:val="0"/>
        <w:bidi w:val="0"/>
        <w:adjustRightInd/>
        <w:snapToGrid/>
        <w:ind w:left="0" w:firstLine="0" w:firstLineChars="0"/>
        <w:textAlignment w:val="auto"/>
        <w:rPr>
          <w:rFonts w:hint="eastAsia" w:ascii="宋体" w:hAnsi="宋体" w:eastAsia="宋体" w:cs="宋体"/>
          <w:b/>
          <w:bCs/>
          <w:color w:val="auto"/>
          <w:kern w:val="0"/>
          <w:lang w:val="zh-CN"/>
        </w:rPr>
      </w:pPr>
      <w:r>
        <w:rPr>
          <w:rFonts w:hint="eastAsia" w:ascii="宋体" w:hAnsi="宋体" w:eastAsia="宋体" w:cs="宋体"/>
          <w:b/>
          <w:bCs/>
          <w:color w:val="auto"/>
          <w:kern w:val="0"/>
          <w:lang w:val="en-US" w:eastAsia="zh-CN"/>
        </w:rPr>
        <w:t>供应商</w:t>
      </w:r>
      <w:r>
        <w:rPr>
          <w:rFonts w:hint="eastAsia" w:ascii="宋体" w:hAnsi="宋体" w:eastAsia="宋体" w:cs="宋体"/>
          <w:b/>
          <w:bCs/>
          <w:color w:val="auto"/>
          <w:kern w:val="0"/>
          <w:lang w:val="zh-CN"/>
        </w:rPr>
        <w:t>名称：</w:t>
      </w:r>
    </w:p>
    <w:p w14:paraId="389BD06A">
      <w:pPr>
        <w:ind w:left="0" w:leftChars="0" w:firstLine="0" w:firstLineChars="0"/>
        <w:rPr>
          <w:rFonts w:hint="default" w:ascii="宋体" w:hAnsi="宋体" w:eastAsia="宋体" w:cs="宋体"/>
          <w:b/>
          <w:bCs/>
          <w:color w:val="auto"/>
          <w:kern w:val="0"/>
          <w:sz w:val="24"/>
          <w:szCs w:val="22"/>
          <w:lang w:val="en-US" w:eastAsia="zh-CN" w:bidi="ar-SA"/>
        </w:rPr>
      </w:pPr>
      <w:r>
        <w:rPr>
          <w:rFonts w:hint="eastAsia" w:ascii="宋体" w:hAnsi="宋体" w:eastAsia="宋体" w:cs="宋体"/>
          <w:b/>
          <w:bCs/>
          <w:color w:val="auto"/>
          <w:kern w:val="0"/>
          <w:sz w:val="24"/>
          <w:szCs w:val="22"/>
          <w:lang w:val="en-US" w:eastAsia="zh-CN" w:bidi="ar-SA"/>
        </w:rPr>
        <w:t>包号：</w:t>
      </w:r>
    </w:p>
    <w:tbl>
      <w:tblPr>
        <w:tblStyle w:val="24"/>
        <w:tblW w:w="8835" w:type="dxa"/>
        <w:jc w:val="center"/>
        <w:tblLayout w:type="fixed"/>
        <w:tblCellMar>
          <w:top w:w="0" w:type="dxa"/>
          <w:left w:w="28" w:type="dxa"/>
          <w:bottom w:w="0" w:type="dxa"/>
          <w:right w:w="28" w:type="dxa"/>
        </w:tblCellMar>
      </w:tblPr>
      <w:tblGrid>
        <w:gridCol w:w="598"/>
        <w:gridCol w:w="3053"/>
        <w:gridCol w:w="3199"/>
        <w:gridCol w:w="1985"/>
      </w:tblGrid>
      <w:tr w14:paraId="6209C4FA">
        <w:tblPrEx>
          <w:tblCellMar>
            <w:top w:w="0" w:type="dxa"/>
            <w:left w:w="28" w:type="dxa"/>
            <w:bottom w:w="0" w:type="dxa"/>
            <w:right w:w="28" w:type="dxa"/>
          </w:tblCellMar>
        </w:tblPrEx>
        <w:trPr>
          <w:trHeight w:val="1" w:hRule="atLeast"/>
          <w:jc w:val="center"/>
        </w:trPr>
        <w:tc>
          <w:tcPr>
            <w:tcW w:w="598" w:type="dxa"/>
            <w:tcBorders>
              <w:top w:val="single" w:color="000000" w:sz="6" w:space="0"/>
              <w:left w:val="single" w:color="000000" w:sz="6" w:space="0"/>
              <w:bottom w:val="single" w:color="000000" w:sz="6" w:space="0"/>
              <w:right w:val="single" w:color="000000" w:sz="6" w:space="0"/>
            </w:tcBorders>
            <w:noWrap/>
            <w:vAlign w:val="top"/>
          </w:tcPr>
          <w:p w14:paraId="41BC3462">
            <w:pPr>
              <w:autoSpaceDE w:val="0"/>
              <w:autoSpaceDN w:val="0"/>
              <w:adjustRightInd w:val="0"/>
              <w:spacing w:before="40" w:after="40"/>
              <w:ind w:left="0" w:leftChars="0" w:firstLine="0" w:firstLineChars="0"/>
              <w:jc w:val="both"/>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序号</w:t>
            </w:r>
          </w:p>
        </w:tc>
        <w:tc>
          <w:tcPr>
            <w:tcW w:w="3053" w:type="dxa"/>
            <w:tcBorders>
              <w:top w:val="single" w:color="000000" w:sz="6" w:space="0"/>
              <w:left w:val="single" w:color="000000" w:sz="6" w:space="0"/>
              <w:bottom w:val="single" w:color="000000" w:sz="6" w:space="0"/>
              <w:right w:val="single" w:color="000000" w:sz="6" w:space="0"/>
            </w:tcBorders>
            <w:noWrap/>
            <w:vAlign w:val="center"/>
          </w:tcPr>
          <w:p w14:paraId="6524532B">
            <w:pPr>
              <w:autoSpaceDE w:val="0"/>
              <w:autoSpaceDN w:val="0"/>
              <w:adjustRightInd w:val="0"/>
              <w:spacing w:line="240" w:lineRule="auto"/>
              <w:ind w:firstLine="0" w:firstLineChars="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采购</w:t>
            </w:r>
            <w:r>
              <w:rPr>
                <w:rFonts w:hint="eastAsia" w:ascii="宋体" w:hAnsi="宋体" w:eastAsia="宋体" w:cs="宋体"/>
                <w:color w:val="auto"/>
                <w:kern w:val="0"/>
                <w:sz w:val="24"/>
                <w:szCs w:val="24"/>
                <w:lang w:val="zh-CN"/>
              </w:rPr>
              <w:t>需求</w:t>
            </w:r>
          </w:p>
        </w:tc>
        <w:tc>
          <w:tcPr>
            <w:tcW w:w="3199" w:type="dxa"/>
            <w:tcBorders>
              <w:top w:val="single" w:color="000000" w:sz="6" w:space="0"/>
              <w:left w:val="single" w:color="000000" w:sz="6" w:space="0"/>
              <w:bottom w:val="single" w:color="000000" w:sz="6" w:space="0"/>
              <w:right w:val="single" w:color="000000" w:sz="6" w:space="0"/>
            </w:tcBorders>
            <w:noWrap/>
            <w:vAlign w:val="center"/>
          </w:tcPr>
          <w:p w14:paraId="37DC9E93">
            <w:pPr>
              <w:autoSpaceDE w:val="0"/>
              <w:autoSpaceDN w:val="0"/>
              <w:adjustRightInd w:val="0"/>
              <w:spacing w:line="240" w:lineRule="auto"/>
              <w:ind w:firstLine="0" w:firstLineChars="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响应情况</w:t>
            </w:r>
          </w:p>
        </w:tc>
        <w:tc>
          <w:tcPr>
            <w:tcW w:w="1985" w:type="dxa"/>
            <w:tcBorders>
              <w:top w:val="single" w:color="000000" w:sz="6" w:space="0"/>
              <w:left w:val="single" w:color="000000" w:sz="6" w:space="0"/>
              <w:bottom w:val="single" w:color="000000" w:sz="6" w:space="0"/>
              <w:right w:val="single" w:color="000000" w:sz="6" w:space="0"/>
            </w:tcBorders>
            <w:noWrap/>
            <w:vAlign w:val="center"/>
          </w:tcPr>
          <w:p w14:paraId="1CF4373C">
            <w:pPr>
              <w:autoSpaceDE w:val="0"/>
              <w:autoSpaceDN w:val="0"/>
              <w:adjustRightInd w:val="0"/>
              <w:spacing w:line="240" w:lineRule="auto"/>
              <w:ind w:firstLine="0" w:firstLineChars="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偏离说明</w:t>
            </w:r>
          </w:p>
        </w:tc>
      </w:tr>
      <w:tr w14:paraId="75E6F88D">
        <w:tblPrEx>
          <w:tblCellMar>
            <w:top w:w="0" w:type="dxa"/>
            <w:left w:w="28" w:type="dxa"/>
            <w:bottom w:w="0" w:type="dxa"/>
            <w:right w:w="28" w:type="dxa"/>
          </w:tblCellMar>
        </w:tblPrEx>
        <w:trPr>
          <w:trHeight w:val="1" w:hRule="atLeast"/>
          <w:jc w:val="center"/>
        </w:trPr>
        <w:tc>
          <w:tcPr>
            <w:tcW w:w="598" w:type="dxa"/>
            <w:tcBorders>
              <w:top w:val="single" w:color="000000" w:sz="6" w:space="0"/>
              <w:left w:val="single" w:color="000000" w:sz="6" w:space="0"/>
              <w:bottom w:val="single" w:color="000000" w:sz="6" w:space="0"/>
              <w:right w:val="single" w:color="000000" w:sz="6" w:space="0"/>
            </w:tcBorders>
            <w:noWrap/>
            <w:vAlign w:val="center"/>
          </w:tcPr>
          <w:p w14:paraId="63DD6CA1">
            <w:pPr>
              <w:keepNext w:val="0"/>
              <w:keepLines w:val="0"/>
              <w:pageBreakBefore w:val="0"/>
              <w:widowControl w:val="0"/>
              <w:kinsoku/>
              <w:wordWrap/>
              <w:overflowPunct/>
              <w:topLinePunct w:val="0"/>
              <w:autoSpaceDE w:val="0"/>
              <w:autoSpaceDN w:val="0"/>
              <w:bidi w:val="0"/>
              <w:adjustRightInd/>
              <w:snapToGrid/>
              <w:spacing w:before="40" w:after="40" w:line="400" w:lineRule="exact"/>
              <w:ind w:firstLine="0" w:firstLineChars="0"/>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w:t>
            </w:r>
          </w:p>
        </w:tc>
        <w:tc>
          <w:tcPr>
            <w:tcW w:w="3053" w:type="dxa"/>
            <w:tcBorders>
              <w:top w:val="single" w:color="000000" w:sz="6" w:space="0"/>
              <w:left w:val="single" w:color="000000" w:sz="6" w:space="0"/>
              <w:bottom w:val="single" w:color="000000" w:sz="6" w:space="0"/>
              <w:right w:val="single" w:color="000000" w:sz="6" w:space="0"/>
            </w:tcBorders>
            <w:noWrap/>
            <w:vAlign w:val="center"/>
          </w:tcPr>
          <w:p w14:paraId="36B3D4C9">
            <w:pPr>
              <w:keepNext w:val="0"/>
              <w:keepLines w:val="0"/>
              <w:pageBreakBefore w:val="0"/>
              <w:widowControl w:val="0"/>
              <w:kinsoku/>
              <w:wordWrap/>
              <w:overflowPunct/>
              <w:topLinePunct w:val="0"/>
              <w:autoSpaceDE w:val="0"/>
              <w:autoSpaceDN w:val="0"/>
              <w:bidi w:val="0"/>
              <w:adjustRightInd/>
              <w:snapToGrid/>
              <w:spacing w:before="40" w:after="40" w:line="400" w:lineRule="exact"/>
              <w:ind w:firstLine="0" w:firstLineChars="0"/>
              <w:jc w:val="center"/>
              <w:textAlignment w:val="auto"/>
              <w:rPr>
                <w:rFonts w:hint="eastAsia" w:ascii="宋体" w:hAnsi="宋体" w:eastAsia="宋体" w:cs="宋体"/>
                <w:color w:val="auto"/>
                <w:sz w:val="24"/>
                <w:szCs w:val="24"/>
                <w:lang w:val="zh-CN"/>
              </w:rPr>
            </w:pPr>
          </w:p>
        </w:tc>
        <w:tc>
          <w:tcPr>
            <w:tcW w:w="3199" w:type="dxa"/>
            <w:tcBorders>
              <w:top w:val="single" w:color="000000" w:sz="6" w:space="0"/>
              <w:left w:val="single" w:color="000000" w:sz="6" w:space="0"/>
              <w:bottom w:val="single" w:color="000000" w:sz="6" w:space="0"/>
              <w:right w:val="single" w:color="000000" w:sz="6" w:space="0"/>
            </w:tcBorders>
            <w:noWrap/>
            <w:vAlign w:val="center"/>
          </w:tcPr>
          <w:p w14:paraId="520E1DF5">
            <w:pPr>
              <w:keepNext w:val="0"/>
              <w:keepLines w:val="0"/>
              <w:pageBreakBefore w:val="0"/>
              <w:widowControl w:val="0"/>
              <w:kinsoku/>
              <w:wordWrap/>
              <w:overflowPunct/>
              <w:topLinePunct w:val="0"/>
              <w:autoSpaceDE w:val="0"/>
              <w:autoSpaceDN w:val="0"/>
              <w:bidi w:val="0"/>
              <w:adjustRightInd/>
              <w:snapToGrid/>
              <w:spacing w:before="40" w:after="40" w:line="400" w:lineRule="exact"/>
              <w:ind w:firstLine="0" w:firstLineChars="0"/>
              <w:jc w:val="center"/>
              <w:textAlignment w:val="auto"/>
              <w:rPr>
                <w:rFonts w:hint="eastAsia" w:ascii="宋体" w:hAnsi="宋体" w:eastAsia="宋体" w:cs="宋体"/>
                <w:color w:val="auto"/>
                <w:sz w:val="24"/>
                <w:szCs w:val="24"/>
                <w:lang w:val="zh-CN"/>
              </w:rPr>
            </w:pPr>
          </w:p>
        </w:tc>
        <w:tc>
          <w:tcPr>
            <w:tcW w:w="1985" w:type="dxa"/>
            <w:tcBorders>
              <w:top w:val="single" w:color="000000" w:sz="6" w:space="0"/>
              <w:left w:val="single" w:color="000000" w:sz="6" w:space="0"/>
              <w:bottom w:val="single" w:color="000000" w:sz="6" w:space="0"/>
              <w:right w:val="single" w:color="000000" w:sz="6" w:space="0"/>
            </w:tcBorders>
            <w:noWrap/>
            <w:vAlign w:val="center"/>
          </w:tcPr>
          <w:p w14:paraId="6BBC5FD0">
            <w:pPr>
              <w:autoSpaceDE w:val="0"/>
              <w:autoSpaceDN w:val="0"/>
              <w:adjustRightInd w:val="0"/>
              <w:spacing w:line="240" w:lineRule="auto"/>
              <w:ind w:firstLine="0" w:firstLineChars="0"/>
              <w:jc w:val="center"/>
              <w:rPr>
                <w:rFonts w:hint="eastAsia" w:ascii="宋体" w:hAnsi="宋体" w:eastAsia="宋体" w:cs="宋体"/>
                <w:color w:val="auto"/>
                <w:sz w:val="24"/>
                <w:szCs w:val="24"/>
                <w:lang w:val="zh-CN"/>
              </w:rPr>
            </w:pPr>
          </w:p>
        </w:tc>
      </w:tr>
      <w:tr w14:paraId="35FE8DE9">
        <w:tblPrEx>
          <w:tblCellMar>
            <w:top w:w="0" w:type="dxa"/>
            <w:left w:w="28" w:type="dxa"/>
            <w:bottom w:w="0" w:type="dxa"/>
            <w:right w:w="28" w:type="dxa"/>
          </w:tblCellMar>
        </w:tblPrEx>
        <w:trPr>
          <w:trHeight w:val="1" w:hRule="atLeast"/>
          <w:jc w:val="center"/>
        </w:trPr>
        <w:tc>
          <w:tcPr>
            <w:tcW w:w="598" w:type="dxa"/>
            <w:tcBorders>
              <w:top w:val="single" w:color="000000" w:sz="6" w:space="0"/>
              <w:left w:val="single" w:color="000000" w:sz="6" w:space="0"/>
              <w:bottom w:val="single" w:color="000000" w:sz="6" w:space="0"/>
              <w:right w:val="single" w:color="000000" w:sz="6" w:space="0"/>
            </w:tcBorders>
            <w:noWrap/>
            <w:vAlign w:val="center"/>
          </w:tcPr>
          <w:p w14:paraId="36647F37">
            <w:pPr>
              <w:keepNext w:val="0"/>
              <w:keepLines w:val="0"/>
              <w:pageBreakBefore w:val="0"/>
              <w:widowControl w:val="0"/>
              <w:kinsoku/>
              <w:wordWrap/>
              <w:overflowPunct/>
              <w:topLinePunct w:val="0"/>
              <w:autoSpaceDE w:val="0"/>
              <w:autoSpaceDN w:val="0"/>
              <w:bidi w:val="0"/>
              <w:adjustRightInd/>
              <w:snapToGrid/>
              <w:spacing w:before="40" w:after="40" w:line="400" w:lineRule="exact"/>
              <w:ind w:firstLine="0" w:firstLineChars="0"/>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p>
        </w:tc>
        <w:tc>
          <w:tcPr>
            <w:tcW w:w="3053" w:type="dxa"/>
            <w:tcBorders>
              <w:top w:val="single" w:color="000000" w:sz="6" w:space="0"/>
              <w:left w:val="single" w:color="000000" w:sz="6" w:space="0"/>
              <w:bottom w:val="single" w:color="000000" w:sz="6" w:space="0"/>
              <w:right w:val="single" w:color="000000" w:sz="6" w:space="0"/>
            </w:tcBorders>
            <w:noWrap/>
            <w:vAlign w:val="center"/>
          </w:tcPr>
          <w:p w14:paraId="6E383131">
            <w:pPr>
              <w:keepNext w:val="0"/>
              <w:keepLines w:val="0"/>
              <w:pageBreakBefore w:val="0"/>
              <w:widowControl w:val="0"/>
              <w:kinsoku/>
              <w:wordWrap/>
              <w:overflowPunct/>
              <w:topLinePunct w:val="0"/>
              <w:autoSpaceDE w:val="0"/>
              <w:autoSpaceDN w:val="0"/>
              <w:bidi w:val="0"/>
              <w:adjustRightInd/>
              <w:snapToGrid/>
              <w:spacing w:before="40" w:after="40" w:line="400" w:lineRule="exact"/>
              <w:ind w:firstLine="0" w:firstLineChars="0"/>
              <w:jc w:val="center"/>
              <w:textAlignment w:val="auto"/>
              <w:rPr>
                <w:rFonts w:hint="eastAsia" w:ascii="宋体" w:hAnsi="宋体" w:eastAsia="宋体" w:cs="宋体"/>
                <w:color w:val="auto"/>
                <w:sz w:val="24"/>
                <w:szCs w:val="24"/>
                <w:lang w:val="zh-CN"/>
              </w:rPr>
            </w:pPr>
          </w:p>
        </w:tc>
        <w:tc>
          <w:tcPr>
            <w:tcW w:w="3199" w:type="dxa"/>
            <w:tcBorders>
              <w:top w:val="single" w:color="000000" w:sz="6" w:space="0"/>
              <w:left w:val="single" w:color="000000" w:sz="6" w:space="0"/>
              <w:bottom w:val="single" w:color="000000" w:sz="6" w:space="0"/>
              <w:right w:val="single" w:color="000000" w:sz="6" w:space="0"/>
            </w:tcBorders>
            <w:noWrap/>
            <w:vAlign w:val="center"/>
          </w:tcPr>
          <w:p w14:paraId="0835EBB9">
            <w:pPr>
              <w:keepNext w:val="0"/>
              <w:keepLines w:val="0"/>
              <w:pageBreakBefore w:val="0"/>
              <w:widowControl w:val="0"/>
              <w:kinsoku/>
              <w:wordWrap/>
              <w:overflowPunct/>
              <w:topLinePunct w:val="0"/>
              <w:autoSpaceDE w:val="0"/>
              <w:autoSpaceDN w:val="0"/>
              <w:bidi w:val="0"/>
              <w:adjustRightInd/>
              <w:snapToGrid/>
              <w:spacing w:before="40" w:after="40" w:line="400" w:lineRule="exact"/>
              <w:ind w:firstLine="0" w:firstLineChars="0"/>
              <w:jc w:val="center"/>
              <w:textAlignment w:val="auto"/>
              <w:rPr>
                <w:rFonts w:hint="eastAsia" w:ascii="宋体" w:hAnsi="宋体" w:eastAsia="宋体" w:cs="宋体"/>
                <w:color w:val="auto"/>
                <w:sz w:val="24"/>
                <w:szCs w:val="24"/>
                <w:lang w:val="zh-CN"/>
              </w:rPr>
            </w:pPr>
          </w:p>
        </w:tc>
        <w:tc>
          <w:tcPr>
            <w:tcW w:w="1985" w:type="dxa"/>
            <w:tcBorders>
              <w:top w:val="single" w:color="000000" w:sz="6" w:space="0"/>
              <w:left w:val="single" w:color="000000" w:sz="6" w:space="0"/>
              <w:bottom w:val="single" w:color="000000" w:sz="6" w:space="0"/>
              <w:right w:val="single" w:color="000000" w:sz="6" w:space="0"/>
            </w:tcBorders>
            <w:noWrap/>
            <w:vAlign w:val="center"/>
          </w:tcPr>
          <w:p w14:paraId="3229E8C9">
            <w:pPr>
              <w:keepNext w:val="0"/>
              <w:keepLines w:val="0"/>
              <w:pageBreakBefore w:val="0"/>
              <w:widowControl w:val="0"/>
              <w:kinsoku/>
              <w:wordWrap/>
              <w:overflowPunct/>
              <w:topLinePunct w:val="0"/>
              <w:autoSpaceDE w:val="0"/>
              <w:autoSpaceDN w:val="0"/>
              <w:bidi w:val="0"/>
              <w:adjustRightInd/>
              <w:snapToGrid/>
              <w:spacing w:before="40" w:after="40" w:line="400" w:lineRule="exact"/>
              <w:ind w:firstLine="0" w:firstLineChars="0"/>
              <w:jc w:val="center"/>
              <w:textAlignment w:val="auto"/>
              <w:rPr>
                <w:rFonts w:hint="eastAsia" w:ascii="宋体" w:hAnsi="宋体" w:eastAsia="宋体" w:cs="宋体"/>
                <w:color w:val="auto"/>
                <w:sz w:val="24"/>
                <w:szCs w:val="24"/>
                <w:lang w:val="zh-CN"/>
              </w:rPr>
            </w:pPr>
          </w:p>
        </w:tc>
      </w:tr>
      <w:tr w14:paraId="00A3C031">
        <w:tblPrEx>
          <w:tblCellMar>
            <w:top w:w="0" w:type="dxa"/>
            <w:left w:w="28" w:type="dxa"/>
            <w:bottom w:w="0" w:type="dxa"/>
            <w:right w:w="28" w:type="dxa"/>
          </w:tblCellMar>
        </w:tblPrEx>
        <w:trPr>
          <w:trHeight w:val="1" w:hRule="atLeast"/>
          <w:jc w:val="center"/>
        </w:trPr>
        <w:tc>
          <w:tcPr>
            <w:tcW w:w="598" w:type="dxa"/>
            <w:tcBorders>
              <w:top w:val="single" w:color="000000" w:sz="6" w:space="0"/>
              <w:left w:val="single" w:color="000000" w:sz="6" w:space="0"/>
              <w:bottom w:val="single" w:color="000000" w:sz="6" w:space="0"/>
              <w:right w:val="single" w:color="000000" w:sz="6" w:space="0"/>
            </w:tcBorders>
            <w:noWrap/>
            <w:vAlign w:val="center"/>
          </w:tcPr>
          <w:p w14:paraId="46CDEF25">
            <w:pPr>
              <w:keepNext w:val="0"/>
              <w:keepLines w:val="0"/>
              <w:pageBreakBefore w:val="0"/>
              <w:widowControl w:val="0"/>
              <w:kinsoku/>
              <w:wordWrap/>
              <w:overflowPunct/>
              <w:topLinePunct w:val="0"/>
              <w:autoSpaceDE w:val="0"/>
              <w:autoSpaceDN w:val="0"/>
              <w:bidi w:val="0"/>
              <w:adjustRightInd/>
              <w:snapToGrid/>
              <w:spacing w:before="40" w:after="40" w:line="400" w:lineRule="exact"/>
              <w:ind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3053" w:type="dxa"/>
            <w:tcBorders>
              <w:top w:val="single" w:color="000000" w:sz="6" w:space="0"/>
              <w:left w:val="single" w:color="000000" w:sz="6" w:space="0"/>
              <w:bottom w:val="single" w:color="000000" w:sz="6" w:space="0"/>
              <w:right w:val="single" w:color="000000" w:sz="6" w:space="0"/>
            </w:tcBorders>
            <w:noWrap/>
            <w:vAlign w:val="center"/>
          </w:tcPr>
          <w:p w14:paraId="65531E5A">
            <w:pPr>
              <w:keepNext w:val="0"/>
              <w:keepLines w:val="0"/>
              <w:pageBreakBefore w:val="0"/>
              <w:widowControl w:val="0"/>
              <w:kinsoku/>
              <w:wordWrap/>
              <w:overflowPunct/>
              <w:topLinePunct w:val="0"/>
              <w:autoSpaceDE w:val="0"/>
              <w:autoSpaceDN w:val="0"/>
              <w:bidi w:val="0"/>
              <w:adjustRightInd/>
              <w:snapToGrid/>
              <w:spacing w:before="40" w:after="40" w:line="400" w:lineRule="exact"/>
              <w:ind w:firstLine="0" w:firstLineChars="0"/>
              <w:jc w:val="center"/>
              <w:textAlignment w:val="auto"/>
              <w:rPr>
                <w:rFonts w:hint="eastAsia" w:ascii="宋体" w:hAnsi="宋体" w:eastAsia="宋体" w:cs="宋体"/>
                <w:color w:val="auto"/>
                <w:sz w:val="24"/>
                <w:szCs w:val="24"/>
                <w:lang w:val="zh-CN"/>
              </w:rPr>
            </w:pPr>
          </w:p>
        </w:tc>
        <w:tc>
          <w:tcPr>
            <w:tcW w:w="3199" w:type="dxa"/>
            <w:tcBorders>
              <w:top w:val="single" w:color="000000" w:sz="6" w:space="0"/>
              <w:left w:val="single" w:color="000000" w:sz="6" w:space="0"/>
              <w:bottom w:val="single" w:color="000000" w:sz="6" w:space="0"/>
              <w:right w:val="single" w:color="000000" w:sz="6" w:space="0"/>
            </w:tcBorders>
            <w:noWrap/>
            <w:vAlign w:val="center"/>
          </w:tcPr>
          <w:p w14:paraId="3149B130">
            <w:pPr>
              <w:keepNext w:val="0"/>
              <w:keepLines w:val="0"/>
              <w:pageBreakBefore w:val="0"/>
              <w:widowControl w:val="0"/>
              <w:kinsoku/>
              <w:wordWrap/>
              <w:overflowPunct/>
              <w:topLinePunct w:val="0"/>
              <w:autoSpaceDE w:val="0"/>
              <w:autoSpaceDN w:val="0"/>
              <w:bidi w:val="0"/>
              <w:adjustRightInd/>
              <w:snapToGrid/>
              <w:spacing w:before="40" w:after="40" w:line="400" w:lineRule="exact"/>
              <w:ind w:firstLine="0" w:firstLineChars="0"/>
              <w:jc w:val="center"/>
              <w:textAlignment w:val="auto"/>
              <w:rPr>
                <w:rFonts w:hint="eastAsia" w:ascii="宋体" w:hAnsi="宋体" w:eastAsia="宋体" w:cs="宋体"/>
                <w:color w:val="auto"/>
                <w:sz w:val="24"/>
                <w:szCs w:val="24"/>
                <w:lang w:val="zh-CN"/>
              </w:rPr>
            </w:pPr>
          </w:p>
        </w:tc>
        <w:tc>
          <w:tcPr>
            <w:tcW w:w="1985" w:type="dxa"/>
            <w:tcBorders>
              <w:top w:val="single" w:color="000000" w:sz="6" w:space="0"/>
              <w:left w:val="single" w:color="000000" w:sz="6" w:space="0"/>
              <w:bottom w:val="single" w:color="000000" w:sz="6" w:space="0"/>
              <w:right w:val="single" w:color="000000" w:sz="6" w:space="0"/>
            </w:tcBorders>
            <w:noWrap/>
            <w:vAlign w:val="center"/>
          </w:tcPr>
          <w:p w14:paraId="49ABAC28">
            <w:pPr>
              <w:keepNext w:val="0"/>
              <w:keepLines w:val="0"/>
              <w:pageBreakBefore w:val="0"/>
              <w:widowControl w:val="0"/>
              <w:kinsoku/>
              <w:wordWrap/>
              <w:overflowPunct/>
              <w:topLinePunct w:val="0"/>
              <w:autoSpaceDE w:val="0"/>
              <w:autoSpaceDN w:val="0"/>
              <w:bidi w:val="0"/>
              <w:adjustRightInd/>
              <w:snapToGrid/>
              <w:spacing w:before="40" w:after="40" w:line="400" w:lineRule="exact"/>
              <w:ind w:firstLine="0" w:firstLineChars="0"/>
              <w:jc w:val="center"/>
              <w:textAlignment w:val="auto"/>
              <w:rPr>
                <w:rFonts w:hint="eastAsia" w:ascii="宋体" w:hAnsi="宋体" w:eastAsia="宋体" w:cs="宋体"/>
                <w:color w:val="auto"/>
                <w:sz w:val="24"/>
                <w:szCs w:val="24"/>
                <w:lang w:val="zh-CN"/>
              </w:rPr>
            </w:pPr>
          </w:p>
        </w:tc>
      </w:tr>
      <w:tr w14:paraId="500FB3A3">
        <w:tblPrEx>
          <w:tblCellMar>
            <w:top w:w="0" w:type="dxa"/>
            <w:left w:w="28" w:type="dxa"/>
            <w:bottom w:w="0" w:type="dxa"/>
            <w:right w:w="28" w:type="dxa"/>
          </w:tblCellMar>
        </w:tblPrEx>
        <w:trPr>
          <w:trHeight w:val="1" w:hRule="atLeast"/>
          <w:jc w:val="center"/>
        </w:trPr>
        <w:tc>
          <w:tcPr>
            <w:tcW w:w="598" w:type="dxa"/>
            <w:tcBorders>
              <w:top w:val="single" w:color="000000" w:sz="6" w:space="0"/>
              <w:left w:val="single" w:color="000000" w:sz="6" w:space="0"/>
              <w:bottom w:val="single" w:color="000000" w:sz="6" w:space="0"/>
              <w:right w:val="single" w:color="000000" w:sz="6" w:space="0"/>
            </w:tcBorders>
            <w:noWrap/>
            <w:vAlign w:val="center"/>
          </w:tcPr>
          <w:p w14:paraId="1685627F">
            <w:pPr>
              <w:pStyle w:val="2"/>
              <w:keepNext w:val="0"/>
              <w:keepLines w:val="0"/>
              <w:pageBreakBefore w:val="0"/>
              <w:widowControl w:val="0"/>
              <w:kinsoku/>
              <w:wordWrap/>
              <w:overflowPunct/>
              <w:topLinePunct w:val="0"/>
              <w:bidi w:val="0"/>
              <w:adjustRightInd/>
              <w:snapToGrid/>
              <w:spacing w:before="40" w:after="40" w:line="400" w:lineRule="exact"/>
              <w:ind w:firstLine="0" w:firstLineChars="0"/>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p>
        </w:tc>
        <w:tc>
          <w:tcPr>
            <w:tcW w:w="3053" w:type="dxa"/>
            <w:tcBorders>
              <w:top w:val="single" w:color="000000" w:sz="6" w:space="0"/>
              <w:left w:val="single" w:color="000000" w:sz="6" w:space="0"/>
              <w:bottom w:val="single" w:color="000000" w:sz="6" w:space="0"/>
              <w:right w:val="single" w:color="000000" w:sz="6" w:space="0"/>
            </w:tcBorders>
            <w:noWrap/>
            <w:vAlign w:val="center"/>
          </w:tcPr>
          <w:p w14:paraId="331F70ED">
            <w:pPr>
              <w:keepNext w:val="0"/>
              <w:keepLines w:val="0"/>
              <w:pageBreakBefore w:val="0"/>
              <w:widowControl w:val="0"/>
              <w:kinsoku/>
              <w:wordWrap/>
              <w:overflowPunct/>
              <w:topLinePunct w:val="0"/>
              <w:autoSpaceDE w:val="0"/>
              <w:autoSpaceDN w:val="0"/>
              <w:bidi w:val="0"/>
              <w:adjustRightInd/>
              <w:snapToGrid/>
              <w:spacing w:before="40" w:after="40" w:line="400" w:lineRule="exact"/>
              <w:ind w:firstLine="0" w:firstLineChars="0"/>
              <w:jc w:val="center"/>
              <w:textAlignment w:val="auto"/>
              <w:rPr>
                <w:rFonts w:hint="eastAsia" w:ascii="宋体" w:hAnsi="宋体" w:eastAsia="宋体" w:cs="宋体"/>
                <w:color w:val="auto"/>
                <w:sz w:val="24"/>
                <w:szCs w:val="24"/>
                <w:lang w:val="zh-CN"/>
              </w:rPr>
            </w:pPr>
          </w:p>
        </w:tc>
        <w:tc>
          <w:tcPr>
            <w:tcW w:w="3199" w:type="dxa"/>
            <w:tcBorders>
              <w:top w:val="single" w:color="000000" w:sz="6" w:space="0"/>
              <w:left w:val="single" w:color="000000" w:sz="6" w:space="0"/>
              <w:bottom w:val="single" w:color="000000" w:sz="6" w:space="0"/>
              <w:right w:val="single" w:color="000000" w:sz="6" w:space="0"/>
            </w:tcBorders>
            <w:noWrap/>
            <w:vAlign w:val="center"/>
          </w:tcPr>
          <w:p w14:paraId="6A7BF74F">
            <w:pPr>
              <w:keepNext w:val="0"/>
              <w:keepLines w:val="0"/>
              <w:pageBreakBefore w:val="0"/>
              <w:widowControl w:val="0"/>
              <w:kinsoku/>
              <w:wordWrap/>
              <w:overflowPunct/>
              <w:topLinePunct w:val="0"/>
              <w:autoSpaceDE w:val="0"/>
              <w:autoSpaceDN w:val="0"/>
              <w:bidi w:val="0"/>
              <w:adjustRightInd/>
              <w:snapToGrid/>
              <w:spacing w:before="40" w:after="40" w:line="400" w:lineRule="exact"/>
              <w:ind w:firstLine="0" w:firstLineChars="0"/>
              <w:jc w:val="center"/>
              <w:textAlignment w:val="auto"/>
              <w:rPr>
                <w:rFonts w:hint="eastAsia" w:ascii="宋体" w:hAnsi="宋体" w:eastAsia="宋体" w:cs="宋体"/>
                <w:color w:val="auto"/>
                <w:sz w:val="24"/>
                <w:szCs w:val="24"/>
                <w:lang w:val="zh-CN"/>
              </w:rPr>
            </w:pPr>
          </w:p>
        </w:tc>
        <w:tc>
          <w:tcPr>
            <w:tcW w:w="1985" w:type="dxa"/>
            <w:tcBorders>
              <w:top w:val="single" w:color="000000" w:sz="6" w:space="0"/>
              <w:left w:val="single" w:color="000000" w:sz="6" w:space="0"/>
              <w:bottom w:val="single" w:color="000000" w:sz="6" w:space="0"/>
              <w:right w:val="single" w:color="000000" w:sz="6" w:space="0"/>
            </w:tcBorders>
            <w:noWrap/>
            <w:vAlign w:val="center"/>
          </w:tcPr>
          <w:p w14:paraId="6A4B6C32">
            <w:pPr>
              <w:keepNext w:val="0"/>
              <w:keepLines w:val="0"/>
              <w:pageBreakBefore w:val="0"/>
              <w:widowControl w:val="0"/>
              <w:kinsoku/>
              <w:wordWrap/>
              <w:overflowPunct/>
              <w:topLinePunct w:val="0"/>
              <w:autoSpaceDE w:val="0"/>
              <w:autoSpaceDN w:val="0"/>
              <w:bidi w:val="0"/>
              <w:adjustRightInd/>
              <w:snapToGrid/>
              <w:spacing w:before="40" w:after="40" w:line="400" w:lineRule="exact"/>
              <w:ind w:firstLine="0" w:firstLineChars="0"/>
              <w:jc w:val="center"/>
              <w:textAlignment w:val="auto"/>
              <w:rPr>
                <w:rFonts w:hint="eastAsia" w:ascii="宋体" w:hAnsi="宋体" w:eastAsia="宋体" w:cs="宋体"/>
                <w:color w:val="auto"/>
                <w:sz w:val="24"/>
                <w:szCs w:val="24"/>
                <w:lang w:val="zh-CN"/>
              </w:rPr>
            </w:pPr>
          </w:p>
        </w:tc>
      </w:tr>
    </w:tbl>
    <w:p w14:paraId="53C3D13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kern w:val="0"/>
          <w:sz w:val="24"/>
          <w:szCs w:val="24"/>
          <w:lang w:val="zh-CN"/>
        </w:rPr>
      </w:pPr>
      <w:r>
        <w:rPr>
          <w:rFonts w:hint="eastAsia" w:ascii="宋体" w:hAnsi="宋体" w:eastAsia="宋体" w:cs="宋体"/>
          <w:b/>
          <w:bCs/>
          <w:color w:val="auto"/>
          <w:kern w:val="0"/>
          <w:sz w:val="24"/>
          <w:szCs w:val="24"/>
          <w:lang w:val="zh-CN"/>
        </w:rPr>
        <w:t>注：</w:t>
      </w:r>
      <w:r>
        <w:rPr>
          <w:rFonts w:hint="eastAsia" w:ascii="宋体" w:hAnsi="宋体" w:eastAsia="宋体" w:cs="宋体"/>
          <w:color w:val="auto"/>
          <w:kern w:val="0"/>
          <w:sz w:val="24"/>
          <w:szCs w:val="24"/>
          <w:lang w:val="zh-CN"/>
        </w:rPr>
        <w:t>1.本表应按照“</w:t>
      </w:r>
      <w:r>
        <w:rPr>
          <w:rFonts w:hint="eastAsia" w:ascii="宋体" w:hAnsi="宋体" w:eastAsia="宋体" w:cs="宋体"/>
          <w:b/>
          <w:bCs/>
          <w:color w:val="auto"/>
          <w:kern w:val="0"/>
          <w:sz w:val="24"/>
          <w:szCs w:val="24"/>
          <w:lang w:val="zh-CN"/>
        </w:rPr>
        <w:t>第六部分</w:t>
      </w:r>
      <w:r>
        <w:rPr>
          <w:rFonts w:hint="eastAsia" w:ascii="宋体" w:hAnsi="宋体" w:eastAsia="宋体" w:cs="宋体"/>
          <w:color w:val="auto"/>
          <w:kern w:val="0"/>
          <w:sz w:val="24"/>
          <w:szCs w:val="24"/>
          <w:lang w:val="zh-CN"/>
        </w:rPr>
        <w:t xml:space="preserve">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b/>
          <w:bCs/>
          <w:color w:val="auto"/>
          <w:kern w:val="0"/>
          <w:sz w:val="24"/>
          <w:szCs w:val="24"/>
          <w:lang w:val="zh-CN" w:eastAsia="zh-CN"/>
        </w:rPr>
        <w:t>采购项目要求</w:t>
      </w:r>
      <w:r>
        <w:rPr>
          <w:rFonts w:hint="eastAsia" w:ascii="宋体" w:hAnsi="宋体" w:eastAsia="宋体" w:cs="宋体"/>
          <w:color w:val="auto"/>
          <w:kern w:val="0"/>
          <w:sz w:val="24"/>
          <w:szCs w:val="24"/>
          <w:lang w:val="zh-CN"/>
        </w:rPr>
        <w:t>”</w:t>
      </w:r>
      <w:r>
        <w:rPr>
          <w:rFonts w:hint="eastAsia" w:ascii="宋体" w:hAnsi="宋体" w:eastAsia="宋体" w:cs="宋体"/>
          <w:color w:val="auto"/>
          <w:kern w:val="0"/>
          <w:sz w:val="24"/>
          <w:szCs w:val="24"/>
          <w:lang w:val="en-US" w:eastAsia="zh-CN"/>
        </w:rPr>
        <w:t>中“</w:t>
      </w:r>
      <w:r>
        <w:rPr>
          <w:rFonts w:hint="eastAsia" w:ascii="宋体" w:hAnsi="宋体" w:eastAsia="宋体" w:cs="宋体"/>
          <w:b/>
          <w:bCs w:val="0"/>
          <w:color w:val="auto"/>
          <w:sz w:val="24"/>
          <w:szCs w:val="24"/>
          <w:lang w:val="en-US" w:eastAsia="zh-CN"/>
        </w:rPr>
        <w:t>3.服务内容</w:t>
      </w:r>
      <w:r>
        <w:rPr>
          <w:rFonts w:hint="eastAsia" w:ascii="宋体" w:hAnsi="宋体" w:eastAsia="宋体" w:cs="宋体"/>
          <w:color w:val="auto"/>
          <w:kern w:val="0"/>
          <w:sz w:val="24"/>
          <w:szCs w:val="24"/>
          <w:lang w:val="en-US" w:eastAsia="zh-CN"/>
        </w:rPr>
        <w:t>”各包</w:t>
      </w:r>
      <w:r>
        <w:rPr>
          <w:rFonts w:hint="eastAsia" w:ascii="宋体" w:hAnsi="宋体" w:eastAsia="宋体" w:cs="宋体"/>
          <w:color w:val="auto"/>
          <w:kern w:val="0"/>
          <w:sz w:val="24"/>
          <w:szCs w:val="24"/>
          <w:lang w:val="zh-CN"/>
        </w:rPr>
        <w:t>的</w:t>
      </w:r>
      <w:r>
        <w:rPr>
          <w:rFonts w:hint="eastAsia" w:ascii="宋体" w:hAnsi="宋体" w:eastAsia="宋体" w:cs="宋体"/>
          <w:b w:val="0"/>
          <w:bCs/>
          <w:color w:val="auto"/>
          <w:sz w:val="24"/>
          <w:szCs w:val="24"/>
          <w:lang w:val="en-US" w:eastAsia="zh-CN"/>
        </w:rPr>
        <w:t>所含全部</w:t>
      </w:r>
      <w:r>
        <w:rPr>
          <w:rFonts w:hint="eastAsia" w:ascii="宋体" w:hAnsi="宋体" w:eastAsia="宋体" w:cs="宋体"/>
          <w:b w:val="0"/>
          <w:bCs/>
          <w:strike w:val="0"/>
          <w:dstrike w:val="0"/>
          <w:color w:val="auto"/>
          <w:sz w:val="24"/>
          <w:szCs w:val="24"/>
          <w:lang w:val="en-US" w:eastAsia="zh-CN" w:bidi="ar-SA"/>
        </w:rPr>
        <w:t>内容</w:t>
      </w:r>
      <w:r>
        <w:rPr>
          <w:rFonts w:hint="eastAsia" w:ascii="宋体" w:hAnsi="宋体" w:eastAsia="宋体" w:cs="宋体"/>
          <w:color w:val="auto"/>
          <w:kern w:val="0"/>
          <w:sz w:val="24"/>
          <w:szCs w:val="24"/>
          <w:lang w:val="en-US" w:eastAsia="zh-CN"/>
        </w:rPr>
        <w:t>按顺序逐项填写</w:t>
      </w:r>
      <w:r>
        <w:rPr>
          <w:rFonts w:hint="eastAsia" w:ascii="宋体" w:hAnsi="宋体" w:eastAsia="宋体" w:cs="宋体"/>
          <w:color w:val="auto"/>
          <w:kern w:val="0"/>
          <w:sz w:val="24"/>
          <w:szCs w:val="24"/>
          <w:lang w:val="zh-CN"/>
        </w:rPr>
        <w:t>，不得遗漏，</w:t>
      </w:r>
      <w:r>
        <w:rPr>
          <w:rFonts w:hint="eastAsia" w:ascii="宋体" w:hAnsi="宋体" w:eastAsia="宋体" w:cs="宋体"/>
          <w:b/>
          <w:bCs/>
          <w:color w:val="auto"/>
          <w:sz w:val="24"/>
          <w:szCs w:val="24"/>
        </w:rPr>
        <w:t>否则</w:t>
      </w:r>
      <w:r>
        <w:rPr>
          <w:rFonts w:hint="eastAsia" w:ascii="宋体" w:hAnsi="宋体" w:eastAsia="宋体" w:cs="宋体"/>
          <w:b/>
          <w:bCs/>
          <w:color w:val="auto"/>
          <w:kern w:val="0"/>
          <w:sz w:val="24"/>
          <w:szCs w:val="24"/>
          <w:lang w:eastAsia="zh-CN"/>
        </w:rPr>
        <w:t>响应无效</w:t>
      </w:r>
      <w:r>
        <w:rPr>
          <w:rFonts w:hint="eastAsia" w:ascii="宋体" w:hAnsi="宋体" w:eastAsia="宋体" w:cs="宋体"/>
          <w:b/>
          <w:bCs/>
          <w:color w:val="auto"/>
          <w:sz w:val="24"/>
          <w:szCs w:val="24"/>
        </w:rPr>
        <w:t>。</w:t>
      </w:r>
    </w:p>
    <w:p w14:paraId="5F892F4A">
      <w:pPr>
        <w:numPr>
          <w:ilvl w:val="0"/>
          <w:numId w:val="0"/>
        </w:numPr>
        <w:autoSpaceDE w:val="0"/>
        <w:autoSpaceDN w:val="0"/>
        <w:spacing w:line="360" w:lineRule="auto"/>
        <w:ind w:firstLine="480" w:firstLineChars="2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val="zh-CN"/>
        </w:rPr>
        <w:t>填写此表时以</w:t>
      </w:r>
      <w:r>
        <w:rPr>
          <w:rFonts w:hint="eastAsia" w:ascii="宋体" w:hAnsi="宋体" w:eastAsia="宋体" w:cs="宋体"/>
          <w:color w:val="auto"/>
          <w:kern w:val="0"/>
          <w:sz w:val="24"/>
          <w:szCs w:val="24"/>
          <w:lang w:val="en-US" w:eastAsia="zh-CN"/>
        </w:rPr>
        <w:t>采购需求</w:t>
      </w:r>
      <w:r>
        <w:rPr>
          <w:rFonts w:hint="eastAsia" w:ascii="宋体" w:hAnsi="宋体" w:eastAsia="宋体" w:cs="宋体"/>
          <w:color w:val="auto"/>
          <w:kern w:val="0"/>
          <w:sz w:val="24"/>
          <w:szCs w:val="24"/>
          <w:lang w:val="zh-CN"/>
        </w:rPr>
        <w:t>为基本投标要求，满足</w:t>
      </w:r>
      <w:r>
        <w:rPr>
          <w:rFonts w:hint="eastAsia" w:ascii="宋体" w:hAnsi="宋体" w:eastAsia="宋体" w:cs="宋体"/>
          <w:color w:val="auto"/>
          <w:kern w:val="0"/>
          <w:sz w:val="24"/>
          <w:szCs w:val="24"/>
          <w:lang w:val="en-US" w:eastAsia="zh-CN"/>
        </w:rPr>
        <w:t>采购需求</w:t>
      </w:r>
      <w:r>
        <w:rPr>
          <w:rFonts w:hint="eastAsia" w:ascii="宋体" w:hAnsi="宋体" w:eastAsia="宋体" w:cs="宋体"/>
          <w:color w:val="auto"/>
          <w:kern w:val="0"/>
          <w:sz w:val="24"/>
          <w:szCs w:val="24"/>
          <w:lang w:val="zh-CN"/>
        </w:rPr>
        <w:t>的指标需列出“</w:t>
      </w:r>
      <w:r>
        <w:rPr>
          <w:rFonts w:hint="eastAsia" w:ascii="宋体" w:hAnsi="宋体" w:eastAsia="宋体" w:cs="宋体"/>
          <w:color w:val="auto"/>
          <w:kern w:val="0"/>
          <w:sz w:val="24"/>
          <w:szCs w:val="24"/>
        </w:rPr>
        <w:t>0</w:t>
      </w:r>
      <w:r>
        <w:rPr>
          <w:rFonts w:hint="eastAsia" w:ascii="宋体" w:hAnsi="宋体" w:eastAsia="宋体" w:cs="宋体"/>
          <w:color w:val="auto"/>
          <w:kern w:val="0"/>
          <w:sz w:val="24"/>
          <w:szCs w:val="24"/>
          <w:lang w:val="zh-CN"/>
        </w:rPr>
        <w:t>”；超出、不满足</w:t>
      </w:r>
      <w:r>
        <w:rPr>
          <w:rFonts w:hint="eastAsia" w:ascii="宋体" w:hAnsi="宋体" w:eastAsia="宋体" w:cs="宋体"/>
          <w:color w:val="auto"/>
          <w:kern w:val="0"/>
          <w:sz w:val="24"/>
          <w:szCs w:val="24"/>
          <w:lang w:val="en-US" w:eastAsia="zh-CN"/>
        </w:rPr>
        <w:t>采购需求</w:t>
      </w:r>
      <w:r>
        <w:rPr>
          <w:rFonts w:hint="eastAsia" w:ascii="宋体" w:hAnsi="宋体" w:eastAsia="宋体" w:cs="宋体"/>
          <w:color w:val="auto"/>
          <w:kern w:val="0"/>
          <w:sz w:val="24"/>
          <w:szCs w:val="24"/>
          <w:lang w:val="zh-CN"/>
        </w:rPr>
        <w:t>的指标需列出“+”、“-”偏差，并做出详细说明；如果只注明“+”、“-”或未填写，将视为该项指标不响应，</w:t>
      </w:r>
      <w:r>
        <w:rPr>
          <w:rFonts w:hint="eastAsia" w:ascii="宋体" w:hAnsi="宋体" w:eastAsia="宋体" w:cs="宋体"/>
          <w:color w:val="auto"/>
          <w:kern w:val="0"/>
          <w:sz w:val="24"/>
          <w:szCs w:val="24"/>
        </w:rPr>
        <w:t>按</w:t>
      </w:r>
      <w:r>
        <w:rPr>
          <w:rFonts w:hint="eastAsia" w:ascii="宋体" w:hAnsi="宋体" w:eastAsia="宋体" w:cs="宋体"/>
          <w:color w:val="auto"/>
          <w:kern w:val="0"/>
          <w:sz w:val="24"/>
          <w:szCs w:val="24"/>
          <w:lang w:val="en-US" w:eastAsia="zh-CN"/>
        </w:rPr>
        <w:t>缺项处理（</w:t>
      </w:r>
      <w:r>
        <w:rPr>
          <w:rFonts w:hint="eastAsia" w:ascii="宋体" w:hAnsi="宋体" w:eastAsia="宋体" w:cs="宋体"/>
          <w:b/>
          <w:bCs/>
          <w:color w:val="auto"/>
          <w:sz w:val="24"/>
          <w:szCs w:val="24"/>
        </w:rPr>
        <w:t>17.2</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评审标准和分值分配</w:t>
      </w:r>
      <w:r>
        <w:rPr>
          <w:rFonts w:hint="eastAsia" w:ascii="宋体" w:hAnsi="宋体" w:eastAsia="宋体" w:cs="宋体"/>
          <w:b/>
          <w:bCs/>
          <w:color w:val="auto"/>
          <w:sz w:val="24"/>
          <w:szCs w:val="24"/>
          <w:lang w:eastAsia="zh-CN"/>
        </w:rPr>
        <w:t>“</w:t>
      </w:r>
      <w:r>
        <w:rPr>
          <w:rFonts w:hint="eastAsia" w:ascii="宋体" w:hAnsi="宋体" w:eastAsia="宋体" w:cs="宋体"/>
          <w:color w:val="auto"/>
          <w:kern w:val="0"/>
          <w:sz w:val="24"/>
          <w:szCs w:val="24"/>
          <w:lang w:val="en-US" w:eastAsia="zh-CN"/>
        </w:rPr>
        <w:t>服务方案</w:t>
      </w:r>
      <w:r>
        <w:rPr>
          <w:rFonts w:hint="eastAsia" w:ascii="宋体" w:hAnsi="宋体" w:eastAsia="宋体" w:cs="宋体"/>
          <w:b/>
          <w:bCs/>
          <w:color w:val="auto"/>
          <w:sz w:val="24"/>
          <w:szCs w:val="24"/>
          <w:lang w:eastAsia="zh-CN"/>
        </w:rPr>
        <w:t>”</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lang w:val="zh-CN"/>
        </w:rPr>
        <w:t>。</w:t>
      </w:r>
    </w:p>
    <w:p w14:paraId="39E39108">
      <w:pPr>
        <w:numPr>
          <w:ilvl w:val="0"/>
          <w:numId w:val="0"/>
        </w:numPr>
        <w:autoSpaceDE w:val="0"/>
        <w:autoSpaceDN w:val="0"/>
        <w:spacing w:line="360" w:lineRule="auto"/>
        <w:ind w:firstLine="480" w:firstLineChars="200"/>
        <w:rPr>
          <w:rFonts w:hint="eastAsia" w:ascii="宋体" w:hAnsi="宋体" w:eastAsia="宋体" w:cs="宋体"/>
          <w:color w:val="auto"/>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lang w:val="zh-CN"/>
        </w:rPr>
        <w:t>.</w:t>
      </w:r>
      <w:r>
        <w:rPr>
          <w:rFonts w:hint="eastAsia" w:ascii="宋体" w:hAnsi="宋体" w:eastAsia="宋体" w:cs="宋体"/>
          <w:color w:val="auto"/>
          <w:kern w:val="0"/>
          <w:sz w:val="24"/>
          <w:szCs w:val="24"/>
          <w:lang w:val="en-US" w:eastAsia="zh-CN"/>
        </w:rPr>
        <w:t>供应商</w:t>
      </w:r>
      <w:r>
        <w:rPr>
          <w:rFonts w:hint="eastAsia" w:ascii="宋体" w:hAnsi="宋体" w:eastAsia="宋体" w:cs="宋体"/>
          <w:color w:val="auto"/>
          <w:kern w:val="0"/>
          <w:sz w:val="24"/>
          <w:szCs w:val="24"/>
          <w:lang w:val="zh-CN"/>
        </w:rPr>
        <w:t>响应采购需求应具体、明确，含糊不清、不确切或伪造、编造证明材料的，</w:t>
      </w:r>
      <w:r>
        <w:rPr>
          <w:rFonts w:hint="eastAsia" w:ascii="宋体" w:hAnsi="宋体" w:eastAsia="宋体" w:cs="宋体"/>
          <w:color w:val="auto"/>
          <w:sz w:val="24"/>
          <w:szCs w:val="24"/>
          <w:lang w:val="zh-CN"/>
        </w:rPr>
        <w:t>响应无效</w:t>
      </w:r>
      <w:r>
        <w:rPr>
          <w:rFonts w:hint="eastAsia" w:ascii="宋体" w:hAnsi="宋体" w:eastAsia="宋体" w:cs="宋体"/>
          <w:color w:val="auto"/>
          <w:kern w:val="0"/>
          <w:sz w:val="24"/>
          <w:szCs w:val="24"/>
          <w:lang w:val="zh-CN"/>
        </w:rPr>
        <w:t>。对伪造、编造证明材料的，将报告本级财政部门。</w:t>
      </w:r>
    </w:p>
    <w:p w14:paraId="3237B292">
      <w:pPr>
        <w:spacing w:line="360" w:lineRule="auto"/>
        <w:ind w:firstLine="2650" w:firstLineChars="1100"/>
        <w:jc w:val="both"/>
        <w:rPr>
          <w:rFonts w:hint="eastAsia" w:ascii="宋体" w:hAnsi="宋体" w:eastAsia="宋体" w:cs="宋体"/>
          <w:b/>
          <w:color w:val="auto"/>
          <w:sz w:val="24"/>
          <w:szCs w:val="24"/>
        </w:rPr>
      </w:pPr>
    </w:p>
    <w:p w14:paraId="35985ABC">
      <w:pPr>
        <w:spacing w:line="360" w:lineRule="auto"/>
        <w:ind w:firstLine="2650" w:firstLineChars="1100"/>
        <w:jc w:val="both"/>
        <w:rPr>
          <w:rFonts w:hint="eastAsia" w:ascii="宋体" w:hAnsi="宋体" w:eastAsia="宋体" w:cs="宋体"/>
          <w:b/>
          <w:color w:val="auto"/>
          <w:sz w:val="24"/>
          <w:szCs w:val="24"/>
        </w:rPr>
      </w:pPr>
    </w:p>
    <w:p w14:paraId="2D42B153">
      <w:pPr>
        <w:spacing w:line="360" w:lineRule="auto"/>
        <w:ind w:firstLine="2650" w:firstLineChars="1100"/>
        <w:jc w:val="both"/>
        <w:rPr>
          <w:rFonts w:hint="eastAsia" w:ascii="宋体" w:hAnsi="宋体" w:eastAsia="宋体" w:cs="宋体"/>
          <w:b/>
          <w:color w:val="auto"/>
          <w:sz w:val="24"/>
          <w:szCs w:val="24"/>
        </w:rPr>
      </w:pPr>
    </w:p>
    <w:p w14:paraId="6B07DFE6">
      <w:pPr>
        <w:spacing w:line="360" w:lineRule="auto"/>
        <w:ind w:firstLine="2650" w:firstLineChars="1100"/>
        <w:jc w:val="both"/>
        <w:rPr>
          <w:rFonts w:hint="eastAsia" w:ascii="宋体" w:hAnsi="宋体" w:eastAsia="宋体" w:cs="宋体"/>
          <w:b/>
          <w:color w:val="auto"/>
          <w:sz w:val="24"/>
          <w:szCs w:val="24"/>
        </w:rPr>
      </w:pPr>
      <w:r>
        <w:rPr>
          <w:rFonts w:hint="eastAsia" w:ascii="宋体" w:hAnsi="宋体" w:eastAsia="宋体" w:cs="宋体"/>
          <w:b/>
          <w:color w:val="auto"/>
          <w:sz w:val="24"/>
          <w:szCs w:val="24"/>
        </w:rPr>
        <w:t>供应商：</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（公章）</w:t>
      </w:r>
    </w:p>
    <w:p w14:paraId="228F2CF7">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法定代表人或委托代理人：</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（签字或盖章）</w:t>
      </w:r>
    </w:p>
    <w:p w14:paraId="78A5222F">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年   月 </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 xml:space="preserve"> 日</w:t>
      </w:r>
    </w:p>
    <w:p w14:paraId="5238A7A4">
      <w:pPr>
        <w:keepNext/>
        <w:pageBreakBefore/>
        <w:widowControl/>
        <w:spacing w:line="360" w:lineRule="auto"/>
        <w:ind w:firstLine="0" w:firstLineChars="0"/>
        <w:outlineLvl w:val="1"/>
        <w:rPr>
          <w:rFonts w:hint="eastAsia" w:ascii="宋体" w:hAnsi="宋体" w:eastAsia="宋体" w:cs="宋体"/>
          <w:b/>
          <w:color w:val="auto"/>
          <w:sz w:val="24"/>
          <w:szCs w:val="24"/>
        </w:rPr>
      </w:pPr>
      <w:bookmarkStart w:id="189" w:name="_Toc21294"/>
      <w:bookmarkStart w:id="190" w:name="_Toc13693"/>
      <w:bookmarkStart w:id="191" w:name="_Toc14675"/>
      <w:r>
        <w:rPr>
          <w:rFonts w:hint="eastAsia" w:ascii="宋体" w:hAnsi="宋体" w:eastAsia="宋体" w:cs="宋体"/>
          <w:b/>
          <w:color w:val="auto"/>
          <w:sz w:val="24"/>
          <w:szCs w:val="24"/>
        </w:rPr>
        <w:t>附件</w:t>
      </w:r>
      <w:bookmarkStart w:id="192" w:name="_Toc376936774"/>
      <w:bookmarkStart w:id="193" w:name="_Toc325726043"/>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rPr>
        <w:t>：法定代表人证明书</w:t>
      </w:r>
      <w:bookmarkEnd w:id="189"/>
      <w:bookmarkEnd w:id="190"/>
      <w:bookmarkEnd w:id="191"/>
      <w:bookmarkEnd w:id="192"/>
      <w:bookmarkEnd w:id="193"/>
    </w:p>
    <w:p w14:paraId="5636AFC0">
      <w:pPr>
        <w:spacing w:line="360" w:lineRule="auto"/>
        <w:ind w:firstLine="0" w:firstLineChars="0"/>
        <w:jc w:val="center"/>
        <w:rPr>
          <w:rFonts w:hint="eastAsia" w:ascii="宋体" w:hAnsi="宋体" w:eastAsia="宋体" w:cs="宋体"/>
          <w:b/>
          <w:bCs/>
          <w:color w:val="auto"/>
          <w:sz w:val="24"/>
          <w:szCs w:val="24"/>
        </w:rPr>
      </w:pPr>
    </w:p>
    <w:p w14:paraId="06707C0F">
      <w:pPr>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法定代表人证明书</w:t>
      </w:r>
    </w:p>
    <w:p w14:paraId="39265D35">
      <w:pPr>
        <w:spacing w:line="360" w:lineRule="auto"/>
        <w:ind w:firstLine="0" w:firstLineChars="0"/>
        <w:rPr>
          <w:rFonts w:hint="eastAsia" w:ascii="宋体" w:hAnsi="宋体" w:eastAsia="宋体" w:cs="宋体"/>
          <w:b/>
          <w:bCs/>
          <w:color w:val="auto"/>
          <w:sz w:val="24"/>
          <w:szCs w:val="24"/>
        </w:rPr>
      </w:pPr>
    </w:p>
    <w:p w14:paraId="00C62D19">
      <w:pPr>
        <w:spacing w:line="360" w:lineRule="auto"/>
        <w:ind w:firstLine="0" w:firstLineChars="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致：</w:t>
      </w:r>
      <w:r>
        <w:rPr>
          <w:rFonts w:hint="eastAsia" w:ascii="宋体" w:hAnsi="宋体" w:eastAsia="宋体" w:cs="宋体"/>
          <w:b/>
          <w:bCs/>
          <w:color w:val="auto"/>
          <w:sz w:val="24"/>
          <w:szCs w:val="24"/>
          <w:lang w:eastAsia="zh-CN"/>
        </w:rPr>
        <w:t>青海鼎钊招标代理有限公司</w:t>
      </w:r>
    </w:p>
    <w:p w14:paraId="521AFF29">
      <w:pPr>
        <w:autoSpaceDE w:val="0"/>
        <w:autoSpaceDN w:val="0"/>
        <w:spacing w:line="360" w:lineRule="auto"/>
        <w:ind w:firstLine="0" w:firstLineChars="0"/>
        <w:jc w:val="left"/>
        <w:rPr>
          <w:rFonts w:hint="eastAsia" w:ascii="宋体" w:hAnsi="宋体" w:eastAsia="宋体" w:cs="宋体"/>
          <w:color w:val="auto"/>
          <w:sz w:val="24"/>
          <w:szCs w:val="24"/>
        </w:rPr>
      </w:pPr>
    </w:p>
    <w:p w14:paraId="3D313C7F">
      <w:pPr>
        <w:autoSpaceDE w:val="0"/>
        <w:autoSpaceDN w:val="0"/>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（法定代表人姓名）  </w:t>
      </w:r>
      <w:r>
        <w:rPr>
          <w:rFonts w:hint="eastAsia" w:ascii="宋体" w:hAnsi="宋体" w:eastAsia="宋体" w:cs="宋体"/>
          <w:color w:val="auto"/>
          <w:sz w:val="24"/>
          <w:szCs w:val="24"/>
        </w:rPr>
        <w:t>现任我单位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职务，为法定代表人，特此证明。</w:t>
      </w:r>
    </w:p>
    <w:p w14:paraId="5EE3CC37">
      <w:pPr>
        <w:autoSpaceDE w:val="0"/>
        <w:autoSpaceDN w:val="0"/>
        <w:spacing w:line="360" w:lineRule="auto"/>
        <w:ind w:firstLine="0" w:firstLineChars="0"/>
        <w:jc w:val="left"/>
        <w:rPr>
          <w:rFonts w:hint="eastAsia" w:ascii="宋体" w:hAnsi="宋体" w:eastAsia="宋体" w:cs="宋体"/>
          <w:color w:val="auto"/>
          <w:sz w:val="24"/>
          <w:szCs w:val="24"/>
        </w:rPr>
      </w:pPr>
    </w:p>
    <w:p w14:paraId="37B72C32">
      <w:pPr>
        <w:autoSpaceDE w:val="0"/>
        <w:autoSpaceDN w:val="0"/>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法定代表人基本情况：</w:t>
      </w:r>
    </w:p>
    <w:p w14:paraId="6F0330AA">
      <w:pPr>
        <w:autoSpaceDE w:val="0"/>
        <w:autoSpaceDN w:val="0"/>
        <w:spacing w:line="360" w:lineRule="auto"/>
        <w:ind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民族：</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2D0D0473">
      <w:pPr>
        <w:autoSpaceDE w:val="0"/>
        <w:autoSpaceDN w:val="0"/>
        <w:spacing w:line="360" w:lineRule="auto"/>
        <w:ind w:firstLine="0" w:firstLineChars="0"/>
        <w:jc w:val="left"/>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lang w:val="en-US" w:eastAsia="zh-CN"/>
        </w:rPr>
        <w:t xml:space="preserve">                               </w:t>
      </w:r>
    </w:p>
    <w:p w14:paraId="582E3590">
      <w:pPr>
        <w:autoSpaceDE w:val="0"/>
        <w:autoSpaceDN w:val="0"/>
        <w:spacing w:line="360" w:lineRule="auto"/>
        <w:ind w:firstLine="0" w:firstLineChars="0"/>
        <w:jc w:val="left"/>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身份证号码：</w:t>
      </w:r>
      <w:r>
        <w:rPr>
          <w:rFonts w:hint="eastAsia" w:ascii="宋体" w:hAnsi="宋体" w:eastAsia="宋体" w:cs="宋体"/>
          <w:color w:val="auto"/>
          <w:sz w:val="24"/>
          <w:szCs w:val="24"/>
          <w:u w:val="single"/>
          <w:lang w:val="en-US" w:eastAsia="zh-CN"/>
        </w:rPr>
        <w:t xml:space="preserve">                           </w:t>
      </w:r>
    </w:p>
    <w:p w14:paraId="0B81A754">
      <w:pPr>
        <w:autoSpaceDE w:val="0"/>
        <w:autoSpaceDN w:val="0"/>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附法定代表人第二代身份证双面扫描件</w:t>
      </w:r>
    </w:p>
    <w:p w14:paraId="48893043">
      <w:pPr>
        <w:autoSpaceDE w:val="0"/>
        <w:autoSpaceDN w:val="0"/>
        <w:spacing w:line="360" w:lineRule="auto"/>
        <w:ind w:firstLine="0" w:firstLineChars="0"/>
        <w:jc w:val="left"/>
        <w:rPr>
          <w:rFonts w:hint="eastAsia" w:ascii="宋体" w:hAnsi="宋体" w:eastAsia="宋体" w:cs="宋体"/>
          <w:color w:val="auto"/>
          <w:sz w:val="24"/>
          <w:szCs w:val="24"/>
        </w:rPr>
      </w:pPr>
    </w:p>
    <w:p w14:paraId="08A4663F">
      <w:pPr>
        <w:autoSpaceDE w:val="0"/>
        <w:autoSpaceDN w:val="0"/>
        <w:spacing w:line="360" w:lineRule="auto"/>
        <w:ind w:firstLine="0" w:firstLineChars="0"/>
        <w:jc w:val="left"/>
        <w:rPr>
          <w:rFonts w:hint="eastAsia" w:ascii="宋体" w:hAnsi="宋体" w:eastAsia="宋体" w:cs="宋体"/>
          <w:color w:val="auto"/>
          <w:sz w:val="24"/>
          <w:szCs w:val="24"/>
        </w:rPr>
      </w:pPr>
    </w:p>
    <w:p w14:paraId="2989CA7D">
      <w:pPr>
        <w:autoSpaceDE w:val="0"/>
        <w:autoSpaceDN w:val="0"/>
        <w:spacing w:line="360" w:lineRule="auto"/>
        <w:ind w:firstLine="0" w:firstLineChars="0"/>
        <w:jc w:val="left"/>
        <w:rPr>
          <w:rFonts w:hint="eastAsia" w:ascii="宋体" w:hAnsi="宋体" w:eastAsia="宋体" w:cs="宋体"/>
          <w:color w:val="auto"/>
          <w:sz w:val="24"/>
          <w:szCs w:val="24"/>
        </w:rPr>
      </w:pPr>
    </w:p>
    <w:p w14:paraId="2A5E08BD">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供应商：</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（公章）</w:t>
      </w:r>
    </w:p>
    <w:p w14:paraId="103D6D36">
      <w:pPr>
        <w:wordWrap w:val="0"/>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年   月   日</w:t>
      </w:r>
    </w:p>
    <w:p w14:paraId="5EC73854">
      <w:pPr>
        <w:wordWrap w:val="0"/>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4120242D">
      <w:pPr>
        <w:keepNext/>
        <w:pageBreakBefore/>
        <w:widowControl/>
        <w:spacing w:line="360" w:lineRule="auto"/>
        <w:ind w:firstLine="0" w:firstLineChars="0"/>
        <w:outlineLvl w:val="1"/>
        <w:rPr>
          <w:rFonts w:hint="eastAsia" w:ascii="宋体" w:hAnsi="宋体" w:eastAsia="宋体" w:cs="宋体"/>
          <w:b/>
          <w:color w:val="auto"/>
          <w:sz w:val="24"/>
          <w:szCs w:val="24"/>
        </w:rPr>
      </w:pPr>
      <w:bookmarkStart w:id="194" w:name="_Toc201287639"/>
      <w:bookmarkStart w:id="195" w:name="_Toc324756736"/>
      <w:bookmarkStart w:id="196" w:name="_Toc31614"/>
      <w:bookmarkStart w:id="197" w:name="_Toc29201"/>
      <w:bookmarkStart w:id="198" w:name="_Toc18944"/>
      <w:r>
        <w:rPr>
          <w:rFonts w:hint="eastAsia" w:ascii="宋体" w:hAnsi="宋体" w:eastAsia="宋体" w:cs="宋体"/>
          <w:b/>
          <w:color w:val="auto"/>
          <w:sz w:val="24"/>
          <w:szCs w:val="24"/>
        </w:rPr>
        <w:t>附件</w:t>
      </w:r>
      <w:bookmarkEnd w:id="194"/>
      <w:bookmarkEnd w:id="195"/>
      <w:r>
        <w:rPr>
          <w:rFonts w:hint="eastAsia" w:ascii="宋体" w:hAnsi="宋体" w:eastAsia="宋体" w:cs="宋体"/>
          <w:b/>
          <w:color w:val="auto"/>
          <w:sz w:val="24"/>
          <w:szCs w:val="24"/>
          <w:lang w:val="en-US" w:eastAsia="zh-CN"/>
        </w:rPr>
        <w:t>5</w:t>
      </w:r>
      <w:r>
        <w:rPr>
          <w:rFonts w:hint="eastAsia" w:ascii="宋体" w:hAnsi="宋体" w:eastAsia="宋体" w:cs="宋体"/>
          <w:b/>
          <w:color w:val="auto"/>
          <w:sz w:val="24"/>
          <w:szCs w:val="24"/>
        </w:rPr>
        <w:t>：法定代表人授权书</w:t>
      </w:r>
      <w:bookmarkEnd w:id="196"/>
      <w:bookmarkEnd w:id="197"/>
      <w:bookmarkEnd w:id="198"/>
    </w:p>
    <w:p w14:paraId="0B14C654">
      <w:pPr>
        <w:spacing w:line="360" w:lineRule="auto"/>
        <w:ind w:firstLine="0" w:firstLineChars="0"/>
        <w:rPr>
          <w:rFonts w:hint="eastAsia" w:ascii="宋体" w:hAnsi="宋体" w:eastAsia="宋体" w:cs="宋体"/>
          <w:b/>
          <w:color w:val="auto"/>
          <w:sz w:val="24"/>
          <w:szCs w:val="24"/>
        </w:rPr>
      </w:pPr>
    </w:p>
    <w:p w14:paraId="7E9AEE91">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法定代表人授权书</w:t>
      </w:r>
    </w:p>
    <w:p w14:paraId="731428DE">
      <w:pPr>
        <w:spacing w:line="360" w:lineRule="auto"/>
        <w:ind w:firstLine="0" w:firstLineChars="0"/>
        <w:rPr>
          <w:rFonts w:hint="eastAsia" w:ascii="宋体" w:hAnsi="宋体" w:eastAsia="宋体" w:cs="宋体"/>
          <w:b/>
          <w:bCs/>
          <w:color w:val="auto"/>
          <w:sz w:val="24"/>
          <w:szCs w:val="24"/>
        </w:rPr>
      </w:pPr>
    </w:p>
    <w:p w14:paraId="771F35E7">
      <w:pPr>
        <w:spacing w:line="360" w:lineRule="auto"/>
        <w:ind w:firstLine="0" w:firstLineChars="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致：</w:t>
      </w:r>
      <w:r>
        <w:rPr>
          <w:rFonts w:hint="eastAsia" w:ascii="宋体" w:hAnsi="宋体" w:eastAsia="宋体" w:cs="宋体"/>
          <w:b/>
          <w:bCs/>
          <w:color w:val="auto"/>
          <w:sz w:val="24"/>
          <w:szCs w:val="24"/>
          <w:lang w:eastAsia="zh-CN"/>
        </w:rPr>
        <w:t>青海鼎钊招标代理有限公司</w:t>
      </w:r>
    </w:p>
    <w:p w14:paraId="766D462C">
      <w:pPr>
        <w:spacing w:line="360" w:lineRule="auto"/>
        <w:ind w:firstLine="0" w:firstLineChars="0"/>
        <w:rPr>
          <w:rFonts w:hint="eastAsia" w:ascii="宋体" w:hAnsi="宋体" w:eastAsia="宋体" w:cs="宋体"/>
          <w:color w:val="auto"/>
          <w:sz w:val="24"/>
          <w:szCs w:val="24"/>
          <w:u w:val="single"/>
        </w:rPr>
      </w:pPr>
    </w:p>
    <w:p w14:paraId="36E47A3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（供应商名称）  </w:t>
      </w:r>
      <w:r>
        <w:rPr>
          <w:rFonts w:hint="eastAsia" w:ascii="宋体" w:hAnsi="宋体" w:eastAsia="宋体" w:cs="宋体"/>
          <w:color w:val="auto"/>
          <w:sz w:val="24"/>
          <w:szCs w:val="24"/>
        </w:rPr>
        <w:t>系中华人民共和国合法企业，法定地址。</w:t>
      </w:r>
    </w:p>
    <w:p w14:paraId="051F97E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（法定代表人姓名）   </w:t>
      </w:r>
      <w:r>
        <w:rPr>
          <w:rFonts w:hint="eastAsia" w:ascii="宋体" w:hAnsi="宋体" w:eastAsia="宋体" w:cs="宋体"/>
          <w:color w:val="auto"/>
          <w:sz w:val="24"/>
          <w:szCs w:val="24"/>
        </w:rPr>
        <w:t>特授权</w:t>
      </w:r>
      <w:r>
        <w:rPr>
          <w:rFonts w:hint="eastAsia" w:ascii="宋体" w:hAnsi="宋体" w:eastAsia="宋体" w:cs="宋体"/>
          <w:color w:val="auto"/>
          <w:sz w:val="24"/>
          <w:szCs w:val="24"/>
          <w:u w:val="single"/>
        </w:rPr>
        <w:t xml:space="preserve"> （委托代理人姓名）    </w:t>
      </w:r>
      <w:r>
        <w:rPr>
          <w:rFonts w:hint="eastAsia" w:ascii="宋体" w:hAnsi="宋体" w:eastAsia="宋体" w:cs="宋体"/>
          <w:color w:val="auto"/>
          <w:sz w:val="24"/>
          <w:szCs w:val="24"/>
        </w:rPr>
        <w:t>代表我单位全权办理针对</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项目的磋商、答疑等具体工作，并签署全部有关的文件、资料。</w:t>
      </w:r>
    </w:p>
    <w:p w14:paraId="06E565C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我单位对被授权人的签名负全部责任。</w:t>
      </w:r>
    </w:p>
    <w:p w14:paraId="5CA189F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在撤销授权的书面通知以前，本授权书一直有效，被授权人签署的所有文件不因授权的撤销而失效。</w:t>
      </w:r>
    </w:p>
    <w:p w14:paraId="69428FB9">
      <w:pPr>
        <w:spacing w:line="360" w:lineRule="auto"/>
        <w:ind w:firstLine="0" w:firstLineChars="0"/>
        <w:rPr>
          <w:rFonts w:hint="eastAsia" w:ascii="宋体" w:hAnsi="宋体" w:eastAsia="宋体" w:cs="宋体"/>
          <w:color w:val="auto"/>
          <w:sz w:val="24"/>
          <w:szCs w:val="24"/>
        </w:rPr>
      </w:pPr>
    </w:p>
    <w:p w14:paraId="741B2F90">
      <w:pPr>
        <w:spacing w:line="360" w:lineRule="auto"/>
        <w:ind w:firstLine="0" w:firstLineChars="0"/>
        <w:rPr>
          <w:rFonts w:hint="eastAsia" w:ascii="宋体" w:hAnsi="宋体" w:eastAsia="宋体" w:cs="宋体"/>
          <w:color w:val="auto"/>
          <w:sz w:val="24"/>
          <w:szCs w:val="24"/>
        </w:rPr>
      </w:pPr>
    </w:p>
    <w:p w14:paraId="6D921937">
      <w:pPr>
        <w:spacing w:line="360" w:lineRule="auto"/>
        <w:ind w:firstLine="0" w:firstLineChars="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被授权人联系电话：</w:t>
      </w:r>
      <w:r>
        <w:rPr>
          <w:rFonts w:hint="eastAsia" w:ascii="宋体" w:hAnsi="宋体" w:eastAsia="宋体" w:cs="宋体"/>
          <w:color w:val="auto"/>
          <w:sz w:val="24"/>
          <w:szCs w:val="24"/>
          <w:u w:val="single"/>
          <w:lang w:val="en-US" w:eastAsia="zh-CN"/>
        </w:rPr>
        <w:t xml:space="preserve">             </w:t>
      </w:r>
    </w:p>
    <w:p w14:paraId="4EE1DA0D">
      <w:pPr>
        <w:spacing w:line="360" w:lineRule="auto"/>
        <w:ind w:firstLine="0" w:firstLineChars="0"/>
        <w:rPr>
          <w:rFonts w:hint="eastAsia" w:ascii="宋体" w:hAnsi="宋体" w:eastAsia="宋体" w:cs="宋体"/>
          <w:color w:val="auto"/>
          <w:sz w:val="24"/>
          <w:szCs w:val="24"/>
        </w:rPr>
      </w:pPr>
    </w:p>
    <w:p w14:paraId="3084B112">
      <w:pPr>
        <w:spacing w:line="360" w:lineRule="auto"/>
        <w:ind w:firstLine="0" w:firstLineChars="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被授权人（委托代理人）签字：</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授权人（法定代表人）签字：</w:t>
      </w:r>
      <w:r>
        <w:rPr>
          <w:rFonts w:hint="eastAsia" w:ascii="宋体" w:hAnsi="宋体" w:eastAsia="宋体" w:cs="宋体"/>
          <w:color w:val="auto"/>
          <w:sz w:val="24"/>
          <w:szCs w:val="24"/>
          <w:u w:val="single"/>
          <w:lang w:val="en-US" w:eastAsia="zh-CN"/>
        </w:rPr>
        <w:t xml:space="preserve">      </w:t>
      </w:r>
    </w:p>
    <w:p w14:paraId="0D63F95D">
      <w:pPr>
        <w:spacing w:line="360" w:lineRule="auto"/>
        <w:ind w:firstLine="0" w:firstLineChars="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lang w:val="en-US" w:eastAsia="zh-CN"/>
        </w:rPr>
        <w:t xml:space="preserve">             </w:t>
      </w:r>
    </w:p>
    <w:p w14:paraId="2BDF2B42">
      <w:pPr>
        <w:autoSpaceDE w:val="0"/>
        <w:autoSpaceDN w:val="0"/>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附被授权人第二代身份证双面扫描件</w:t>
      </w:r>
    </w:p>
    <w:p w14:paraId="22DF98DE">
      <w:pPr>
        <w:spacing w:line="360" w:lineRule="auto"/>
        <w:ind w:firstLine="0" w:firstLineChars="0"/>
        <w:rPr>
          <w:rFonts w:hint="eastAsia" w:ascii="宋体" w:hAnsi="宋体" w:eastAsia="宋体" w:cs="宋体"/>
          <w:color w:val="auto"/>
          <w:sz w:val="24"/>
          <w:szCs w:val="24"/>
        </w:rPr>
      </w:pPr>
    </w:p>
    <w:p w14:paraId="2342997B">
      <w:pPr>
        <w:spacing w:line="360" w:lineRule="auto"/>
        <w:ind w:firstLine="0" w:firstLineChars="0"/>
        <w:rPr>
          <w:rFonts w:hint="eastAsia" w:ascii="宋体" w:hAnsi="宋体" w:eastAsia="宋体" w:cs="宋体"/>
          <w:color w:val="auto"/>
          <w:sz w:val="24"/>
          <w:szCs w:val="24"/>
        </w:rPr>
      </w:pPr>
    </w:p>
    <w:p w14:paraId="3C89FE02">
      <w:pPr>
        <w:spacing w:line="360" w:lineRule="auto"/>
        <w:ind w:firstLine="0" w:firstLineChars="0"/>
        <w:rPr>
          <w:rFonts w:hint="eastAsia" w:ascii="宋体" w:hAnsi="宋体" w:eastAsia="宋体" w:cs="宋体"/>
          <w:color w:val="auto"/>
          <w:sz w:val="24"/>
          <w:szCs w:val="24"/>
        </w:rPr>
      </w:pPr>
    </w:p>
    <w:p w14:paraId="587775A5">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供应商：</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（公章）</w:t>
      </w:r>
    </w:p>
    <w:p w14:paraId="4806282F">
      <w:pPr>
        <w:wordWrap w:val="0"/>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年   月 </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 xml:space="preserve"> 日</w:t>
      </w:r>
    </w:p>
    <w:p w14:paraId="55409AB2">
      <w:pPr>
        <w:wordWrap w:val="0"/>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436983E6">
      <w:pPr>
        <w:keepNext/>
        <w:pageBreakBefore/>
        <w:widowControl/>
        <w:spacing w:line="360" w:lineRule="auto"/>
        <w:ind w:firstLine="0" w:firstLineChars="0"/>
        <w:outlineLvl w:val="1"/>
        <w:rPr>
          <w:rFonts w:hint="eastAsia" w:ascii="宋体" w:hAnsi="宋体" w:eastAsia="宋体" w:cs="宋体"/>
          <w:b/>
          <w:color w:val="auto"/>
          <w:sz w:val="24"/>
          <w:szCs w:val="24"/>
        </w:rPr>
      </w:pPr>
      <w:bookmarkStart w:id="199" w:name="_Toc28439"/>
      <w:bookmarkStart w:id="200" w:name="_Toc25884"/>
      <w:bookmarkStart w:id="201" w:name="_Toc30284"/>
      <w:r>
        <w:rPr>
          <w:rFonts w:hint="eastAsia" w:ascii="宋体" w:hAnsi="宋体" w:eastAsia="宋体" w:cs="宋体"/>
          <w:b/>
          <w:color w:val="auto"/>
          <w:sz w:val="24"/>
          <w:szCs w:val="24"/>
        </w:rPr>
        <w:t>附件</w:t>
      </w:r>
      <w:r>
        <w:rPr>
          <w:rFonts w:hint="eastAsia" w:ascii="宋体" w:hAnsi="宋体" w:eastAsia="宋体" w:cs="宋体"/>
          <w:b/>
          <w:color w:val="auto"/>
          <w:sz w:val="24"/>
          <w:szCs w:val="24"/>
          <w:lang w:val="en-US" w:eastAsia="zh-CN"/>
        </w:rPr>
        <w:t>6</w:t>
      </w:r>
      <w:r>
        <w:rPr>
          <w:rFonts w:hint="eastAsia" w:ascii="宋体" w:hAnsi="宋体" w:eastAsia="宋体" w:cs="宋体"/>
          <w:b/>
          <w:color w:val="auto"/>
          <w:sz w:val="24"/>
          <w:szCs w:val="24"/>
        </w:rPr>
        <w:t>：供应商承诺函</w:t>
      </w:r>
      <w:bookmarkEnd w:id="199"/>
      <w:bookmarkEnd w:id="200"/>
      <w:bookmarkEnd w:id="201"/>
    </w:p>
    <w:p w14:paraId="51CEB0C7">
      <w:pPr>
        <w:spacing w:line="360" w:lineRule="auto"/>
        <w:ind w:firstLine="0" w:firstLineChars="0"/>
        <w:jc w:val="center"/>
        <w:rPr>
          <w:rFonts w:hint="eastAsia" w:ascii="宋体" w:hAnsi="宋体" w:eastAsia="宋体" w:cs="宋体"/>
          <w:b/>
          <w:bCs/>
          <w:color w:val="auto"/>
          <w:sz w:val="24"/>
          <w:szCs w:val="24"/>
        </w:rPr>
      </w:pPr>
    </w:p>
    <w:p w14:paraId="24C03EAC">
      <w:pPr>
        <w:spacing w:line="36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供应商承诺函</w:t>
      </w:r>
    </w:p>
    <w:p w14:paraId="106D1953">
      <w:pPr>
        <w:spacing w:line="360" w:lineRule="auto"/>
        <w:ind w:firstLine="0" w:firstLineChars="0"/>
        <w:rPr>
          <w:rFonts w:hint="eastAsia" w:ascii="宋体" w:hAnsi="宋体" w:eastAsia="宋体" w:cs="宋体"/>
          <w:b/>
          <w:bCs/>
          <w:color w:val="auto"/>
          <w:sz w:val="24"/>
          <w:szCs w:val="24"/>
        </w:rPr>
      </w:pPr>
    </w:p>
    <w:p w14:paraId="4D980ECA">
      <w:pPr>
        <w:spacing w:line="360" w:lineRule="auto"/>
        <w:ind w:firstLine="0" w:firstLineChars="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致：</w:t>
      </w:r>
      <w:r>
        <w:rPr>
          <w:rFonts w:hint="eastAsia" w:ascii="宋体" w:hAnsi="宋体" w:eastAsia="宋体" w:cs="宋体"/>
          <w:b/>
          <w:bCs/>
          <w:color w:val="auto"/>
          <w:sz w:val="24"/>
          <w:szCs w:val="24"/>
          <w:lang w:eastAsia="zh-CN"/>
        </w:rPr>
        <w:t>青海鼎钊招标代理有限公司</w:t>
      </w:r>
    </w:p>
    <w:p w14:paraId="0B8A713F">
      <w:pPr>
        <w:spacing w:line="360" w:lineRule="auto"/>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关于贵方</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lang w:eastAsia="zh-CN"/>
        </w:rPr>
        <w:t>青海鼎钊竞磋（服务）2026-028</w:t>
      </w:r>
      <w:r>
        <w:rPr>
          <w:rFonts w:hint="eastAsia" w:ascii="宋体" w:hAnsi="宋体" w:eastAsia="宋体" w:cs="宋体"/>
          <w:color w:val="auto"/>
          <w:sz w:val="24"/>
          <w:szCs w:val="24"/>
        </w:rPr>
        <w:t>采购项目，本签字人愿意参加磋商，提供</w:t>
      </w:r>
      <w:r>
        <w:rPr>
          <w:rFonts w:hint="eastAsia" w:ascii="宋体" w:hAnsi="宋体" w:eastAsia="宋体" w:cs="宋体"/>
          <w:color w:val="auto"/>
          <w:sz w:val="24"/>
          <w:szCs w:val="24"/>
          <w:lang w:eastAsia="zh-CN"/>
        </w:rPr>
        <w:t>采购项目要求</w:t>
      </w:r>
      <w:r>
        <w:rPr>
          <w:rFonts w:hint="eastAsia" w:ascii="宋体" w:hAnsi="宋体" w:eastAsia="宋体" w:cs="宋体"/>
          <w:color w:val="auto"/>
          <w:sz w:val="24"/>
          <w:szCs w:val="24"/>
        </w:rPr>
        <w:t>的所有服务，并证实提交的所有资料是准确的和真实的。同时，我代表</w:t>
      </w:r>
      <w:r>
        <w:rPr>
          <w:rFonts w:hint="eastAsia" w:ascii="宋体" w:hAnsi="宋体" w:eastAsia="宋体" w:cs="宋体"/>
          <w:color w:val="auto"/>
          <w:sz w:val="24"/>
          <w:szCs w:val="24"/>
          <w:u w:val="single"/>
        </w:rPr>
        <w:t>（供应商名称）</w:t>
      </w:r>
      <w:r>
        <w:rPr>
          <w:rFonts w:hint="eastAsia" w:ascii="宋体" w:hAnsi="宋体" w:eastAsia="宋体" w:cs="宋体"/>
          <w:color w:val="auto"/>
          <w:sz w:val="24"/>
          <w:szCs w:val="24"/>
        </w:rPr>
        <w:t>，在此作如下承诺：</w:t>
      </w:r>
    </w:p>
    <w:p w14:paraId="5890694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完全理解和接受磋商文件的一切规定和要求；</w:t>
      </w:r>
    </w:p>
    <w:p w14:paraId="39930ED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若成交，我方将按照磋商文件的具体规定与采购人签订采购合同，并且严格履行合同义务，按时提供优质的服务。如果在合同执行过程中，发现服务质量、数量出现问题，我方一定尽快完善，并承担相应的经济责任；</w:t>
      </w:r>
    </w:p>
    <w:p w14:paraId="481111F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在整个磋商过程中我方若有违规行为，贵方可按磋商文件之规定给予处罚，我方完全接受。</w:t>
      </w:r>
    </w:p>
    <w:p w14:paraId="232D15A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.若成交，本承诺中明确的具体内容将成为合同不可分割的一部分，与合同具有同等的法律效力。</w:t>
      </w:r>
    </w:p>
    <w:p w14:paraId="193DC869">
      <w:pPr>
        <w:spacing w:line="360" w:lineRule="auto"/>
        <w:ind w:firstLine="0" w:firstLineChars="0"/>
        <w:textAlignment w:val="baseline"/>
        <w:rPr>
          <w:rFonts w:hint="eastAsia" w:ascii="宋体" w:hAnsi="宋体" w:eastAsia="宋体" w:cs="宋体"/>
          <w:color w:val="auto"/>
          <w:sz w:val="24"/>
          <w:szCs w:val="24"/>
          <w:lang w:val="en-US" w:eastAsia="zh-CN"/>
        </w:rPr>
      </w:pPr>
    </w:p>
    <w:p w14:paraId="50219C0D">
      <w:pPr>
        <w:pStyle w:val="2"/>
        <w:ind w:left="0" w:leftChars="0" w:firstLine="0" w:firstLineChars="0"/>
        <w:rPr>
          <w:rFonts w:hint="eastAsia" w:ascii="宋体" w:hAnsi="宋体" w:eastAsia="宋体" w:cs="宋体"/>
          <w:color w:val="auto"/>
          <w:lang w:val="en-US" w:eastAsia="zh-CN"/>
        </w:rPr>
      </w:pPr>
    </w:p>
    <w:p w14:paraId="4DE87B05">
      <w:pPr>
        <w:spacing w:line="360" w:lineRule="auto"/>
        <w:ind w:firstLine="0" w:firstLineChars="0"/>
        <w:textAlignment w:val="baseline"/>
        <w:rPr>
          <w:rFonts w:hint="eastAsia" w:ascii="宋体" w:hAnsi="宋体" w:eastAsia="宋体" w:cs="宋体"/>
          <w:color w:val="auto"/>
          <w:sz w:val="24"/>
          <w:szCs w:val="24"/>
        </w:rPr>
      </w:pPr>
    </w:p>
    <w:p w14:paraId="0EAC1E4E">
      <w:pPr>
        <w:spacing w:line="360" w:lineRule="auto"/>
        <w:ind w:firstLine="0" w:firstLineChars="0"/>
        <w:textAlignment w:val="baseline"/>
        <w:rPr>
          <w:rFonts w:hint="eastAsia" w:ascii="宋体" w:hAnsi="宋体" w:eastAsia="宋体" w:cs="宋体"/>
          <w:color w:val="auto"/>
          <w:sz w:val="24"/>
          <w:szCs w:val="24"/>
        </w:rPr>
      </w:pPr>
    </w:p>
    <w:p w14:paraId="7577E013">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供应商：</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（公章）</w:t>
      </w:r>
    </w:p>
    <w:p w14:paraId="01B7E675">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法定代表人或委托代理人：</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（签字或盖章）</w:t>
      </w:r>
    </w:p>
    <w:p w14:paraId="24B419F3">
      <w:pPr>
        <w:wordWrap w:val="0"/>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年   月</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 xml:space="preserve">  日</w:t>
      </w:r>
    </w:p>
    <w:p w14:paraId="5AB9099A">
      <w:pPr>
        <w:wordWrap w:val="0"/>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204F8DCC">
      <w:pPr>
        <w:keepNext/>
        <w:pageBreakBefore/>
        <w:widowControl/>
        <w:spacing w:line="360" w:lineRule="auto"/>
        <w:ind w:firstLine="0" w:firstLineChars="0"/>
        <w:outlineLvl w:val="1"/>
        <w:rPr>
          <w:rFonts w:hint="eastAsia" w:ascii="宋体" w:hAnsi="宋体" w:eastAsia="宋体" w:cs="宋体"/>
          <w:b/>
          <w:color w:val="auto"/>
          <w:sz w:val="24"/>
          <w:szCs w:val="24"/>
        </w:rPr>
      </w:pPr>
      <w:bookmarkStart w:id="202" w:name="_Toc11173"/>
      <w:bookmarkStart w:id="203" w:name="_Toc11349"/>
      <w:bookmarkStart w:id="204" w:name="_Toc10912"/>
      <w:r>
        <w:rPr>
          <w:rFonts w:hint="eastAsia" w:ascii="宋体" w:hAnsi="宋体" w:eastAsia="宋体" w:cs="宋体"/>
          <w:b/>
          <w:color w:val="auto"/>
          <w:sz w:val="24"/>
          <w:szCs w:val="24"/>
        </w:rPr>
        <w:t>附件</w:t>
      </w:r>
      <w:bookmarkStart w:id="205" w:name="_Toc376936779"/>
      <w:bookmarkStart w:id="206" w:name="_Toc365019584"/>
      <w:bookmarkStart w:id="207" w:name="_Toc351475542"/>
      <w:r>
        <w:rPr>
          <w:rFonts w:hint="eastAsia" w:ascii="宋体" w:hAnsi="宋体" w:eastAsia="宋体" w:cs="宋体"/>
          <w:b/>
          <w:color w:val="auto"/>
          <w:sz w:val="24"/>
          <w:szCs w:val="24"/>
          <w:lang w:val="en-US" w:eastAsia="zh-CN"/>
        </w:rPr>
        <w:t>7</w:t>
      </w:r>
      <w:r>
        <w:rPr>
          <w:rFonts w:hint="eastAsia" w:ascii="宋体" w:hAnsi="宋体" w:eastAsia="宋体" w:cs="宋体"/>
          <w:b/>
          <w:color w:val="auto"/>
          <w:sz w:val="24"/>
          <w:szCs w:val="24"/>
        </w:rPr>
        <w:t>：供应商诚信承诺书</w:t>
      </w:r>
      <w:bookmarkEnd w:id="202"/>
      <w:bookmarkEnd w:id="203"/>
      <w:bookmarkEnd w:id="204"/>
      <w:bookmarkEnd w:id="205"/>
      <w:bookmarkEnd w:id="206"/>
      <w:bookmarkEnd w:id="207"/>
    </w:p>
    <w:p w14:paraId="3D6301B3">
      <w:pPr>
        <w:spacing w:line="360" w:lineRule="auto"/>
        <w:ind w:firstLine="0" w:firstLineChars="0"/>
        <w:rPr>
          <w:rFonts w:hint="eastAsia" w:ascii="宋体" w:hAnsi="宋体" w:eastAsia="宋体" w:cs="宋体"/>
          <w:color w:val="auto"/>
          <w:sz w:val="24"/>
          <w:szCs w:val="24"/>
        </w:rPr>
      </w:pPr>
    </w:p>
    <w:p w14:paraId="62BABB20">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供应商诚信承诺书</w:t>
      </w:r>
    </w:p>
    <w:p w14:paraId="194BA404">
      <w:pPr>
        <w:spacing w:line="360" w:lineRule="auto"/>
        <w:ind w:firstLine="0" w:firstLineChars="0"/>
        <w:rPr>
          <w:rFonts w:hint="eastAsia" w:ascii="宋体" w:hAnsi="宋体" w:eastAsia="宋体" w:cs="宋体"/>
          <w:b/>
          <w:color w:val="auto"/>
          <w:sz w:val="24"/>
          <w:szCs w:val="24"/>
        </w:rPr>
      </w:pPr>
    </w:p>
    <w:p w14:paraId="30DDDF56">
      <w:pPr>
        <w:spacing w:line="360" w:lineRule="auto"/>
        <w:ind w:firstLine="0" w:firstLineChars="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致：</w:t>
      </w:r>
      <w:r>
        <w:rPr>
          <w:rFonts w:hint="eastAsia" w:ascii="宋体" w:hAnsi="宋体" w:eastAsia="宋体" w:cs="宋体"/>
          <w:b/>
          <w:bCs/>
          <w:color w:val="auto"/>
          <w:sz w:val="24"/>
          <w:szCs w:val="24"/>
          <w:lang w:eastAsia="zh-CN"/>
        </w:rPr>
        <w:t>青海鼎钊招标代理有限公司</w:t>
      </w:r>
    </w:p>
    <w:p w14:paraId="7A75908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为了诚实、客观、有序地参与青海省政府采购活动，愿就以下内容作出承诺：</w:t>
      </w:r>
    </w:p>
    <w:p w14:paraId="1286A1F0">
      <w:pPr>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自觉遵守各项法律、法规、规章、制度以及社会公德，维护廉洁环境，与同场竞争的供应商平等参加政府采购活动。</w:t>
      </w:r>
    </w:p>
    <w:p w14:paraId="6D2BF443">
      <w:pPr>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参加</w:t>
      </w:r>
      <w:r>
        <w:rPr>
          <w:rFonts w:hint="eastAsia" w:ascii="宋体" w:hAnsi="宋体" w:eastAsia="宋体" w:cs="宋体"/>
          <w:color w:val="auto"/>
          <w:sz w:val="24"/>
          <w:szCs w:val="24"/>
          <w:lang w:eastAsia="zh-CN"/>
        </w:rPr>
        <w:t>青海鼎钊招标代理有限公司</w:t>
      </w:r>
      <w:r>
        <w:rPr>
          <w:rFonts w:hint="eastAsia" w:ascii="宋体" w:hAnsi="宋体" w:eastAsia="宋体" w:cs="宋体"/>
          <w:color w:val="auto"/>
          <w:sz w:val="24"/>
          <w:szCs w:val="24"/>
        </w:rPr>
        <w:t>组织的政府采购活动时，严格按照磋商文件的规定和要求提供所需的相关材料，并对所提供的各类资料的真实性负责，不虚假应标，不虚列业绩。</w:t>
      </w:r>
    </w:p>
    <w:p w14:paraId="4454484A">
      <w:pPr>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尊重参与政府采购活动各相关方的合法行为，接受政府采购活动依法形成的意见、结果。</w:t>
      </w:r>
    </w:p>
    <w:p w14:paraId="28BA2171">
      <w:pPr>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依法参加政府采购活动，不围标、串标，维护市场秩序，不提供“三无”产品、以次充好。</w:t>
      </w:r>
    </w:p>
    <w:p w14:paraId="3271BD48">
      <w:pPr>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积极推动政府采购活动健康开展，对采购活动有疑问、异议时，按法律规定的程序实名（加盖单位章和法定代表人签名）反映情况，不恶意中伤、无事生非，以和谐、平等的心态参加政府采购活动。</w:t>
      </w:r>
    </w:p>
    <w:p w14:paraId="3D62BCF1">
      <w:pPr>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认真履行成交供应商应承担的责任和义务，全面执行采购合同规定的各项内容，保质保量地按时提供采购物品。</w:t>
      </w:r>
    </w:p>
    <w:p w14:paraId="7130E49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若本企业（单位）发生有悖于上述承诺的行为，愿意接受《中华人民共和国政府采购法》和《政府采购法实施条例》中对供应商的相关处理。</w:t>
      </w:r>
    </w:p>
    <w:p w14:paraId="2B7DFA9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本承诺是采购项目响应文件的组成部分。</w:t>
      </w:r>
    </w:p>
    <w:p w14:paraId="16515EAB">
      <w:pPr>
        <w:spacing w:line="360" w:lineRule="auto"/>
        <w:ind w:firstLine="0" w:firstLineChars="0"/>
        <w:rPr>
          <w:rFonts w:hint="eastAsia" w:ascii="宋体" w:hAnsi="宋体" w:eastAsia="宋体" w:cs="宋体"/>
          <w:color w:val="auto"/>
          <w:sz w:val="24"/>
          <w:szCs w:val="24"/>
        </w:rPr>
      </w:pPr>
    </w:p>
    <w:p w14:paraId="7327A0F1">
      <w:pPr>
        <w:spacing w:line="360" w:lineRule="auto"/>
        <w:ind w:firstLine="0" w:firstLineChars="0"/>
        <w:textAlignment w:val="baseline"/>
        <w:rPr>
          <w:rFonts w:hint="eastAsia" w:ascii="宋体" w:hAnsi="宋体" w:eastAsia="宋体" w:cs="宋体"/>
          <w:color w:val="auto"/>
          <w:sz w:val="24"/>
          <w:szCs w:val="24"/>
        </w:rPr>
      </w:pPr>
    </w:p>
    <w:p w14:paraId="2FE1BAFF">
      <w:pPr>
        <w:spacing w:line="360" w:lineRule="auto"/>
        <w:ind w:firstLine="0" w:firstLineChars="0"/>
        <w:textAlignment w:val="baseline"/>
        <w:rPr>
          <w:rFonts w:hint="eastAsia" w:ascii="宋体" w:hAnsi="宋体" w:eastAsia="宋体" w:cs="宋体"/>
          <w:color w:val="auto"/>
          <w:sz w:val="24"/>
          <w:szCs w:val="24"/>
        </w:rPr>
      </w:pPr>
    </w:p>
    <w:p w14:paraId="7A1C02B8">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供应商：</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（公章）</w:t>
      </w:r>
    </w:p>
    <w:p w14:paraId="1BEEEAE3">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法定代表人或委托代理人：</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（签字或盖章）</w:t>
      </w:r>
    </w:p>
    <w:p w14:paraId="6AFC702B">
      <w:pPr>
        <w:wordWrap w:val="0"/>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年   月 </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 xml:space="preserve"> 日</w:t>
      </w:r>
      <w:r>
        <w:rPr>
          <w:rFonts w:hint="eastAsia" w:ascii="宋体" w:hAnsi="宋体" w:eastAsia="宋体" w:cs="宋体"/>
          <w:b/>
          <w:color w:val="auto"/>
          <w:sz w:val="24"/>
          <w:szCs w:val="24"/>
        </w:rPr>
        <w:br w:type="page"/>
      </w:r>
    </w:p>
    <w:p w14:paraId="6A822AC7">
      <w:pPr>
        <w:keepNext/>
        <w:pageBreakBefore/>
        <w:widowControl/>
        <w:spacing w:line="360" w:lineRule="auto"/>
        <w:ind w:firstLine="0" w:firstLineChars="0"/>
        <w:outlineLvl w:val="1"/>
        <w:rPr>
          <w:rFonts w:hint="eastAsia" w:ascii="宋体" w:hAnsi="宋体" w:eastAsia="宋体" w:cs="宋体"/>
          <w:b/>
          <w:color w:val="auto"/>
          <w:sz w:val="24"/>
          <w:szCs w:val="24"/>
        </w:rPr>
      </w:pPr>
      <w:bookmarkStart w:id="208" w:name="_Toc25993"/>
      <w:bookmarkStart w:id="209" w:name="_Toc24905"/>
      <w:bookmarkStart w:id="210" w:name="_Toc7486"/>
      <w:r>
        <w:rPr>
          <w:rFonts w:hint="eastAsia" w:ascii="宋体" w:hAnsi="宋体" w:eastAsia="宋体" w:cs="宋体"/>
          <w:b/>
          <w:color w:val="auto"/>
          <w:sz w:val="24"/>
          <w:szCs w:val="24"/>
        </w:rPr>
        <w:t>附件</w:t>
      </w:r>
      <w:r>
        <w:rPr>
          <w:rFonts w:hint="eastAsia" w:ascii="宋体" w:hAnsi="宋体" w:eastAsia="宋体" w:cs="宋体"/>
          <w:b/>
          <w:color w:val="auto"/>
          <w:sz w:val="24"/>
          <w:szCs w:val="24"/>
          <w:lang w:val="en-US" w:eastAsia="zh-CN"/>
        </w:rPr>
        <w:t>8</w:t>
      </w:r>
      <w:r>
        <w:rPr>
          <w:rFonts w:hint="eastAsia" w:ascii="宋体" w:hAnsi="宋体" w:eastAsia="宋体" w:cs="宋体"/>
          <w:b/>
          <w:color w:val="auto"/>
          <w:sz w:val="24"/>
          <w:szCs w:val="24"/>
        </w:rPr>
        <w:t>：资格证明材料</w:t>
      </w:r>
      <w:bookmarkEnd w:id="208"/>
      <w:bookmarkEnd w:id="209"/>
      <w:bookmarkEnd w:id="210"/>
    </w:p>
    <w:p w14:paraId="33BBE05C">
      <w:pPr>
        <w:spacing w:line="360" w:lineRule="auto"/>
        <w:ind w:firstLine="0" w:firstLineChars="0"/>
        <w:rPr>
          <w:rFonts w:hint="eastAsia" w:ascii="宋体" w:hAnsi="宋体" w:eastAsia="宋体" w:cs="宋体"/>
          <w:color w:val="auto"/>
          <w:sz w:val="24"/>
          <w:szCs w:val="24"/>
        </w:rPr>
      </w:pPr>
    </w:p>
    <w:p w14:paraId="10B12BA7">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资格证明材料</w:t>
      </w:r>
    </w:p>
    <w:p w14:paraId="1619FFE1">
      <w:pPr>
        <w:autoSpaceDE w:val="0"/>
        <w:autoSpaceDN w:val="0"/>
        <w:spacing w:line="360" w:lineRule="auto"/>
        <w:ind w:firstLine="0" w:firstLineChars="0"/>
        <w:rPr>
          <w:rFonts w:hint="eastAsia" w:ascii="宋体" w:hAnsi="宋体" w:eastAsia="宋体" w:cs="宋体"/>
          <w:color w:val="auto"/>
          <w:sz w:val="24"/>
          <w:szCs w:val="24"/>
          <w:lang w:val="zh-CN"/>
        </w:rPr>
      </w:pPr>
    </w:p>
    <w:p w14:paraId="30447184">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资格证明材料包括：</w:t>
      </w:r>
    </w:p>
    <w:p w14:paraId="1AD8B963">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bidi="ar-SA"/>
        </w:rPr>
        <w:t>1.</w:t>
      </w:r>
      <w:r>
        <w:rPr>
          <w:rFonts w:hint="eastAsia" w:ascii="宋体" w:hAnsi="宋体" w:eastAsia="宋体" w:cs="宋体"/>
          <w:color w:val="auto"/>
          <w:sz w:val="24"/>
          <w:szCs w:val="24"/>
        </w:rPr>
        <w:t>提供有效的营业执照、税务登记证、机构代码证或三证（五证）合一统一社会代码证及其他资格证明文件（扫描或复印件）；</w:t>
      </w:r>
    </w:p>
    <w:p w14:paraId="5A95DFB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企业法人需提交“统一社会信用代码的营业执照”，未换证的提交“营业执照、组织机构代码证、税务登记证”；事业法人需提交“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社会团体法人登记证书”或“民办非企业单位登记证书”或“基金会法人登记证书”和“组织机构代码证”；个体工商户需提交“统一社会信用代码的营业执照”或“营业执照、税务登记证”；自然人需提交身份证明。</w:t>
      </w:r>
    </w:p>
    <w:p w14:paraId="1D58B36C">
      <w:pPr>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2.磋商</w:t>
      </w:r>
      <w:r>
        <w:rPr>
          <w:rFonts w:hint="eastAsia" w:ascii="宋体" w:hAnsi="宋体" w:eastAsia="宋体" w:cs="宋体"/>
          <w:color w:val="auto"/>
          <w:sz w:val="24"/>
          <w:szCs w:val="24"/>
        </w:rPr>
        <w:t>文件规定的有关资格证书、许可证书、认证等；</w:t>
      </w:r>
    </w:p>
    <w:p w14:paraId="4E557EDB">
      <w:pPr>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3.供应商</w:t>
      </w:r>
      <w:r>
        <w:rPr>
          <w:rFonts w:hint="eastAsia" w:ascii="宋体" w:hAnsi="宋体" w:eastAsia="宋体" w:cs="宋体"/>
          <w:color w:val="auto"/>
          <w:sz w:val="24"/>
          <w:szCs w:val="24"/>
        </w:rPr>
        <w:t>认为有必要提供的其他资格证明文件。</w:t>
      </w:r>
    </w:p>
    <w:p w14:paraId="0B80C2A4">
      <w:pPr>
        <w:wordWrap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5B91EEA5">
      <w:pPr>
        <w:keepNext/>
        <w:pageBreakBefore/>
        <w:widowControl/>
        <w:spacing w:line="360" w:lineRule="auto"/>
        <w:ind w:firstLine="0" w:firstLineChars="0"/>
        <w:outlineLvl w:val="1"/>
        <w:rPr>
          <w:rFonts w:hint="eastAsia" w:ascii="宋体" w:hAnsi="宋体" w:eastAsia="宋体" w:cs="宋体"/>
          <w:b/>
          <w:color w:val="auto"/>
          <w:sz w:val="24"/>
          <w:szCs w:val="24"/>
        </w:rPr>
      </w:pPr>
      <w:bookmarkStart w:id="211" w:name="_Toc19128"/>
      <w:bookmarkStart w:id="212" w:name="_Toc32130"/>
      <w:bookmarkStart w:id="213" w:name="_Toc1139"/>
      <w:r>
        <w:rPr>
          <w:rFonts w:hint="eastAsia" w:ascii="宋体" w:hAnsi="宋体" w:eastAsia="宋体" w:cs="宋体"/>
          <w:b/>
          <w:color w:val="auto"/>
          <w:sz w:val="24"/>
          <w:szCs w:val="24"/>
        </w:rPr>
        <w:t>附件</w:t>
      </w:r>
      <w:r>
        <w:rPr>
          <w:rFonts w:hint="eastAsia" w:ascii="宋体" w:hAnsi="宋体" w:eastAsia="宋体" w:cs="宋体"/>
          <w:b/>
          <w:color w:val="auto"/>
          <w:sz w:val="24"/>
          <w:szCs w:val="24"/>
          <w:lang w:val="en-US" w:eastAsia="zh-CN"/>
        </w:rPr>
        <w:t>9</w:t>
      </w:r>
      <w:r>
        <w:rPr>
          <w:rFonts w:hint="eastAsia" w:ascii="宋体" w:hAnsi="宋体" w:eastAsia="宋体" w:cs="宋体"/>
          <w:b/>
          <w:color w:val="auto"/>
          <w:sz w:val="24"/>
          <w:szCs w:val="24"/>
        </w:rPr>
        <w:t>：财务状况证明</w:t>
      </w:r>
      <w:bookmarkEnd w:id="211"/>
      <w:bookmarkEnd w:id="212"/>
      <w:bookmarkEnd w:id="213"/>
    </w:p>
    <w:p w14:paraId="2EDA455B">
      <w:pPr>
        <w:autoSpaceDE w:val="0"/>
        <w:autoSpaceDN w:val="0"/>
        <w:spacing w:line="360" w:lineRule="auto"/>
        <w:ind w:firstLine="0" w:firstLineChars="0"/>
        <w:jc w:val="center"/>
        <w:rPr>
          <w:rFonts w:hint="eastAsia" w:ascii="宋体" w:hAnsi="宋体" w:eastAsia="宋体" w:cs="宋体"/>
          <w:b/>
          <w:color w:val="auto"/>
          <w:sz w:val="24"/>
          <w:szCs w:val="24"/>
        </w:rPr>
      </w:pPr>
    </w:p>
    <w:p w14:paraId="2D1EF9EE">
      <w:pPr>
        <w:autoSpaceDE w:val="0"/>
        <w:autoSpaceDN w:val="0"/>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财务状况证明</w:t>
      </w:r>
    </w:p>
    <w:p w14:paraId="19A1FA30">
      <w:pPr>
        <w:autoSpaceDE w:val="0"/>
        <w:autoSpaceDN w:val="0"/>
        <w:spacing w:line="360" w:lineRule="auto"/>
        <w:ind w:firstLine="0" w:firstLineChars="0"/>
        <w:jc w:val="center"/>
        <w:rPr>
          <w:rFonts w:hint="eastAsia" w:ascii="宋体" w:hAnsi="宋体" w:eastAsia="宋体" w:cs="宋体"/>
          <w:b/>
          <w:color w:val="auto"/>
          <w:sz w:val="24"/>
          <w:szCs w:val="24"/>
        </w:rPr>
      </w:pPr>
    </w:p>
    <w:p w14:paraId="615358FB">
      <w:pPr>
        <w:wordWrap w:val="0"/>
        <w:spacing w:line="360" w:lineRule="auto"/>
        <w:ind w:firstLine="480"/>
        <w:rPr>
          <w:rFonts w:hint="eastAsia" w:ascii="宋体" w:hAnsi="宋体" w:eastAsia="宋体" w:cs="宋体"/>
          <w:color w:val="auto"/>
          <w:sz w:val="24"/>
          <w:lang w:val="zh-CN" w:eastAsia="zh-CN"/>
        </w:rPr>
      </w:pPr>
      <w:r>
        <w:rPr>
          <w:rFonts w:hint="eastAsia" w:ascii="宋体" w:hAnsi="宋体" w:eastAsia="宋体" w:cs="宋体"/>
          <w:color w:val="auto"/>
          <w:sz w:val="24"/>
          <w:lang w:val="zh-CN"/>
        </w:rPr>
        <w:t>按照磋商文件“第一部分  投标邀请”各包供应商资格要求</w:t>
      </w:r>
      <w:r>
        <w:rPr>
          <w:rFonts w:hint="eastAsia" w:ascii="宋体" w:hAnsi="宋体" w:eastAsia="宋体" w:cs="宋体"/>
          <w:color w:val="auto"/>
          <w:sz w:val="24"/>
          <w:lang w:val="zh-CN" w:eastAsia="zh-CN"/>
        </w:rPr>
        <w:t>1</w:t>
      </w:r>
      <w:r>
        <w:rPr>
          <w:rFonts w:hint="eastAsia" w:ascii="宋体" w:hAnsi="宋体" w:eastAsia="宋体" w:cs="宋体"/>
          <w:color w:val="auto"/>
          <w:sz w:val="24"/>
          <w:lang w:val="en-US" w:eastAsia="zh-CN"/>
        </w:rPr>
        <w:t>.</w:t>
      </w:r>
      <w:r>
        <w:rPr>
          <w:rFonts w:hint="eastAsia" w:ascii="宋体" w:hAnsi="宋体" w:eastAsia="宋体" w:cs="宋体"/>
          <w:color w:val="auto"/>
          <w:sz w:val="24"/>
          <w:lang w:val="zh-CN"/>
        </w:rPr>
        <w:t>中第（</w:t>
      </w:r>
      <w:r>
        <w:rPr>
          <w:rFonts w:hint="eastAsia" w:ascii="宋体" w:hAnsi="宋体" w:eastAsia="宋体" w:cs="宋体"/>
          <w:color w:val="auto"/>
          <w:sz w:val="24"/>
          <w:lang w:val="zh-CN" w:eastAsia="zh-CN"/>
        </w:rPr>
        <w:t>2</w:t>
      </w:r>
      <w:r>
        <w:rPr>
          <w:rFonts w:hint="eastAsia" w:ascii="宋体" w:hAnsi="宋体" w:eastAsia="宋体" w:cs="宋体"/>
          <w:color w:val="auto"/>
          <w:sz w:val="24"/>
          <w:lang w:val="zh-CN"/>
        </w:rPr>
        <w:t>）条规定提供以下相关材料</w:t>
      </w:r>
      <w:r>
        <w:rPr>
          <w:rFonts w:hint="eastAsia" w:ascii="宋体" w:hAnsi="宋体" w:eastAsia="宋体" w:cs="宋体"/>
          <w:color w:val="auto"/>
          <w:sz w:val="24"/>
          <w:lang w:val="zh-CN" w:eastAsia="zh-CN"/>
        </w:rPr>
        <w:t>：</w:t>
      </w:r>
    </w:p>
    <w:p w14:paraId="4821F361">
      <w:pPr>
        <w:wordWrap w:val="0"/>
        <w:spacing w:line="360" w:lineRule="auto"/>
        <w:ind w:left="0" w:leftChars="0" w:firstLine="480" w:firstLineChars="200"/>
        <w:rPr>
          <w:rFonts w:hint="eastAsia" w:ascii="宋体" w:hAnsi="宋体" w:eastAsia="宋体" w:cs="宋体"/>
          <w:color w:val="auto"/>
          <w:sz w:val="24"/>
          <w:lang w:val="zh-CN"/>
        </w:rPr>
      </w:pPr>
      <w:r>
        <w:rPr>
          <w:rFonts w:hint="eastAsia" w:ascii="宋体" w:hAnsi="宋体" w:eastAsia="宋体" w:cs="宋体"/>
          <w:color w:val="auto"/>
          <w:sz w:val="24"/>
          <w:lang w:val="zh-CN"/>
        </w:rPr>
        <w:t>1</w:t>
      </w:r>
      <w:r>
        <w:rPr>
          <w:rFonts w:hint="eastAsia" w:ascii="宋体" w:hAnsi="宋体" w:eastAsia="宋体" w:cs="宋体"/>
          <w:color w:val="auto"/>
          <w:sz w:val="24"/>
          <w:lang w:val="en-US" w:eastAsia="zh-CN"/>
        </w:rPr>
        <w:t>.</w:t>
      </w:r>
      <w:r>
        <w:rPr>
          <w:rFonts w:hint="eastAsia" w:ascii="宋体" w:hAnsi="宋体" w:eastAsia="宋体" w:cs="宋体"/>
          <w:color w:val="auto"/>
          <w:sz w:val="24"/>
          <w:lang w:val="zh-CN" w:eastAsia="zh-CN"/>
        </w:rPr>
        <w:t>供应商</w:t>
      </w:r>
      <w:r>
        <w:rPr>
          <w:rFonts w:hint="eastAsia" w:ascii="宋体" w:hAnsi="宋体" w:eastAsia="宋体" w:cs="宋体"/>
          <w:color w:val="auto"/>
          <w:sz w:val="24"/>
          <w:lang w:val="zh-CN"/>
        </w:rPr>
        <w:t>是法人的，提供基本开户银行近三个月内出具的资信证明（同时提供基本存款账户</w:t>
      </w:r>
      <w:r>
        <w:rPr>
          <w:rFonts w:hint="eastAsia" w:ascii="宋体" w:hAnsi="宋体" w:eastAsia="宋体" w:cs="宋体"/>
          <w:color w:val="auto"/>
          <w:sz w:val="24"/>
          <w:lang w:val="zh-CN" w:eastAsia="zh-CN"/>
        </w:rPr>
        <w:t>信息</w:t>
      </w:r>
      <w:r>
        <w:rPr>
          <w:rFonts w:hint="eastAsia" w:ascii="宋体" w:hAnsi="宋体" w:eastAsia="宋体" w:cs="宋体"/>
          <w:color w:val="auto"/>
          <w:sz w:val="24"/>
          <w:lang w:val="zh-CN"/>
        </w:rPr>
        <w:t>）或20</w:t>
      </w:r>
      <w:r>
        <w:rPr>
          <w:rFonts w:hint="eastAsia" w:ascii="宋体" w:hAnsi="宋体" w:eastAsia="宋体" w:cs="宋体"/>
          <w:color w:val="auto"/>
          <w:sz w:val="24"/>
          <w:lang w:val="en-US" w:eastAsia="zh-CN"/>
        </w:rPr>
        <w:t>24</w:t>
      </w:r>
      <w:r>
        <w:rPr>
          <w:rFonts w:hint="eastAsia" w:ascii="宋体" w:hAnsi="宋体" w:eastAsia="宋体" w:cs="宋体"/>
          <w:color w:val="auto"/>
          <w:sz w:val="24"/>
          <w:lang w:val="zh-CN"/>
        </w:rPr>
        <w:t>年度</w:t>
      </w:r>
      <w:r>
        <w:rPr>
          <w:rFonts w:hint="eastAsia" w:ascii="宋体" w:hAnsi="宋体" w:eastAsia="宋体" w:cs="宋体"/>
          <w:color w:val="auto"/>
          <w:sz w:val="24"/>
          <w:lang w:val="en-US" w:eastAsia="zh-CN"/>
        </w:rPr>
        <w:t>或2025年度</w:t>
      </w:r>
      <w:r>
        <w:rPr>
          <w:rFonts w:hint="eastAsia" w:ascii="宋体" w:hAnsi="宋体" w:eastAsia="宋体" w:cs="宋体"/>
          <w:color w:val="auto"/>
          <w:sz w:val="24"/>
          <w:lang w:val="zh-CN"/>
        </w:rPr>
        <w:t>经第三方审计的</w:t>
      </w:r>
      <w:r>
        <w:rPr>
          <w:rFonts w:hint="eastAsia" w:ascii="宋体" w:hAnsi="宋体" w:eastAsia="宋体" w:cs="宋体"/>
          <w:color w:val="auto"/>
          <w:sz w:val="24"/>
          <w:lang w:val="zh-CN" w:eastAsia="zh-CN"/>
        </w:rPr>
        <w:t>完整的</w:t>
      </w:r>
      <w:r>
        <w:rPr>
          <w:rFonts w:hint="eastAsia" w:ascii="宋体" w:hAnsi="宋体" w:eastAsia="宋体" w:cs="宋体"/>
          <w:color w:val="auto"/>
          <w:sz w:val="24"/>
          <w:lang w:val="zh-CN"/>
        </w:rPr>
        <w:t>财务报告（扫描件应全面、完整、清晰），</w:t>
      </w:r>
      <w:r>
        <w:rPr>
          <w:rFonts w:hint="eastAsia" w:ascii="宋体" w:hAnsi="宋体" w:eastAsia="宋体" w:cs="宋体"/>
          <w:color w:val="auto"/>
          <w:sz w:val="24"/>
          <w:szCs w:val="24"/>
          <w:lang w:val="zh-CN" w:eastAsia="zh-CN"/>
        </w:rPr>
        <w:t>包括资产负债表、利润表、现金流量表、所有者权益（或股东权益）变动表和财务（会计）报表附注</w:t>
      </w:r>
      <w:r>
        <w:rPr>
          <w:rFonts w:hint="eastAsia" w:ascii="宋体" w:hAnsi="宋体" w:eastAsia="宋体" w:cs="宋体"/>
          <w:color w:val="auto"/>
          <w:sz w:val="24"/>
          <w:lang w:val="zh-CN"/>
        </w:rPr>
        <w:t>，并提供第三方机构的营业执照、执业证书</w:t>
      </w:r>
      <w:r>
        <w:rPr>
          <w:rFonts w:hint="eastAsia" w:ascii="宋体" w:hAnsi="宋体" w:eastAsia="宋体" w:cs="宋体"/>
          <w:color w:val="auto"/>
          <w:sz w:val="24"/>
          <w:lang w:val="en-US" w:eastAsia="zh-CN"/>
        </w:rPr>
        <w:t>等</w:t>
      </w:r>
      <w:r>
        <w:rPr>
          <w:rFonts w:hint="eastAsia" w:ascii="宋体" w:hAnsi="宋体" w:eastAsia="宋体" w:cs="宋体"/>
          <w:color w:val="auto"/>
          <w:sz w:val="24"/>
          <w:lang w:val="zh-CN"/>
        </w:rPr>
        <w:t>。</w:t>
      </w:r>
      <w:r>
        <w:rPr>
          <w:rFonts w:hint="eastAsia" w:ascii="宋体" w:hAnsi="宋体" w:eastAsia="宋体" w:cs="宋体"/>
          <w:color w:val="auto"/>
          <w:sz w:val="24"/>
          <w:lang w:val="zh-CN" w:eastAsia="zh-CN"/>
        </w:rPr>
        <w:t>供应商</w:t>
      </w:r>
      <w:r>
        <w:rPr>
          <w:rFonts w:hint="eastAsia" w:ascii="宋体" w:hAnsi="宋体" w:eastAsia="宋体" w:cs="宋体"/>
          <w:color w:val="auto"/>
          <w:sz w:val="24"/>
          <w:lang w:val="zh-CN"/>
        </w:rPr>
        <w:t>是其他组织和自然人，没有经审计的财务报告，可以提供基本开户银行出具的资信证明（同时提供基本存款账户</w:t>
      </w:r>
      <w:r>
        <w:rPr>
          <w:rFonts w:hint="eastAsia" w:ascii="宋体" w:hAnsi="宋体" w:eastAsia="宋体" w:cs="宋体"/>
          <w:color w:val="auto"/>
          <w:sz w:val="24"/>
          <w:lang w:val="zh-CN" w:eastAsia="zh-CN"/>
        </w:rPr>
        <w:t>信息</w:t>
      </w:r>
      <w:r>
        <w:rPr>
          <w:rFonts w:hint="eastAsia" w:ascii="宋体" w:hAnsi="宋体" w:eastAsia="宋体" w:cs="宋体"/>
          <w:color w:val="auto"/>
          <w:sz w:val="24"/>
          <w:lang w:val="zh-CN"/>
        </w:rPr>
        <w:t>）。</w:t>
      </w:r>
    </w:p>
    <w:p w14:paraId="6B9B6E7E">
      <w:pPr>
        <w:wordWrap w:val="0"/>
        <w:spacing w:line="360" w:lineRule="auto"/>
        <w:ind w:left="0" w:leftChars="0" w:firstLine="480" w:firstLineChars="200"/>
        <w:rPr>
          <w:rFonts w:hint="eastAsia" w:ascii="宋体" w:hAnsi="宋体" w:eastAsia="宋体" w:cs="宋体"/>
          <w:color w:val="auto"/>
          <w:sz w:val="24"/>
          <w:lang w:val="zh-CN"/>
        </w:rPr>
      </w:pPr>
      <w:r>
        <w:rPr>
          <w:rFonts w:hint="eastAsia" w:ascii="宋体" w:hAnsi="宋体" w:eastAsia="宋体" w:cs="宋体"/>
          <w:color w:val="auto"/>
          <w:sz w:val="24"/>
          <w:lang w:val="zh-CN"/>
        </w:rPr>
        <w:t>2</w:t>
      </w:r>
      <w:r>
        <w:rPr>
          <w:rFonts w:hint="eastAsia" w:ascii="宋体" w:hAnsi="宋体" w:eastAsia="宋体" w:cs="宋体"/>
          <w:color w:val="auto"/>
          <w:sz w:val="24"/>
          <w:lang w:val="en-US" w:eastAsia="zh-CN"/>
        </w:rPr>
        <w:t>.</w:t>
      </w:r>
      <w:r>
        <w:rPr>
          <w:rFonts w:hint="eastAsia" w:ascii="宋体" w:hAnsi="宋体" w:eastAsia="宋体" w:cs="宋体"/>
          <w:color w:val="auto"/>
          <w:sz w:val="24"/>
          <w:lang w:val="zh-CN"/>
        </w:rPr>
        <w:t>近半年内</w:t>
      </w:r>
      <w:r>
        <w:rPr>
          <w:rFonts w:hint="eastAsia" w:ascii="宋体" w:hAnsi="宋体" w:eastAsia="宋体" w:cs="宋体"/>
          <w:color w:val="auto"/>
          <w:sz w:val="24"/>
          <w:lang w:val="en-US" w:eastAsia="zh-CN"/>
        </w:rPr>
        <w:t>至少1个月的</w:t>
      </w:r>
      <w:r>
        <w:rPr>
          <w:rFonts w:hint="eastAsia" w:ascii="宋体" w:hAnsi="宋体" w:eastAsia="宋体" w:cs="宋体"/>
          <w:color w:val="auto"/>
          <w:sz w:val="24"/>
          <w:lang w:val="zh-CN"/>
        </w:rPr>
        <w:t>依法缴纳税收和社会保障资金记录的证明材料；依法免税或不需要缴纳社会保障资金的</w:t>
      </w:r>
      <w:r>
        <w:rPr>
          <w:rFonts w:hint="eastAsia" w:ascii="宋体" w:hAnsi="宋体" w:eastAsia="宋体" w:cs="宋体"/>
          <w:color w:val="auto"/>
          <w:sz w:val="24"/>
          <w:lang w:val="zh-CN" w:eastAsia="zh-CN"/>
        </w:rPr>
        <w:t>供应商</w:t>
      </w:r>
      <w:r>
        <w:rPr>
          <w:rFonts w:hint="eastAsia" w:ascii="宋体" w:hAnsi="宋体" w:eastAsia="宋体" w:cs="宋体"/>
          <w:color w:val="auto"/>
          <w:sz w:val="24"/>
          <w:lang w:val="zh-CN"/>
        </w:rPr>
        <w:t>须提供相应文件证明其依法免税或不需要缴纳社会保障资金。</w:t>
      </w:r>
    </w:p>
    <w:p w14:paraId="497CEED3">
      <w:pPr>
        <w:pStyle w:val="15"/>
        <w:ind w:left="0" w:leftChars="0" w:firstLine="0" w:firstLineChars="0"/>
        <w:rPr>
          <w:rFonts w:hint="eastAsia" w:ascii="宋体" w:hAnsi="宋体" w:eastAsia="宋体" w:cs="宋体"/>
          <w:color w:val="auto"/>
          <w:lang w:val="zh-CN"/>
        </w:rPr>
      </w:pPr>
    </w:p>
    <w:p w14:paraId="02315F4C">
      <w:pPr>
        <w:wordWrap w:val="0"/>
        <w:spacing w:line="360" w:lineRule="auto"/>
        <w:ind w:firstLine="480"/>
        <w:rPr>
          <w:rFonts w:hint="eastAsia" w:ascii="宋体" w:hAnsi="宋体" w:eastAsia="宋体" w:cs="宋体"/>
          <w:color w:val="auto"/>
          <w:sz w:val="24"/>
          <w:lang w:val="zh-CN"/>
        </w:rPr>
      </w:pPr>
      <w:r>
        <w:rPr>
          <w:rFonts w:hint="eastAsia" w:ascii="宋体" w:hAnsi="宋体" w:eastAsia="宋体" w:cs="宋体"/>
          <w:color w:val="auto"/>
          <w:sz w:val="24"/>
          <w:lang w:val="zh-CN"/>
        </w:rPr>
        <w:br w:type="page"/>
      </w:r>
    </w:p>
    <w:p w14:paraId="378ABC92">
      <w:pPr>
        <w:keepNext/>
        <w:pageBreakBefore/>
        <w:widowControl/>
        <w:spacing w:line="360" w:lineRule="auto"/>
        <w:ind w:firstLine="0" w:firstLineChars="0"/>
        <w:outlineLvl w:val="1"/>
        <w:rPr>
          <w:rFonts w:hint="eastAsia" w:ascii="宋体" w:hAnsi="宋体" w:eastAsia="宋体" w:cs="宋体"/>
          <w:b/>
          <w:color w:val="auto"/>
          <w:sz w:val="24"/>
          <w:szCs w:val="24"/>
        </w:rPr>
      </w:pPr>
      <w:bookmarkStart w:id="214" w:name="_Toc31927"/>
      <w:bookmarkStart w:id="215" w:name="_Toc27149"/>
      <w:bookmarkStart w:id="216" w:name="_Toc23114"/>
      <w:r>
        <w:rPr>
          <w:rFonts w:hint="eastAsia" w:ascii="宋体" w:hAnsi="宋体" w:eastAsia="宋体" w:cs="宋体"/>
          <w:b/>
          <w:color w:val="auto"/>
          <w:sz w:val="24"/>
          <w:szCs w:val="24"/>
        </w:rPr>
        <w:t>附件1</w:t>
      </w:r>
      <w:r>
        <w:rPr>
          <w:rFonts w:hint="eastAsia" w:ascii="宋体" w:hAnsi="宋体" w:eastAsia="宋体" w:cs="宋体"/>
          <w:b/>
          <w:color w:val="auto"/>
          <w:sz w:val="24"/>
          <w:szCs w:val="24"/>
          <w:lang w:val="en-US" w:eastAsia="zh-CN"/>
        </w:rPr>
        <w:t>0</w:t>
      </w:r>
      <w:r>
        <w:rPr>
          <w:rFonts w:hint="eastAsia" w:ascii="宋体" w:hAnsi="宋体" w:eastAsia="宋体" w:cs="宋体"/>
          <w:b/>
          <w:color w:val="auto"/>
          <w:sz w:val="24"/>
          <w:szCs w:val="24"/>
        </w:rPr>
        <w:t>：具备履行合同所必须的设备和专业技术能力证明</w:t>
      </w:r>
      <w:bookmarkEnd w:id="214"/>
    </w:p>
    <w:p w14:paraId="43B9CF35">
      <w:pPr>
        <w:autoSpaceDE w:val="0"/>
        <w:autoSpaceDN w:val="0"/>
        <w:spacing w:line="360" w:lineRule="auto"/>
        <w:ind w:firstLine="480"/>
        <w:rPr>
          <w:rFonts w:hint="eastAsia" w:ascii="宋体" w:hAnsi="宋体" w:eastAsia="宋体" w:cs="宋体"/>
          <w:color w:val="auto"/>
          <w:sz w:val="24"/>
          <w:szCs w:val="24"/>
          <w:lang w:val="zh-CN"/>
        </w:rPr>
      </w:pPr>
    </w:p>
    <w:p w14:paraId="374968DB">
      <w:pPr>
        <w:autoSpaceDE w:val="0"/>
        <w:autoSpaceDN w:val="0"/>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具备履行合同所必须的设备和专业技术能力证明</w:t>
      </w:r>
    </w:p>
    <w:p w14:paraId="5CFEF120">
      <w:pPr>
        <w:autoSpaceDE w:val="0"/>
        <w:autoSpaceDN w:val="0"/>
        <w:spacing w:line="360" w:lineRule="auto"/>
        <w:ind w:firstLine="482"/>
        <w:rPr>
          <w:rFonts w:hint="eastAsia" w:ascii="宋体" w:hAnsi="宋体" w:eastAsia="宋体" w:cs="宋体"/>
          <w:b/>
          <w:color w:val="auto"/>
          <w:sz w:val="24"/>
          <w:szCs w:val="24"/>
          <w:lang w:val="zh-CN"/>
        </w:rPr>
      </w:pPr>
    </w:p>
    <w:p w14:paraId="44F50462">
      <w:pPr>
        <w:autoSpaceDE w:val="0"/>
        <w:autoSpaceDN w:val="0"/>
        <w:spacing w:line="360" w:lineRule="auto"/>
        <w:ind w:firstLine="480"/>
        <w:rPr>
          <w:rFonts w:hint="eastAsia" w:ascii="宋体" w:hAnsi="宋体" w:eastAsia="宋体" w:cs="宋体"/>
          <w:b/>
          <w:color w:val="auto"/>
          <w:sz w:val="24"/>
          <w:szCs w:val="24"/>
        </w:rPr>
      </w:pPr>
      <w:r>
        <w:rPr>
          <w:rFonts w:hint="eastAsia" w:ascii="宋体" w:hAnsi="宋体" w:eastAsia="宋体" w:cs="宋体"/>
          <w:color w:val="auto"/>
          <w:kern w:val="0"/>
          <w:sz w:val="24"/>
          <w:szCs w:val="24"/>
          <w:lang w:val="zh-CN"/>
        </w:rPr>
        <w:t>为保证本项目合同的顺利履行，</w:t>
      </w:r>
      <w:r>
        <w:rPr>
          <w:rFonts w:hint="eastAsia" w:ascii="宋体" w:hAnsi="宋体" w:eastAsia="宋体" w:cs="宋体"/>
          <w:color w:val="auto"/>
          <w:kern w:val="0"/>
          <w:sz w:val="24"/>
          <w:szCs w:val="24"/>
          <w:lang w:val="en-US" w:eastAsia="zh-CN"/>
        </w:rPr>
        <w:t>供应商</w:t>
      </w:r>
      <w:r>
        <w:rPr>
          <w:rFonts w:hint="eastAsia" w:ascii="宋体" w:hAnsi="宋体" w:eastAsia="宋体" w:cs="宋体"/>
          <w:color w:val="auto"/>
          <w:kern w:val="0"/>
          <w:sz w:val="24"/>
          <w:szCs w:val="24"/>
          <w:lang w:val="zh-CN"/>
        </w:rPr>
        <w:t>必须具备履行合同的设备和专业技术能力，须提供必须具备履行合同的设备和专业技术能力的承诺函（格式自拟），并提供相关设备的购置发票或相关人员的职称证书</w:t>
      </w:r>
      <w:r>
        <w:rPr>
          <w:rFonts w:hint="eastAsia" w:ascii="宋体" w:hAnsi="宋体" w:eastAsia="宋体" w:cs="宋体"/>
          <w:color w:val="auto"/>
          <w:kern w:val="0"/>
          <w:sz w:val="24"/>
          <w:szCs w:val="24"/>
          <w:lang w:val="en-US" w:eastAsia="zh-CN"/>
        </w:rPr>
        <w:t>或</w:t>
      </w:r>
      <w:r>
        <w:rPr>
          <w:rFonts w:hint="eastAsia" w:ascii="宋体" w:hAnsi="宋体" w:eastAsia="宋体" w:cs="宋体"/>
          <w:color w:val="auto"/>
          <w:kern w:val="0"/>
          <w:sz w:val="24"/>
          <w:szCs w:val="24"/>
          <w:lang w:val="zh-CN"/>
        </w:rPr>
        <w:t>用工合同等证明材料。</w:t>
      </w:r>
    </w:p>
    <w:p w14:paraId="51787185">
      <w:pPr>
        <w:ind w:firstLine="0" w:firstLineChars="0"/>
        <w:rPr>
          <w:rFonts w:hint="eastAsia" w:ascii="宋体" w:hAnsi="宋体" w:eastAsia="宋体" w:cs="宋体"/>
          <w:b/>
          <w:color w:val="auto"/>
          <w:sz w:val="24"/>
          <w:szCs w:val="24"/>
        </w:rPr>
      </w:pPr>
    </w:p>
    <w:p w14:paraId="6BCDDFCA">
      <w:pPr>
        <w:keepNext/>
        <w:pageBreakBefore/>
        <w:widowControl/>
        <w:spacing w:line="360" w:lineRule="auto"/>
        <w:ind w:firstLine="0" w:firstLineChars="0"/>
        <w:outlineLvl w:val="1"/>
        <w:rPr>
          <w:rFonts w:hint="eastAsia" w:ascii="宋体" w:hAnsi="宋体" w:eastAsia="宋体" w:cs="宋体"/>
          <w:b/>
          <w:color w:val="auto"/>
          <w:sz w:val="24"/>
          <w:szCs w:val="24"/>
        </w:rPr>
      </w:pPr>
      <w:bookmarkStart w:id="217" w:name="_Toc2319"/>
      <w:r>
        <w:rPr>
          <w:rFonts w:hint="eastAsia" w:ascii="宋体" w:hAnsi="宋体" w:eastAsia="宋体" w:cs="宋体"/>
          <w:b/>
          <w:color w:val="auto"/>
          <w:sz w:val="24"/>
          <w:szCs w:val="24"/>
        </w:rPr>
        <w:t>附件</w:t>
      </w:r>
      <w:bookmarkStart w:id="218" w:name="_Toc376936781"/>
      <w:bookmarkStart w:id="219" w:name="_Toc325726049"/>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w:t>
      </w:r>
      <w:bookmarkEnd w:id="218"/>
      <w:bookmarkEnd w:id="219"/>
      <w:r>
        <w:rPr>
          <w:rFonts w:hint="eastAsia" w:ascii="宋体" w:hAnsi="宋体" w:eastAsia="宋体" w:cs="宋体"/>
          <w:b/>
          <w:color w:val="auto"/>
          <w:sz w:val="24"/>
          <w:szCs w:val="24"/>
        </w:rPr>
        <w:t>无重大违法记录声明</w:t>
      </w:r>
      <w:bookmarkEnd w:id="215"/>
      <w:bookmarkEnd w:id="216"/>
      <w:bookmarkEnd w:id="217"/>
    </w:p>
    <w:p w14:paraId="19CDECC9">
      <w:pPr>
        <w:spacing w:line="360" w:lineRule="auto"/>
        <w:ind w:firstLine="0" w:firstLineChars="0"/>
        <w:rPr>
          <w:rFonts w:hint="eastAsia" w:ascii="宋体" w:hAnsi="宋体" w:eastAsia="宋体" w:cs="宋体"/>
          <w:b/>
          <w:color w:val="auto"/>
          <w:sz w:val="24"/>
          <w:szCs w:val="24"/>
        </w:rPr>
      </w:pPr>
    </w:p>
    <w:p w14:paraId="0179D074">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无重大违法记录声明</w:t>
      </w:r>
    </w:p>
    <w:p w14:paraId="5EE9595F">
      <w:pPr>
        <w:spacing w:line="360" w:lineRule="auto"/>
        <w:ind w:left="0" w:leftChars="0" w:firstLine="0" w:firstLineChars="0"/>
        <w:rPr>
          <w:rFonts w:hint="eastAsia" w:ascii="宋体" w:hAnsi="宋体" w:eastAsia="宋体" w:cs="宋体"/>
          <w:b/>
          <w:bCs/>
          <w:color w:val="auto"/>
          <w:sz w:val="24"/>
          <w:lang w:eastAsia="zh-CN"/>
        </w:rPr>
      </w:pPr>
      <w:r>
        <w:rPr>
          <w:rFonts w:hint="eastAsia" w:ascii="宋体" w:hAnsi="宋体" w:eastAsia="宋体" w:cs="宋体"/>
          <w:b/>
          <w:bCs/>
          <w:color w:val="auto"/>
          <w:sz w:val="24"/>
        </w:rPr>
        <w:t>致：</w:t>
      </w:r>
      <w:r>
        <w:rPr>
          <w:rFonts w:hint="eastAsia" w:ascii="宋体" w:hAnsi="宋体" w:eastAsia="宋体" w:cs="宋体"/>
          <w:b/>
          <w:bCs/>
          <w:color w:val="auto"/>
          <w:sz w:val="24"/>
          <w:lang w:eastAsia="zh-CN"/>
        </w:rPr>
        <w:t>青海鼎钊招标代理有限公司</w:t>
      </w:r>
    </w:p>
    <w:p w14:paraId="72857C08">
      <w:pPr>
        <w:spacing w:line="360" w:lineRule="auto"/>
        <w:ind w:firstLine="480" w:firstLineChars="20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rPr>
        <w:t>我单位参加本次政府采购项目活动前三年内，在经营活动中无重大违法活动记录，符合《政府采购法》规定的供应商资格条</w:t>
      </w:r>
      <w:r>
        <w:rPr>
          <w:rFonts w:hint="eastAsia" w:ascii="宋体" w:hAnsi="宋体" w:eastAsia="宋体" w:cs="宋体"/>
          <w:color w:val="auto"/>
          <w:sz w:val="24"/>
          <w:szCs w:val="24"/>
          <w:shd w:val="clear" w:color="auto" w:fill="FFFFFF"/>
        </w:rPr>
        <w:t>件。我方对此声明负全部法律责任。</w:t>
      </w:r>
    </w:p>
    <w:p w14:paraId="6247957C">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szCs w:val="24"/>
        </w:rPr>
        <w:t>特此声明。</w:t>
      </w:r>
    </w:p>
    <w:p w14:paraId="4667F9A7">
      <w:pPr>
        <w:spacing w:line="360" w:lineRule="auto"/>
        <w:ind w:firstLine="480"/>
        <w:rPr>
          <w:rFonts w:hint="eastAsia" w:ascii="宋体" w:hAnsi="宋体" w:eastAsia="宋体" w:cs="宋体"/>
          <w:color w:val="auto"/>
          <w:sz w:val="24"/>
        </w:rPr>
      </w:pPr>
    </w:p>
    <w:p w14:paraId="69D94786">
      <w:pPr>
        <w:spacing w:line="360" w:lineRule="auto"/>
        <w:ind w:firstLine="480"/>
        <w:rPr>
          <w:rFonts w:hint="eastAsia" w:ascii="宋体" w:hAnsi="宋体" w:eastAsia="宋体" w:cs="宋体"/>
          <w:color w:val="auto"/>
          <w:sz w:val="24"/>
        </w:rPr>
      </w:pPr>
    </w:p>
    <w:p w14:paraId="17076C5F">
      <w:pPr>
        <w:spacing w:line="360" w:lineRule="auto"/>
        <w:ind w:firstLine="480"/>
        <w:rPr>
          <w:rFonts w:hint="eastAsia" w:ascii="宋体" w:hAnsi="宋体" w:eastAsia="宋体" w:cs="宋体"/>
          <w:color w:val="auto"/>
          <w:sz w:val="24"/>
        </w:rPr>
      </w:pPr>
    </w:p>
    <w:p w14:paraId="796EBD2D">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供应商：</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（公章）</w:t>
      </w:r>
    </w:p>
    <w:p w14:paraId="006B6957">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法定代表人或委托代理人：</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（签字或盖章）</w:t>
      </w:r>
    </w:p>
    <w:p w14:paraId="412AEF6B">
      <w:pPr>
        <w:wordWrap w:val="0"/>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年   月  日</w:t>
      </w:r>
    </w:p>
    <w:p w14:paraId="7C224AF5">
      <w:pPr>
        <w:wordWrap w:val="0"/>
        <w:spacing w:line="360" w:lineRule="auto"/>
        <w:ind w:firstLine="0" w:firstLineChars="0"/>
        <w:rPr>
          <w:rFonts w:hint="eastAsia" w:ascii="宋体" w:hAnsi="宋体" w:eastAsia="宋体" w:cs="宋体"/>
          <w:bCs/>
          <w:color w:val="auto"/>
          <w:sz w:val="24"/>
          <w:szCs w:val="24"/>
        </w:rPr>
      </w:pPr>
      <w:r>
        <w:rPr>
          <w:rFonts w:hint="eastAsia" w:ascii="宋体" w:hAnsi="宋体" w:eastAsia="宋体" w:cs="宋体"/>
          <w:bCs/>
          <w:color w:val="auto"/>
          <w:sz w:val="24"/>
          <w:szCs w:val="24"/>
        </w:rPr>
        <w:br w:type="page"/>
      </w:r>
    </w:p>
    <w:p w14:paraId="571629A7">
      <w:pPr>
        <w:keepNext/>
        <w:pageBreakBefore/>
        <w:widowControl/>
        <w:spacing w:line="360" w:lineRule="auto"/>
        <w:ind w:firstLine="0" w:firstLineChars="0"/>
        <w:outlineLvl w:val="1"/>
        <w:rPr>
          <w:rFonts w:hint="eastAsia" w:ascii="宋体" w:hAnsi="宋体" w:eastAsia="宋体" w:cs="宋体"/>
          <w:b/>
          <w:color w:val="auto"/>
          <w:sz w:val="24"/>
          <w:szCs w:val="24"/>
        </w:rPr>
      </w:pPr>
      <w:bookmarkStart w:id="220" w:name="_Toc24531"/>
      <w:bookmarkStart w:id="221" w:name="_Toc22957"/>
      <w:bookmarkStart w:id="222" w:name="_Toc30027"/>
      <w:r>
        <w:rPr>
          <w:rFonts w:hint="eastAsia" w:ascii="宋体" w:hAnsi="宋体" w:eastAsia="宋体" w:cs="宋体"/>
          <w:b/>
          <w:color w:val="auto"/>
          <w:sz w:val="24"/>
          <w:szCs w:val="24"/>
        </w:rPr>
        <w:t>附件1</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：磋商保证金</w:t>
      </w:r>
      <w:bookmarkEnd w:id="220"/>
      <w:bookmarkEnd w:id="221"/>
      <w:bookmarkEnd w:id="222"/>
    </w:p>
    <w:p w14:paraId="5720B1C5">
      <w:pPr>
        <w:spacing w:line="360" w:lineRule="auto"/>
        <w:ind w:firstLine="0" w:firstLineChars="0"/>
        <w:rPr>
          <w:rFonts w:hint="eastAsia" w:ascii="宋体" w:hAnsi="宋体" w:eastAsia="宋体" w:cs="宋体"/>
          <w:color w:val="auto"/>
          <w:sz w:val="24"/>
          <w:szCs w:val="24"/>
        </w:rPr>
      </w:pPr>
    </w:p>
    <w:p w14:paraId="749A2AC1">
      <w:pPr>
        <w:spacing w:line="360" w:lineRule="auto"/>
        <w:ind w:firstLine="0" w:firstLineChars="0"/>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磋商保证金</w:t>
      </w:r>
    </w:p>
    <w:p w14:paraId="4B1CDEE5">
      <w:pPr>
        <w:spacing w:line="360" w:lineRule="auto"/>
        <w:ind w:firstLine="0" w:firstLineChars="0"/>
        <w:rPr>
          <w:rFonts w:hint="eastAsia" w:ascii="宋体" w:hAnsi="宋体" w:eastAsia="宋体" w:cs="宋体"/>
          <w:b/>
          <w:color w:val="auto"/>
          <w:sz w:val="24"/>
          <w:szCs w:val="24"/>
        </w:rPr>
      </w:pPr>
    </w:p>
    <w:p w14:paraId="76EE0DA9">
      <w:pPr>
        <w:wordWrap w:val="0"/>
        <w:spacing w:line="360" w:lineRule="auto"/>
        <w:ind w:firstLine="48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附</w:t>
      </w:r>
      <w:r>
        <w:rPr>
          <w:rFonts w:hint="eastAsia" w:ascii="宋体" w:hAnsi="宋体" w:eastAsia="宋体" w:cs="宋体"/>
          <w:bCs/>
          <w:color w:val="auto"/>
          <w:sz w:val="24"/>
          <w:szCs w:val="24"/>
        </w:rPr>
        <w:t>磋商保证金证明</w:t>
      </w:r>
      <w:r>
        <w:rPr>
          <w:rFonts w:hint="eastAsia" w:ascii="宋体" w:hAnsi="宋体" w:eastAsia="宋体" w:cs="宋体"/>
          <w:bCs/>
          <w:color w:val="auto"/>
          <w:sz w:val="24"/>
          <w:szCs w:val="24"/>
          <w:lang w:val="en-US" w:eastAsia="zh-CN"/>
        </w:rPr>
        <w:t>材料</w:t>
      </w:r>
      <w:r>
        <w:rPr>
          <w:rFonts w:hint="eastAsia" w:ascii="宋体" w:hAnsi="宋体" w:eastAsia="宋体" w:cs="宋体"/>
          <w:bCs/>
          <w:color w:val="auto"/>
          <w:sz w:val="24"/>
          <w:szCs w:val="24"/>
        </w:rPr>
        <w:t>扫描件。</w:t>
      </w:r>
    </w:p>
    <w:p w14:paraId="4EDAF375">
      <w:pPr>
        <w:pStyle w:val="34"/>
        <w:rPr>
          <w:rFonts w:hint="eastAsia" w:ascii="宋体" w:hAnsi="宋体" w:eastAsia="宋体" w:cs="宋体"/>
          <w:bCs/>
          <w:color w:val="auto"/>
          <w:sz w:val="24"/>
          <w:szCs w:val="24"/>
        </w:rPr>
      </w:pPr>
    </w:p>
    <w:p w14:paraId="5DCFA627">
      <w:pPr>
        <w:pStyle w:val="35"/>
        <w:ind w:left="0" w:leftChars="0" w:firstLine="0" w:firstLineChars="0"/>
        <w:rPr>
          <w:rFonts w:hint="eastAsia" w:ascii="宋体" w:hAnsi="宋体" w:eastAsia="宋体" w:cs="宋体"/>
          <w:bCs/>
          <w:color w:val="auto"/>
          <w:sz w:val="24"/>
          <w:szCs w:val="24"/>
        </w:rPr>
      </w:pPr>
    </w:p>
    <w:p w14:paraId="342F4BDB">
      <w:pPr>
        <w:ind w:left="0" w:leftChars="0" w:firstLine="0" w:firstLineChars="0"/>
        <w:rPr>
          <w:rFonts w:hint="eastAsia" w:ascii="宋体" w:hAnsi="宋体" w:eastAsia="宋体" w:cs="宋体"/>
          <w:bCs/>
          <w:color w:val="auto"/>
          <w:sz w:val="24"/>
          <w:szCs w:val="24"/>
        </w:rPr>
      </w:pPr>
    </w:p>
    <w:p w14:paraId="7C86CD3A">
      <w:pPr>
        <w:pStyle w:val="34"/>
        <w:rPr>
          <w:rFonts w:hint="eastAsia" w:ascii="宋体" w:hAnsi="宋体" w:eastAsia="宋体" w:cs="宋体"/>
          <w:bCs/>
          <w:color w:val="auto"/>
          <w:sz w:val="24"/>
          <w:szCs w:val="24"/>
        </w:rPr>
      </w:pPr>
    </w:p>
    <w:p w14:paraId="246CFD3D">
      <w:pPr>
        <w:rPr>
          <w:rFonts w:hint="eastAsia" w:ascii="宋体" w:hAnsi="宋体" w:eastAsia="宋体" w:cs="宋体"/>
          <w:color w:val="auto"/>
        </w:rPr>
      </w:pPr>
      <w:r>
        <w:rPr>
          <w:rFonts w:hint="eastAsia" w:ascii="宋体" w:hAnsi="宋体" w:eastAsia="宋体" w:cs="宋体"/>
          <w:color w:val="auto"/>
        </w:rPr>
        <w:br w:type="page"/>
      </w:r>
    </w:p>
    <w:p w14:paraId="5B15B7A2">
      <w:pPr>
        <w:keepNext/>
        <w:pageBreakBefore/>
        <w:widowControl/>
        <w:spacing w:line="360" w:lineRule="auto"/>
        <w:ind w:firstLine="0" w:firstLineChars="0"/>
        <w:outlineLvl w:val="1"/>
        <w:rPr>
          <w:rFonts w:hint="eastAsia" w:ascii="宋体" w:hAnsi="宋体" w:eastAsia="宋体" w:cs="宋体"/>
          <w:color w:val="auto"/>
          <w:sz w:val="24"/>
          <w:szCs w:val="24"/>
          <w:lang w:val="en-US" w:eastAsia="zh-CN"/>
        </w:rPr>
      </w:pPr>
      <w:bookmarkStart w:id="223" w:name="_Toc29948"/>
      <w:bookmarkStart w:id="224" w:name="_Toc27327"/>
      <w:bookmarkStart w:id="225" w:name="_Toc4721"/>
      <w:r>
        <w:rPr>
          <w:rFonts w:hint="eastAsia" w:ascii="宋体" w:hAnsi="宋体" w:eastAsia="宋体" w:cs="宋体"/>
          <w:b/>
          <w:color w:val="auto"/>
          <w:sz w:val="24"/>
          <w:szCs w:val="24"/>
        </w:rPr>
        <w:t>附件1</w:t>
      </w: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中小企业声明函</w:t>
      </w:r>
      <w:bookmarkEnd w:id="223"/>
      <w:bookmarkEnd w:id="224"/>
      <w:bookmarkEnd w:id="225"/>
    </w:p>
    <w:p w14:paraId="367A7E7F">
      <w:pPr>
        <w:keepNext w:val="0"/>
        <w:keepLines w:val="0"/>
        <w:widowControl/>
        <w:suppressLineNumbers w:val="0"/>
        <w:spacing w:line="360" w:lineRule="auto"/>
        <w:ind w:left="0" w:leftChars="0" w:firstLine="0" w:firstLineChars="0"/>
        <w:jc w:val="center"/>
        <w:rPr>
          <w:rFonts w:hint="eastAsia" w:ascii="宋体" w:hAnsi="宋体" w:eastAsia="宋体" w:cs="宋体"/>
          <w:b/>
          <w:i w:val="0"/>
          <w:iCs w:val="0"/>
          <w:color w:val="auto"/>
          <w:kern w:val="0"/>
          <w:sz w:val="24"/>
          <w:szCs w:val="24"/>
          <w:lang w:val="en-US" w:eastAsia="zh-CN" w:bidi="ar"/>
        </w:rPr>
      </w:pPr>
    </w:p>
    <w:p w14:paraId="5A9E7C14">
      <w:pPr>
        <w:autoSpaceDE w:val="0"/>
        <w:autoSpaceDN w:val="0"/>
        <w:spacing w:line="360" w:lineRule="auto"/>
        <w:jc w:val="center"/>
        <w:rPr>
          <w:rFonts w:hint="eastAsia" w:ascii="宋体" w:hAnsi="宋体" w:eastAsia="宋体" w:cs="宋体"/>
          <w:b/>
          <w:bCs/>
          <w:color w:val="auto"/>
          <w:kern w:val="0"/>
          <w:sz w:val="36"/>
          <w:szCs w:val="36"/>
          <w:lang w:val="zh-CN" w:eastAsia="zh-CN"/>
        </w:rPr>
      </w:pPr>
      <w:r>
        <w:rPr>
          <w:rFonts w:hint="eastAsia" w:ascii="宋体" w:hAnsi="宋体" w:eastAsia="宋体" w:cs="宋体"/>
          <w:b/>
          <w:bCs/>
          <w:color w:val="auto"/>
          <w:kern w:val="0"/>
          <w:sz w:val="28"/>
          <w:szCs w:val="28"/>
          <w:lang w:eastAsia="zh-CN"/>
        </w:rPr>
        <w:t>中小企业声明函</w:t>
      </w:r>
    </w:p>
    <w:p w14:paraId="1E4915D1">
      <w:pPr>
        <w:autoSpaceDE w:val="0"/>
        <w:autoSpaceDN w:val="0"/>
        <w:spacing w:line="360" w:lineRule="auto"/>
        <w:ind w:left="0" w:leftChars="0" w:firstLine="0" w:firstLineChars="0"/>
        <w:rPr>
          <w:rFonts w:hint="eastAsia" w:ascii="宋体" w:hAnsi="宋体" w:eastAsia="宋体" w:cs="宋体"/>
          <w:color w:val="auto"/>
          <w:kern w:val="0"/>
          <w:sz w:val="24"/>
          <w:szCs w:val="24"/>
          <w:lang w:val="zh-CN"/>
        </w:rPr>
      </w:pPr>
      <w:r>
        <w:rPr>
          <w:rFonts w:hint="eastAsia" w:ascii="宋体" w:hAnsi="宋体" w:eastAsia="宋体" w:cs="宋体"/>
          <w:b/>
          <w:bCs/>
          <w:color w:val="auto"/>
          <w:kern w:val="0"/>
          <w:sz w:val="24"/>
          <w:szCs w:val="24"/>
          <w:lang w:val="zh-CN"/>
        </w:rPr>
        <w:t>致：青海鼎钊招标代理有限公司</w:t>
      </w:r>
    </w:p>
    <w:p w14:paraId="6023D0F1">
      <w:pPr>
        <w:keepNext w:val="0"/>
        <w:keepLines w:val="0"/>
        <w:widowControl/>
        <w:suppressLineNumbers w:val="0"/>
        <w:spacing w:line="360" w:lineRule="auto"/>
        <w:ind w:firstLine="480" w:firstLineChars="200"/>
        <w:jc w:val="both"/>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本公司郑重声明，根据《政府采购促进中小企业发展管理办法》（财库﹝2020﹞46号）的规定，本公司参加</w:t>
      </w:r>
      <w:r>
        <w:rPr>
          <w:rFonts w:hint="eastAsia" w:ascii="宋体" w:hAnsi="宋体" w:eastAsia="宋体" w:cs="宋体"/>
          <w:i w:val="0"/>
          <w:iCs w:val="0"/>
          <w:color w:val="auto"/>
          <w:kern w:val="0"/>
          <w:sz w:val="24"/>
          <w:szCs w:val="24"/>
          <w:u w:val="single"/>
          <w:lang w:val="en-US" w:eastAsia="zh-CN" w:bidi="ar"/>
        </w:rPr>
        <w:t>（单位名称）的（项目名称）</w:t>
      </w:r>
      <w:r>
        <w:rPr>
          <w:rFonts w:hint="eastAsia" w:ascii="宋体" w:hAnsi="宋体" w:eastAsia="宋体" w:cs="宋体"/>
          <w:i w:val="0"/>
          <w:iCs w:val="0"/>
          <w:color w:val="auto"/>
          <w:kern w:val="0"/>
          <w:sz w:val="24"/>
          <w:szCs w:val="24"/>
          <w:lang w:val="en-US" w:eastAsia="zh-CN" w:bidi="ar"/>
        </w:rPr>
        <w:t>采购活动，服务全部由符合政策要求的中小企业承接。相关企业的具体情况如下：</w:t>
      </w:r>
    </w:p>
    <w:p w14:paraId="467D82E9">
      <w:pPr>
        <w:keepNext w:val="0"/>
        <w:keepLines w:val="0"/>
        <w:widowControl/>
        <w:suppressLineNumbers w:val="0"/>
        <w:spacing w:line="360" w:lineRule="auto"/>
        <w:ind w:firstLine="480" w:firstLineChars="200"/>
        <w:jc w:val="left"/>
        <w:rPr>
          <w:rFonts w:hint="eastAsia" w:ascii="宋体" w:hAnsi="宋体" w:eastAsia="宋体" w:cs="宋体"/>
          <w:i w:val="0"/>
          <w:iCs w:val="0"/>
          <w:color w:val="auto"/>
          <w:kern w:val="0"/>
          <w:sz w:val="24"/>
          <w:szCs w:val="24"/>
          <w:lang w:val="en-US" w:eastAsia="zh-CN" w:bidi="ar"/>
        </w:rPr>
      </w:pPr>
      <w:r>
        <w:rPr>
          <w:rFonts w:hint="eastAsia" w:ascii="宋体" w:hAnsi="宋体" w:eastAsia="宋体" w:cs="宋体"/>
          <w:i w:val="0"/>
          <w:iCs w:val="0"/>
          <w:color w:val="auto"/>
          <w:kern w:val="0"/>
          <w:sz w:val="24"/>
          <w:szCs w:val="24"/>
          <w:lang w:val="en-US" w:eastAsia="zh-CN" w:bidi="ar"/>
        </w:rPr>
        <w:t>1.</w:t>
      </w:r>
      <w:r>
        <w:rPr>
          <w:rFonts w:hint="eastAsia" w:ascii="宋体" w:hAnsi="宋体" w:eastAsia="宋体" w:cs="宋体"/>
          <w:i w:val="0"/>
          <w:iCs w:val="0"/>
          <w:color w:val="auto"/>
          <w:kern w:val="0"/>
          <w:sz w:val="24"/>
          <w:szCs w:val="24"/>
          <w:u w:val="single"/>
          <w:lang w:val="en-US" w:eastAsia="zh-CN" w:bidi="ar"/>
        </w:rPr>
        <w:t>（标的名称）</w:t>
      </w:r>
      <w:r>
        <w:rPr>
          <w:rFonts w:hint="eastAsia" w:ascii="宋体" w:hAnsi="宋体" w:eastAsia="宋体" w:cs="宋体"/>
          <w:i w:val="0"/>
          <w:iCs w:val="0"/>
          <w:color w:val="auto"/>
          <w:kern w:val="0"/>
          <w:sz w:val="24"/>
          <w:szCs w:val="24"/>
          <w:lang w:val="en-US" w:eastAsia="zh-CN" w:bidi="ar"/>
        </w:rPr>
        <w:t>，属于</w:t>
      </w:r>
      <w:r>
        <w:rPr>
          <w:rFonts w:hint="eastAsia" w:ascii="宋体" w:hAnsi="宋体" w:eastAsia="宋体" w:cs="宋体"/>
          <w:i w:val="0"/>
          <w:iCs w:val="0"/>
          <w:color w:val="auto"/>
          <w:kern w:val="0"/>
          <w:sz w:val="24"/>
          <w:szCs w:val="24"/>
          <w:u w:val="single"/>
          <w:lang w:val="en-US" w:eastAsia="zh-CN" w:bidi="ar"/>
        </w:rPr>
        <w:t>（采购文件中明确的所属行业）</w:t>
      </w:r>
      <w:r>
        <w:rPr>
          <w:rFonts w:hint="eastAsia" w:ascii="宋体" w:hAnsi="宋体" w:eastAsia="宋体" w:cs="宋体"/>
          <w:i w:val="0"/>
          <w:iCs w:val="0"/>
          <w:color w:val="auto"/>
          <w:kern w:val="0"/>
          <w:sz w:val="24"/>
          <w:szCs w:val="24"/>
          <w:lang w:val="en-US" w:eastAsia="zh-CN" w:bidi="ar"/>
        </w:rPr>
        <w:t>行业；承接企业为</w:t>
      </w:r>
      <w:r>
        <w:rPr>
          <w:rFonts w:hint="eastAsia" w:ascii="宋体" w:hAnsi="宋体" w:eastAsia="宋体" w:cs="宋体"/>
          <w:i w:val="0"/>
          <w:iCs w:val="0"/>
          <w:color w:val="auto"/>
          <w:kern w:val="0"/>
          <w:sz w:val="24"/>
          <w:szCs w:val="24"/>
          <w:u w:val="single"/>
          <w:lang w:val="en-US" w:eastAsia="zh-CN" w:bidi="ar"/>
        </w:rPr>
        <w:t>（企业名称）</w:t>
      </w:r>
      <w:r>
        <w:rPr>
          <w:rFonts w:hint="eastAsia" w:ascii="宋体" w:hAnsi="宋体" w:eastAsia="宋体" w:cs="宋体"/>
          <w:i w:val="0"/>
          <w:iCs w:val="0"/>
          <w:color w:val="auto"/>
          <w:kern w:val="0"/>
          <w:sz w:val="24"/>
          <w:szCs w:val="24"/>
          <w:lang w:val="en-US" w:eastAsia="zh-CN" w:bidi="ar"/>
        </w:rPr>
        <w:t>，从业人员</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人，营业收入为</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万元，资产总额为</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万元</w:t>
      </w:r>
      <w:r>
        <w:rPr>
          <w:rFonts w:hint="eastAsia" w:ascii="宋体" w:hAnsi="宋体" w:eastAsia="宋体" w:cs="宋体"/>
          <w:i w:val="0"/>
          <w:iCs w:val="0"/>
          <w:color w:val="auto"/>
          <w:kern w:val="0"/>
          <w:sz w:val="24"/>
          <w:szCs w:val="24"/>
          <w:vertAlign w:val="superscript"/>
          <w:lang w:val="en-US" w:eastAsia="zh-CN" w:bidi="ar"/>
        </w:rPr>
        <w:t>1</w:t>
      </w:r>
      <w:r>
        <w:rPr>
          <w:rFonts w:hint="eastAsia" w:ascii="宋体" w:hAnsi="宋体" w:eastAsia="宋体" w:cs="宋体"/>
          <w:i w:val="0"/>
          <w:iCs w:val="0"/>
          <w:color w:val="auto"/>
          <w:kern w:val="0"/>
          <w:sz w:val="24"/>
          <w:szCs w:val="24"/>
          <w:lang w:val="en-US" w:eastAsia="zh-CN" w:bidi="ar"/>
        </w:rPr>
        <w:t>，属于</w:t>
      </w:r>
      <w:r>
        <w:rPr>
          <w:rFonts w:hint="eastAsia" w:ascii="宋体" w:hAnsi="宋体" w:eastAsia="宋体" w:cs="宋体"/>
          <w:i w:val="0"/>
          <w:iCs w:val="0"/>
          <w:color w:val="auto"/>
          <w:kern w:val="0"/>
          <w:sz w:val="24"/>
          <w:szCs w:val="24"/>
          <w:u w:val="single"/>
          <w:lang w:val="en-US" w:eastAsia="zh-CN" w:bidi="ar"/>
        </w:rPr>
        <w:t>（中型企业、小型企业、微型企业）</w:t>
      </w:r>
      <w:r>
        <w:rPr>
          <w:rFonts w:hint="eastAsia" w:ascii="宋体" w:hAnsi="宋体" w:eastAsia="宋体" w:cs="宋体"/>
          <w:i w:val="0"/>
          <w:iCs w:val="0"/>
          <w:color w:val="auto"/>
          <w:kern w:val="0"/>
          <w:sz w:val="24"/>
          <w:szCs w:val="24"/>
          <w:lang w:val="en-US" w:eastAsia="zh-CN" w:bidi="ar"/>
        </w:rPr>
        <w:t>；</w:t>
      </w:r>
    </w:p>
    <w:p w14:paraId="126CF9AD">
      <w:pPr>
        <w:keepNext w:val="0"/>
        <w:keepLines w:val="0"/>
        <w:widowControl/>
        <w:suppressLineNumbers w:val="0"/>
        <w:spacing w:line="360" w:lineRule="auto"/>
        <w:ind w:firstLine="480" w:firstLineChars="200"/>
        <w:jc w:val="left"/>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2.</w:t>
      </w:r>
      <w:r>
        <w:rPr>
          <w:rFonts w:hint="eastAsia" w:ascii="宋体" w:hAnsi="宋体" w:eastAsia="宋体" w:cs="宋体"/>
          <w:i w:val="0"/>
          <w:iCs w:val="0"/>
          <w:color w:val="auto"/>
          <w:kern w:val="0"/>
          <w:sz w:val="24"/>
          <w:szCs w:val="24"/>
          <w:u w:val="single"/>
          <w:lang w:val="en-US" w:eastAsia="zh-CN" w:bidi="ar"/>
        </w:rPr>
        <w:t>（标的名称）</w:t>
      </w:r>
      <w:r>
        <w:rPr>
          <w:rFonts w:hint="eastAsia" w:ascii="宋体" w:hAnsi="宋体" w:eastAsia="宋体" w:cs="宋体"/>
          <w:i w:val="0"/>
          <w:iCs w:val="0"/>
          <w:color w:val="auto"/>
          <w:kern w:val="0"/>
          <w:sz w:val="24"/>
          <w:szCs w:val="24"/>
          <w:lang w:val="en-US" w:eastAsia="zh-CN" w:bidi="ar"/>
        </w:rPr>
        <w:t>，属于</w:t>
      </w:r>
      <w:r>
        <w:rPr>
          <w:rFonts w:hint="eastAsia" w:ascii="宋体" w:hAnsi="宋体" w:eastAsia="宋体" w:cs="宋体"/>
          <w:i w:val="0"/>
          <w:iCs w:val="0"/>
          <w:color w:val="auto"/>
          <w:kern w:val="0"/>
          <w:sz w:val="24"/>
          <w:szCs w:val="24"/>
          <w:u w:val="single"/>
          <w:lang w:val="en-US" w:eastAsia="zh-CN" w:bidi="ar"/>
        </w:rPr>
        <w:t>（采购文件中明确的所属行业）</w:t>
      </w:r>
      <w:r>
        <w:rPr>
          <w:rFonts w:hint="eastAsia" w:ascii="宋体" w:hAnsi="宋体" w:eastAsia="宋体" w:cs="宋体"/>
          <w:i w:val="0"/>
          <w:iCs w:val="0"/>
          <w:color w:val="auto"/>
          <w:kern w:val="0"/>
          <w:sz w:val="24"/>
          <w:szCs w:val="24"/>
          <w:lang w:val="en-US" w:eastAsia="zh-CN" w:bidi="ar"/>
        </w:rPr>
        <w:t>行业；承接企业为</w:t>
      </w:r>
      <w:r>
        <w:rPr>
          <w:rFonts w:hint="eastAsia" w:ascii="宋体" w:hAnsi="宋体" w:eastAsia="宋体" w:cs="宋体"/>
          <w:i w:val="0"/>
          <w:iCs w:val="0"/>
          <w:color w:val="auto"/>
          <w:kern w:val="0"/>
          <w:sz w:val="24"/>
          <w:szCs w:val="24"/>
          <w:u w:val="single"/>
          <w:lang w:val="en-US" w:eastAsia="zh-CN" w:bidi="ar"/>
        </w:rPr>
        <w:t>（企业名称）</w:t>
      </w:r>
      <w:r>
        <w:rPr>
          <w:rFonts w:hint="eastAsia" w:ascii="宋体" w:hAnsi="宋体" w:eastAsia="宋体" w:cs="宋体"/>
          <w:i w:val="0"/>
          <w:iCs w:val="0"/>
          <w:color w:val="auto"/>
          <w:kern w:val="0"/>
          <w:sz w:val="24"/>
          <w:szCs w:val="24"/>
          <w:lang w:val="en-US" w:eastAsia="zh-CN" w:bidi="ar"/>
        </w:rPr>
        <w:t>，从业人员</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人，营业收入为</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万元，资产总额为</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万元</w:t>
      </w:r>
      <w:r>
        <w:rPr>
          <w:rFonts w:hint="eastAsia" w:ascii="宋体" w:hAnsi="宋体" w:eastAsia="宋体" w:cs="宋体"/>
          <w:i w:val="0"/>
          <w:iCs w:val="0"/>
          <w:color w:val="auto"/>
          <w:kern w:val="0"/>
          <w:sz w:val="24"/>
          <w:szCs w:val="24"/>
          <w:vertAlign w:val="superscript"/>
          <w:lang w:val="en-US" w:eastAsia="zh-CN" w:bidi="ar"/>
        </w:rPr>
        <w:t>1</w:t>
      </w:r>
      <w:r>
        <w:rPr>
          <w:rFonts w:hint="eastAsia" w:ascii="宋体" w:hAnsi="宋体" w:eastAsia="宋体" w:cs="宋体"/>
          <w:i w:val="0"/>
          <w:iCs w:val="0"/>
          <w:color w:val="auto"/>
          <w:kern w:val="0"/>
          <w:sz w:val="24"/>
          <w:szCs w:val="24"/>
          <w:lang w:val="en-US" w:eastAsia="zh-CN" w:bidi="ar"/>
        </w:rPr>
        <w:t>，属于</w:t>
      </w:r>
      <w:r>
        <w:rPr>
          <w:rFonts w:hint="eastAsia" w:ascii="宋体" w:hAnsi="宋体" w:eastAsia="宋体" w:cs="宋体"/>
          <w:i w:val="0"/>
          <w:iCs w:val="0"/>
          <w:color w:val="auto"/>
          <w:kern w:val="0"/>
          <w:sz w:val="24"/>
          <w:szCs w:val="24"/>
          <w:u w:val="single"/>
          <w:lang w:val="en-US" w:eastAsia="zh-CN" w:bidi="ar"/>
        </w:rPr>
        <w:t>（中型企业、小型企业、微型企业）</w:t>
      </w:r>
      <w:r>
        <w:rPr>
          <w:rFonts w:hint="eastAsia" w:ascii="宋体" w:hAnsi="宋体" w:eastAsia="宋体" w:cs="宋体"/>
          <w:i w:val="0"/>
          <w:iCs w:val="0"/>
          <w:color w:val="auto"/>
          <w:kern w:val="0"/>
          <w:sz w:val="24"/>
          <w:szCs w:val="24"/>
          <w:lang w:val="en-US" w:eastAsia="zh-CN" w:bidi="ar"/>
        </w:rPr>
        <w:t>；</w:t>
      </w:r>
    </w:p>
    <w:p w14:paraId="23DC9973">
      <w:pPr>
        <w:keepNext w:val="0"/>
        <w:keepLines w:val="0"/>
        <w:widowControl/>
        <w:suppressLineNumbers w:val="0"/>
        <w:spacing w:line="360" w:lineRule="auto"/>
        <w:ind w:firstLine="480" w:firstLineChars="200"/>
        <w:jc w:val="left"/>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w:t>
      </w:r>
    </w:p>
    <w:p w14:paraId="23034E2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以上企业，不属于大企业的分支机构，不存在控股股东为大企业的情形，也不存在与大企业的负责人为同一人的情形。</w:t>
      </w:r>
    </w:p>
    <w:p w14:paraId="443F37CA">
      <w:pPr>
        <w:keepNext w:val="0"/>
        <w:keepLines w:val="0"/>
        <w:widowControl/>
        <w:suppressLineNumbers w:val="0"/>
        <w:spacing w:line="360" w:lineRule="auto"/>
        <w:ind w:firstLine="480" w:firstLineChars="200"/>
        <w:jc w:val="left"/>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本企业对上述声明内容的真实性负责。如有虚假，将依法承担相应责任。</w:t>
      </w:r>
    </w:p>
    <w:p w14:paraId="46308DAC">
      <w:pPr>
        <w:keepNext w:val="0"/>
        <w:keepLines w:val="0"/>
        <w:widowControl/>
        <w:suppressLineNumbers w:val="0"/>
        <w:spacing w:line="360" w:lineRule="auto"/>
        <w:jc w:val="center"/>
        <w:rPr>
          <w:rFonts w:hint="eastAsia" w:ascii="宋体" w:hAnsi="宋体" w:eastAsia="宋体" w:cs="宋体"/>
          <w:i w:val="0"/>
          <w:iCs w:val="0"/>
          <w:color w:val="auto"/>
          <w:kern w:val="0"/>
          <w:sz w:val="24"/>
          <w:szCs w:val="24"/>
          <w:lang w:val="en-US" w:eastAsia="zh-CN" w:bidi="ar"/>
        </w:rPr>
      </w:pPr>
    </w:p>
    <w:p w14:paraId="38825756">
      <w:pPr>
        <w:keepNext w:val="0"/>
        <w:keepLines w:val="0"/>
        <w:widowControl/>
        <w:suppressLineNumbers w:val="0"/>
        <w:spacing w:line="360" w:lineRule="auto"/>
        <w:jc w:val="center"/>
        <w:rPr>
          <w:rFonts w:hint="eastAsia" w:ascii="宋体" w:hAnsi="宋体" w:eastAsia="宋体" w:cs="宋体"/>
          <w:i w:val="0"/>
          <w:iCs w:val="0"/>
          <w:color w:val="auto"/>
          <w:kern w:val="0"/>
          <w:sz w:val="24"/>
          <w:szCs w:val="24"/>
          <w:lang w:val="en-US" w:eastAsia="zh-CN" w:bidi="ar"/>
        </w:rPr>
      </w:pPr>
    </w:p>
    <w:p w14:paraId="78F42390">
      <w:pPr>
        <w:keepNext w:val="0"/>
        <w:keepLines w:val="0"/>
        <w:widowControl/>
        <w:suppressLineNumbers w:val="0"/>
        <w:spacing w:line="360" w:lineRule="auto"/>
        <w:jc w:val="center"/>
        <w:rPr>
          <w:rFonts w:hint="eastAsia" w:ascii="宋体" w:hAnsi="宋体" w:eastAsia="宋体" w:cs="宋体"/>
          <w:b/>
          <w:bCs/>
          <w:i w:val="0"/>
          <w:iCs w:val="0"/>
          <w:color w:val="auto"/>
          <w:sz w:val="24"/>
          <w:szCs w:val="24"/>
        </w:rPr>
      </w:pPr>
      <w:r>
        <w:rPr>
          <w:rFonts w:hint="eastAsia" w:ascii="宋体" w:hAnsi="宋体" w:eastAsia="宋体" w:cs="宋体"/>
          <w:b/>
          <w:bCs/>
          <w:i w:val="0"/>
          <w:iCs w:val="0"/>
          <w:color w:val="auto"/>
          <w:kern w:val="0"/>
          <w:sz w:val="24"/>
          <w:szCs w:val="24"/>
          <w:lang w:val="en-US" w:eastAsia="zh-CN" w:bidi="ar"/>
        </w:rPr>
        <w:t>企业名称（盖章）：</w:t>
      </w:r>
    </w:p>
    <w:p w14:paraId="30DE3DE9">
      <w:pPr>
        <w:keepNext w:val="0"/>
        <w:keepLines w:val="0"/>
        <w:widowControl/>
        <w:suppressLineNumbers w:val="0"/>
        <w:spacing w:line="360" w:lineRule="auto"/>
        <w:jc w:val="center"/>
        <w:rPr>
          <w:rFonts w:hint="eastAsia" w:ascii="宋体" w:hAnsi="宋体" w:eastAsia="宋体" w:cs="宋体"/>
          <w:color w:val="auto"/>
        </w:rPr>
      </w:pPr>
      <w:r>
        <w:rPr>
          <w:rFonts w:hint="eastAsia" w:ascii="宋体" w:hAnsi="宋体" w:eastAsia="宋体" w:cs="宋体"/>
          <w:b/>
          <w:bCs/>
          <w:i w:val="0"/>
          <w:iCs w:val="0"/>
          <w:color w:val="auto"/>
          <w:kern w:val="0"/>
          <w:sz w:val="24"/>
          <w:szCs w:val="24"/>
          <w:lang w:val="en-US" w:eastAsia="zh-CN" w:bidi="ar"/>
        </w:rPr>
        <w:t>日 期：</w:t>
      </w:r>
    </w:p>
    <w:p w14:paraId="3D9F5540">
      <w:pPr>
        <w:keepNext w:val="0"/>
        <w:keepLines w:val="0"/>
        <w:widowControl/>
        <w:suppressLineNumbers w:val="0"/>
        <w:spacing w:line="360" w:lineRule="auto"/>
        <w:ind w:left="0" w:leftChars="0" w:firstLine="0" w:firstLineChars="0"/>
        <w:jc w:val="left"/>
        <w:rPr>
          <w:rFonts w:hint="eastAsia" w:ascii="宋体" w:hAnsi="宋体" w:eastAsia="宋体" w:cs="宋体"/>
          <w:i w:val="0"/>
          <w:iCs w:val="0"/>
          <w:color w:val="auto"/>
          <w:kern w:val="0"/>
          <w:sz w:val="24"/>
          <w:szCs w:val="24"/>
          <w:lang w:val="en-US" w:eastAsia="zh-CN" w:bidi="ar"/>
        </w:rPr>
      </w:pPr>
      <w:r>
        <w:rPr>
          <w:rFonts w:hint="eastAsia" w:ascii="宋体" w:hAnsi="宋体" w:eastAsia="宋体" w:cs="宋体"/>
          <w:i w:val="0"/>
          <w:iCs w:val="0"/>
          <w:color w:val="auto"/>
          <w:kern w:val="0"/>
          <w:sz w:val="24"/>
          <w:szCs w:val="24"/>
          <w:lang w:val="en-US" w:eastAsia="zh-CN" w:bidi="ar"/>
        </w:rPr>
        <w:t>注：1.</w:t>
      </w:r>
      <w:r>
        <w:rPr>
          <w:rFonts w:hint="eastAsia" w:ascii="宋体" w:hAnsi="宋体" w:eastAsia="宋体" w:cs="宋体"/>
          <w:i w:val="0"/>
          <w:iCs w:val="0"/>
          <w:color w:val="auto"/>
          <w:kern w:val="0"/>
          <w:sz w:val="24"/>
          <w:szCs w:val="24"/>
          <w:vertAlign w:val="superscript"/>
          <w:lang w:val="en-US" w:eastAsia="zh-CN" w:bidi="ar"/>
        </w:rPr>
        <w:t>1</w:t>
      </w:r>
      <w:r>
        <w:rPr>
          <w:rFonts w:hint="eastAsia" w:ascii="宋体" w:hAnsi="宋体" w:eastAsia="宋体" w:cs="宋体"/>
          <w:i w:val="0"/>
          <w:iCs w:val="0"/>
          <w:color w:val="auto"/>
          <w:kern w:val="0"/>
          <w:sz w:val="24"/>
          <w:szCs w:val="24"/>
          <w:lang w:val="en-US" w:eastAsia="zh-CN" w:bidi="ar"/>
        </w:rPr>
        <w:t>从业人员、营业收入、资产总额填报上一年度数据，无上一年度数据的新成立企业可不填报。</w:t>
      </w:r>
    </w:p>
    <w:p w14:paraId="41A749CE">
      <w:pPr>
        <w:keepNext w:val="0"/>
        <w:keepLines w:val="0"/>
        <w:widowControl/>
        <w:suppressLineNumbers w:val="0"/>
        <w:spacing w:line="360" w:lineRule="auto"/>
        <w:ind w:left="0" w:leftChars="0" w:firstLine="0" w:firstLineChars="0"/>
        <w:jc w:val="left"/>
        <w:rPr>
          <w:rFonts w:hint="eastAsia" w:ascii="宋体" w:hAnsi="宋体" w:eastAsia="宋体" w:cs="宋体"/>
          <w:i w:val="0"/>
          <w:iCs w:val="0"/>
          <w:color w:val="auto"/>
          <w:kern w:val="0"/>
          <w:sz w:val="24"/>
          <w:szCs w:val="24"/>
          <w:lang w:val="en-US" w:eastAsia="zh-CN" w:bidi="ar"/>
        </w:rPr>
      </w:pPr>
      <w:r>
        <w:rPr>
          <w:rFonts w:hint="eastAsia" w:ascii="宋体" w:hAnsi="宋体" w:eastAsia="宋体" w:cs="宋体"/>
          <w:i w:val="0"/>
          <w:iCs w:val="0"/>
          <w:color w:val="auto"/>
          <w:kern w:val="0"/>
          <w:sz w:val="24"/>
          <w:szCs w:val="24"/>
          <w:lang w:val="en-US" w:eastAsia="zh-CN" w:bidi="ar"/>
        </w:rPr>
        <w:t xml:space="preserve">    2.成交供应商享受《政府采购促进中小企业发展管理办法》规定的中小企业扶持政策的，采购代理机构应当随成交结果公开成交供应商的《中小企业声明函》。</w:t>
      </w:r>
    </w:p>
    <w:p w14:paraId="45B5AA20">
      <w:pPr>
        <w:keepNext w:val="0"/>
        <w:keepLines w:val="0"/>
        <w:widowControl/>
        <w:suppressLineNumbers w:val="0"/>
        <w:spacing w:line="360" w:lineRule="auto"/>
        <w:ind w:left="0" w:leftChars="0" w:firstLine="0" w:firstLineChars="0"/>
        <w:jc w:val="left"/>
        <w:rPr>
          <w:rFonts w:hint="eastAsia" w:ascii="宋体" w:hAnsi="宋体" w:eastAsia="宋体" w:cs="宋体"/>
          <w:color w:val="auto"/>
          <w:szCs w:val="24"/>
          <w:lang w:bidi="ar"/>
        </w:rPr>
      </w:pPr>
      <w:r>
        <w:rPr>
          <w:rFonts w:hint="eastAsia" w:ascii="宋体" w:hAnsi="宋体" w:eastAsia="宋体" w:cs="宋体"/>
          <w:i w:val="0"/>
          <w:iCs w:val="0"/>
          <w:color w:val="auto"/>
          <w:kern w:val="0"/>
          <w:sz w:val="24"/>
          <w:szCs w:val="24"/>
          <w:lang w:val="en-US" w:eastAsia="zh-CN" w:bidi="ar"/>
        </w:rPr>
        <w:t xml:space="preserve">    </w:t>
      </w: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pacing w:val="8"/>
          <w:kern w:val="0"/>
          <w:sz w:val="24"/>
          <w:szCs w:val="24"/>
          <w:lang w:val="zh-CN" w:eastAsia="zh-CN"/>
        </w:rPr>
        <w:t>对大中小微型企业划分不确定的，可通过中小企业规模类型自测小程序（https://baosong.miit.gov.cn/ScaleTest）查询确定。</w:t>
      </w:r>
      <w:r>
        <w:rPr>
          <w:rFonts w:hint="eastAsia" w:ascii="宋体" w:hAnsi="宋体" w:eastAsia="宋体" w:cs="宋体"/>
          <w:b/>
          <w:color w:val="auto"/>
          <w:sz w:val="24"/>
          <w:szCs w:val="24"/>
        </w:rPr>
        <w:br w:type="page"/>
      </w:r>
    </w:p>
    <w:p w14:paraId="291A338C">
      <w:pPr>
        <w:widowControl/>
        <w:spacing w:line="240" w:lineRule="auto"/>
        <w:ind w:left="0" w:leftChars="0" w:firstLine="0" w:firstLineChars="0"/>
        <w:jc w:val="left"/>
        <w:rPr>
          <w:rFonts w:hint="eastAsia" w:ascii="宋体" w:hAnsi="宋体" w:eastAsia="宋体" w:cs="宋体"/>
          <w:color w:val="auto"/>
          <w:kern w:val="0"/>
          <w:sz w:val="32"/>
          <w:szCs w:val="32"/>
        </w:rPr>
      </w:pPr>
      <w:r>
        <w:rPr>
          <w:rFonts w:hint="eastAsia" w:ascii="宋体" w:hAnsi="宋体" w:eastAsia="宋体" w:cs="宋体"/>
          <w:b/>
          <w:bCs/>
          <w:color w:val="auto"/>
          <w:kern w:val="0"/>
          <w:sz w:val="28"/>
          <w:szCs w:val="28"/>
        </w:rPr>
        <w:t>附表</w:t>
      </w:r>
    </w:p>
    <w:p w14:paraId="3AC9CB39">
      <w:pPr>
        <w:widowControl/>
        <w:spacing w:line="360" w:lineRule="auto"/>
        <w:ind w:left="0" w:leftChars="0" w:firstLine="0" w:firstLineChars="0"/>
        <w:jc w:val="center"/>
        <w:rPr>
          <w:rFonts w:hint="eastAsia" w:ascii="宋体" w:hAnsi="宋体" w:eastAsia="宋体" w:cs="宋体"/>
          <w:color w:val="auto"/>
          <w:kern w:val="0"/>
          <w:sz w:val="36"/>
          <w:szCs w:val="32"/>
        </w:rPr>
      </w:pPr>
      <w:r>
        <w:rPr>
          <w:rFonts w:hint="eastAsia" w:ascii="宋体" w:hAnsi="宋体" w:eastAsia="宋体" w:cs="宋体"/>
          <w:b/>
          <w:bCs/>
          <w:color w:val="auto"/>
          <w:kern w:val="0"/>
          <w:sz w:val="28"/>
          <w:szCs w:val="28"/>
        </w:rPr>
        <w:t>大中小微型企业划分标准</w:t>
      </w:r>
    </w:p>
    <w:tbl>
      <w:tblPr>
        <w:tblStyle w:val="24"/>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058"/>
        <w:gridCol w:w="1410"/>
        <w:gridCol w:w="1065"/>
        <w:gridCol w:w="1217"/>
        <w:gridCol w:w="1708"/>
        <w:gridCol w:w="1674"/>
        <w:gridCol w:w="1073"/>
      </w:tblGrid>
      <w:tr w14:paraId="0F3D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noWrap w:val="0"/>
            <w:vAlign w:val="center"/>
          </w:tcPr>
          <w:p w14:paraId="7ED6185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行业名称</w:t>
            </w:r>
          </w:p>
        </w:tc>
        <w:tc>
          <w:tcPr>
            <w:tcW w:w="1410" w:type="dxa"/>
            <w:noWrap w:val="0"/>
            <w:vAlign w:val="center"/>
          </w:tcPr>
          <w:p w14:paraId="0231128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指标名称</w:t>
            </w:r>
          </w:p>
        </w:tc>
        <w:tc>
          <w:tcPr>
            <w:tcW w:w="1065" w:type="dxa"/>
            <w:noWrap w:val="0"/>
            <w:vAlign w:val="center"/>
          </w:tcPr>
          <w:p w14:paraId="143B5F0F">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计量单位</w:t>
            </w:r>
          </w:p>
        </w:tc>
        <w:tc>
          <w:tcPr>
            <w:tcW w:w="1217" w:type="dxa"/>
            <w:noWrap w:val="0"/>
            <w:vAlign w:val="center"/>
          </w:tcPr>
          <w:p w14:paraId="36604BC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大型</w:t>
            </w:r>
          </w:p>
        </w:tc>
        <w:tc>
          <w:tcPr>
            <w:tcW w:w="1708" w:type="dxa"/>
            <w:noWrap w:val="0"/>
            <w:vAlign w:val="center"/>
          </w:tcPr>
          <w:p w14:paraId="4E97B900">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中型</w:t>
            </w:r>
          </w:p>
        </w:tc>
        <w:tc>
          <w:tcPr>
            <w:tcW w:w="1674" w:type="dxa"/>
            <w:noWrap w:val="0"/>
            <w:vAlign w:val="center"/>
          </w:tcPr>
          <w:p w14:paraId="2DB8556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小型</w:t>
            </w:r>
          </w:p>
        </w:tc>
        <w:tc>
          <w:tcPr>
            <w:tcW w:w="1073" w:type="dxa"/>
            <w:noWrap w:val="0"/>
            <w:vAlign w:val="center"/>
          </w:tcPr>
          <w:p w14:paraId="62D8A851">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微型</w:t>
            </w:r>
          </w:p>
        </w:tc>
      </w:tr>
      <w:tr w14:paraId="450C9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noWrap w:val="0"/>
            <w:vAlign w:val="center"/>
          </w:tcPr>
          <w:p w14:paraId="249EAF4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农、林、牧、渔业</w:t>
            </w:r>
          </w:p>
        </w:tc>
        <w:tc>
          <w:tcPr>
            <w:tcW w:w="1410" w:type="dxa"/>
            <w:noWrap w:val="0"/>
            <w:vAlign w:val="center"/>
          </w:tcPr>
          <w:p w14:paraId="4803D2F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1065" w:type="dxa"/>
            <w:noWrap w:val="0"/>
            <w:vAlign w:val="center"/>
          </w:tcPr>
          <w:p w14:paraId="1311CB5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217" w:type="dxa"/>
            <w:noWrap w:val="0"/>
            <w:vAlign w:val="center"/>
          </w:tcPr>
          <w:p w14:paraId="2236E9BD">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Y≥20000</w:t>
            </w:r>
          </w:p>
        </w:tc>
        <w:tc>
          <w:tcPr>
            <w:tcW w:w="1708" w:type="dxa"/>
            <w:noWrap w:val="0"/>
            <w:vAlign w:val="center"/>
          </w:tcPr>
          <w:p w14:paraId="4D5A2A9D">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500≤Y＜20000</w:t>
            </w:r>
          </w:p>
        </w:tc>
        <w:tc>
          <w:tcPr>
            <w:tcW w:w="1674" w:type="dxa"/>
            <w:noWrap w:val="0"/>
            <w:vAlign w:val="center"/>
          </w:tcPr>
          <w:p w14:paraId="0587D80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50≤Y＜500</w:t>
            </w:r>
          </w:p>
        </w:tc>
        <w:tc>
          <w:tcPr>
            <w:tcW w:w="1073" w:type="dxa"/>
            <w:noWrap w:val="0"/>
            <w:vAlign w:val="center"/>
          </w:tcPr>
          <w:p w14:paraId="0529A60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Y＜50</w:t>
            </w:r>
          </w:p>
        </w:tc>
      </w:tr>
      <w:tr w14:paraId="2161D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5F68D7E0">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bCs/>
                <w:color w:val="auto"/>
                <w:kern w:val="0"/>
                <w:sz w:val="21"/>
                <w:szCs w:val="21"/>
              </w:rPr>
            </w:pPr>
            <w:r>
              <w:rPr>
                <w:rFonts w:hint="eastAsia" w:ascii="宋体" w:hAnsi="宋体" w:eastAsia="宋体" w:cs="宋体"/>
                <w:b w:val="0"/>
                <w:bCs w:val="0"/>
                <w:color w:val="auto"/>
                <w:kern w:val="0"/>
                <w:sz w:val="21"/>
                <w:szCs w:val="21"/>
              </w:rPr>
              <w:t>工业*</w:t>
            </w:r>
          </w:p>
        </w:tc>
        <w:tc>
          <w:tcPr>
            <w:tcW w:w="1410" w:type="dxa"/>
            <w:noWrap w:val="0"/>
            <w:vAlign w:val="center"/>
          </w:tcPr>
          <w:p w14:paraId="7C355F9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从业人员(X)</w:t>
            </w:r>
          </w:p>
        </w:tc>
        <w:tc>
          <w:tcPr>
            <w:tcW w:w="1065" w:type="dxa"/>
            <w:noWrap w:val="0"/>
            <w:vAlign w:val="center"/>
          </w:tcPr>
          <w:p w14:paraId="1EB8FAB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人</w:t>
            </w:r>
          </w:p>
        </w:tc>
        <w:tc>
          <w:tcPr>
            <w:tcW w:w="1217" w:type="dxa"/>
            <w:noWrap w:val="0"/>
            <w:vAlign w:val="center"/>
          </w:tcPr>
          <w:p w14:paraId="560BE29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X≥1000</w:t>
            </w:r>
          </w:p>
        </w:tc>
        <w:tc>
          <w:tcPr>
            <w:tcW w:w="1708" w:type="dxa"/>
            <w:noWrap w:val="0"/>
            <w:vAlign w:val="center"/>
          </w:tcPr>
          <w:p w14:paraId="0CA6D5BD">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300≤X＜1000</w:t>
            </w:r>
          </w:p>
        </w:tc>
        <w:tc>
          <w:tcPr>
            <w:tcW w:w="1674" w:type="dxa"/>
            <w:noWrap w:val="0"/>
            <w:vAlign w:val="center"/>
          </w:tcPr>
          <w:p w14:paraId="0F3FFD7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20≤X＜300</w:t>
            </w:r>
          </w:p>
        </w:tc>
        <w:tc>
          <w:tcPr>
            <w:tcW w:w="1073" w:type="dxa"/>
            <w:noWrap w:val="0"/>
            <w:vAlign w:val="center"/>
          </w:tcPr>
          <w:p w14:paraId="40F2D8D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X＜20</w:t>
            </w:r>
          </w:p>
        </w:tc>
      </w:tr>
      <w:tr w14:paraId="1D5DC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2661C0B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bCs/>
                <w:color w:val="auto"/>
                <w:kern w:val="0"/>
                <w:sz w:val="21"/>
                <w:szCs w:val="21"/>
              </w:rPr>
            </w:pPr>
          </w:p>
        </w:tc>
        <w:tc>
          <w:tcPr>
            <w:tcW w:w="1410" w:type="dxa"/>
            <w:noWrap w:val="0"/>
            <w:vAlign w:val="center"/>
          </w:tcPr>
          <w:p w14:paraId="792EB55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营业收入(Y)</w:t>
            </w:r>
          </w:p>
        </w:tc>
        <w:tc>
          <w:tcPr>
            <w:tcW w:w="1065" w:type="dxa"/>
            <w:noWrap w:val="0"/>
            <w:vAlign w:val="center"/>
          </w:tcPr>
          <w:p w14:paraId="7F5D949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万元</w:t>
            </w:r>
          </w:p>
        </w:tc>
        <w:tc>
          <w:tcPr>
            <w:tcW w:w="1217" w:type="dxa"/>
            <w:noWrap w:val="0"/>
            <w:vAlign w:val="center"/>
          </w:tcPr>
          <w:p w14:paraId="50C204C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Y≥40000</w:t>
            </w:r>
          </w:p>
        </w:tc>
        <w:tc>
          <w:tcPr>
            <w:tcW w:w="1708" w:type="dxa"/>
            <w:noWrap w:val="0"/>
            <w:vAlign w:val="center"/>
          </w:tcPr>
          <w:p w14:paraId="3EEAEFD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2000≤Y＜40000</w:t>
            </w:r>
          </w:p>
        </w:tc>
        <w:tc>
          <w:tcPr>
            <w:tcW w:w="1674" w:type="dxa"/>
            <w:noWrap w:val="0"/>
            <w:vAlign w:val="center"/>
          </w:tcPr>
          <w:p w14:paraId="19CE74F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300≤Y＜2000</w:t>
            </w:r>
          </w:p>
        </w:tc>
        <w:tc>
          <w:tcPr>
            <w:tcW w:w="1073" w:type="dxa"/>
            <w:noWrap w:val="0"/>
            <w:vAlign w:val="center"/>
          </w:tcPr>
          <w:p w14:paraId="7399267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Y＜300</w:t>
            </w:r>
          </w:p>
        </w:tc>
      </w:tr>
      <w:tr w14:paraId="0BF1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3CD6DB3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建筑业</w:t>
            </w:r>
          </w:p>
        </w:tc>
        <w:tc>
          <w:tcPr>
            <w:tcW w:w="1410" w:type="dxa"/>
            <w:noWrap w:val="0"/>
            <w:vAlign w:val="center"/>
          </w:tcPr>
          <w:p w14:paraId="08465B7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营业收入(Y)</w:t>
            </w:r>
          </w:p>
        </w:tc>
        <w:tc>
          <w:tcPr>
            <w:tcW w:w="1065" w:type="dxa"/>
            <w:noWrap w:val="0"/>
            <w:vAlign w:val="center"/>
          </w:tcPr>
          <w:p w14:paraId="5695C26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万元</w:t>
            </w:r>
          </w:p>
        </w:tc>
        <w:tc>
          <w:tcPr>
            <w:tcW w:w="1217" w:type="dxa"/>
            <w:noWrap w:val="0"/>
            <w:vAlign w:val="center"/>
          </w:tcPr>
          <w:p w14:paraId="54E2F8AF">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Y≥80000</w:t>
            </w:r>
          </w:p>
        </w:tc>
        <w:tc>
          <w:tcPr>
            <w:tcW w:w="1708" w:type="dxa"/>
            <w:noWrap w:val="0"/>
            <w:vAlign w:val="center"/>
          </w:tcPr>
          <w:p w14:paraId="6C29B833">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6000≤Y＜80000</w:t>
            </w:r>
          </w:p>
        </w:tc>
        <w:tc>
          <w:tcPr>
            <w:tcW w:w="1674" w:type="dxa"/>
            <w:noWrap w:val="0"/>
            <w:vAlign w:val="center"/>
          </w:tcPr>
          <w:p w14:paraId="73D5AECF">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300≤Y＜6000</w:t>
            </w:r>
          </w:p>
        </w:tc>
        <w:tc>
          <w:tcPr>
            <w:tcW w:w="1073" w:type="dxa"/>
            <w:noWrap w:val="0"/>
            <w:vAlign w:val="center"/>
          </w:tcPr>
          <w:p w14:paraId="1A86465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Y＜300</w:t>
            </w:r>
          </w:p>
        </w:tc>
      </w:tr>
      <w:tr w14:paraId="6DBE4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601F4C13">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color w:val="auto"/>
                <w:kern w:val="0"/>
                <w:sz w:val="21"/>
                <w:szCs w:val="21"/>
              </w:rPr>
            </w:pPr>
          </w:p>
        </w:tc>
        <w:tc>
          <w:tcPr>
            <w:tcW w:w="1410" w:type="dxa"/>
            <w:noWrap w:val="0"/>
            <w:vAlign w:val="center"/>
          </w:tcPr>
          <w:p w14:paraId="02E5365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资产总额(Z)</w:t>
            </w:r>
          </w:p>
        </w:tc>
        <w:tc>
          <w:tcPr>
            <w:tcW w:w="1065" w:type="dxa"/>
            <w:noWrap w:val="0"/>
            <w:vAlign w:val="center"/>
          </w:tcPr>
          <w:p w14:paraId="4CDC9A0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万元</w:t>
            </w:r>
          </w:p>
        </w:tc>
        <w:tc>
          <w:tcPr>
            <w:tcW w:w="1217" w:type="dxa"/>
            <w:noWrap w:val="0"/>
            <w:vAlign w:val="center"/>
          </w:tcPr>
          <w:p w14:paraId="37A2109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Z≥80000</w:t>
            </w:r>
          </w:p>
        </w:tc>
        <w:tc>
          <w:tcPr>
            <w:tcW w:w="1708" w:type="dxa"/>
            <w:noWrap w:val="0"/>
            <w:vAlign w:val="center"/>
          </w:tcPr>
          <w:p w14:paraId="39EC01C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5000≤Z＜80000</w:t>
            </w:r>
          </w:p>
        </w:tc>
        <w:tc>
          <w:tcPr>
            <w:tcW w:w="1674" w:type="dxa"/>
            <w:noWrap w:val="0"/>
            <w:vAlign w:val="center"/>
          </w:tcPr>
          <w:p w14:paraId="4D31552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300≤Z＜5000</w:t>
            </w:r>
          </w:p>
        </w:tc>
        <w:tc>
          <w:tcPr>
            <w:tcW w:w="1073" w:type="dxa"/>
            <w:noWrap w:val="0"/>
            <w:vAlign w:val="center"/>
          </w:tcPr>
          <w:p w14:paraId="7085C08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Z＜300</w:t>
            </w:r>
          </w:p>
        </w:tc>
      </w:tr>
      <w:tr w14:paraId="17759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71BE38B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批发业</w:t>
            </w:r>
          </w:p>
        </w:tc>
        <w:tc>
          <w:tcPr>
            <w:tcW w:w="1410" w:type="dxa"/>
            <w:noWrap w:val="0"/>
            <w:vAlign w:val="center"/>
          </w:tcPr>
          <w:p w14:paraId="3208F32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1065" w:type="dxa"/>
            <w:noWrap w:val="0"/>
            <w:vAlign w:val="center"/>
          </w:tcPr>
          <w:p w14:paraId="28FE198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217" w:type="dxa"/>
            <w:noWrap w:val="0"/>
            <w:vAlign w:val="center"/>
          </w:tcPr>
          <w:p w14:paraId="4DC80E63">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X≥200</w:t>
            </w:r>
          </w:p>
        </w:tc>
        <w:tc>
          <w:tcPr>
            <w:tcW w:w="1708" w:type="dxa"/>
            <w:noWrap w:val="0"/>
            <w:vAlign w:val="center"/>
          </w:tcPr>
          <w:p w14:paraId="3EB9029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20≤X＜200</w:t>
            </w:r>
          </w:p>
        </w:tc>
        <w:tc>
          <w:tcPr>
            <w:tcW w:w="1674" w:type="dxa"/>
            <w:noWrap w:val="0"/>
            <w:vAlign w:val="center"/>
          </w:tcPr>
          <w:p w14:paraId="793CF41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5≤X＜20</w:t>
            </w:r>
          </w:p>
        </w:tc>
        <w:tc>
          <w:tcPr>
            <w:tcW w:w="1073" w:type="dxa"/>
            <w:noWrap w:val="0"/>
            <w:vAlign w:val="center"/>
          </w:tcPr>
          <w:p w14:paraId="02A239E3">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X＜5</w:t>
            </w:r>
          </w:p>
        </w:tc>
      </w:tr>
      <w:tr w14:paraId="45C77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367941C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p>
        </w:tc>
        <w:tc>
          <w:tcPr>
            <w:tcW w:w="1410" w:type="dxa"/>
            <w:noWrap w:val="0"/>
            <w:vAlign w:val="center"/>
          </w:tcPr>
          <w:p w14:paraId="61714C5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1065" w:type="dxa"/>
            <w:noWrap w:val="0"/>
            <w:vAlign w:val="center"/>
          </w:tcPr>
          <w:p w14:paraId="5476BE3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217" w:type="dxa"/>
            <w:noWrap w:val="0"/>
            <w:vAlign w:val="center"/>
          </w:tcPr>
          <w:p w14:paraId="2EB1F060">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Y≥40000</w:t>
            </w:r>
          </w:p>
        </w:tc>
        <w:tc>
          <w:tcPr>
            <w:tcW w:w="1708" w:type="dxa"/>
            <w:noWrap w:val="0"/>
            <w:vAlign w:val="center"/>
          </w:tcPr>
          <w:p w14:paraId="23C0063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5000≤Y＜40000</w:t>
            </w:r>
          </w:p>
        </w:tc>
        <w:tc>
          <w:tcPr>
            <w:tcW w:w="1674" w:type="dxa"/>
            <w:noWrap w:val="0"/>
            <w:vAlign w:val="center"/>
          </w:tcPr>
          <w:p w14:paraId="59974E3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1000≤Y＜5000</w:t>
            </w:r>
          </w:p>
        </w:tc>
        <w:tc>
          <w:tcPr>
            <w:tcW w:w="1073" w:type="dxa"/>
            <w:noWrap w:val="0"/>
            <w:vAlign w:val="center"/>
          </w:tcPr>
          <w:p w14:paraId="4DFCED9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Y＜1000</w:t>
            </w:r>
          </w:p>
        </w:tc>
      </w:tr>
      <w:tr w14:paraId="76DF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26D90D6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零售业</w:t>
            </w:r>
          </w:p>
        </w:tc>
        <w:tc>
          <w:tcPr>
            <w:tcW w:w="1410" w:type="dxa"/>
            <w:noWrap w:val="0"/>
            <w:vAlign w:val="center"/>
          </w:tcPr>
          <w:p w14:paraId="50DFB23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1065" w:type="dxa"/>
            <w:noWrap w:val="0"/>
            <w:vAlign w:val="center"/>
          </w:tcPr>
          <w:p w14:paraId="1446775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217" w:type="dxa"/>
            <w:noWrap w:val="0"/>
            <w:vAlign w:val="center"/>
          </w:tcPr>
          <w:p w14:paraId="07B3DA3F">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X≥300</w:t>
            </w:r>
          </w:p>
        </w:tc>
        <w:tc>
          <w:tcPr>
            <w:tcW w:w="1708" w:type="dxa"/>
            <w:noWrap w:val="0"/>
            <w:vAlign w:val="center"/>
          </w:tcPr>
          <w:p w14:paraId="160F5FE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50≤X＜300</w:t>
            </w:r>
          </w:p>
        </w:tc>
        <w:tc>
          <w:tcPr>
            <w:tcW w:w="1674" w:type="dxa"/>
            <w:noWrap w:val="0"/>
            <w:vAlign w:val="center"/>
          </w:tcPr>
          <w:p w14:paraId="49B85A4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10≤X＜50</w:t>
            </w:r>
          </w:p>
        </w:tc>
        <w:tc>
          <w:tcPr>
            <w:tcW w:w="1073" w:type="dxa"/>
            <w:noWrap w:val="0"/>
            <w:vAlign w:val="center"/>
          </w:tcPr>
          <w:p w14:paraId="5C14A3B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X＜10</w:t>
            </w:r>
          </w:p>
        </w:tc>
      </w:tr>
      <w:tr w14:paraId="182AB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7C5C4773">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p>
        </w:tc>
        <w:tc>
          <w:tcPr>
            <w:tcW w:w="1410" w:type="dxa"/>
            <w:noWrap w:val="0"/>
            <w:vAlign w:val="center"/>
          </w:tcPr>
          <w:p w14:paraId="217CD17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1065" w:type="dxa"/>
            <w:noWrap w:val="0"/>
            <w:vAlign w:val="center"/>
          </w:tcPr>
          <w:p w14:paraId="22639BCD">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217" w:type="dxa"/>
            <w:noWrap w:val="0"/>
            <w:vAlign w:val="center"/>
          </w:tcPr>
          <w:p w14:paraId="69C34AD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Y≥20000</w:t>
            </w:r>
          </w:p>
        </w:tc>
        <w:tc>
          <w:tcPr>
            <w:tcW w:w="1708" w:type="dxa"/>
            <w:noWrap w:val="0"/>
            <w:vAlign w:val="center"/>
          </w:tcPr>
          <w:p w14:paraId="76EA9F2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500≤Y＜20000</w:t>
            </w:r>
          </w:p>
        </w:tc>
        <w:tc>
          <w:tcPr>
            <w:tcW w:w="1674" w:type="dxa"/>
            <w:noWrap w:val="0"/>
            <w:vAlign w:val="center"/>
          </w:tcPr>
          <w:p w14:paraId="2E7476E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100≤Y＜500</w:t>
            </w:r>
          </w:p>
        </w:tc>
        <w:tc>
          <w:tcPr>
            <w:tcW w:w="1073" w:type="dxa"/>
            <w:noWrap w:val="0"/>
            <w:vAlign w:val="center"/>
          </w:tcPr>
          <w:p w14:paraId="5DA2268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Y＜100</w:t>
            </w:r>
          </w:p>
        </w:tc>
      </w:tr>
      <w:tr w14:paraId="611B8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18B4BE5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交通运输业*</w:t>
            </w:r>
          </w:p>
        </w:tc>
        <w:tc>
          <w:tcPr>
            <w:tcW w:w="1410" w:type="dxa"/>
            <w:noWrap w:val="0"/>
            <w:vAlign w:val="center"/>
          </w:tcPr>
          <w:p w14:paraId="0F969F6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1065" w:type="dxa"/>
            <w:noWrap w:val="0"/>
            <w:vAlign w:val="center"/>
          </w:tcPr>
          <w:p w14:paraId="60983F80">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217" w:type="dxa"/>
            <w:noWrap w:val="0"/>
            <w:vAlign w:val="center"/>
          </w:tcPr>
          <w:p w14:paraId="5DFEAB5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X≥1000</w:t>
            </w:r>
          </w:p>
        </w:tc>
        <w:tc>
          <w:tcPr>
            <w:tcW w:w="1708" w:type="dxa"/>
            <w:noWrap w:val="0"/>
            <w:vAlign w:val="center"/>
          </w:tcPr>
          <w:p w14:paraId="0410CDB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300≤X＜1000</w:t>
            </w:r>
          </w:p>
        </w:tc>
        <w:tc>
          <w:tcPr>
            <w:tcW w:w="1674" w:type="dxa"/>
            <w:noWrap w:val="0"/>
            <w:vAlign w:val="center"/>
          </w:tcPr>
          <w:p w14:paraId="19DFCD0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20≤X＜300</w:t>
            </w:r>
          </w:p>
        </w:tc>
        <w:tc>
          <w:tcPr>
            <w:tcW w:w="1073" w:type="dxa"/>
            <w:noWrap w:val="0"/>
            <w:vAlign w:val="center"/>
          </w:tcPr>
          <w:p w14:paraId="3DEA6A8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X＜20</w:t>
            </w:r>
          </w:p>
        </w:tc>
      </w:tr>
      <w:tr w14:paraId="31EE0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235B6C1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p>
        </w:tc>
        <w:tc>
          <w:tcPr>
            <w:tcW w:w="1410" w:type="dxa"/>
            <w:noWrap w:val="0"/>
            <w:vAlign w:val="center"/>
          </w:tcPr>
          <w:p w14:paraId="668D4C2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1065" w:type="dxa"/>
            <w:noWrap w:val="0"/>
            <w:vAlign w:val="center"/>
          </w:tcPr>
          <w:p w14:paraId="7DD967FD">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217" w:type="dxa"/>
            <w:noWrap w:val="0"/>
            <w:vAlign w:val="center"/>
          </w:tcPr>
          <w:p w14:paraId="6F88D103">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Y≥30000</w:t>
            </w:r>
          </w:p>
        </w:tc>
        <w:tc>
          <w:tcPr>
            <w:tcW w:w="1708" w:type="dxa"/>
            <w:noWrap w:val="0"/>
            <w:vAlign w:val="center"/>
          </w:tcPr>
          <w:p w14:paraId="3741C48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3000≤Y＜30000</w:t>
            </w:r>
          </w:p>
        </w:tc>
        <w:tc>
          <w:tcPr>
            <w:tcW w:w="1674" w:type="dxa"/>
            <w:noWrap w:val="0"/>
            <w:vAlign w:val="center"/>
          </w:tcPr>
          <w:p w14:paraId="0A2428D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200≤Y＜3000</w:t>
            </w:r>
          </w:p>
        </w:tc>
        <w:tc>
          <w:tcPr>
            <w:tcW w:w="1073" w:type="dxa"/>
            <w:noWrap w:val="0"/>
            <w:vAlign w:val="center"/>
          </w:tcPr>
          <w:p w14:paraId="319C469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Y＜200</w:t>
            </w:r>
          </w:p>
        </w:tc>
      </w:tr>
      <w:tr w14:paraId="196EF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189FA80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仓储业*</w:t>
            </w:r>
          </w:p>
        </w:tc>
        <w:tc>
          <w:tcPr>
            <w:tcW w:w="1410" w:type="dxa"/>
            <w:noWrap w:val="0"/>
            <w:vAlign w:val="center"/>
          </w:tcPr>
          <w:p w14:paraId="7C58648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1065" w:type="dxa"/>
            <w:noWrap w:val="0"/>
            <w:vAlign w:val="center"/>
          </w:tcPr>
          <w:p w14:paraId="78D6651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217" w:type="dxa"/>
            <w:noWrap w:val="0"/>
            <w:vAlign w:val="center"/>
          </w:tcPr>
          <w:p w14:paraId="55014BC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X≥200</w:t>
            </w:r>
          </w:p>
        </w:tc>
        <w:tc>
          <w:tcPr>
            <w:tcW w:w="1708" w:type="dxa"/>
            <w:noWrap w:val="0"/>
            <w:vAlign w:val="center"/>
          </w:tcPr>
          <w:p w14:paraId="4F857B93">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100≤X＜200</w:t>
            </w:r>
          </w:p>
        </w:tc>
        <w:tc>
          <w:tcPr>
            <w:tcW w:w="1674" w:type="dxa"/>
            <w:noWrap w:val="0"/>
            <w:vAlign w:val="center"/>
          </w:tcPr>
          <w:p w14:paraId="021A9FF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20≤X＜100</w:t>
            </w:r>
          </w:p>
        </w:tc>
        <w:tc>
          <w:tcPr>
            <w:tcW w:w="1073" w:type="dxa"/>
            <w:noWrap w:val="0"/>
            <w:vAlign w:val="center"/>
          </w:tcPr>
          <w:p w14:paraId="1F1F6A0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X＜20</w:t>
            </w:r>
          </w:p>
        </w:tc>
      </w:tr>
      <w:tr w14:paraId="0C23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29802E2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p>
        </w:tc>
        <w:tc>
          <w:tcPr>
            <w:tcW w:w="1410" w:type="dxa"/>
            <w:noWrap w:val="0"/>
            <w:vAlign w:val="center"/>
          </w:tcPr>
          <w:p w14:paraId="05D7E040">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1065" w:type="dxa"/>
            <w:noWrap w:val="0"/>
            <w:vAlign w:val="center"/>
          </w:tcPr>
          <w:p w14:paraId="08DC554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217" w:type="dxa"/>
            <w:noWrap w:val="0"/>
            <w:vAlign w:val="center"/>
          </w:tcPr>
          <w:p w14:paraId="2037FA2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Y≥30000</w:t>
            </w:r>
          </w:p>
        </w:tc>
        <w:tc>
          <w:tcPr>
            <w:tcW w:w="1708" w:type="dxa"/>
            <w:noWrap w:val="0"/>
            <w:vAlign w:val="center"/>
          </w:tcPr>
          <w:p w14:paraId="24D4EA9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1000≤Y＜30000</w:t>
            </w:r>
          </w:p>
        </w:tc>
        <w:tc>
          <w:tcPr>
            <w:tcW w:w="1674" w:type="dxa"/>
            <w:noWrap w:val="0"/>
            <w:vAlign w:val="center"/>
          </w:tcPr>
          <w:p w14:paraId="6A22B07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100≤Y＜1000</w:t>
            </w:r>
          </w:p>
        </w:tc>
        <w:tc>
          <w:tcPr>
            <w:tcW w:w="1073" w:type="dxa"/>
            <w:noWrap w:val="0"/>
            <w:vAlign w:val="center"/>
          </w:tcPr>
          <w:p w14:paraId="6A54174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Y＜100</w:t>
            </w:r>
          </w:p>
        </w:tc>
      </w:tr>
      <w:tr w14:paraId="04D3C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6D6A689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邮政业</w:t>
            </w:r>
          </w:p>
        </w:tc>
        <w:tc>
          <w:tcPr>
            <w:tcW w:w="1410" w:type="dxa"/>
            <w:noWrap w:val="0"/>
            <w:vAlign w:val="center"/>
          </w:tcPr>
          <w:p w14:paraId="35B78A9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1065" w:type="dxa"/>
            <w:noWrap w:val="0"/>
            <w:vAlign w:val="center"/>
          </w:tcPr>
          <w:p w14:paraId="76E14771">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217" w:type="dxa"/>
            <w:noWrap w:val="0"/>
            <w:vAlign w:val="center"/>
          </w:tcPr>
          <w:p w14:paraId="65BCBEC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X≥1000</w:t>
            </w:r>
          </w:p>
        </w:tc>
        <w:tc>
          <w:tcPr>
            <w:tcW w:w="1708" w:type="dxa"/>
            <w:noWrap w:val="0"/>
            <w:vAlign w:val="center"/>
          </w:tcPr>
          <w:p w14:paraId="0429A1E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300≤X＜1000</w:t>
            </w:r>
          </w:p>
        </w:tc>
        <w:tc>
          <w:tcPr>
            <w:tcW w:w="1674" w:type="dxa"/>
            <w:noWrap w:val="0"/>
            <w:vAlign w:val="center"/>
          </w:tcPr>
          <w:p w14:paraId="1D36CBCD">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20≤X＜300</w:t>
            </w:r>
          </w:p>
        </w:tc>
        <w:tc>
          <w:tcPr>
            <w:tcW w:w="1073" w:type="dxa"/>
            <w:noWrap w:val="0"/>
            <w:vAlign w:val="center"/>
          </w:tcPr>
          <w:p w14:paraId="52B990A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X＜20</w:t>
            </w:r>
          </w:p>
        </w:tc>
      </w:tr>
      <w:tr w14:paraId="096FF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1C24904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p>
        </w:tc>
        <w:tc>
          <w:tcPr>
            <w:tcW w:w="1410" w:type="dxa"/>
            <w:noWrap w:val="0"/>
            <w:vAlign w:val="center"/>
          </w:tcPr>
          <w:p w14:paraId="3E3F62C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1065" w:type="dxa"/>
            <w:noWrap w:val="0"/>
            <w:vAlign w:val="center"/>
          </w:tcPr>
          <w:p w14:paraId="387216E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217" w:type="dxa"/>
            <w:noWrap w:val="0"/>
            <w:vAlign w:val="center"/>
          </w:tcPr>
          <w:p w14:paraId="5E00C06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Y≥30000</w:t>
            </w:r>
          </w:p>
        </w:tc>
        <w:tc>
          <w:tcPr>
            <w:tcW w:w="1708" w:type="dxa"/>
            <w:noWrap w:val="0"/>
            <w:vAlign w:val="center"/>
          </w:tcPr>
          <w:p w14:paraId="3B949EB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2000≤Y＜30000</w:t>
            </w:r>
          </w:p>
        </w:tc>
        <w:tc>
          <w:tcPr>
            <w:tcW w:w="1674" w:type="dxa"/>
            <w:noWrap w:val="0"/>
            <w:vAlign w:val="center"/>
          </w:tcPr>
          <w:p w14:paraId="588278F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100≤Y＜2000</w:t>
            </w:r>
          </w:p>
        </w:tc>
        <w:tc>
          <w:tcPr>
            <w:tcW w:w="1073" w:type="dxa"/>
            <w:noWrap w:val="0"/>
            <w:vAlign w:val="center"/>
          </w:tcPr>
          <w:p w14:paraId="71FDD92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Y＜100</w:t>
            </w:r>
          </w:p>
        </w:tc>
      </w:tr>
      <w:tr w14:paraId="45CC9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19674A2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住宿业</w:t>
            </w:r>
          </w:p>
        </w:tc>
        <w:tc>
          <w:tcPr>
            <w:tcW w:w="1410" w:type="dxa"/>
            <w:noWrap w:val="0"/>
            <w:vAlign w:val="center"/>
          </w:tcPr>
          <w:p w14:paraId="5C586E10">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1065" w:type="dxa"/>
            <w:noWrap w:val="0"/>
            <w:vAlign w:val="center"/>
          </w:tcPr>
          <w:p w14:paraId="4F47300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217" w:type="dxa"/>
            <w:noWrap w:val="0"/>
            <w:vAlign w:val="center"/>
          </w:tcPr>
          <w:p w14:paraId="7EC7C181">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X≥300</w:t>
            </w:r>
          </w:p>
        </w:tc>
        <w:tc>
          <w:tcPr>
            <w:tcW w:w="1708" w:type="dxa"/>
            <w:noWrap w:val="0"/>
            <w:vAlign w:val="center"/>
          </w:tcPr>
          <w:p w14:paraId="7DBBB49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100≤X＜300</w:t>
            </w:r>
          </w:p>
        </w:tc>
        <w:tc>
          <w:tcPr>
            <w:tcW w:w="1674" w:type="dxa"/>
            <w:noWrap w:val="0"/>
            <w:vAlign w:val="center"/>
          </w:tcPr>
          <w:p w14:paraId="74551ACF">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10≤X＜100</w:t>
            </w:r>
          </w:p>
        </w:tc>
        <w:tc>
          <w:tcPr>
            <w:tcW w:w="1073" w:type="dxa"/>
            <w:noWrap w:val="0"/>
            <w:vAlign w:val="center"/>
          </w:tcPr>
          <w:p w14:paraId="0F9110DF">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X＜10</w:t>
            </w:r>
          </w:p>
        </w:tc>
      </w:tr>
      <w:tr w14:paraId="3E807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54A0EEE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p>
        </w:tc>
        <w:tc>
          <w:tcPr>
            <w:tcW w:w="1410" w:type="dxa"/>
            <w:noWrap w:val="0"/>
            <w:vAlign w:val="center"/>
          </w:tcPr>
          <w:p w14:paraId="4C3D4FE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1065" w:type="dxa"/>
            <w:noWrap w:val="0"/>
            <w:vAlign w:val="center"/>
          </w:tcPr>
          <w:p w14:paraId="49FF2F5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217" w:type="dxa"/>
            <w:noWrap w:val="0"/>
            <w:vAlign w:val="center"/>
          </w:tcPr>
          <w:p w14:paraId="41469AB0">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Y≥10000</w:t>
            </w:r>
          </w:p>
        </w:tc>
        <w:tc>
          <w:tcPr>
            <w:tcW w:w="1708" w:type="dxa"/>
            <w:noWrap w:val="0"/>
            <w:vAlign w:val="center"/>
          </w:tcPr>
          <w:p w14:paraId="2D8E6C2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2000≤Y＜10000</w:t>
            </w:r>
          </w:p>
        </w:tc>
        <w:tc>
          <w:tcPr>
            <w:tcW w:w="1674" w:type="dxa"/>
            <w:noWrap w:val="0"/>
            <w:vAlign w:val="center"/>
          </w:tcPr>
          <w:p w14:paraId="6888A8E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100≤Y＜2000</w:t>
            </w:r>
          </w:p>
        </w:tc>
        <w:tc>
          <w:tcPr>
            <w:tcW w:w="1073" w:type="dxa"/>
            <w:noWrap w:val="0"/>
            <w:vAlign w:val="center"/>
          </w:tcPr>
          <w:p w14:paraId="7282575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Y＜100</w:t>
            </w:r>
          </w:p>
        </w:tc>
      </w:tr>
      <w:tr w14:paraId="1424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0C70DD2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餐饮业</w:t>
            </w:r>
          </w:p>
        </w:tc>
        <w:tc>
          <w:tcPr>
            <w:tcW w:w="1410" w:type="dxa"/>
            <w:noWrap w:val="0"/>
            <w:vAlign w:val="center"/>
          </w:tcPr>
          <w:p w14:paraId="124C35F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1065" w:type="dxa"/>
            <w:noWrap w:val="0"/>
            <w:vAlign w:val="center"/>
          </w:tcPr>
          <w:p w14:paraId="43190AE5">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217" w:type="dxa"/>
            <w:noWrap w:val="0"/>
            <w:vAlign w:val="center"/>
          </w:tcPr>
          <w:p w14:paraId="79B3DCA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X≥300</w:t>
            </w:r>
          </w:p>
        </w:tc>
        <w:tc>
          <w:tcPr>
            <w:tcW w:w="1708" w:type="dxa"/>
            <w:noWrap w:val="0"/>
            <w:vAlign w:val="center"/>
          </w:tcPr>
          <w:p w14:paraId="09FE659F">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100≤X＜300</w:t>
            </w:r>
          </w:p>
        </w:tc>
        <w:tc>
          <w:tcPr>
            <w:tcW w:w="1674" w:type="dxa"/>
            <w:noWrap w:val="0"/>
            <w:vAlign w:val="center"/>
          </w:tcPr>
          <w:p w14:paraId="355FA7B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10≤X＜100</w:t>
            </w:r>
          </w:p>
        </w:tc>
        <w:tc>
          <w:tcPr>
            <w:tcW w:w="1073" w:type="dxa"/>
            <w:noWrap w:val="0"/>
            <w:vAlign w:val="center"/>
          </w:tcPr>
          <w:p w14:paraId="37AD8133">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X＜10</w:t>
            </w:r>
          </w:p>
        </w:tc>
      </w:tr>
      <w:tr w14:paraId="480FF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63C328F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p>
        </w:tc>
        <w:tc>
          <w:tcPr>
            <w:tcW w:w="1410" w:type="dxa"/>
            <w:noWrap w:val="0"/>
            <w:vAlign w:val="center"/>
          </w:tcPr>
          <w:p w14:paraId="11F4A1E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1065" w:type="dxa"/>
            <w:noWrap w:val="0"/>
            <w:vAlign w:val="center"/>
          </w:tcPr>
          <w:p w14:paraId="11C34E63">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217" w:type="dxa"/>
            <w:noWrap w:val="0"/>
            <w:vAlign w:val="center"/>
          </w:tcPr>
          <w:p w14:paraId="749FEE5F">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Y≥10000</w:t>
            </w:r>
          </w:p>
        </w:tc>
        <w:tc>
          <w:tcPr>
            <w:tcW w:w="1708" w:type="dxa"/>
            <w:noWrap w:val="0"/>
            <w:vAlign w:val="center"/>
          </w:tcPr>
          <w:p w14:paraId="7A9FF1A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2000≤Y＜10000</w:t>
            </w:r>
          </w:p>
        </w:tc>
        <w:tc>
          <w:tcPr>
            <w:tcW w:w="1674" w:type="dxa"/>
            <w:noWrap w:val="0"/>
            <w:vAlign w:val="center"/>
          </w:tcPr>
          <w:p w14:paraId="420C4D9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100≤Y＜2000</w:t>
            </w:r>
          </w:p>
        </w:tc>
        <w:tc>
          <w:tcPr>
            <w:tcW w:w="1073" w:type="dxa"/>
            <w:noWrap w:val="0"/>
            <w:vAlign w:val="center"/>
          </w:tcPr>
          <w:p w14:paraId="5ECAB27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Y＜100</w:t>
            </w:r>
          </w:p>
        </w:tc>
      </w:tr>
      <w:tr w14:paraId="6F09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3261983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信息传输业*</w:t>
            </w:r>
          </w:p>
        </w:tc>
        <w:tc>
          <w:tcPr>
            <w:tcW w:w="1410" w:type="dxa"/>
            <w:noWrap w:val="0"/>
            <w:vAlign w:val="center"/>
          </w:tcPr>
          <w:p w14:paraId="27F8647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1065" w:type="dxa"/>
            <w:noWrap w:val="0"/>
            <w:vAlign w:val="center"/>
          </w:tcPr>
          <w:p w14:paraId="112583D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217" w:type="dxa"/>
            <w:noWrap w:val="0"/>
            <w:vAlign w:val="center"/>
          </w:tcPr>
          <w:p w14:paraId="45101661">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X≥2000</w:t>
            </w:r>
          </w:p>
        </w:tc>
        <w:tc>
          <w:tcPr>
            <w:tcW w:w="1708" w:type="dxa"/>
            <w:noWrap w:val="0"/>
            <w:vAlign w:val="center"/>
          </w:tcPr>
          <w:p w14:paraId="04184C11">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100≤X＜2000</w:t>
            </w:r>
          </w:p>
        </w:tc>
        <w:tc>
          <w:tcPr>
            <w:tcW w:w="1674" w:type="dxa"/>
            <w:noWrap w:val="0"/>
            <w:vAlign w:val="center"/>
          </w:tcPr>
          <w:p w14:paraId="5EBBC88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10≤X＜100</w:t>
            </w:r>
          </w:p>
        </w:tc>
        <w:tc>
          <w:tcPr>
            <w:tcW w:w="1073" w:type="dxa"/>
            <w:noWrap w:val="0"/>
            <w:vAlign w:val="center"/>
          </w:tcPr>
          <w:p w14:paraId="7073327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X＜10</w:t>
            </w:r>
          </w:p>
        </w:tc>
      </w:tr>
      <w:tr w14:paraId="7077E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5AE914B1">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p>
        </w:tc>
        <w:tc>
          <w:tcPr>
            <w:tcW w:w="1410" w:type="dxa"/>
            <w:noWrap w:val="0"/>
            <w:vAlign w:val="center"/>
          </w:tcPr>
          <w:p w14:paraId="3E71F60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1065" w:type="dxa"/>
            <w:noWrap w:val="0"/>
            <w:vAlign w:val="center"/>
          </w:tcPr>
          <w:p w14:paraId="61A302B0">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217" w:type="dxa"/>
            <w:noWrap w:val="0"/>
            <w:vAlign w:val="center"/>
          </w:tcPr>
          <w:p w14:paraId="2B39B89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Y≥100000</w:t>
            </w:r>
          </w:p>
        </w:tc>
        <w:tc>
          <w:tcPr>
            <w:tcW w:w="1708" w:type="dxa"/>
            <w:noWrap w:val="0"/>
            <w:vAlign w:val="center"/>
          </w:tcPr>
          <w:p w14:paraId="57F964E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1000≤Y＜100000</w:t>
            </w:r>
          </w:p>
        </w:tc>
        <w:tc>
          <w:tcPr>
            <w:tcW w:w="1674" w:type="dxa"/>
            <w:noWrap w:val="0"/>
            <w:vAlign w:val="center"/>
          </w:tcPr>
          <w:p w14:paraId="0D0FE72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100≤Y＜1000</w:t>
            </w:r>
          </w:p>
        </w:tc>
        <w:tc>
          <w:tcPr>
            <w:tcW w:w="1073" w:type="dxa"/>
            <w:noWrap w:val="0"/>
            <w:vAlign w:val="center"/>
          </w:tcPr>
          <w:p w14:paraId="47B1A39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Y＜100</w:t>
            </w:r>
          </w:p>
        </w:tc>
      </w:tr>
      <w:tr w14:paraId="62840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0419DF9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color w:val="auto"/>
                <w:spacing w:val="-12"/>
                <w:kern w:val="0"/>
                <w:sz w:val="21"/>
                <w:szCs w:val="21"/>
              </w:rPr>
            </w:pPr>
            <w:r>
              <w:rPr>
                <w:rFonts w:hint="eastAsia" w:ascii="宋体" w:hAnsi="宋体" w:eastAsia="宋体" w:cs="宋体"/>
                <w:b w:val="0"/>
                <w:bCs w:val="0"/>
                <w:color w:val="auto"/>
                <w:spacing w:val="-12"/>
                <w:kern w:val="0"/>
                <w:sz w:val="21"/>
                <w:szCs w:val="21"/>
              </w:rPr>
              <w:t>软件和信息技术服</w:t>
            </w:r>
            <w:r>
              <w:rPr>
                <w:rFonts w:hint="eastAsia" w:ascii="宋体" w:hAnsi="宋体" w:eastAsia="宋体" w:cs="宋体"/>
                <w:b w:val="0"/>
                <w:bCs w:val="0"/>
                <w:color w:val="auto"/>
                <w:kern w:val="0"/>
                <w:sz w:val="21"/>
                <w:szCs w:val="21"/>
              </w:rPr>
              <w:t>务业</w:t>
            </w:r>
          </w:p>
        </w:tc>
        <w:tc>
          <w:tcPr>
            <w:tcW w:w="1410" w:type="dxa"/>
            <w:noWrap w:val="0"/>
            <w:vAlign w:val="center"/>
          </w:tcPr>
          <w:p w14:paraId="4FDB634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从业人员(X)</w:t>
            </w:r>
          </w:p>
        </w:tc>
        <w:tc>
          <w:tcPr>
            <w:tcW w:w="1065" w:type="dxa"/>
            <w:noWrap w:val="0"/>
            <w:vAlign w:val="center"/>
          </w:tcPr>
          <w:p w14:paraId="2DFC628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人</w:t>
            </w:r>
          </w:p>
        </w:tc>
        <w:tc>
          <w:tcPr>
            <w:tcW w:w="1217" w:type="dxa"/>
            <w:noWrap w:val="0"/>
            <w:vAlign w:val="center"/>
          </w:tcPr>
          <w:p w14:paraId="0244D27D">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X≥300</w:t>
            </w:r>
          </w:p>
        </w:tc>
        <w:tc>
          <w:tcPr>
            <w:tcW w:w="1708" w:type="dxa"/>
            <w:noWrap w:val="0"/>
            <w:vAlign w:val="center"/>
          </w:tcPr>
          <w:p w14:paraId="7DF7458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100≤X＜300</w:t>
            </w:r>
          </w:p>
        </w:tc>
        <w:tc>
          <w:tcPr>
            <w:tcW w:w="1674" w:type="dxa"/>
            <w:noWrap w:val="0"/>
            <w:vAlign w:val="center"/>
          </w:tcPr>
          <w:p w14:paraId="3C5B432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10≤X＜100</w:t>
            </w:r>
          </w:p>
        </w:tc>
        <w:tc>
          <w:tcPr>
            <w:tcW w:w="1073" w:type="dxa"/>
            <w:noWrap w:val="0"/>
            <w:vAlign w:val="center"/>
          </w:tcPr>
          <w:p w14:paraId="49A56D2F">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X＜10</w:t>
            </w:r>
          </w:p>
        </w:tc>
      </w:tr>
      <w:tr w14:paraId="0B323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782C427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color w:val="auto"/>
                <w:spacing w:val="-12"/>
                <w:kern w:val="0"/>
                <w:sz w:val="21"/>
                <w:szCs w:val="21"/>
              </w:rPr>
            </w:pPr>
          </w:p>
        </w:tc>
        <w:tc>
          <w:tcPr>
            <w:tcW w:w="1410" w:type="dxa"/>
            <w:noWrap w:val="0"/>
            <w:vAlign w:val="center"/>
          </w:tcPr>
          <w:p w14:paraId="604D60C0">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营业收入(Y)</w:t>
            </w:r>
          </w:p>
        </w:tc>
        <w:tc>
          <w:tcPr>
            <w:tcW w:w="1065" w:type="dxa"/>
            <w:noWrap w:val="0"/>
            <w:vAlign w:val="center"/>
          </w:tcPr>
          <w:p w14:paraId="439DD6E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万元</w:t>
            </w:r>
          </w:p>
        </w:tc>
        <w:tc>
          <w:tcPr>
            <w:tcW w:w="1217" w:type="dxa"/>
            <w:noWrap w:val="0"/>
            <w:vAlign w:val="center"/>
          </w:tcPr>
          <w:p w14:paraId="49306B4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Y≥10000</w:t>
            </w:r>
          </w:p>
        </w:tc>
        <w:tc>
          <w:tcPr>
            <w:tcW w:w="1708" w:type="dxa"/>
            <w:noWrap w:val="0"/>
            <w:vAlign w:val="center"/>
          </w:tcPr>
          <w:p w14:paraId="6655323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1000≤Y＜10000</w:t>
            </w:r>
          </w:p>
        </w:tc>
        <w:tc>
          <w:tcPr>
            <w:tcW w:w="1674" w:type="dxa"/>
            <w:noWrap w:val="0"/>
            <w:vAlign w:val="center"/>
          </w:tcPr>
          <w:p w14:paraId="1FC0AE1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50≤Y＜1000</w:t>
            </w:r>
          </w:p>
        </w:tc>
        <w:tc>
          <w:tcPr>
            <w:tcW w:w="1073" w:type="dxa"/>
            <w:noWrap w:val="0"/>
            <w:vAlign w:val="center"/>
          </w:tcPr>
          <w:p w14:paraId="4E259F4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Y＜50</w:t>
            </w:r>
          </w:p>
        </w:tc>
      </w:tr>
      <w:tr w14:paraId="4A2E8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2443520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房地产开发经营</w:t>
            </w:r>
          </w:p>
        </w:tc>
        <w:tc>
          <w:tcPr>
            <w:tcW w:w="1410" w:type="dxa"/>
            <w:noWrap w:val="0"/>
            <w:vAlign w:val="center"/>
          </w:tcPr>
          <w:p w14:paraId="1A6DEBE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1065" w:type="dxa"/>
            <w:noWrap w:val="0"/>
            <w:vAlign w:val="center"/>
          </w:tcPr>
          <w:p w14:paraId="6A2B791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217" w:type="dxa"/>
            <w:noWrap w:val="0"/>
            <w:vAlign w:val="center"/>
          </w:tcPr>
          <w:p w14:paraId="3482B60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Y≥200000</w:t>
            </w:r>
          </w:p>
        </w:tc>
        <w:tc>
          <w:tcPr>
            <w:tcW w:w="1708" w:type="dxa"/>
            <w:noWrap w:val="0"/>
            <w:vAlign w:val="center"/>
          </w:tcPr>
          <w:p w14:paraId="5CF145A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1000≤Y＜200000</w:t>
            </w:r>
          </w:p>
        </w:tc>
        <w:tc>
          <w:tcPr>
            <w:tcW w:w="1674" w:type="dxa"/>
            <w:noWrap w:val="0"/>
            <w:vAlign w:val="center"/>
          </w:tcPr>
          <w:p w14:paraId="7A6CE7F1">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100≤Y＜1000</w:t>
            </w:r>
          </w:p>
        </w:tc>
        <w:tc>
          <w:tcPr>
            <w:tcW w:w="1073" w:type="dxa"/>
            <w:noWrap w:val="0"/>
            <w:vAlign w:val="center"/>
          </w:tcPr>
          <w:p w14:paraId="39C957D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Y＜100</w:t>
            </w:r>
          </w:p>
        </w:tc>
      </w:tr>
      <w:tr w14:paraId="38CF9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2C15B00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p>
        </w:tc>
        <w:tc>
          <w:tcPr>
            <w:tcW w:w="1410" w:type="dxa"/>
            <w:noWrap w:val="0"/>
            <w:vAlign w:val="center"/>
          </w:tcPr>
          <w:p w14:paraId="7E9BD261">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资产总额(Z)</w:t>
            </w:r>
          </w:p>
        </w:tc>
        <w:tc>
          <w:tcPr>
            <w:tcW w:w="1065" w:type="dxa"/>
            <w:noWrap w:val="0"/>
            <w:vAlign w:val="center"/>
          </w:tcPr>
          <w:p w14:paraId="3916003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217" w:type="dxa"/>
            <w:noWrap w:val="0"/>
            <w:vAlign w:val="center"/>
          </w:tcPr>
          <w:p w14:paraId="3591606D">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Z≥10000</w:t>
            </w:r>
          </w:p>
        </w:tc>
        <w:tc>
          <w:tcPr>
            <w:tcW w:w="1708" w:type="dxa"/>
            <w:noWrap w:val="0"/>
            <w:vAlign w:val="center"/>
          </w:tcPr>
          <w:p w14:paraId="5BBA569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5000≤Z＜10000</w:t>
            </w:r>
          </w:p>
        </w:tc>
        <w:tc>
          <w:tcPr>
            <w:tcW w:w="1674" w:type="dxa"/>
            <w:noWrap w:val="0"/>
            <w:vAlign w:val="center"/>
          </w:tcPr>
          <w:p w14:paraId="6774AB5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2000≤Z＜5000</w:t>
            </w:r>
          </w:p>
        </w:tc>
        <w:tc>
          <w:tcPr>
            <w:tcW w:w="1073" w:type="dxa"/>
            <w:noWrap w:val="0"/>
            <w:vAlign w:val="center"/>
          </w:tcPr>
          <w:p w14:paraId="2D483ED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Z＜2000</w:t>
            </w:r>
          </w:p>
        </w:tc>
      </w:tr>
      <w:tr w14:paraId="4E920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7640C24D">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物业管理</w:t>
            </w:r>
          </w:p>
        </w:tc>
        <w:tc>
          <w:tcPr>
            <w:tcW w:w="1410" w:type="dxa"/>
            <w:noWrap w:val="0"/>
            <w:vAlign w:val="center"/>
          </w:tcPr>
          <w:p w14:paraId="295F1D2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1065" w:type="dxa"/>
            <w:noWrap w:val="0"/>
            <w:vAlign w:val="center"/>
          </w:tcPr>
          <w:p w14:paraId="273A675D">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217" w:type="dxa"/>
            <w:noWrap w:val="0"/>
            <w:vAlign w:val="center"/>
          </w:tcPr>
          <w:p w14:paraId="396D24F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X≥1000</w:t>
            </w:r>
          </w:p>
        </w:tc>
        <w:tc>
          <w:tcPr>
            <w:tcW w:w="1708" w:type="dxa"/>
            <w:noWrap w:val="0"/>
            <w:vAlign w:val="center"/>
          </w:tcPr>
          <w:p w14:paraId="30B006C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300≤X＜1000</w:t>
            </w:r>
          </w:p>
        </w:tc>
        <w:tc>
          <w:tcPr>
            <w:tcW w:w="1674" w:type="dxa"/>
            <w:noWrap w:val="0"/>
            <w:vAlign w:val="center"/>
          </w:tcPr>
          <w:p w14:paraId="3450C26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100≤X＜300</w:t>
            </w:r>
          </w:p>
        </w:tc>
        <w:tc>
          <w:tcPr>
            <w:tcW w:w="1073" w:type="dxa"/>
            <w:noWrap w:val="0"/>
            <w:vAlign w:val="center"/>
          </w:tcPr>
          <w:p w14:paraId="420174BD">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X＜100</w:t>
            </w:r>
          </w:p>
        </w:tc>
      </w:tr>
      <w:tr w14:paraId="40C51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13362DD2">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kern w:val="0"/>
                <w:sz w:val="21"/>
                <w:szCs w:val="21"/>
              </w:rPr>
            </w:pPr>
          </w:p>
        </w:tc>
        <w:tc>
          <w:tcPr>
            <w:tcW w:w="1410" w:type="dxa"/>
            <w:noWrap w:val="0"/>
            <w:vAlign w:val="center"/>
          </w:tcPr>
          <w:p w14:paraId="2F47D1B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1065" w:type="dxa"/>
            <w:noWrap w:val="0"/>
            <w:vAlign w:val="center"/>
          </w:tcPr>
          <w:p w14:paraId="12B4D72D">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217" w:type="dxa"/>
            <w:noWrap w:val="0"/>
            <w:vAlign w:val="center"/>
          </w:tcPr>
          <w:p w14:paraId="7A760DF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Y≥5000</w:t>
            </w:r>
          </w:p>
        </w:tc>
        <w:tc>
          <w:tcPr>
            <w:tcW w:w="1708" w:type="dxa"/>
            <w:noWrap w:val="0"/>
            <w:vAlign w:val="center"/>
          </w:tcPr>
          <w:p w14:paraId="30223BB4">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1000≤Y＜5000</w:t>
            </w:r>
          </w:p>
        </w:tc>
        <w:tc>
          <w:tcPr>
            <w:tcW w:w="1674" w:type="dxa"/>
            <w:noWrap w:val="0"/>
            <w:vAlign w:val="center"/>
          </w:tcPr>
          <w:p w14:paraId="50C5FBBD">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500≤Y＜1000</w:t>
            </w:r>
          </w:p>
        </w:tc>
        <w:tc>
          <w:tcPr>
            <w:tcW w:w="1073" w:type="dxa"/>
            <w:noWrap w:val="0"/>
            <w:vAlign w:val="center"/>
          </w:tcPr>
          <w:p w14:paraId="658E77A8">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Y＜500</w:t>
            </w:r>
          </w:p>
        </w:tc>
      </w:tr>
      <w:tr w14:paraId="73DA1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18F8A9C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租赁和商务服务业</w:t>
            </w:r>
          </w:p>
        </w:tc>
        <w:tc>
          <w:tcPr>
            <w:tcW w:w="1410" w:type="dxa"/>
            <w:noWrap w:val="0"/>
            <w:vAlign w:val="center"/>
          </w:tcPr>
          <w:p w14:paraId="64EBDCA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从业人员(X)</w:t>
            </w:r>
          </w:p>
        </w:tc>
        <w:tc>
          <w:tcPr>
            <w:tcW w:w="1065" w:type="dxa"/>
            <w:noWrap w:val="0"/>
            <w:vAlign w:val="center"/>
          </w:tcPr>
          <w:p w14:paraId="26A33C9B">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人</w:t>
            </w:r>
          </w:p>
        </w:tc>
        <w:tc>
          <w:tcPr>
            <w:tcW w:w="1217" w:type="dxa"/>
            <w:noWrap w:val="0"/>
            <w:vAlign w:val="center"/>
          </w:tcPr>
          <w:p w14:paraId="68428A7A">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X≥300</w:t>
            </w:r>
          </w:p>
        </w:tc>
        <w:tc>
          <w:tcPr>
            <w:tcW w:w="1708" w:type="dxa"/>
            <w:noWrap w:val="0"/>
            <w:vAlign w:val="center"/>
          </w:tcPr>
          <w:p w14:paraId="4AF7F44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100≤X＜300</w:t>
            </w:r>
          </w:p>
        </w:tc>
        <w:tc>
          <w:tcPr>
            <w:tcW w:w="1674" w:type="dxa"/>
            <w:noWrap w:val="0"/>
            <w:vAlign w:val="center"/>
          </w:tcPr>
          <w:p w14:paraId="2CC6412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10≤X＜100</w:t>
            </w:r>
          </w:p>
        </w:tc>
        <w:tc>
          <w:tcPr>
            <w:tcW w:w="1073" w:type="dxa"/>
            <w:noWrap w:val="0"/>
            <w:vAlign w:val="center"/>
          </w:tcPr>
          <w:p w14:paraId="5BBD73EF">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X＜10</w:t>
            </w:r>
          </w:p>
        </w:tc>
      </w:tr>
      <w:tr w14:paraId="6CA78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56C49DE3">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color w:val="auto"/>
                <w:kern w:val="0"/>
                <w:sz w:val="21"/>
                <w:szCs w:val="21"/>
              </w:rPr>
            </w:pPr>
          </w:p>
        </w:tc>
        <w:tc>
          <w:tcPr>
            <w:tcW w:w="1410" w:type="dxa"/>
            <w:noWrap w:val="0"/>
            <w:vAlign w:val="center"/>
          </w:tcPr>
          <w:p w14:paraId="7AA2C71C">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资产总额(Z)</w:t>
            </w:r>
          </w:p>
        </w:tc>
        <w:tc>
          <w:tcPr>
            <w:tcW w:w="1065" w:type="dxa"/>
            <w:noWrap w:val="0"/>
            <w:vAlign w:val="center"/>
          </w:tcPr>
          <w:p w14:paraId="5F53A7A3">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万元</w:t>
            </w:r>
          </w:p>
        </w:tc>
        <w:tc>
          <w:tcPr>
            <w:tcW w:w="1217" w:type="dxa"/>
            <w:noWrap w:val="0"/>
            <w:vAlign w:val="center"/>
          </w:tcPr>
          <w:p w14:paraId="3ACC16B1">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Z≥120000</w:t>
            </w:r>
          </w:p>
        </w:tc>
        <w:tc>
          <w:tcPr>
            <w:tcW w:w="1708" w:type="dxa"/>
            <w:noWrap w:val="0"/>
            <w:vAlign w:val="center"/>
          </w:tcPr>
          <w:p w14:paraId="7341609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8000≤Z＜120000</w:t>
            </w:r>
          </w:p>
        </w:tc>
        <w:tc>
          <w:tcPr>
            <w:tcW w:w="1674" w:type="dxa"/>
            <w:noWrap w:val="0"/>
            <w:vAlign w:val="center"/>
          </w:tcPr>
          <w:p w14:paraId="339A1183">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100≤Z＜8000</w:t>
            </w:r>
          </w:p>
        </w:tc>
        <w:tc>
          <w:tcPr>
            <w:tcW w:w="1073" w:type="dxa"/>
            <w:noWrap w:val="0"/>
            <w:vAlign w:val="center"/>
          </w:tcPr>
          <w:p w14:paraId="5816282F">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Z＜100</w:t>
            </w:r>
          </w:p>
        </w:tc>
      </w:tr>
      <w:tr w14:paraId="6B447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noWrap w:val="0"/>
            <w:vAlign w:val="center"/>
          </w:tcPr>
          <w:p w14:paraId="596C6D51">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bCs/>
                <w:color w:val="auto"/>
                <w:kern w:val="0"/>
                <w:sz w:val="21"/>
                <w:szCs w:val="21"/>
              </w:rPr>
              <w:t>其他未列明行业*</w:t>
            </w:r>
          </w:p>
        </w:tc>
        <w:tc>
          <w:tcPr>
            <w:tcW w:w="1410" w:type="dxa"/>
            <w:noWrap w:val="0"/>
            <w:vAlign w:val="center"/>
          </w:tcPr>
          <w:p w14:paraId="008FDDE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从业人员(X)</w:t>
            </w:r>
          </w:p>
        </w:tc>
        <w:tc>
          <w:tcPr>
            <w:tcW w:w="1065" w:type="dxa"/>
            <w:noWrap w:val="0"/>
            <w:vAlign w:val="center"/>
          </w:tcPr>
          <w:p w14:paraId="6D59ADF7">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人</w:t>
            </w:r>
          </w:p>
        </w:tc>
        <w:tc>
          <w:tcPr>
            <w:tcW w:w="1217" w:type="dxa"/>
            <w:noWrap w:val="0"/>
            <w:vAlign w:val="center"/>
          </w:tcPr>
          <w:p w14:paraId="0CE6BC6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X≥300</w:t>
            </w:r>
          </w:p>
        </w:tc>
        <w:tc>
          <w:tcPr>
            <w:tcW w:w="1708" w:type="dxa"/>
            <w:noWrap w:val="0"/>
            <w:vAlign w:val="center"/>
          </w:tcPr>
          <w:p w14:paraId="19D9D23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rPr>
              <w:t>100≤X＜300</w:t>
            </w:r>
          </w:p>
        </w:tc>
        <w:tc>
          <w:tcPr>
            <w:tcW w:w="1674" w:type="dxa"/>
            <w:noWrap w:val="0"/>
            <w:vAlign w:val="center"/>
          </w:tcPr>
          <w:p w14:paraId="6689BE59">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10≤X＜100</w:t>
            </w:r>
          </w:p>
        </w:tc>
        <w:tc>
          <w:tcPr>
            <w:tcW w:w="1073" w:type="dxa"/>
            <w:noWrap w:val="0"/>
            <w:vAlign w:val="center"/>
          </w:tcPr>
          <w:p w14:paraId="1CD2556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X＜10</w:t>
            </w:r>
          </w:p>
        </w:tc>
      </w:tr>
    </w:tbl>
    <w:p w14:paraId="6E5C129D">
      <w:pPr>
        <w:ind w:left="0" w:leftChars="0" w:firstLine="0" w:firstLineChars="0"/>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19066293">
      <w:pPr>
        <w:widowControl/>
        <w:spacing w:line="360" w:lineRule="auto"/>
        <w:ind w:left="0" w:leftChars="0" w:firstLine="0" w:firstLineChars="0"/>
        <w:rPr>
          <w:rFonts w:hint="eastAsia" w:ascii="宋体" w:hAnsi="宋体" w:eastAsia="宋体" w:cs="宋体"/>
          <w:color w:val="auto"/>
          <w:spacing w:val="8"/>
          <w:kern w:val="0"/>
          <w:sz w:val="24"/>
          <w:szCs w:val="24"/>
        </w:rPr>
      </w:pPr>
      <w:r>
        <w:rPr>
          <w:rFonts w:hint="eastAsia" w:ascii="宋体" w:hAnsi="宋体" w:eastAsia="宋体" w:cs="宋体"/>
          <w:b/>
          <w:bCs/>
          <w:color w:val="auto"/>
          <w:spacing w:val="8"/>
          <w:kern w:val="0"/>
          <w:sz w:val="24"/>
          <w:szCs w:val="24"/>
        </w:rPr>
        <w:t>说明：</w:t>
      </w:r>
    </w:p>
    <w:p w14:paraId="5BFEA619">
      <w:pPr>
        <w:spacing w:line="360" w:lineRule="auto"/>
        <w:ind w:left="0" w:leftChars="0" w:firstLine="0" w:firstLineChars="0"/>
        <w:rPr>
          <w:rFonts w:hint="eastAsia" w:ascii="宋体" w:hAnsi="宋体" w:eastAsia="宋体" w:cs="宋体"/>
          <w:color w:val="auto"/>
          <w:spacing w:val="8"/>
          <w:kern w:val="0"/>
          <w:sz w:val="24"/>
          <w:szCs w:val="24"/>
        </w:rPr>
      </w:pPr>
      <w:r>
        <w:rPr>
          <w:rFonts w:hint="eastAsia" w:ascii="宋体" w:hAnsi="宋体" w:eastAsia="宋体" w:cs="宋体"/>
          <w:color w:val="auto"/>
          <w:spacing w:val="8"/>
          <w:kern w:val="0"/>
          <w:sz w:val="24"/>
          <w:szCs w:val="24"/>
        </w:rPr>
        <w:t>　　1.大型、中型和小型企业须同时满足所列指标的</w:t>
      </w:r>
      <w:r>
        <w:rPr>
          <w:rFonts w:hint="eastAsia" w:ascii="宋体" w:hAnsi="宋体" w:eastAsia="宋体" w:cs="宋体"/>
          <w:b/>
          <w:bCs/>
          <w:color w:val="auto"/>
          <w:spacing w:val="8"/>
          <w:kern w:val="0"/>
          <w:sz w:val="24"/>
          <w:szCs w:val="24"/>
        </w:rPr>
        <w:t>下限</w:t>
      </w:r>
      <w:r>
        <w:rPr>
          <w:rFonts w:hint="eastAsia" w:ascii="宋体" w:hAnsi="宋体" w:eastAsia="宋体" w:cs="宋体"/>
          <w:color w:val="auto"/>
          <w:spacing w:val="8"/>
          <w:kern w:val="0"/>
          <w:sz w:val="24"/>
          <w:szCs w:val="24"/>
        </w:rPr>
        <w:t>，</w:t>
      </w:r>
      <w:r>
        <w:rPr>
          <w:rFonts w:hint="eastAsia" w:ascii="宋体" w:hAnsi="宋体" w:eastAsia="宋体" w:cs="宋体"/>
          <w:b/>
          <w:bCs/>
          <w:color w:val="auto"/>
          <w:spacing w:val="8"/>
          <w:kern w:val="0"/>
          <w:sz w:val="24"/>
          <w:szCs w:val="24"/>
        </w:rPr>
        <w:t>否则下划一档</w:t>
      </w:r>
      <w:r>
        <w:rPr>
          <w:rFonts w:hint="eastAsia" w:ascii="宋体" w:hAnsi="宋体" w:eastAsia="宋体" w:cs="宋体"/>
          <w:color w:val="auto"/>
          <w:spacing w:val="8"/>
          <w:kern w:val="0"/>
          <w:sz w:val="24"/>
          <w:szCs w:val="24"/>
        </w:rPr>
        <w:t>；微型企业只须满足所列指标中的</w:t>
      </w:r>
      <w:r>
        <w:rPr>
          <w:rFonts w:hint="eastAsia" w:ascii="宋体" w:hAnsi="宋体" w:eastAsia="宋体" w:cs="宋体"/>
          <w:b/>
          <w:bCs/>
          <w:color w:val="auto"/>
          <w:spacing w:val="8"/>
          <w:kern w:val="0"/>
          <w:sz w:val="24"/>
          <w:szCs w:val="24"/>
        </w:rPr>
        <w:t>一项</w:t>
      </w:r>
      <w:r>
        <w:rPr>
          <w:rFonts w:hint="eastAsia" w:ascii="宋体" w:hAnsi="宋体" w:eastAsia="宋体" w:cs="宋体"/>
          <w:color w:val="auto"/>
          <w:spacing w:val="8"/>
          <w:kern w:val="0"/>
          <w:sz w:val="24"/>
          <w:szCs w:val="24"/>
        </w:rPr>
        <w:t>即可。</w:t>
      </w:r>
    </w:p>
    <w:p w14:paraId="3E18952D">
      <w:pPr>
        <w:spacing w:line="360" w:lineRule="auto"/>
        <w:ind w:left="0" w:leftChars="0" w:firstLine="0" w:firstLineChars="0"/>
        <w:rPr>
          <w:rFonts w:hint="eastAsia" w:ascii="宋体" w:hAnsi="宋体" w:eastAsia="宋体" w:cs="宋体"/>
          <w:color w:val="auto"/>
          <w:spacing w:val="8"/>
          <w:kern w:val="0"/>
          <w:sz w:val="24"/>
          <w:szCs w:val="24"/>
        </w:rPr>
      </w:pPr>
      <w:r>
        <w:rPr>
          <w:rFonts w:hint="eastAsia" w:ascii="宋体" w:hAnsi="宋体" w:eastAsia="宋体" w:cs="宋体"/>
          <w:color w:val="auto"/>
          <w:spacing w:val="8"/>
          <w:kern w:val="0"/>
          <w:sz w:val="24"/>
          <w:szCs w:val="24"/>
        </w:rPr>
        <w:t>　　2.附表中各行业的范围以《国民经济行业分类》（GB/T4754-2017）为准。带*的项为行业组合类别，其中，</w:t>
      </w:r>
      <w:r>
        <w:rPr>
          <w:rFonts w:hint="eastAsia" w:ascii="宋体" w:hAnsi="宋体" w:eastAsia="宋体" w:cs="宋体"/>
          <w:b/>
          <w:bCs/>
          <w:color w:val="auto"/>
          <w:spacing w:val="8"/>
          <w:kern w:val="0"/>
          <w:sz w:val="24"/>
          <w:szCs w:val="24"/>
        </w:rPr>
        <w:t>工业</w:t>
      </w:r>
      <w:r>
        <w:rPr>
          <w:rFonts w:hint="eastAsia" w:ascii="宋体" w:hAnsi="宋体" w:eastAsia="宋体" w:cs="宋体"/>
          <w:color w:val="auto"/>
          <w:spacing w:val="8"/>
          <w:kern w:val="0"/>
          <w:sz w:val="24"/>
          <w:szCs w:val="24"/>
        </w:rPr>
        <w:t>包括采矿业，制造业，电力、热力、燃气及水生产和供应业；</w:t>
      </w:r>
      <w:r>
        <w:rPr>
          <w:rFonts w:hint="eastAsia" w:ascii="宋体" w:hAnsi="宋体" w:eastAsia="宋体" w:cs="宋体"/>
          <w:b/>
          <w:bCs/>
          <w:color w:val="auto"/>
          <w:spacing w:val="8"/>
          <w:kern w:val="0"/>
          <w:sz w:val="24"/>
          <w:szCs w:val="24"/>
        </w:rPr>
        <w:t>交通运输业</w:t>
      </w:r>
      <w:r>
        <w:rPr>
          <w:rFonts w:hint="eastAsia" w:ascii="宋体" w:hAnsi="宋体" w:eastAsia="宋体" w:cs="宋体"/>
          <w:color w:val="auto"/>
          <w:spacing w:val="8"/>
          <w:kern w:val="0"/>
          <w:sz w:val="24"/>
          <w:szCs w:val="24"/>
        </w:rPr>
        <w:t>包括道路运输业，水上运输业，航空运输业，管道运输业，多式联运和运输代理业、装卸搬运，不包括铁路运输业；</w:t>
      </w:r>
      <w:r>
        <w:rPr>
          <w:rFonts w:hint="eastAsia" w:ascii="宋体" w:hAnsi="宋体" w:eastAsia="宋体" w:cs="宋体"/>
          <w:b/>
          <w:bCs/>
          <w:color w:val="auto"/>
          <w:spacing w:val="8"/>
          <w:kern w:val="0"/>
          <w:sz w:val="24"/>
          <w:szCs w:val="24"/>
        </w:rPr>
        <w:t>仓储业</w:t>
      </w:r>
      <w:r>
        <w:rPr>
          <w:rFonts w:hint="eastAsia" w:ascii="宋体" w:hAnsi="宋体" w:eastAsia="宋体" w:cs="宋体"/>
          <w:color w:val="auto"/>
          <w:spacing w:val="8"/>
          <w:kern w:val="0"/>
          <w:sz w:val="24"/>
          <w:szCs w:val="24"/>
        </w:rPr>
        <w:t>包括通用仓储，低温仓储，危险品仓储，谷物、棉花等农产品仓储，中药材仓储和其他仓储业</w:t>
      </w:r>
      <w:r>
        <w:rPr>
          <w:rFonts w:hint="eastAsia" w:ascii="宋体" w:hAnsi="宋体" w:eastAsia="宋体" w:cs="宋体"/>
          <w:color w:val="auto"/>
          <w:spacing w:val="8"/>
          <w:kern w:val="0"/>
          <w:sz w:val="24"/>
          <w:szCs w:val="24"/>
          <w:lang w:eastAsia="zh-CN"/>
        </w:rPr>
        <w:t>；</w:t>
      </w:r>
      <w:r>
        <w:rPr>
          <w:rFonts w:hint="eastAsia" w:ascii="宋体" w:hAnsi="宋体" w:eastAsia="宋体" w:cs="宋体"/>
          <w:b/>
          <w:bCs/>
          <w:color w:val="auto"/>
          <w:spacing w:val="8"/>
          <w:kern w:val="0"/>
          <w:sz w:val="24"/>
          <w:szCs w:val="24"/>
        </w:rPr>
        <w:t>信息传输业</w:t>
      </w:r>
      <w:r>
        <w:rPr>
          <w:rFonts w:hint="eastAsia" w:ascii="宋体" w:hAnsi="宋体" w:eastAsia="宋体" w:cs="宋体"/>
          <w:color w:val="auto"/>
          <w:spacing w:val="8"/>
          <w:kern w:val="0"/>
          <w:sz w:val="24"/>
          <w:szCs w:val="24"/>
        </w:rPr>
        <w:t>包括电信、广播电视和卫星传输服务，互联网和相关服务；</w:t>
      </w:r>
      <w:r>
        <w:rPr>
          <w:rFonts w:hint="eastAsia" w:ascii="宋体" w:hAnsi="宋体" w:eastAsia="宋体" w:cs="宋体"/>
          <w:b/>
          <w:bCs/>
          <w:color w:val="auto"/>
          <w:spacing w:val="8"/>
          <w:kern w:val="0"/>
          <w:sz w:val="24"/>
          <w:szCs w:val="24"/>
        </w:rPr>
        <w:t>其他未列明行业</w:t>
      </w:r>
      <w:r>
        <w:rPr>
          <w:rFonts w:hint="eastAsia" w:ascii="宋体" w:hAnsi="宋体" w:eastAsia="宋体" w:cs="宋体"/>
          <w:color w:val="auto"/>
          <w:spacing w:val="8"/>
          <w:kern w:val="0"/>
          <w:sz w:val="24"/>
          <w:szCs w:val="24"/>
        </w:rPr>
        <w:t>包括科学研究和技术服务业，水利、环境和公共设施管理业，居民服务、修理和其他服务业，社会工作，文化、体育和娱乐业，以及房地产中介服务，其他房地产业等，不包括自有房地产经营活动。</w:t>
      </w:r>
    </w:p>
    <w:p w14:paraId="58585203">
      <w:pPr>
        <w:ind w:left="0" w:leftChars="0" w:firstLine="512" w:firstLineChars="0"/>
        <w:rPr>
          <w:rFonts w:hint="eastAsia" w:ascii="宋体" w:hAnsi="宋体" w:eastAsia="宋体" w:cs="宋体"/>
          <w:b/>
          <w:bCs/>
          <w:color w:val="auto"/>
          <w:spacing w:val="8"/>
          <w:kern w:val="0"/>
          <w:sz w:val="24"/>
          <w:szCs w:val="24"/>
          <w:lang w:val="en-US" w:eastAsia="zh-CN"/>
        </w:rPr>
      </w:pPr>
      <w:r>
        <w:rPr>
          <w:rFonts w:hint="eastAsia" w:ascii="宋体" w:hAnsi="宋体" w:eastAsia="宋体" w:cs="宋体"/>
          <w:color w:val="auto"/>
          <w:spacing w:val="8"/>
          <w:kern w:val="0"/>
          <w:sz w:val="24"/>
          <w:szCs w:val="24"/>
        </w:rPr>
        <w:t>3.企业划分指标以现行统计制度为准。（1）</w:t>
      </w:r>
      <w:r>
        <w:rPr>
          <w:rFonts w:hint="eastAsia" w:ascii="宋体" w:hAnsi="宋体" w:eastAsia="宋体" w:cs="宋体"/>
          <w:b/>
          <w:bCs/>
          <w:color w:val="auto"/>
          <w:spacing w:val="8"/>
          <w:kern w:val="0"/>
          <w:sz w:val="24"/>
          <w:szCs w:val="24"/>
        </w:rPr>
        <w:t>从业人员</w:t>
      </w:r>
      <w:r>
        <w:rPr>
          <w:rFonts w:hint="eastAsia" w:ascii="宋体" w:hAnsi="宋体" w:eastAsia="宋体" w:cs="宋体"/>
          <w:color w:val="auto"/>
          <w:spacing w:val="8"/>
          <w:kern w:val="0"/>
          <w:sz w:val="24"/>
          <w:szCs w:val="24"/>
        </w:rPr>
        <w:t>，是指期末从业人员数，没有期末从业人员数的，采用全年平均人员数代替。（2）</w:t>
      </w:r>
      <w:r>
        <w:rPr>
          <w:rFonts w:hint="eastAsia" w:ascii="宋体" w:hAnsi="宋体" w:eastAsia="宋体" w:cs="宋体"/>
          <w:b/>
          <w:bCs/>
          <w:color w:val="auto"/>
          <w:spacing w:val="8"/>
          <w:kern w:val="0"/>
          <w:sz w:val="24"/>
          <w:szCs w:val="24"/>
        </w:rPr>
        <w:t>营业收入</w:t>
      </w:r>
      <w:r>
        <w:rPr>
          <w:rFonts w:hint="eastAsia" w:ascii="宋体" w:hAnsi="宋体" w:eastAsia="宋体" w:cs="宋体"/>
          <w:color w:val="auto"/>
          <w:spacing w:val="8"/>
          <w:kern w:val="0"/>
          <w:sz w:val="24"/>
          <w:szCs w:val="24"/>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w:t>
      </w:r>
      <w:r>
        <w:rPr>
          <w:rFonts w:hint="eastAsia" w:ascii="宋体" w:hAnsi="宋体" w:eastAsia="宋体" w:cs="宋体"/>
          <w:b/>
          <w:bCs/>
          <w:color w:val="auto"/>
          <w:spacing w:val="8"/>
          <w:kern w:val="0"/>
          <w:sz w:val="24"/>
          <w:szCs w:val="24"/>
        </w:rPr>
        <w:t>资产总额</w:t>
      </w:r>
      <w:r>
        <w:rPr>
          <w:rFonts w:hint="eastAsia" w:ascii="宋体" w:hAnsi="宋体" w:eastAsia="宋体" w:cs="宋体"/>
          <w:color w:val="auto"/>
          <w:spacing w:val="8"/>
          <w:kern w:val="0"/>
          <w:sz w:val="24"/>
          <w:szCs w:val="24"/>
        </w:rPr>
        <w:t>，采用资产总计代替。</w:t>
      </w:r>
    </w:p>
    <w:p w14:paraId="4C858777">
      <w:pPr>
        <w:ind w:left="0" w:leftChars="0" w:firstLine="0" w:firstLineChars="0"/>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0B819E72">
      <w:pPr>
        <w:widowControl/>
        <w:snapToGrid w:val="0"/>
        <w:spacing w:line="360" w:lineRule="auto"/>
        <w:ind w:firstLine="0" w:firstLineChars="0"/>
        <w:outlineLvl w:val="1"/>
        <w:rPr>
          <w:rFonts w:hint="eastAsia" w:ascii="宋体" w:hAnsi="宋体" w:eastAsia="宋体" w:cs="宋体"/>
          <w:b/>
          <w:color w:val="auto"/>
          <w:sz w:val="24"/>
          <w:szCs w:val="24"/>
          <w:lang w:val="en-US" w:eastAsia="zh-CN" w:bidi="ar-SA"/>
        </w:rPr>
      </w:pPr>
      <w:bookmarkStart w:id="226" w:name="_Toc21020"/>
      <w:r>
        <w:rPr>
          <w:rFonts w:hint="eastAsia" w:ascii="宋体" w:hAnsi="宋体" w:eastAsia="宋体" w:cs="宋体"/>
          <w:b/>
          <w:color w:val="auto"/>
          <w:sz w:val="24"/>
          <w:szCs w:val="24"/>
          <w:lang w:val="en-US" w:eastAsia="zh-CN" w:bidi="ar-SA"/>
        </w:rPr>
        <w:t>附件14：</w:t>
      </w:r>
      <w:r>
        <w:rPr>
          <w:rFonts w:hint="eastAsia" w:ascii="宋体" w:hAnsi="宋体" w:eastAsia="宋体" w:cs="宋体"/>
          <w:b/>
          <w:color w:val="auto"/>
          <w:sz w:val="24"/>
          <w:szCs w:val="24"/>
          <w:lang w:val="zh-CN" w:eastAsia="zh-CN" w:bidi="ar-SA"/>
        </w:rPr>
        <w:t>残疾人</w:t>
      </w:r>
      <w:r>
        <w:rPr>
          <w:rFonts w:hint="eastAsia" w:ascii="宋体" w:hAnsi="宋体" w:eastAsia="宋体" w:cs="宋体"/>
          <w:b/>
          <w:color w:val="auto"/>
          <w:sz w:val="24"/>
          <w:szCs w:val="24"/>
          <w:lang w:val="en-US" w:eastAsia="zh-CN" w:bidi="ar-SA"/>
        </w:rPr>
        <w:t>福利性单位声明函</w:t>
      </w:r>
      <w:bookmarkEnd w:id="226"/>
    </w:p>
    <w:p w14:paraId="5D42E23D">
      <w:pPr>
        <w:pStyle w:val="34"/>
        <w:rPr>
          <w:rFonts w:hint="eastAsia" w:ascii="宋体" w:hAnsi="宋体" w:eastAsia="宋体" w:cs="宋体"/>
          <w:b/>
          <w:color w:val="auto"/>
          <w:sz w:val="24"/>
          <w:szCs w:val="24"/>
          <w:lang w:val="en-US" w:eastAsia="zh-CN" w:bidi="ar-SA"/>
        </w:rPr>
      </w:pPr>
    </w:p>
    <w:p w14:paraId="07EE1213">
      <w:pPr>
        <w:autoSpaceDE w:val="0"/>
        <w:autoSpaceDN w:val="0"/>
        <w:spacing w:line="360" w:lineRule="auto"/>
        <w:jc w:val="center"/>
        <w:rPr>
          <w:rFonts w:hint="eastAsia" w:ascii="宋体" w:hAnsi="宋体" w:eastAsia="宋体" w:cs="宋体"/>
          <w:b/>
          <w:bCs/>
          <w:color w:val="auto"/>
          <w:kern w:val="0"/>
          <w:sz w:val="28"/>
          <w:szCs w:val="28"/>
          <w:lang w:eastAsia="zh-CN"/>
        </w:rPr>
      </w:pPr>
      <w:r>
        <w:rPr>
          <w:rFonts w:hint="eastAsia" w:ascii="宋体" w:hAnsi="宋体" w:eastAsia="宋体" w:cs="宋体"/>
          <w:b/>
          <w:bCs/>
          <w:color w:val="auto"/>
          <w:kern w:val="0"/>
          <w:sz w:val="28"/>
          <w:szCs w:val="28"/>
          <w:lang w:eastAsia="zh-CN"/>
        </w:rPr>
        <w:t>残疾人福利性单位声明函</w:t>
      </w:r>
    </w:p>
    <w:p w14:paraId="5EAD376B">
      <w:pPr>
        <w:spacing w:after="120" w:afterLines="50" w:line="360" w:lineRule="auto"/>
        <w:rPr>
          <w:rFonts w:hint="eastAsia" w:ascii="宋体" w:hAnsi="宋体" w:eastAsia="宋体" w:cs="宋体"/>
          <w:b/>
          <w:bCs/>
          <w:color w:val="auto"/>
          <w:sz w:val="24"/>
          <w:szCs w:val="24"/>
        </w:rPr>
      </w:pPr>
    </w:p>
    <w:p w14:paraId="6FC1C3F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致：</w:t>
      </w:r>
      <w:r>
        <w:rPr>
          <w:rFonts w:hint="eastAsia" w:ascii="宋体" w:hAnsi="宋体" w:eastAsia="宋体" w:cs="宋体"/>
          <w:b/>
          <w:bCs/>
          <w:color w:val="auto"/>
          <w:kern w:val="0"/>
          <w:sz w:val="24"/>
          <w:szCs w:val="24"/>
          <w:lang w:val="zh-CN"/>
        </w:rPr>
        <w:t>青海鼎钊招标代理有限公司</w:t>
      </w:r>
    </w:p>
    <w:p w14:paraId="3D73694D">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民政部、中国残疾人联合会关于促进残疾人就业政府采购政策的通知》（财库〔2017〕141号）的规定，本单位为符合条件的残疾人福利性单位，本单位在职职工人数为____________人，安置的残疾人人数________人。且本单位参加______________单位的______________项目采购活动提供本单位制造的货物（由本单位承担工程/提供服务），或者提供其他残疾人福利性单位制造的货物（不包括使用非残疾人福利性单位注册商标的货物）。</w:t>
      </w:r>
    </w:p>
    <w:p w14:paraId="20D8173D">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14:paraId="70EDA2F3">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rPr>
      </w:pPr>
    </w:p>
    <w:p w14:paraId="65E4247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rPr>
      </w:pPr>
    </w:p>
    <w:p w14:paraId="67197CB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rPr>
      </w:pPr>
    </w:p>
    <w:p w14:paraId="1148EA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rPr>
        <w:t xml:space="preserve"> </w:t>
      </w:r>
      <w:r>
        <w:rPr>
          <w:rFonts w:hint="eastAsia" w:ascii="宋体" w:hAnsi="宋体" w:eastAsia="宋体" w:cs="宋体"/>
          <w:b/>
          <w:color w:val="auto"/>
          <w:sz w:val="24"/>
          <w:szCs w:val="24"/>
        </w:rPr>
        <w:t xml:space="preserve">                             企业名称：</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b/>
          <w:color w:val="auto"/>
          <w:sz w:val="24"/>
          <w:szCs w:val="24"/>
        </w:rPr>
        <w:t>（公章）</w:t>
      </w:r>
    </w:p>
    <w:p w14:paraId="6755F868">
      <w:pPr>
        <w:keepNext w:val="0"/>
        <w:keepLines w:val="0"/>
        <w:pageBreakBefore w:val="0"/>
        <w:widowControl w:val="0"/>
        <w:kinsoku/>
        <w:wordWrap/>
        <w:overflowPunct/>
        <w:topLinePunct w:val="0"/>
        <w:autoSpaceDE/>
        <w:autoSpaceDN/>
        <w:bidi w:val="0"/>
        <w:adjustRightInd/>
        <w:snapToGrid/>
        <w:spacing w:line="360" w:lineRule="auto"/>
        <w:ind w:firstLine="482"/>
        <w:jc w:val="righ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企业法定代表人：</w:t>
      </w:r>
      <w:r>
        <w:rPr>
          <w:rFonts w:hint="eastAsia" w:ascii="宋体" w:hAnsi="宋体" w:eastAsia="宋体" w:cs="宋体"/>
          <w:color w:val="auto"/>
          <w:kern w:val="0"/>
          <w:sz w:val="24"/>
          <w:szCs w:val="24"/>
          <w:u w:val="single"/>
        </w:rPr>
        <w:t xml:space="preserve">       </w:t>
      </w:r>
      <w:r>
        <w:rPr>
          <w:rFonts w:hint="eastAsia" w:ascii="宋体" w:hAnsi="宋体" w:eastAsia="宋体" w:cs="宋体"/>
          <w:b/>
          <w:color w:val="auto"/>
          <w:sz w:val="24"/>
          <w:szCs w:val="24"/>
        </w:rPr>
        <w:t>（签字或盖章）</w:t>
      </w:r>
    </w:p>
    <w:p w14:paraId="2C0D0712">
      <w:pPr>
        <w:keepNext w:val="0"/>
        <w:keepLines w:val="0"/>
        <w:pageBreakBefore w:val="0"/>
        <w:widowControl w:val="0"/>
        <w:kinsoku/>
        <w:wordWrap/>
        <w:overflowPunct/>
        <w:topLinePunct w:val="0"/>
        <w:autoSpaceDE/>
        <w:autoSpaceDN/>
        <w:bidi w:val="0"/>
        <w:adjustRightInd/>
        <w:snapToGrid/>
        <w:spacing w:line="360" w:lineRule="auto"/>
        <w:ind w:firstLine="482"/>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年   月   日</w:t>
      </w:r>
    </w:p>
    <w:p w14:paraId="7DF507CC">
      <w:pPr>
        <w:spacing w:line="360" w:lineRule="auto"/>
        <w:ind w:firstLine="0" w:firstLineChars="0"/>
        <w:rPr>
          <w:rFonts w:hint="eastAsia" w:ascii="宋体" w:hAnsi="宋体" w:eastAsia="宋体" w:cs="宋体"/>
          <w:color w:val="auto"/>
          <w:kern w:val="2"/>
          <w:sz w:val="24"/>
          <w:szCs w:val="24"/>
        </w:rPr>
      </w:pPr>
    </w:p>
    <w:p w14:paraId="769B956D">
      <w:pPr>
        <w:spacing w:line="360" w:lineRule="auto"/>
        <w:ind w:firstLine="0" w:firstLineChars="0"/>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注：</w:t>
      </w:r>
      <w:r>
        <w:rPr>
          <w:rFonts w:hint="eastAsia" w:ascii="宋体" w:hAnsi="宋体" w:eastAsia="宋体" w:cs="宋体"/>
          <w:color w:val="auto"/>
          <w:kern w:val="2"/>
          <w:sz w:val="24"/>
          <w:szCs w:val="24"/>
          <w:lang w:val="en-US" w:eastAsia="zh-CN"/>
        </w:rPr>
        <w:t>1.成交供应商为残疾人福利性单位的，采购代理机构应当随成交结果同时公告其《残疾人福利性单位声明函》。</w:t>
      </w:r>
    </w:p>
    <w:p w14:paraId="1902AA36">
      <w:pPr>
        <w:ind w:firstLine="482"/>
        <w:jc w:val="both"/>
        <w:rPr>
          <w:rFonts w:hint="eastAsia" w:ascii="宋体" w:hAnsi="宋体" w:eastAsia="宋体" w:cs="宋体"/>
          <w:b/>
          <w:color w:val="auto"/>
        </w:rPr>
      </w:pPr>
      <w:r>
        <w:rPr>
          <w:rFonts w:hint="eastAsia" w:ascii="宋体" w:hAnsi="宋体" w:eastAsia="宋体" w:cs="宋体"/>
          <w:color w:val="auto"/>
          <w:kern w:val="2"/>
          <w:sz w:val="24"/>
          <w:szCs w:val="24"/>
          <w:lang w:val="en-US" w:eastAsia="zh-CN"/>
        </w:rPr>
        <w:t>2.</w:t>
      </w:r>
      <w:r>
        <w:rPr>
          <w:rFonts w:hint="eastAsia" w:ascii="宋体" w:hAnsi="宋体" w:eastAsia="宋体" w:cs="宋体"/>
          <w:color w:val="auto"/>
          <w:kern w:val="2"/>
          <w:sz w:val="24"/>
          <w:szCs w:val="24"/>
        </w:rPr>
        <w:t>若无此项内容，可不提供此函。</w:t>
      </w:r>
    </w:p>
    <w:p w14:paraId="3CFF8DE6">
      <w:pPr>
        <w:ind w:left="0" w:leftChars="0" w:firstLine="0" w:firstLineChars="0"/>
        <w:outlineLvl w:val="1"/>
        <w:rPr>
          <w:rFonts w:hint="eastAsia" w:ascii="宋体" w:hAnsi="宋体" w:eastAsia="宋体" w:cs="宋体"/>
          <w:b/>
          <w:color w:val="auto"/>
          <w:sz w:val="24"/>
          <w:szCs w:val="24"/>
          <w:lang w:val="en-US" w:eastAsia="zh-CN" w:bidi="ar-SA"/>
        </w:rPr>
      </w:pPr>
      <w:r>
        <w:rPr>
          <w:rFonts w:hint="eastAsia" w:ascii="宋体" w:hAnsi="宋体" w:eastAsia="宋体" w:cs="宋体"/>
          <w:color w:val="auto"/>
          <w:lang w:val="zh-CN"/>
        </w:rPr>
        <w:br w:type="page"/>
      </w:r>
      <w:bookmarkStart w:id="227" w:name="_Toc8780"/>
      <w:r>
        <w:rPr>
          <w:rFonts w:hint="eastAsia" w:ascii="宋体" w:hAnsi="宋体" w:eastAsia="宋体" w:cs="宋体"/>
          <w:b/>
          <w:color w:val="auto"/>
          <w:sz w:val="24"/>
          <w:szCs w:val="24"/>
          <w:lang w:val="en-US" w:eastAsia="zh-CN" w:bidi="ar-SA"/>
        </w:rPr>
        <w:t>附件15：监狱企业证明材料</w:t>
      </w:r>
      <w:bookmarkEnd w:id="227"/>
    </w:p>
    <w:p w14:paraId="30BB23BD">
      <w:pPr>
        <w:rPr>
          <w:rFonts w:hint="eastAsia" w:ascii="宋体" w:hAnsi="宋体" w:eastAsia="宋体" w:cs="宋体"/>
          <w:color w:val="auto"/>
        </w:rPr>
      </w:pPr>
    </w:p>
    <w:p w14:paraId="3301E470">
      <w:pPr>
        <w:spacing w:line="360" w:lineRule="auto"/>
        <w:ind w:firstLine="480" w:firstLineChars="200"/>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AA6C8EF">
      <w:pPr>
        <w:spacing w:line="360" w:lineRule="auto"/>
        <w:rPr>
          <w:rFonts w:hint="eastAsia" w:ascii="宋体" w:hAnsi="宋体" w:eastAsia="宋体" w:cs="宋体"/>
          <w:color w:val="auto"/>
          <w:sz w:val="24"/>
          <w:szCs w:val="24"/>
        </w:rPr>
      </w:pPr>
      <w:r>
        <w:rPr>
          <w:rFonts w:hint="eastAsia" w:ascii="宋体" w:hAnsi="宋体" w:eastAsia="宋体" w:cs="宋体"/>
          <w:color w:val="auto"/>
          <w:kern w:val="2"/>
          <w:sz w:val="24"/>
          <w:szCs w:val="24"/>
        </w:rPr>
        <w:t>监狱企业参加政府采购活动时，应当提供由省级以上监狱管理局、戒毒管理局（含新疆生产建设兵团）出具的属于监狱企业的证明文件。</w:t>
      </w:r>
    </w:p>
    <w:p w14:paraId="522CC4CF">
      <w:pPr>
        <w:spacing w:line="360" w:lineRule="auto"/>
        <w:rPr>
          <w:rFonts w:hint="eastAsia" w:ascii="宋体" w:hAnsi="宋体" w:eastAsia="宋体" w:cs="宋体"/>
          <w:color w:val="auto"/>
          <w:sz w:val="24"/>
          <w:szCs w:val="24"/>
        </w:rPr>
      </w:pPr>
    </w:p>
    <w:p w14:paraId="52AA827D">
      <w:pPr>
        <w:spacing w:line="360" w:lineRule="auto"/>
        <w:rPr>
          <w:rFonts w:hint="eastAsia" w:ascii="宋体" w:hAnsi="宋体" w:eastAsia="宋体" w:cs="宋体"/>
          <w:color w:val="auto"/>
          <w:sz w:val="24"/>
          <w:szCs w:val="24"/>
        </w:rPr>
      </w:pPr>
    </w:p>
    <w:p w14:paraId="1BD0526D">
      <w:pPr>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注：若无此项内容，可不提供。</w:t>
      </w:r>
    </w:p>
    <w:p w14:paraId="336FDA34">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6A16B7D6">
      <w:pPr>
        <w:keepNext/>
        <w:pageBreakBefore/>
        <w:widowControl/>
        <w:spacing w:line="360" w:lineRule="auto"/>
        <w:ind w:firstLine="0" w:firstLineChars="0"/>
        <w:outlineLvl w:val="1"/>
        <w:rPr>
          <w:rFonts w:hint="eastAsia" w:ascii="宋体" w:hAnsi="宋体" w:eastAsia="宋体" w:cs="宋体"/>
          <w:b/>
          <w:bCs/>
          <w:color w:val="auto"/>
          <w:sz w:val="24"/>
          <w:szCs w:val="24"/>
        </w:rPr>
      </w:pPr>
      <w:bookmarkStart w:id="228" w:name="_Toc18073"/>
      <w:r>
        <w:rPr>
          <w:rFonts w:hint="eastAsia" w:ascii="宋体" w:hAnsi="宋体" w:eastAsia="宋体" w:cs="宋体"/>
          <w:b/>
          <w:color w:val="auto"/>
          <w:sz w:val="24"/>
          <w:szCs w:val="24"/>
        </w:rPr>
        <w:t>附件1</w:t>
      </w:r>
      <w:r>
        <w:rPr>
          <w:rFonts w:hint="eastAsia" w:ascii="宋体" w:hAnsi="宋体" w:eastAsia="宋体" w:cs="宋体"/>
          <w:b/>
          <w:color w:val="auto"/>
          <w:sz w:val="24"/>
          <w:szCs w:val="24"/>
          <w:lang w:val="en-US" w:eastAsia="zh-CN"/>
        </w:rPr>
        <w:t>6</w:t>
      </w:r>
      <w:r>
        <w:rPr>
          <w:rFonts w:hint="eastAsia" w:ascii="宋体" w:hAnsi="宋体" w:eastAsia="宋体" w:cs="宋体"/>
          <w:b/>
          <w:color w:val="auto"/>
          <w:sz w:val="24"/>
          <w:szCs w:val="24"/>
        </w:rPr>
        <w:t>：供应商最后报价表</w:t>
      </w:r>
      <w:bookmarkEnd w:id="228"/>
    </w:p>
    <w:p w14:paraId="298955B2">
      <w:pPr>
        <w:spacing w:line="360" w:lineRule="auto"/>
        <w:ind w:firstLine="0" w:firstLineChars="0"/>
        <w:rPr>
          <w:rFonts w:hint="eastAsia" w:ascii="宋体" w:hAnsi="宋体" w:eastAsia="宋体" w:cs="宋体"/>
          <w:b/>
          <w:color w:val="auto"/>
          <w:sz w:val="24"/>
          <w:szCs w:val="24"/>
        </w:rPr>
      </w:pPr>
    </w:p>
    <w:p w14:paraId="322FD2ED">
      <w:pPr>
        <w:spacing w:line="360" w:lineRule="auto"/>
        <w:ind w:firstLine="0" w:firstLineChars="0"/>
        <w:jc w:val="center"/>
        <w:rPr>
          <w:rFonts w:hint="eastAsia" w:ascii="宋体" w:hAnsi="宋体" w:eastAsia="宋体" w:cs="宋体"/>
          <w:b/>
          <w:color w:val="auto"/>
          <w:sz w:val="24"/>
          <w:szCs w:val="24"/>
        </w:rPr>
      </w:pPr>
      <w:bookmarkStart w:id="229" w:name="_Toc408326292"/>
      <w:r>
        <w:rPr>
          <w:rFonts w:hint="eastAsia" w:ascii="宋体" w:hAnsi="宋体" w:eastAsia="宋体" w:cs="宋体"/>
          <w:b/>
          <w:color w:val="auto"/>
          <w:sz w:val="24"/>
          <w:szCs w:val="24"/>
        </w:rPr>
        <w:t>供应商最后报价表</w:t>
      </w:r>
      <w:bookmarkEnd w:id="229"/>
    </w:p>
    <w:p w14:paraId="77763E7C">
      <w:pPr>
        <w:spacing w:line="360" w:lineRule="auto"/>
        <w:ind w:firstLine="0" w:firstLineChars="0"/>
        <w:rPr>
          <w:rFonts w:hint="eastAsia" w:ascii="宋体" w:hAnsi="宋体" w:eastAsia="宋体" w:cs="宋体"/>
          <w:b/>
          <w:color w:val="auto"/>
          <w:sz w:val="24"/>
          <w:szCs w:val="24"/>
        </w:rPr>
      </w:pPr>
    </w:p>
    <w:p w14:paraId="392F49F1">
      <w:pPr>
        <w:spacing w:line="360" w:lineRule="auto"/>
        <w:ind w:firstLine="0" w:firstLineChars="0"/>
        <w:rPr>
          <w:rFonts w:hint="eastAsia" w:ascii="宋体" w:hAnsi="宋体" w:eastAsia="宋体" w:cs="宋体"/>
          <w:b/>
          <w:color w:val="auto"/>
          <w:sz w:val="24"/>
          <w:szCs w:val="24"/>
        </w:rPr>
      </w:pPr>
      <w:r>
        <w:rPr>
          <w:rFonts w:hint="eastAsia" w:ascii="宋体" w:hAnsi="宋体" w:eastAsia="宋体" w:cs="宋体"/>
          <w:b/>
          <w:color w:val="auto"/>
          <w:sz w:val="24"/>
          <w:szCs w:val="24"/>
        </w:rPr>
        <w:t>项目名称：</w:t>
      </w:r>
    </w:p>
    <w:p w14:paraId="7B01333D">
      <w:pPr>
        <w:pStyle w:val="15"/>
        <w:ind w:left="0" w:leftChars="0" w:firstLine="0" w:firstLineChars="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项目编号：</w:t>
      </w:r>
    </w:p>
    <w:p w14:paraId="08E3F1F5">
      <w:pPr>
        <w:pStyle w:val="15"/>
        <w:ind w:left="0" w:leftChars="0" w:firstLine="0" w:firstLineChars="0"/>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所投包号：</w:t>
      </w:r>
    </w:p>
    <w:tbl>
      <w:tblPr>
        <w:tblStyle w:val="24"/>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9"/>
        <w:gridCol w:w="1240"/>
        <w:gridCol w:w="3314"/>
        <w:gridCol w:w="1664"/>
      </w:tblGrid>
      <w:tr w14:paraId="2B01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3099" w:type="dxa"/>
            <w:vAlign w:val="center"/>
          </w:tcPr>
          <w:p w14:paraId="178C85A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最初</w:t>
            </w:r>
            <w:r>
              <w:rPr>
                <w:rFonts w:hint="eastAsia" w:ascii="宋体" w:hAnsi="宋体" w:eastAsia="宋体" w:cs="宋体"/>
                <w:bCs/>
                <w:color w:val="auto"/>
                <w:sz w:val="24"/>
                <w:szCs w:val="24"/>
                <w:lang w:val="en-US" w:eastAsia="zh-CN"/>
              </w:rPr>
              <w:t>报价（元）</w:t>
            </w:r>
          </w:p>
        </w:tc>
        <w:tc>
          <w:tcPr>
            <w:tcW w:w="1240" w:type="dxa"/>
            <w:vAlign w:val="center"/>
          </w:tcPr>
          <w:p w14:paraId="6483B04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调整因素</w:t>
            </w:r>
          </w:p>
        </w:tc>
        <w:tc>
          <w:tcPr>
            <w:tcW w:w="3314" w:type="dxa"/>
            <w:vAlign w:val="center"/>
          </w:tcPr>
          <w:p w14:paraId="4779BE9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w:t>
            </w:r>
            <w:r>
              <w:rPr>
                <w:rFonts w:hint="eastAsia" w:ascii="宋体" w:hAnsi="宋体" w:eastAsia="宋体" w:cs="宋体"/>
                <w:color w:val="auto"/>
                <w:sz w:val="24"/>
                <w:szCs w:val="24"/>
                <w:lang w:eastAsia="zh-CN"/>
              </w:rPr>
              <w:t>后</w:t>
            </w:r>
            <w:r>
              <w:rPr>
                <w:rFonts w:hint="eastAsia" w:ascii="宋体" w:hAnsi="宋体" w:eastAsia="宋体" w:cs="宋体"/>
                <w:color w:val="auto"/>
                <w:sz w:val="24"/>
                <w:szCs w:val="24"/>
                <w:lang w:val="en-US" w:eastAsia="zh-CN"/>
              </w:rPr>
              <w:t>报价（元）</w:t>
            </w:r>
          </w:p>
        </w:tc>
        <w:tc>
          <w:tcPr>
            <w:tcW w:w="1664" w:type="dxa"/>
            <w:vAlign w:val="center"/>
          </w:tcPr>
          <w:p w14:paraId="29AAA23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服务</w:t>
            </w:r>
            <w:r>
              <w:rPr>
                <w:rFonts w:hint="eastAsia" w:ascii="宋体" w:hAnsi="宋体" w:eastAsia="宋体" w:cs="宋体"/>
                <w:bCs/>
                <w:color w:val="auto"/>
                <w:sz w:val="24"/>
                <w:szCs w:val="24"/>
                <w:lang w:eastAsia="zh-CN"/>
              </w:rPr>
              <w:t>期限</w:t>
            </w:r>
          </w:p>
        </w:tc>
      </w:tr>
      <w:tr w14:paraId="7BBE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3099" w:type="dxa"/>
            <w:vAlign w:val="center"/>
          </w:tcPr>
          <w:p w14:paraId="55416E84">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4"/>
                <w:szCs w:val="24"/>
                <w:lang w:val="en-US" w:eastAsia="zh-CN"/>
              </w:rPr>
            </w:pPr>
          </w:p>
        </w:tc>
        <w:tc>
          <w:tcPr>
            <w:tcW w:w="1240" w:type="dxa"/>
            <w:vAlign w:val="center"/>
          </w:tcPr>
          <w:p w14:paraId="7F32412D">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4"/>
                <w:szCs w:val="24"/>
              </w:rPr>
            </w:pPr>
          </w:p>
        </w:tc>
        <w:tc>
          <w:tcPr>
            <w:tcW w:w="3314" w:type="dxa"/>
            <w:vAlign w:val="center"/>
          </w:tcPr>
          <w:p w14:paraId="0C1A9372">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4"/>
                <w:szCs w:val="24"/>
                <w:lang w:eastAsia="zh-CN"/>
              </w:rPr>
            </w:pPr>
          </w:p>
        </w:tc>
        <w:tc>
          <w:tcPr>
            <w:tcW w:w="1664" w:type="dxa"/>
            <w:vAlign w:val="center"/>
          </w:tcPr>
          <w:p w14:paraId="15ED0799">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4"/>
                <w:szCs w:val="24"/>
              </w:rPr>
            </w:pPr>
          </w:p>
        </w:tc>
      </w:tr>
      <w:tr w14:paraId="1E38D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4" w:hRule="atLeast"/>
          <w:jc w:val="center"/>
        </w:trPr>
        <w:tc>
          <w:tcPr>
            <w:tcW w:w="9317" w:type="dxa"/>
            <w:gridSpan w:val="4"/>
          </w:tcPr>
          <w:p w14:paraId="44C5488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最终确定的质量保证及服务承诺（优惠条件）</w:t>
            </w:r>
          </w:p>
          <w:p w14:paraId="2ABC0A9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rPr>
            </w:pPr>
          </w:p>
          <w:p w14:paraId="6504EEC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rPr>
            </w:pPr>
          </w:p>
        </w:tc>
      </w:tr>
    </w:tbl>
    <w:p w14:paraId="0A3FBB54">
      <w:pPr>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rPr>
        <w:t>注：</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highlight w:val="none"/>
        </w:rPr>
        <w:t>此表不需</w:t>
      </w:r>
      <w:r>
        <w:rPr>
          <w:rFonts w:hint="eastAsia" w:ascii="宋体" w:hAnsi="宋体" w:eastAsia="宋体" w:cs="宋体"/>
          <w:color w:val="auto"/>
          <w:sz w:val="24"/>
          <w:szCs w:val="24"/>
          <w:highlight w:val="none"/>
          <w:lang w:val="en-US" w:eastAsia="zh-CN"/>
        </w:rPr>
        <w:t>附</w:t>
      </w:r>
      <w:r>
        <w:rPr>
          <w:rFonts w:hint="eastAsia" w:ascii="宋体" w:hAnsi="宋体" w:eastAsia="宋体" w:cs="宋体"/>
          <w:color w:val="auto"/>
          <w:sz w:val="24"/>
          <w:szCs w:val="24"/>
          <w:highlight w:val="none"/>
        </w:rPr>
        <w:t>在响应文件中，供应商事先须盖章、签字。在磋商期间，由磋商小组确定合格的供应商</w:t>
      </w:r>
      <w:r>
        <w:rPr>
          <w:rFonts w:hint="eastAsia" w:ascii="宋体" w:hAnsi="宋体" w:eastAsia="宋体" w:cs="宋体"/>
          <w:color w:val="auto"/>
          <w:sz w:val="24"/>
          <w:szCs w:val="24"/>
          <w:highlight w:val="none"/>
          <w:lang w:val="en-US" w:eastAsia="zh-CN"/>
        </w:rPr>
        <w:t>后</w:t>
      </w:r>
      <w:r>
        <w:rPr>
          <w:rFonts w:hint="eastAsia" w:ascii="宋体" w:hAnsi="宋体" w:eastAsia="宋体" w:cs="宋体"/>
          <w:color w:val="auto"/>
          <w:sz w:val="24"/>
          <w:szCs w:val="24"/>
          <w:highlight w:val="none"/>
        </w:rPr>
        <w:t>填写</w:t>
      </w:r>
      <w:r>
        <w:rPr>
          <w:rFonts w:hint="eastAsia" w:ascii="宋体" w:hAnsi="宋体" w:eastAsia="宋体" w:cs="宋体"/>
          <w:color w:val="auto"/>
          <w:sz w:val="24"/>
          <w:szCs w:val="24"/>
          <w:highlight w:val="none"/>
          <w:lang w:val="en-US" w:eastAsia="zh-CN"/>
        </w:rPr>
        <w:t>并上传</w:t>
      </w:r>
      <w:r>
        <w:rPr>
          <w:rFonts w:hint="eastAsia" w:ascii="宋体" w:hAnsi="宋体" w:eastAsia="宋体" w:cs="宋体"/>
          <w:color w:val="auto"/>
          <w:sz w:val="24"/>
          <w:szCs w:val="24"/>
          <w:highlight w:val="none"/>
        </w:rPr>
        <w:t>。</w:t>
      </w:r>
    </w:p>
    <w:p w14:paraId="08ADEF27">
      <w:pPr>
        <w:spacing w:line="360" w:lineRule="auto"/>
        <w:ind w:firstLine="482"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lang w:val="en-US" w:eastAsia="zh-CN"/>
        </w:rPr>
        <w:t>2.未在最终轮次规定时间（60分钟）内进行响应报价的，按首轮报价进行评审，退出磋商的除外。</w:t>
      </w:r>
    </w:p>
    <w:p w14:paraId="3DD2B3CE">
      <w:pPr>
        <w:tabs>
          <w:tab w:val="left" w:pos="168"/>
        </w:tabs>
        <w:spacing w:line="360" w:lineRule="auto"/>
        <w:ind w:firstLine="0" w:firstLineChars="0"/>
        <w:textAlignment w:val="baseline"/>
        <w:rPr>
          <w:rFonts w:hint="eastAsia" w:ascii="宋体" w:hAnsi="宋体" w:eastAsia="宋体" w:cs="宋体"/>
          <w:b/>
          <w:bCs/>
          <w:color w:val="auto"/>
          <w:sz w:val="24"/>
          <w:szCs w:val="24"/>
        </w:rPr>
      </w:pPr>
    </w:p>
    <w:p w14:paraId="159B5AEA">
      <w:pPr>
        <w:tabs>
          <w:tab w:val="left" w:pos="168"/>
        </w:tabs>
        <w:spacing w:line="360" w:lineRule="auto"/>
        <w:ind w:firstLine="0" w:firstLineChars="0"/>
        <w:textAlignment w:val="baseline"/>
        <w:rPr>
          <w:rFonts w:hint="eastAsia" w:ascii="宋体" w:hAnsi="宋体" w:eastAsia="宋体" w:cs="宋体"/>
          <w:b/>
          <w:bCs/>
          <w:color w:val="auto"/>
          <w:sz w:val="24"/>
          <w:szCs w:val="24"/>
        </w:rPr>
      </w:pPr>
    </w:p>
    <w:p w14:paraId="3D8BD8DE">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供应商：</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（公章）</w:t>
      </w:r>
    </w:p>
    <w:p w14:paraId="4E0DC2C8">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法定代表人或委托代理人：</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rPr>
        <w:t>（签字或盖章）</w:t>
      </w:r>
    </w:p>
    <w:p w14:paraId="0A523791">
      <w:pPr>
        <w:pStyle w:val="15"/>
        <w:ind w:left="0" w:leftChars="0" w:firstLine="0" w:firstLineChars="0"/>
        <w:jc w:val="center"/>
        <w:rPr>
          <w:rFonts w:hint="eastAsia" w:ascii="宋体" w:hAnsi="宋体" w:eastAsia="宋体" w:cs="宋体"/>
          <w:color w:val="auto"/>
        </w:rPr>
      </w:pPr>
      <w:r>
        <w:rPr>
          <w:rFonts w:hint="eastAsia" w:ascii="宋体" w:hAnsi="宋体" w:eastAsia="宋体" w:cs="宋体"/>
          <w:b/>
          <w:color w:val="auto"/>
          <w:sz w:val="24"/>
          <w:szCs w:val="24"/>
        </w:rPr>
        <w:t xml:space="preserve">年   月 </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 xml:space="preserve"> 日</w:t>
      </w:r>
    </w:p>
    <w:p w14:paraId="5AB8632C">
      <w:pPr>
        <w:ind w:left="0" w:leftChars="0" w:firstLine="0" w:firstLineChars="0"/>
        <w:rPr>
          <w:rFonts w:hint="eastAsia" w:ascii="宋体" w:hAnsi="宋体" w:eastAsia="宋体" w:cs="宋体"/>
          <w:color w:val="auto"/>
          <w:lang w:val="en-US" w:eastAsia="zh-CN"/>
        </w:rPr>
      </w:pPr>
      <w:r>
        <w:rPr>
          <w:rFonts w:hint="eastAsia" w:ascii="宋体" w:hAnsi="宋体" w:eastAsia="宋体" w:cs="宋体"/>
          <w:b/>
          <w:color w:val="auto"/>
          <w:sz w:val="24"/>
          <w:szCs w:val="24"/>
        </w:rPr>
        <w:br w:type="page"/>
      </w:r>
    </w:p>
    <w:p w14:paraId="0A7540F1">
      <w:pPr>
        <w:keepNext/>
        <w:keepLines/>
        <w:widowControl/>
        <w:snapToGrid w:val="0"/>
        <w:spacing w:line="360" w:lineRule="auto"/>
        <w:ind w:firstLine="0" w:firstLineChars="0"/>
        <w:jc w:val="center"/>
        <w:outlineLvl w:val="0"/>
        <w:rPr>
          <w:rFonts w:hint="eastAsia" w:ascii="宋体" w:hAnsi="宋体" w:eastAsia="宋体" w:cs="宋体"/>
          <w:color w:val="auto"/>
        </w:rPr>
      </w:pPr>
      <w:bookmarkStart w:id="230" w:name="_Toc25610"/>
      <w:r>
        <w:rPr>
          <w:rFonts w:hint="eastAsia" w:ascii="宋体" w:hAnsi="宋体" w:eastAsia="宋体" w:cs="宋体"/>
          <w:b/>
          <w:color w:val="auto"/>
          <w:kern w:val="28"/>
          <w:sz w:val="36"/>
          <w:szCs w:val="20"/>
        </w:rPr>
        <w:t xml:space="preserve">第六部分  </w:t>
      </w:r>
      <w:r>
        <w:rPr>
          <w:rFonts w:hint="eastAsia" w:ascii="宋体" w:hAnsi="宋体" w:eastAsia="宋体" w:cs="宋体"/>
          <w:b/>
          <w:color w:val="auto"/>
          <w:kern w:val="28"/>
          <w:sz w:val="36"/>
          <w:szCs w:val="20"/>
          <w:lang w:eastAsia="zh-CN"/>
        </w:rPr>
        <w:t>采购项目要求</w:t>
      </w:r>
      <w:bookmarkEnd w:id="230"/>
    </w:p>
    <w:p w14:paraId="087EC3CE">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一、投标要求：</w:t>
      </w:r>
    </w:p>
    <w:p w14:paraId="1D5A010D">
      <w:pPr>
        <w:pStyle w:val="22"/>
        <w:keepNext w:val="0"/>
        <w:keepLines w:val="0"/>
        <w:pageBreakBefore w:val="0"/>
        <w:widowControl w:val="0"/>
        <w:kinsoku/>
        <w:wordWrap/>
        <w:overflowPunct/>
        <w:topLinePunct w:val="0"/>
        <w:bidi w:val="0"/>
        <w:adjustRightInd/>
        <w:snapToGrid/>
        <w:spacing w:before="0" w:after="0" w:line="360" w:lineRule="auto"/>
        <w:ind w:firstLine="482" w:firstLineChars="200"/>
        <w:jc w:val="left"/>
        <w:textAlignment w:val="auto"/>
        <w:rPr>
          <w:rFonts w:hint="eastAsia" w:ascii="宋体" w:hAnsi="宋体" w:eastAsia="宋体" w:cs="宋体"/>
          <w:color w:val="auto"/>
          <w:sz w:val="24"/>
          <w:szCs w:val="24"/>
          <w:lang w:val="zh-CN"/>
        </w:rPr>
      </w:pPr>
      <w:bookmarkStart w:id="231" w:name="_Toc15074"/>
      <w:bookmarkStart w:id="232" w:name="_Toc20417"/>
      <w:bookmarkStart w:id="233" w:name="_Toc4635"/>
      <w:bookmarkStart w:id="234" w:name="_Toc20959"/>
      <w:r>
        <w:rPr>
          <w:rFonts w:hint="eastAsia" w:ascii="宋体" w:hAnsi="宋体" w:eastAsia="宋体" w:cs="宋体"/>
          <w:color w:val="auto"/>
          <w:sz w:val="24"/>
          <w:szCs w:val="24"/>
          <w:lang w:val="zh-CN"/>
        </w:rPr>
        <w:t>1.投标说明</w:t>
      </w:r>
      <w:bookmarkEnd w:id="231"/>
      <w:bookmarkEnd w:id="232"/>
      <w:bookmarkEnd w:id="233"/>
      <w:bookmarkEnd w:id="234"/>
    </w:p>
    <w:p w14:paraId="2E01268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val="zh-CN"/>
        </w:rPr>
        <w:t>可以按照</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lang w:val="zh-CN"/>
        </w:rPr>
        <w:t>文件规定的包号选择投标，但必须对所投包号中的所有内容作为一个整体进行投标，不能拆分或少报。</w:t>
      </w:r>
      <w:r>
        <w:rPr>
          <w:rFonts w:hint="eastAsia" w:ascii="宋体" w:hAnsi="宋体" w:eastAsia="宋体" w:cs="宋体"/>
          <w:b/>
          <w:bCs/>
          <w:color w:val="auto"/>
          <w:sz w:val="24"/>
          <w:szCs w:val="24"/>
          <w:lang w:val="zh-CN"/>
        </w:rPr>
        <w:t>否则，响应无效。</w:t>
      </w:r>
    </w:p>
    <w:p w14:paraId="0134F2EB">
      <w:pPr>
        <w:pStyle w:val="22"/>
        <w:keepNext w:val="0"/>
        <w:keepLines w:val="0"/>
        <w:pageBreakBefore w:val="0"/>
        <w:widowControl w:val="0"/>
        <w:kinsoku/>
        <w:wordWrap/>
        <w:overflowPunct/>
        <w:topLinePunct w:val="0"/>
        <w:bidi w:val="0"/>
        <w:adjustRightInd/>
        <w:snapToGrid/>
        <w:spacing w:before="0" w:after="0" w:line="360" w:lineRule="auto"/>
        <w:ind w:firstLine="482" w:firstLineChars="200"/>
        <w:jc w:val="left"/>
        <w:textAlignment w:val="auto"/>
        <w:rPr>
          <w:rFonts w:hint="eastAsia" w:ascii="宋体" w:hAnsi="宋体" w:eastAsia="宋体" w:cs="宋体"/>
          <w:color w:val="auto"/>
          <w:sz w:val="24"/>
          <w:szCs w:val="24"/>
        </w:rPr>
      </w:pPr>
      <w:bookmarkStart w:id="235" w:name="_Toc18003"/>
      <w:bookmarkStart w:id="236" w:name="_Toc8172"/>
      <w:bookmarkStart w:id="237" w:name="_Toc21805"/>
      <w:bookmarkStart w:id="238" w:name="_Toc17561"/>
      <w:r>
        <w:rPr>
          <w:rFonts w:hint="eastAsia" w:ascii="宋体" w:hAnsi="宋体" w:eastAsia="宋体" w:cs="宋体"/>
          <w:color w:val="auto"/>
          <w:sz w:val="24"/>
          <w:szCs w:val="24"/>
        </w:rPr>
        <w:t>2.报价说明</w:t>
      </w:r>
      <w:bookmarkEnd w:id="235"/>
      <w:bookmarkEnd w:id="236"/>
      <w:bookmarkEnd w:id="237"/>
      <w:bookmarkEnd w:id="238"/>
    </w:p>
    <w:p w14:paraId="50ACB44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zh-CN"/>
        </w:rPr>
        <w:t>本次磋商文件中规定的采购预算额度为最高限价，供应商的投标报价不得超出此额度。否则，响应无效。</w:t>
      </w:r>
    </w:p>
    <w:p w14:paraId="68BB8F8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zh-CN"/>
        </w:rPr>
        <w:t>投标报价为投标总价。投标报价必须包括：完成本次招标所有服务内容的费用，包含：检测服务费、采购代理服务费及售前、售中及售后服务费（如试剂耗材费、复检费、样品邮费、协助抽样费、人员工资、交通费、验收费、保险费）、税费及不可预见费等全部费用。</w:t>
      </w:r>
    </w:p>
    <w:p w14:paraId="2E1DC965">
      <w:pPr>
        <w:pStyle w:val="15"/>
        <w:keepNext w:val="0"/>
        <w:keepLines w:val="0"/>
        <w:pageBreakBefore w:val="0"/>
        <w:widowControl w:val="0"/>
        <w:kinsoku/>
        <w:wordWrap/>
        <w:overflowPunct/>
        <w:topLinePunct w:val="0"/>
        <w:bidi w:val="0"/>
        <w:adjustRightInd/>
        <w:snapToGrid/>
        <w:spacing w:line="360" w:lineRule="auto"/>
        <w:ind w:left="0" w:leftChars="0" w:firstLine="0" w:firstLineChars="0"/>
        <w:textAlignment w:val="auto"/>
        <w:rPr>
          <w:rFonts w:hint="eastAsia" w:ascii="宋体" w:hAnsi="宋体" w:eastAsia="宋体" w:cs="宋体"/>
          <w:b/>
          <w:bCs w:val="0"/>
          <w:color w:val="auto"/>
          <w:sz w:val="24"/>
          <w:szCs w:val="24"/>
          <w:lang w:val="en-US" w:eastAsia="zh-CN" w:bidi="ar-SA"/>
        </w:rPr>
      </w:pPr>
      <w:r>
        <w:rPr>
          <w:rFonts w:hint="eastAsia" w:ascii="宋体" w:hAnsi="宋体" w:eastAsia="宋体" w:cs="宋体"/>
          <w:b/>
          <w:bCs w:val="0"/>
          <w:color w:val="auto"/>
          <w:sz w:val="24"/>
          <w:szCs w:val="24"/>
          <w:lang w:val="en-US" w:eastAsia="zh-CN" w:bidi="ar-SA"/>
        </w:rPr>
        <w:t>二、采购需求：</w:t>
      </w:r>
    </w:p>
    <w:p w14:paraId="4AC06CE1">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宋体" w:hAnsi="宋体" w:eastAsia="宋体" w:cs="宋体"/>
          <w:b/>
          <w:bCs w:val="0"/>
          <w:color w:val="auto"/>
          <w:sz w:val="24"/>
          <w:szCs w:val="24"/>
          <w:lang w:val="zh-CN"/>
        </w:rPr>
      </w:pPr>
      <w:r>
        <w:rPr>
          <w:rFonts w:hint="eastAsia" w:ascii="宋体" w:hAnsi="宋体" w:eastAsia="宋体" w:cs="宋体"/>
          <w:b/>
          <w:bCs w:val="0"/>
          <w:color w:val="auto"/>
          <w:sz w:val="24"/>
          <w:szCs w:val="24"/>
          <w:lang w:val="en-US" w:eastAsia="zh-CN"/>
        </w:rPr>
        <w:t>1.服务</w:t>
      </w:r>
      <w:r>
        <w:rPr>
          <w:rFonts w:hint="eastAsia" w:ascii="宋体" w:hAnsi="宋体" w:eastAsia="宋体" w:cs="宋体"/>
          <w:b/>
          <w:bCs w:val="0"/>
          <w:color w:val="auto"/>
          <w:sz w:val="24"/>
          <w:szCs w:val="24"/>
          <w:lang w:val="zh-CN"/>
        </w:rPr>
        <w:t>期限：</w:t>
      </w:r>
    </w:p>
    <w:p w14:paraId="4B1D7416">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default"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包2：2026年11月底前完成接样工作；2026年12月20日前完成检测工作，并向采购人提交相关成果文件（检测结果清单、检测报告、分析报告等）。</w:t>
      </w:r>
    </w:p>
    <w:p w14:paraId="31B7813D">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2.</w:t>
      </w:r>
      <w:r>
        <w:rPr>
          <w:rFonts w:hint="eastAsia" w:ascii="宋体" w:hAnsi="宋体" w:eastAsia="宋体" w:cs="宋体"/>
          <w:b/>
          <w:bCs w:val="0"/>
          <w:color w:val="auto"/>
          <w:sz w:val="24"/>
          <w:szCs w:val="24"/>
          <w:lang w:val="zh-CN" w:eastAsia="zh-CN"/>
        </w:rPr>
        <w:t>服务地点：</w:t>
      </w:r>
      <w:r>
        <w:rPr>
          <w:rFonts w:hint="eastAsia" w:ascii="宋体" w:hAnsi="宋体" w:eastAsia="宋体" w:cs="宋体"/>
          <w:b/>
          <w:bCs w:val="0"/>
          <w:color w:val="auto"/>
          <w:sz w:val="24"/>
          <w:szCs w:val="24"/>
          <w:lang w:val="en-US" w:eastAsia="zh-CN"/>
        </w:rPr>
        <w:t>采购人指定地点</w:t>
      </w:r>
    </w:p>
    <w:p w14:paraId="39E2BF18">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3.服务内容：</w:t>
      </w:r>
    </w:p>
    <w:p w14:paraId="2A8BFC5B">
      <w:pPr>
        <w:keepNext w:val="0"/>
        <w:keepLines w:val="0"/>
        <w:pageBreakBefore w:val="0"/>
        <w:widowControl w:val="0"/>
        <w:kinsoku/>
        <w:wordWrap/>
        <w:overflowPunct/>
        <w:topLinePunct w:val="0"/>
        <w:autoSpaceDE w:val="0"/>
        <w:autoSpaceDN w:val="0"/>
        <w:bidi w:val="0"/>
        <w:adjustRightInd/>
        <w:snapToGrid/>
        <w:spacing w:line="288" w:lineRule="auto"/>
        <w:ind w:left="0" w:leftChars="0" w:firstLine="482"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bCs w:val="0"/>
          <w:color w:val="auto"/>
          <w:sz w:val="24"/>
          <w:szCs w:val="24"/>
          <w:lang w:val="en-US" w:eastAsia="zh-CN"/>
        </w:rPr>
        <w:t>包2：饲草样品营养成分分析</w:t>
      </w:r>
    </w:p>
    <w:p w14:paraId="2DE88F2D">
      <w:pPr>
        <w:keepNext w:val="0"/>
        <w:keepLines w:val="0"/>
        <w:pageBreakBefore w:val="0"/>
        <w:widowControl w:val="0"/>
        <w:numPr>
          <w:ilvl w:val="0"/>
          <w:numId w:val="0"/>
        </w:numPr>
        <w:kinsoku/>
        <w:wordWrap/>
        <w:overflowPunct/>
        <w:topLinePunct w:val="0"/>
        <w:autoSpaceDE w:val="0"/>
        <w:autoSpaceDN w:val="0"/>
        <w:bidi w:val="0"/>
        <w:adjustRightInd/>
        <w:snapToGrid/>
        <w:spacing w:line="288" w:lineRule="auto"/>
        <w:ind w:leftChars="0" w:firstLine="482"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bCs w:val="0"/>
          <w:color w:val="auto"/>
          <w:sz w:val="24"/>
          <w:szCs w:val="24"/>
          <w:lang w:val="en-US" w:eastAsia="zh-CN"/>
        </w:rPr>
        <w:t>3.1 取样数量。</w:t>
      </w:r>
      <w:r>
        <w:rPr>
          <w:rFonts w:hint="eastAsia" w:ascii="宋体" w:hAnsi="宋体" w:eastAsia="宋体" w:cs="宋体"/>
          <w:b w:val="0"/>
          <w:bCs/>
          <w:color w:val="auto"/>
          <w:sz w:val="24"/>
          <w:szCs w:val="24"/>
          <w:lang w:val="en-US" w:eastAsia="zh-CN"/>
        </w:rPr>
        <w:t>全省饲草产品取样200份。饲草产品分为青干草与青贮草,饲草产品取样应覆盖县域内的主要饲草产品、主要种植品种，如当地有从国内外引进品种或新培育品种生产的饲草产品，应安排取样。</w:t>
      </w:r>
    </w:p>
    <w:p w14:paraId="7ACE85A7">
      <w:pPr>
        <w:keepNext w:val="0"/>
        <w:keepLines w:val="0"/>
        <w:pageBreakBefore w:val="0"/>
        <w:widowControl w:val="0"/>
        <w:numPr>
          <w:ilvl w:val="0"/>
          <w:numId w:val="0"/>
        </w:numPr>
        <w:shd w:val="clear"/>
        <w:kinsoku/>
        <w:wordWrap/>
        <w:overflowPunct/>
        <w:topLinePunct w:val="0"/>
        <w:autoSpaceDE w:val="0"/>
        <w:autoSpaceDN w:val="0"/>
        <w:bidi w:val="0"/>
        <w:adjustRightInd/>
        <w:snapToGrid/>
        <w:spacing w:line="288" w:lineRule="auto"/>
        <w:ind w:leftChars="0" w:firstLine="482" w:firstLineChars="200"/>
        <w:jc w:val="left"/>
        <w:textAlignment w:val="auto"/>
        <w:rPr>
          <w:rFonts w:hint="default"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3.2 检测内容</w:t>
      </w:r>
    </w:p>
    <w:tbl>
      <w:tblPr>
        <w:tblStyle w:val="45"/>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2945"/>
        <w:gridCol w:w="4588"/>
      </w:tblGrid>
      <w:tr w14:paraId="49311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44" w:type="dxa"/>
            <w:noWrap w:val="0"/>
            <w:vAlign w:val="center"/>
          </w:tcPr>
          <w:p w14:paraId="5AAC5B37">
            <w:pPr>
              <w:keepNext w:val="0"/>
              <w:keepLines w:val="0"/>
              <w:pageBreakBefore w:val="0"/>
              <w:widowControl w:val="0"/>
              <w:kinsoku/>
              <w:wordWrap/>
              <w:overflowPunct/>
              <w:topLinePunct w:val="0"/>
              <w:autoSpaceDE/>
              <w:autoSpaceDN/>
              <w:bidi w:val="0"/>
              <w:adjustRightInd/>
              <w:snapToGrid/>
              <w:spacing w:line="240" w:lineRule="atLeast"/>
              <w:ind w:leftChars="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2945" w:type="dxa"/>
            <w:noWrap w:val="0"/>
            <w:vAlign w:val="center"/>
          </w:tcPr>
          <w:p w14:paraId="092C9394">
            <w:pPr>
              <w:keepNext w:val="0"/>
              <w:keepLines w:val="0"/>
              <w:pageBreakBefore w:val="0"/>
              <w:widowControl w:val="0"/>
              <w:kinsoku/>
              <w:wordWrap/>
              <w:overflowPunct/>
              <w:topLinePunct w:val="0"/>
              <w:autoSpaceDE/>
              <w:autoSpaceDN/>
              <w:bidi w:val="0"/>
              <w:adjustRightInd/>
              <w:snapToGrid/>
              <w:spacing w:line="240" w:lineRule="atLeast"/>
              <w:ind w:leftChars="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检测项目</w:t>
            </w:r>
          </w:p>
        </w:tc>
        <w:tc>
          <w:tcPr>
            <w:tcW w:w="4588" w:type="dxa"/>
            <w:noWrap w:val="0"/>
            <w:vAlign w:val="center"/>
          </w:tcPr>
          <w:p w14:paraId="0C86008B">
            <w:pPr>
              <w:keepNext w:val="0"/>
              <w:keepLines w:val="0"/>
              <w:pageBreakBefore w:val="0"/>
              <w:widowControl w:val="0"/>
              <w:kinsoku/>
              <w:wordWrap/>
              <w:overflowPunct/>
              <w:topLinePunct w:val="0"/>
              <w:autoSpaceDE/>
              <w:autoSpaceDN/>
              <w:bidi w:val="0"/>
              <w:adjustRightInd/>
              <w:snapToGrid/>
              <w:spacing w:line="240" w:lineRule="atLeast"/>
              <w:ind w:leftChars="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检测项</w:t>
            </w:r>
          </w:p>
        </w:tc>
      </w:tr>
      <w:tr w14:paraId="215CC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44" w:type="dxa"/>
            <w:noWrap w:val="0"/>
            <w:vAlign w:val="center"/>
          </w:tcPr>
          <w:p w14:paraId="7BCEA533">
            <w:pPr>
              <w:keepNext w:val="0"/>
              <w:keepLines w:val="0"/>
              <w:pageBreakBefore w:val="0"/>
              <w:widowControl w:val="0"/>
              <w:kinsoku/>
              <w:wordWrap/>
              <w:overflowPunct/>
              <w:topLinePunct w:val="0"/>
              <w:autoSpaceDE/>
              <w:autoSpaceDN/>
              <w:bidi w:val="0"/>
              <w:adjustRightInd/>
              <w:snapToGrid/>
              <w:spacing w:line="240" w:lineRule="atLeast"/>
              <w:ind w:leftChars="0" w:firstLine="0" w:firstLine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p>
        </w:tc>
        <w:tc>
          <w:tcPr>
            <w:tcW w:w="2945" w:type="dxa"/>
            <w:noWrap w:val="0"/>
            <w:vAlign w:val="center"/>
          </w:tcPr>
          <w:p w14:paraId="62D3EFDC">
            <w:pPr>
              <w:keepNext w:val="0"/>
              <w:keepLines w:val="0"/>
              <w:pageBreakBefore w:val="0"/>
              <w:widowControl w:val="0"/>
              <w:kinsoku/>
              <w:wordWrap/>
              <w:overflowPunct/>
              <w:topLinePunct w:val="0"/>
              <w:autoSpaceDE/>
              <w:autoSpaceDN/>
              <w:bidi w:val="0"/>
              <w:adjustRightInd/>
              <w:snapToGrid/>
              <w:spacing w:line="240" w:lineRule="atLeast"/>
              <w:ind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青干草(以下各种成分含量)</w:t>
            </w:r>
          </w:p>
        </w:tc>
        <w:tc>
          <w:tcPr>
            <w:tcW w:w="4588" w:type="dxa"/>
            <w:noWrap w:val="0"/>
            <w:vAlign w:val="center"/>
          </w:tcPr>
          <w:p w14:paraId="30CDF5B7">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干物质；</w:t>
            </w:r>
          </w:p>
          <w:p w14:paraId="6A67D6D5">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.粗灰分；</w:t>
            </w:r>
          </w:p>
          <w:p w14:paraId="40E7171C">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.粗蛋白；</w:t>
            </w:r>
          </w:p>
          <w:p w14:paraId="13B5D2DC">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.粗脂肪；</w:t>
            </w:r>
          </w:p>
          <w:p w14:paraId="6E1E551F">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.中性洗涤纤维；</w:t>
            </w:r>
          </w:p>
          <w:p w14:paraId="2062CB7A">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.酸性洗涤纤维；</w:t>
            </w:r>
          </w:p>
          <w:p w14:paraId="65A55D14">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粗纤维；</w:t>
            </w:r>
          </w:p>
          <w:p w14:paraId="009ECD9F">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firstLine="0" w:firstLineChars="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钙</w:t>
            </w:r>
            <w:r>
              <w:rPr>
                <w:rFonts w:hint="eastAsia" w:ascii="宋体" w:hAnsi="宋体" w:eastAsia="宋体" w:cs="宋体"/>
                <w:color w:val="auto"/>
                <w:sz w:val="24"/>
                <w:szCs w:val="24"/>
                <w:lang w:eastAsia="zh-CN"/>
              </w:rPr>
              <w:t>；</w:t>
            </w:r>
          </w:p>
          <w:p w14:paraId="2461A29F">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9.水溶性碳水化合物；</w:t>
            </w:r>
          </w:p>
          <w:p w14:paraId="5DF2CE48">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10.磷</w:t>
            </w:r>
            <w:r>
              <w:rPr>
                <w:rFonts w:hint="eastAsia" w:ascii="宋体" w:hAnsi="宋体" w:eastAsia="宋体" w:cs="宋体"/>
                <w:color w:val="auto"/>
                <w:sz w:val="24"/>
                <w:szCs w:val="24"/>
              </w:rPr>
              <w:t>。</w:t>
            </w:r>
          </w:p>
        </w:tc>
      </w:tr>
      <w:tr w14:paraId="386DF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44" w:type="dxa"/>
            <w:noWrap w:val="0"/>
            <w:vAlign w:val="center"/>
          </w:tcPr>
          <w:p w14:paraId="297058C6">
            <w:pPr>
              <w:keepNext w:val="0"/>
              <w:keepLines w:val="0"/>
              <w:pageBreakBefore w:val="0"/>
              <w:widowControl w:val="0"/>
              <w:kinsoku/>
              <w:wordWrap/>
              <w:overflowPunct/>
              <w:topLinePunct w:val="0"/>
              <w:autoSpaceDE/>
              <w:autoSpaceDN/>
              <w:bidi w:val="0"/>
              <w:adjustRightInd/>
              <w:snapToGrid/>
              <w:spacing w:line="240" w:lineRule="atLeast"/>
              <w:ind w:leftChars="0" w:firstLine="0" w:firstLine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p>
        </w:tc>
        <w:tc>
          <w:tcPr>
            <w:tcW w:w="2945" w:type="dxa"/>
            <w:noWrap w:val="0"/>
            <w:vAlign w:val="center"/>
          </w:tcPr>
          <w:p w14:paraId="4BFDCB4B">
            <w:pPr>
              <w:keepNext w:val="0"/>
              <w:keepLines w:val="0"/>
              <w:pageBreakBefore w:val="0"/>
              <w:widowControl w:val="0"/>
              <w:kinsoku/>
              <w:wordWrap/>
              <w:overflowPunct/>
              <w:topLinePunct w:val="0"/>
              <w:autoSpaceDE/>
              <w:autoSpaceDN/>
              <w:bidi w:val="0"/>
              <w:adjustRightInd/>
              <w:snapToGrid/>
              <w:spacing w:line="240" w:lineRule="atLeast"/>
              <w:ind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青贮草(以下各种成分含量)</w:t>
            </w:r>
          </w:p>
        </w:tc>
        <w:tc>
          <w:tcPr>
            <w:tcW w:w="4588" w:type="dxa"/>
            <w:noWrap w:val="0"/>
            <w:vAlign w:val="center"/>
          </w:tcPr>
          <w:p w14:paraId="42500EC3">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干物质；</w:t>
            </w:r>
          </w:p>
          <w:p w14:paraId="2356E37C">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.粗灰分；</w:t>
            </w:r>
          </w:p>
          <w:p w14:paraId="1479B021">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.粗蛋白；</w:t>
            </w:r>
          </w:p>
          <w:p w14:paraId="4C4351D4">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.粗脂肪；</w:t>
            </w:r>
          </w:p>
          <w:p w14:paraId="6F181529">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.中性洗涤纤维；</w:t>
            </w:r>
          </w:p>
          <w:p w14:paraId="5ED5FBCB">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.酸性洗涤纤维；</w:t>
            </w:r>
          </w:p>
          <w:p w14:paraId="0877E9B7">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粗纤维；</w:t>
            </w:r>
          </w:p>
          <w:p w14:paraId="022DBF25">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8.木质素；</w:t>
            </w:r>
          </w:p>
          <w:p w14:paraId="76CEB8DE">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钙；</w:t>
            </w:r>
          </w:p>
          <w:p w14:paraId="630ACD2D">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10.磷；</w:t>
            </w:r>
          </w:p>
          <w:p w14:paraId="5549A57E">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.PH值；</w:t>
            </w:r>
          </w:p>
          <w:p w14:paraId="2EE5B9BD">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.氨态氮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总氮，液态氮/总氮（%）</w:t>
            </w:r>
            <w:r>
              <w:rPr>
                <w:rFonts w:hint="eastAsia" w:ascii="宋体" w:hAnsi="宋体" w:eastAsia="宋体" w:cs="宋体"/>
                <w:color w:val="auto"/>
                <w:sz w:val="24"/>
                <w:szCs w:val="24"/>
              </w:rPr>
              <w:t>；</w:t>
            </w:r>
          </w:p>
          <w:p w14:paraId="372106B5">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.可溶性糖；</w:t>
            </w:r>
          </w:p>
          <w:p w14:paraId="14F67834">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.乳酸；</w:t>
            </w:r>
          </w:p>
          <w:p w14:paraId="1B62113D">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.乙酸；</w:t>
            </w:r>
          </w:p>
          <w:p w14:paraId="5A3C5427">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丁酸；</w:t>
            </w:r>
          </w:p>
          <w:p w14:paraId="7874C1CB">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.乳酸菌；</w:t>
            </w:r>
          </w:p>
          <w:p w14:paraId="5689DDF7">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.酵母菌；</w:t>
            </w:r>
          </w:p>
          <w:p w14:paraId="1F933F20">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.霉菌</w:t>
            </w:r>
            <w:r>
              <w:rPr>
                <w:rFonts w:hint="eastAsia" w:ascii="宋体" w:hAnsi="宋体" w:eastAsia="宋体" w:cs="宋体"/>
                <w:color w:val="auto"/>
                <w:sz w:val="24"/>
                <w:szCs w:val="24"/>
                <w:lang w:val="en-US" w:eastAsia="zh-CN"/>
              </w:rPr>
              <w:t>总数；</w:t>
            </w:r>
          </w:p>
          <w:p w14:paraId="56B21792">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20.淀粉；</w:t>
            </w:r>
          </w:p>
          <w:p w14:paraId="5BEA6869">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21.黄曲霉毒素B1；</w:t>
            </w:r>
          </w:p>
          <w:p w14:paraId="778E6E14">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22.玉米赤霉烯酮；</w:t>
            </w:r>
          </w:p>
          <w:p w14:paraId="5B48A34B">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23.呕吐毒素</w:t>
            </w:r>
          </w:p>
          <w:p w14:paraId="1D04D729">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24.伏马毒素（B1+B2）</w:t>
            </w:r>
          </w:p>
          <w:p w14:paraId="025059D7">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25.赭曲霉毒素A</w:t>
            </w:r>
          </w:p>
          <w:p w14:paraId="4164BC88">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26.T-2毒素。</w:t>
            </w:r>
          </w:p>
        </w:tc>
      </w:tr>
    </w:tbl>
    <w:p w14:paraId="365C359C">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textAlignment w:val="auto"/>
        <w:rPr>
          <w:rFonts w:hint="default" w:ascii="宋体" w:hAnsi="宋体" w:eastAsia="宋体" w:cs="宋体"/>
          <w:b w:val="0"/>
          <w:bCs/>
          <w:color w:val="auto"/>
          <w:sz w:val="24"/>
          <w:szCs w:val="24"/>
          <w:lang w:val="en-US" w:eastAsia="zh-CN"/>
        </w:rPr>
      </w:pPr>
    </w:p>
    <w:sectPr>
      <w:headerReference r:id="rId11" w:type="default"/>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C40E2">
    <w:pPr>
      <w:pStyle w:val="15"/>
      <w:ind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D559BE">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6D559BE">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710C0">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A4F5C">
    <w:pPr>
      <w:pStyle w:val="1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65445">
    <w:pPr>
      <w:pStyle w:val="15"/>
      <w:ind w:firstLine="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8281D4">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88281D4">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45</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A053A">
    <w:pPr>
      <w:pStyle w:val="16"/>
      <w:pBdr>
        <w:bottom w:val="none" w:color="auto" w:sz="0" w:space="1"/>
      </w:pBdr>
      <w:ind w:firstLine="0" w:firstLineChars="0"/>
      <w:rPr>
        <w:rFonts w:hint="eastAsia" w:eastAsia="宋体"/>
        <w:b/>
        <w:bCs/>
        <w:lang w:eastAsia="zh-CN"/>
      </w:rPr>
    </w:pPr>
    <w:r>
      <w:rPr>
        <w:rFonts w:hint="eastAsia" w:ascii="宋体" w:hAnsi="宋体" w:eastAsia="宋体" w:cs="宋体"/>
        <w:b/>
        <w:bCs/>
        <w:sz w:val="21"/>
        <w:szCs w:val="21"/>
        <w:u w:val="single"/>
        <w:lang w:eastAsia="zh-CN"/>
      </w:rPr>
      <w:t>青海鼎钊招标代理有限公司</w:t>
    </w:r>
    <w:r>
      <w:rPr>
        <w:rFonts w:hint="eastAsia" w:ascii="宋体" w:hAnsi="宋体" w:eastAsia="宋体" w:cs="宋体"/>
        <w:b/>
        <w:bCs/>
        <w:sz w:val="21"/>
        <w:szCs w:val="21"/>
        <w:u w:val="single"/>
      </w:rPr>
      <w:t xml:space="preserve">磋商文件 </w:t>
    </w:r>
    <w:r>
      <w:rPr>
        <w:rFonts w:hint="eastAsia" w:ascii="宋体" w:hAnsi="宋体" w:eastAsia="宋体" w:cs="宋体"/>
        <w:b/>
        <w:bCs/>
        <w:sz w:val="21"/>
        <w:szCs w:val="21"/>
        <w:u w:val="single"/>
        <w:lang w:val="en-US" w:eastAsia="zh-CN"/>
      </w:rPr>
      <w:t xml:space="preserve">          </w:t>
    </w:r>
    <w:r>
      <w:rPr>
        <w:rFonts w:hint="eastAsia" w:ascii="宋体" w:hAnsi="宋体" w:eastAsia="宋体" w:cs="宋体"/>
        <w:b/>
        <w:bCs/>
        <w:sz w:val="21"/>
        <w:szCs w:val="21"/>
        <w:u w:val="single"/>
      </w:rPr>
      <w:t xml:space="preserve">   </w:t>
    </w:r>
    <w:r>
      <w:rPr>
        <w:rFonts w:hint="eastAsia" w:ascii="宋体" w:hAnsi="宋体" w:eastAsia="宋体" w:cs="宋体"/>
        <w:b/>
        <w:bCs/>
        <w:sz w:val="21"/>
        <w:szCs w:val="21"/>
        <w:u w:val="single"/>
        <w:lang w:eastAsia="zh-CN"/>
      </w:rPr>
      <w:t>青海鼎钊竞磋（服务）2026-028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48BE1">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B8DBD">
    <w:pPr>
      <w:pStyle w:val="1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D9F01">
    <w:pPr>
      <w:keepNext w:val="0"/>
      <w:keepLines w:val="0"/>
      <w:pageBreakBefore w:val="0"/>
      <w:widowControl w:val="0"/>
      <w:pBdr>
        <w:bottom w:val="none" w:color="auto" w:sz="0" w:space="0"/>
      </w:pBdr>
      <w:kinsoku/>
      <w:wordWrap/>
      <w:overflowPunct/>
      <w:topLinePunct w:val="0"/>
      <w:bidi w:val="0"/>
      <w:adjustRightInd/>
      <w:snapToGrid/>
      <w:spacing w:line="400" w:lineRule="exact"/>
      <w:textAlignment w:val="auto"/>
      <w:rPr>
        <w:rFonts w:ascii="宋体" w:hAnsi="宋体" w:eastAsia="宋体" w:cs="宋体"/>
        <w:sz w:val="18"/>
        <w:szCs w:val="18"/>
      </w:rPr>
    </w:pPr>
    <w:r>
      <w:rPr>
        <w:rFonts w:hint="eastAsia" w:ascii="宋体" w:hAnsi="宋体" w:eastAsia="宋体" w:cs="宋体"/>
        <w:b/>
        <w:bCs/>
        <w:sz w:val="21"/>
        <w:szCs w:val="21"/>
        <w:u w:val="single"/>
        <w:lang w:val="en-US" w:eastAsia="zh-CN" w:bidi="ar-SA"/>
      </w:rPr>
      <w:t>青海鼎钊招标代理有限公司磋商文件              青海鼎钊竞磋（服务）</w:t>
    </w:r>
    <w:r>
      <w:rPr>
        <w:rFonts w:hint="eastAsia" w:ascii="宋体" w:hAnsi="宋体" w:eastAsia="宋体" w:cs="宋体"/>
        <w:b/>
        <w:bCs/>
        <w:sz w:val="21"/>
        <w:szCs w:val="21"/>
        <w:u w:val="single"/>
        <w:lang w:eastAsia="zh-CN"/>
      </w:rPr>
      <w:t>2026-028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5D93A9"/>
    <w:multiLevelType w:val="multilevel"/>
    <w:tmpl w:val="F15D93A9"/>
    <w:lvl w:ilvl="0" w:tentative="0">
      <w:start w:val="1"/>
      <w:numFmt w:val="decimal"/>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561F52B1"/>
    <w:multiLevelType w:val="singleLevel"/>
    <w:tmpl w:val="561F52B1"/>
    <w:lvl w:ilvl="0" w:tentative="0">
      <w:start w:val="1"/>
      <w:numFmt w:val="decimal"/>
      <w:suff w:val="nothing"/>
      <w:lvlText w:val="%1"/>
      <w:lvlJc w:val="left"/>
      <w:pPr>
        <w:tabs>
          <w:tab w:val="left" w:pos="0"/>
        </w:tabs>
        <w:ind w:left="0" w:firstLine="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jYTkzMTk0NmI0ODFjNGUxMGVmYTUwNmZkODlkMzcifQ=="/>
  </w:docVars>
  <w:rsids>
    <w:rsidRoot w:val="6F3A01D0"/>
    <w:rsid w:val="0011729F"/>
    <w:rsid w:val="00133528"/>
    <w:rsid w:val="0018099E"/>
    <w:rsid w:val="00285085"/>
    <w:rsid w:val="002C5D0F"/>
    <w:rsid w:val="002C61F7"/>
    <w:rsid w:val="002E1E1C"/>
    <w:rsid w:val="00305CE7"/>
    <w:rsid w:val="00327CB1"/>
    <w:rsid w:val="003532FE"/>
    <w:rsid w:val="003F5F2A"/>
    <w:rsid w:val="004E616D"/>
    <w:rsid w:val="005E0AA6"/>
    <w:rsid w:val="00665BAD"/>
    <w:rsid w:val="0067722F"/>
    <w:rsid w:val="00677768"/>
    <w:rsid w:val="006C3311"/>
    <w:rsid w:val="006D2A98"/>
    <w:rsid w:val="006E6810"/>
    <w:rsid w:val="007076D2"/>
    <w:rsid w:val="00796EA1"/>
    <w:rsid w:val="007C2CDB"/>
    <w:rsid w:val="007F6C6F"/>
    <w:rsid w:val="00816543"/>
    <w:rsid w:val="00867FFD"/>
    <w:rsid w:val="008878D1"/>
    <w:rsid w:val="008D138C"/>
    <w:rsid w:val="008D313A"/>
    <w:rsid w:val="009049D8"/>
    <w:rsid w:val="00975D66"/>
    <w:rsid w:val="00983BE2"/>
    <w:rsid w:val="009B76F9"/>
    <w:rsid w:val="009E5347"/>
    <w:rsid w:val="00A16BE5"/>
    <w:rsid w:val="00A22D1A"/>
    <w:rsid w:val="00A42231"/>
    <w:rsid w:val="00AE5A2B"/>
    <w:rsid w:val="00B102E6"/>
    <w:rsid w:val="00B32474"/>
    <w:rsid w:val="00B52690"/>
    <w:rsid w:val="00B92181"/>
    <w:rsid w:val="00B95CDD"/>
    <w:rsid w:val="00BA3803"/>
    <w:rsid w:val="00BE7797"/>
    <w:rsid w:val="00C229CA"/>
    <w:rsid w:val="00C50B26"/>
    <w:rsid w:val="00CF3752"/>
    <w:rsid w:val="00D14A56"/>
    <w:rsid w:val="00D50E40"/>
    <w:rsid w:val="00D656C9"/>
    <w:rsid w:val="00D728E7"/>
    <w:rsid w:val="00E22C49"/>
    <w:rsid w:val="00E24720"/>
    <w:rsid w:val="00E32D5A"/>
    <w:rsid w:val="00EB4D82"/>
    <w:rsid w:val="00EF16FF"/>
    <w:rsid w:val="00F10486"/>
    <w:rsid w:val="00F10986"/>
    <w:rsid w:val="01011432"/>
    <w:rsid w:val="01017684"/>
    <w:rsid w:val="010333FC"/>
    <w:rsid w:val="01062EEC"/>
    <w:rsid w:val="01066A48"/>
    <w:rsid w:val="010A11BF"/>
    <w:rsid w:val="01113D6B"/>
    <w:rsid w:val="011253ED"/>
    <w:rsid w:val="011D7E3A"/>
    <w:rsid w:val="012D0479"/>
    <w:rsid w:val="012D5BC8"/>
    <w:rsid w:val="01390BCC"/>
    <w:rsid w:val="013E61E2"/>
    <w:rsid w:val="01406634"/>
    <w:rsid w:val="014622CC"/>
    <w:rsid w:val="01483505"/>
    <w:rsid w:val="014B08FF"/>
    <w:rsid w:val="014B66C2"/>
    <w:rsid w:val="014D4677"/>
    <w:rsid w:val="015974C0"/>
    <w:rsid w:val="015E0632"/>
    <w:rsid w:val="0160084E"/>
    <w:rsid w:val="016043AA"/>
    <w:rsid w:val="016320EC"/>
    <w:rsid w:val="01730582"/>
    <w:rsid w:val="018362EB"/>
    <w:rsid w:val="018856AF"/>
    <w:rsid w:val="019329D2"/>
    <w:rsid w:val="01967DCC"/>
    <w:rsid w:val="01987FE8"/>
    <w:rsid w:val="01A7146D"/>
    <w:rsid w:val="01AE3368"/>
    <w:rsid w:val="01B666C0"/>
    <w:rsid w:val="01BB7833"/>
    <w:rsid w:val="01BC2907"/>
    <w:rsid w:val="01BD17FD"/>
    <w:rsid w:val="01C20BC1"/>
    <w:rsid w:val="01D036F5"/>
    <w:rsid w:val="01D9415D"/>
    <w:rsid w:val="01EB45BC"/>
    <w:rsid w:val="01F36FCC"/>
    <w:rsid w:val="01FB2325"/>
    <w:rsid w:val="01FD7E4B"/>
    <w:rsid w:val="020236B3"/>
    <w:rsid w:val="020479C8"/>
    <w:rsid w:val="020C4532"/>
    <w:rsid w:val="021138F7"/>
    <w:rsid w:val="02117D9A"/>
    <w:rsid w:val="02145195"/>
    <w:rsid w:val="021533E7"/>
    <w:rsid w:val="02290C40"/>
    <w:rsid w:val="022C0730"/>
    <w:rsid w:val="022E65D5"/>
    <w:rsid w:val="02315D47"/>
    <w:rsid w:val="02337D11"/>
    <w:rsid w:val="023668BD"/>
    <w:rsid w:val="02421D02"/>
    <w:rsid w:val="02441F1E"/>
    <w:rsid w:val="02443CCC"/>
    <w:rsid w:val="02477318"/>
    <w:rsid w:val="025161A5"/>
    <w:rsid w:val="025674A6"/>
    <w:rsid w:val="025832D3"/>
    <w:rsid w:val="025F4662"/>
    <w:rsid w:val="0261487E"/>
    <w:rsid w:val="02634F9F"/>
    <w:rsid w:val="02694478"/>
    <w:rsid w:val="026B74AB"/>
    <w:rsid w:val="026C6D7F"/>
    <w:rsid w:val="026D3223"/>
    <w:rsid w:val="026E6F9B"/>
    <w:rsid w:val="0273010D"/>
    <w:rsid w:val="027A149C"/>
    <w:rsid w:val="027C16B8"/>
    <w:rsid w:val="027F3A06"/>
    <w:rsid w:val="029108A9"/>
    <w:rsid w:val="0295277A"/>
    <w:rsid w:val="02954528"/>
    <w:rsid w:val="029C3B08"/>
    <w:rsid w:val="02A227A1"/>
    <w:rsid w:val="02B32C00"/>
    <w:rsid w:val="02BA21E0"/>
    <w:rsid w:val="02C170CB"/>
    <w:rsid w:val="02CD5A6F"/>
    <w:rsid w:val="02D45050"/>
    <w:rsid w:val="02DA018C"/>
    <w:rsid w:val="02E903CF"/>
    <w:rsid w:val="02EE3C38"/>
    <w:rsid w:val="02EF5CDD"/>
    <w:rsid w:val="02F54FC6"/>
    <w:rsid w:val="02FE031F"/>
    <w:rsid w:val="0301396B"/>
    <w:rsid w:val="03045209"/>
    <w:rsid w:val="03062D2F"/>
    <w:rsid w:val="030D40BE"/>
    <w:rsid w:val="03192A63"/>
    <w:rsid w:val="031A4A2D"/>
    <w:rsid w:val="031A67DB"/>
    <w:rsid w:val="03215DBB"/>
    <w:rsid w:val="03217B69"/>
    <w:rsid w:val="032633D2"/>
    <w:rsid w:val="0328539C"/>
    <w:rsid w:val="0328714A"/>
    <w:rsid w:val="032D650E"/>
    <w:rsid w:val="03321D76"/>
    <w:rsid w:val="03351867"/>
    <w:rsid w:val="03353615"/>
    <w:rsid w:val="03465822"/>
    <w:rsid w:val="034F46D6"/>
    <w:rsid w:val="035241C7"/>
    <w:rsid w:val="03555A65"/>
    <w:rsid w:val="035E700F"/>
    <w:rsid w:val="036F2FCB"/>
    <w:rsid w:val="03724869"/>
    <w:rsid w:val="037405E1"/>
    <w:rsid w:val="03782B4D"/>
    <w:rsid w:val="037979A5"/>
    <w:rsid w:val="037B54CB"/>
    <w:rsid w:val="0383077C"/>
    <w:rsid w:val="03847539"/>
    <w:rsid w:val="03863E70"/>
    <w:rsid w:val="038C592B"/>
    <w:rsid w:val="03914CEF"/>
    <w:rsid w:val="03920A67"/>
    <w:rsid w:val="03990047"/>
    <w:rsid w:val="039B3DC0"/>
    <w:rsid w:val="03AC1C47"/>
    <w:rsid w:val="03AC38D7"/>
    <w:rsid w:val="03B409DD"/>
    <w:rsid w:val="03B60BF9"/>
    <w:rsid w:val="03C055D4"/>
    <w:rsid w:val="03C54999"/>
    <w:rsid w:val="03C70711"/>
    <w:rsid w:val="03CC3F79"/>
    <w:rsid w:val="03D1333D"/>
    <w:rsid w:val="03D66BA6"/>
    <w:rsid w:val="03D90444"/>
    <w:rsid w:val="03DD7F34"/>
    <w:rsid w:val="03E2379C"/>
    <w:rsid w:val="03E5503B"/>
    <w:rsid w:val="03EE02F4"/>
    <w:rsid w:val="03F41C04"/>
    <w:rsid w:val="03FA6D38"/>
    <w:rsid w:val="03FB485E"/>
    <w:rsid w:val="04091C6F"/>
    <w:rsid w:val="04096F7B"/>
    <w:rsid w:val="040E3C03"/>
    <w:rsid w:val="040E4592"/>
    <w:rsid w:val="04117BDE"/>
    <w:rsid w:val="041476CE"/>
    <w:rsid w:val="041627DB"/>
    <w:rsid w:val="041B0A5C"/>
    <w:rsid w:val="04205325"/>
    <w:rsid w:val="0422003D"/>
    <w:rsid w:val="04227417"/>
    <w:rsid w:val="042711AF"/>
    <w:rsid w:val="04441D61"/>
    <w:rsid w:val="04473600"/>
    <w:rsid w:val="044C330C"/>
    <w:rsid w:val="044E6387"/>
    <w:rsid w:val="04543C07"/>
    <w:rsid w:val="0457091C"/>
    <w:rsid w:val="045F4DED"/>
    <w:rsid w:val="04651CD8"/>
    <w:rsid w:val="046917C8"/>
    <w:rsid w:val="046C3066"/>
    <w:rsid w:val="04730898"/>
    <w:rsid w:val="04754611"/>
    <w:rsid w:val="047F723D"/>
    <w:rsid w:val="04842AA6"/>
    <w:rsid w:val="04891E6A"/>
    <w:rsid w:val="0495080F"/>
    <w:rsid w:val="049C1B9D"/>
    <w:rsid w:val="049D5915"/>
    <w:rsid w:val="049F51EA"/>
    <w:rsid w:val="04B05649"/>
    <w:rsid w:val="04B52C5F"/>
    <w:rsid w:val="04BC5D9C"/>
    <w:rsid w:val="04BE5FB8"/>
    <w:rsid w:val="04BF3ADE"/>
    <w:rsid w:val="04BF763A"/>
    <w:rsid w:val="04C048E2"/>
    <w:rsid w:val="04C42EA2"/>
    <w:rsid w:val="04C64E6C"/>
    <w:rsid w:val="04C74740"/>
    <w:rsid w:val="04D550AF"/>
    <w:rsid w:val="04DD5D12"/>
    <w:rsid w:val="04E62E18"/>
    <w:rsid w:val="04F33787"/>
    <w:rsid w:val="04FE4606"/>
    <w:rsid w:val="05007303"/>
    <w:rsid w:val="05025778"/>
    <w:rsid w:val="050B17DB"/>
    <w:rsid w:val="050D2A9B"/>
    <w:rsid w:val="050D65F7"/>
    <w:rsid w:val="050F05C1"/>
    <w:rsid w:val="05143E2A"/>
    <w:rsid w:val="05151950"/>
    <w:rsid w:val="051A51B8"/>
    <w:rsid w:val="05213046"/>
    <w:rsid w:val="05300538"/>
    <w:rsid w:val="053022E6"/>
    <w:rsid w:val="05341E77"/>
    <w:rsid w:val="05355B4E"/>
    <w:rsid w:val="0539593F"/>
    <w:rsid w:val="053B7608"/>
    <w:rsid w:val="053F077B"/>
    <w:rsid w:val="053F69CD"/>
    <w:rsid w:val="054144F3"/>
    <w:rsid w:val="0543026B"/>
    <w:rsid w:val="05432019"/>
    <w:rsid w:val="054B5371"/>
    <w:rsid w:val="054F4E62"/>
    <w:rsid w:val="05502988"/>
    <w:rsid w:val="0552282F"/>
    <w:rsid w:val="05575AC4"/>
    <w:rsid w:val="056401E1"/>
    <w:rsid w:val="05697625"/>
    <w:rsid w:val="056A0AB5"/>
    <w:rsid w:val="056D353A"/>
    <w:rsid w:val="05740424"/>
    <w:rsid w:val="0575419C"/>
    <w:rsid w:val="05790131"/>
    <w:rsid w:val="058014BF"/>
    <w:rsid w:val="05834B0B"/>
    <w:rsid w:val="058954CE"/>
    <w:rsid w:val="058B39C0"/>
    <w:rsid w:val="05920F04"/>
    <w:rsid w:val="05A07941"/>
    <w:rsid w:val="05A827C4"/>
    <w:rsid w:val="05B253F0"/>
    <w:rsid w:val="05BB24F7"/>
    <w:rsid w:val="05BD220F"/>
    <w:rsid w:val="05C07B0D"/>
    <w:rsid w:val="05C649F8"/>
    <w:rsid w:val="05CD3091"/>
    <w:rsid w:val="05D15877"/>
    <w:rsid w:val="05D830A9"/>
    <w:rsid w:val="05E01F5E"/>
    <w:rsid w:val="05E11832"/>
    <w:rsid w:val="05E27A84"/>
    <w:rsid w:val="05E732EC"/>
    <w:rsid w:val="05E82BC0"/>
    <w:rsid w:val="05F02CD2"/>
    <w:rsid w:val="05F94DCD"/>
    <w:rsid w:val="05FE0636"/>
    <w:rsid w:val="0600615C"/>
    <w:rsid w:val="06020126"/>
    <w:rsid w:val="06023C82"/>
    <w:rsid w:val="060A2B37"/>
    <w:rsid w:val="060D2627"/>
    <w:rsid w:val="060F0A51"/>
    <w:rsid w:val="060F2843"/>
    <w:rsid w:val="06127C3D"/>
    <w:rsid w:val="06135E8F"/>
    <w:rsid w:val="06163BD1"/>
    <w:rsid w:val="0616772D"/>
    <w:rsid w:val="061F2A86"/>
    <w:rsid w:val="062260D2"/>
    <w:rsid w:val="062C0CFF"/>
    <w:rsid w:val="06377E97"/>
    <w:rsid w:val="063A78C0"/>
    <w:rsid w:val="064222D0"/>
    <w:rsid w:val="06426774"/>
    <w:rsid w:val="06451DC1"/>
    <w:rsid w:val="06454043"/>
    <w:rsid w:val="064C75F3"/>
    <w:rsid w:val="065169B7"/>
    <w:rsid w:val="06551630"/>
    <w:rsid w:val="06565D7C"/>
    <w:rsid w:val="065B15E4"/>
    <w:rsid w:val="065B2521"/>
    <w:rsid w:val="06624721"/>
    <w:rsid w:val="06652463"/>
    <w:rsid w:val="066C559F"/>
    <w:rsid w:val="066E57BB"/>
    <w:rsid w:val="0676069E"/>
    <w:rsid w:val="06782196"/>
    <w:rsid w:val="067B1C86"/>
    <w:rsid w:val="067B3A34"/>
    <w:rsid w:val="06813928"/>
    <w:rsid w:val="068B1EC9"/>
    <w:rsid w:val="068E314F"/>
    <w:rsid w:val="06905732"/>
    <w:rsid w:val="069468A4"/>
    <w:rsid w:val="0696086E"/>
    <w:rsid w:val="069B5E85"/>
    <w:rsid w:val="06A765D7"/>
    <w:rsid w:val="06B414BA"/>
    <w:rsid w:val="06C47189"/>
    <w:rsid w:val="06D33870"/>
    <w:rsid w:val="06D575E9"/>
    <w:rsid w:val="06D80E87"/>
    <w:rsid w:val="06D849E3"/>
    <w:rsid w:val="06E15F8D"/>
    <w:rsid w:val="06E17D3B"/>
    <w:rsid w:val="06E37736"/>
    <w:rsid w:val="06FC4B75"/>
    <w:rsid w:val="070E6657"/>
    <w:rsid w:val="071F2612"/>
    <w:rsid w:val="072569AA"/>
    <w:rsid w:val="07283BBC"/>
    <w:rsid w:val="073267E9"/>
    <w:rsid w:val="0744651C"/>
    <w:rsid w:val="0748600C"/>
    <w:rsid w:val="074A1D85"/>
    <w:rsid w:val="07550729"/>
    <w:rsid w:val="07571DAC"/>
    <w:rsid w:val="075F6EB2"/>
    <w:rsid w:val="07603356"/>
    <w:rsid w:val="076369A2"/>
    <w:rsid w:val="07702E6D"/>
    <w:rsid w:val="07754928"/>
    <w:rsid w:val="07797F74"/>
    <w:rsid w:val="077E1A2E"/>
    <w:rsid w:val="077E37DC"/>
    <w:rsid w:val="0788465B"/>
    <w:rsid w:val="078B5EF9"/>
    <w:rsid w:val="078D2A34"/>
    <w:rsid w:val="0790350F"/>
    <w:rsid w:val="079324B8"/>
    <w:rsid w:val="07972AF0"/>
    <w:rsid w:val="079F3753"/>
    <w:rsid w:val="07A11279"/>
    <w:rsid w:val="07A64AE1"/>
    <w:rsid w:val="07A86CEA"/>
    <w:rsid w:val="07B92A66"/>
    <w:rsid w:val="07B96B99"/>
    <w:rsid w:val="07BE62CF"/>
    <w:rsid w:val="07C54232"/>
    <w:rsid w:val="07CA4691"/>
    <w:rsid w:val="07CD6512"/>
    <w:rsid w:val="07CF228A"/>
    <w:rsid w:val="07D01B5E"/>
    <w:rsid w:val="07D16002"/>
    <w:rsid w:val="07D7113E"/>
    <w:rsid w:val="07D75CBB"/>
    <w:rsid w:val="07D96C64"/>
    <w:rsid w:val="07E3578E"/>
    <w:rsid w:val="07EF6488"/>
    <w:rsid w:val="07F4584C"/>
    <w:rsid w:val="07F817E1"/>
    <w:rsid w:val="07F92F02"/>
    <w:rsid w:val="080041F1"/>
    <w:rsid w:val="08014E19"/>
    <w:rsid w:val="08033CE1"/>
    <w:rsid w:val="080C703A"/>
    <w:rsid w:val="080D690E"/>
    <w:rsid w:val="080F2686"/>
    <w:rsid w:val="081859DF"/>
    <w:rsid w:val="081D2FF5"/>
    <w:rsid w:val="08202AE5"/>
    <w:rsid w:val="082A74C0"/>
    <w:rsid w:val="082D0D5E"/>
    <w:rsid w:val="08393BA7"/>
    <w:rsid w:val="083E2F6B"/>
    <w:rsid w:val="08430582"/>
    <w:rsid w:val="08432C65"/>
    <w:rsid w:val="084836F6"/>
    <w:rsid w:val="08491FD0"/>
    <w:rsid w:val="085A5FF7"/>
    <w:rsid w:val="08602EE2"/>
    <w:rsid w:val="08611C36"/>
    <w:rsid w:val="086C5D2B"/>
    <w:rsid w:val="086F75C9"/>
    <w:rsid w:val="08712E62"/>
    <w:rsid w:val="087150EF"/>
    <w:rsid w:val="087370B9"/>
    <w:rsid w:val="088272FC"/>
    <w:rsid w:val="08850B9A"/>
    <w:rsid w:val="08907C6B"/>
    <w:rsid w:val="08951775"/>
    <w:rsid w:val="089A4646"/>
    <w:rsid w:val="089B216C"/>
    <w:rsid w:val="08A54D99"/>
    <w:rsid w:val="08DD2784"/>
    <w:rsid w:val="08F17FDE"/>
    <w:rsid w:val="08F24482"/>
    <w:rsid w:val="08F301FA"/>
    <w:rsid w:val="08F40EEB"/>
    <w:rsid w:val="08FA50E4"/>
    <w:rsid w:val="08FF6B9F"/>
    <w:rsid w:val="09017684"/>
    <w:rsid w:val="09093579"/>
    <w:rsid w:val="091A12E3"/>
    <w:rsid w:val="091C163A"/>
    <w:rsid w:val="091D7025"/>
    <w:rsid w:val="091F2D9D"/>
    <w:rsid w:val="09287EA3"/>
    <w:rsid w:val="09297778"/>
    <w:rsid w:val="092E2FE0"/>
    <w:rsid w:val="09306F24"/>
    <w:rsid w:val="093F51ED"/>
    <w:rsid w:val="094840A2"/>
    <w:rsid w:val="094D16B8"/>
    <w:rsid w:val="094D790A"/>
    <w:rsid w:val="09524F20"/>
    <w:rsid w:val="09554A11"/>
    <w:rsid w:val="095567BF"/>
    <w:rsid w:val="09572537"/>
    <w:rsid w:val="095962AF"/>
    <w:rsid w:val="095C5D9F"/>
    <w:rsid w:val="095F13EB"/>
    <w:rsid w:val="095F763D"/>
    <w:rsid w:val="096133B5"/>
    <w:rsid w:val="096B7D90"/>
    <w:rsid w:val="097924AD"/>
    <w:rsid w:val="097E3F67"/>
    <w:rsid w:val="097F04D1"/>
    <w:rsid w:val="098175B4"/>
    <w:rsid w:val="098826F0"/>
    <w:rsid w:val="0992531D"/>
    <w:rsid w:val="0993176D"/>
    <w:rsid w:val="0995305F"/>
    <w:rsid w:val="09A514F4"/>
    <w:rsid w:val="09B01C47"/>
    <w:rsid w:val="09B4447A"/>
    <w:rsid w:val="09B94F9F"/>
    <w:rsid w:val="09C53944"/>
    <w:rsid w:val="09E65669"/>
    <w:rsid w:val="09E85885"/>
    <w:rsid w:val="09EA5816"/>
    <w:rsid w:val="09EF451D"/>
    <w:rsid w:val="09F63AFE"/>
    <w:rsid w:val="09FB1114"/>
    <w:rsid w:val="0A026946"/>
    <w:rsid w:val="0A0501E5"/>
    <w:rsid w:val="0A081A83"/>
    <w:rsid w:val="0A0D52EB"/>
    <w:rsid w:val="0A0F2E11"/>
    <w:rsid w:val="0A110938"/>
    <w:rsid w:val="0A1641A0"/>
    <w:rsid w:val="0A193C90"/>
    <w:rsid w:val="0A1D5CB7"/>
    <w:rsid w:val="0A2F0DBE"/>
    <w:rsid w:val="0A375EC4"/>
    <w:rsid w:val="0A3B59B5"/>
    <w:rsid w:val="0A3E36F7"/>
    <w:rsid w:val="0A402FCB"/>
    <w:rsid w:val="0A426D43"/>
    <w:rsid w:val="0A4D7496"/>
    <w:rsid w:val="0A5922DF"/>
    <w:rsid w:val="0A5D1DCF"/>
    <w:rsid w:val="0A6F1B02"/>
    <w:rsid w:val="0A70061F"/>
    <w:rsid w:val="0A73246A"/>
    <w:rsid w:val="0A786C09"/>
    <w:rsid w:val="0A7945D4"/>
    <w:rsid w:val="0A79472F"/>
    <w:rsid w:val="0A7964DD"/>
    <w:rsid w:val="0A981059"/>
    <w:rsid w:val="0A9A6B7F"/>
    <w:rsid w:val="0AA51080"/>
    <w:rsid w:val="0AA55F2A"/>
    <w:rsid w:val="0AAD755F"/>
    <w:rsid w:val="0AAF1EFF"/>
    <w:rsid w:val="0ABB6AF5"/>
    <w:rsid w:val="0AC0410C"/>
    <w:rsid w:val="0AC41E4E"/>
    <w:rsid w:val="0AC91212"/>
    <w:rsid w:val="0ACE28E8"/>
    <w:rsid w:val="0ADB7197"/>
    <w:rsid w:val="0ADD4CBE"/>
    <w:rsid w:val="0AEA2F37"/>
    <w:rsid w:val="0AF02C43"/>
    <w:rsid w:val="0AF049F1"/>
    <w:rsid w:val="0AF10769"/>
    <w:rsid w:val="0AF357C2"/>
    <w:rsid w:val="0B024724"/>
    <w:rsid w:val="0B09160F"/>
    <w:rsid w:val="0B097861"/>
    <w:rsid w:val="0B0E131B"/>
    <w:rsid w:val="0B13248D"/>
    <w:rsid w:val="0B1701D0"/>
    <w:rsid w:val="0B1B1342"/>
    <w:rsid w:val="0B1B7594"/>
    <w:rsid w:val="0B1E4F61"/>
    <w:rsid w:val="0B272091"/>
    <w:rsid w:val="0B293A5F"/>
    <w:rsid w:val="0B2C354F"/>
    <w:rsid w:val="0B3A2110"/>
    <w:rsid w:val="0B3A5C6C"/>
    <w:rsid w:val="0B3D750A"/>
    <w:rsid w:val="0B420FC5"/>
    <w:rsid w:val="0B46416C"/>
    <w:rsid w:val="0B4D1E43"/>
    <w:rsid w:val="0B5605CC"/>
    <w:rsid w:val="0B574A70"/>
    <w:rsid w:val="0B6C09CE"/>
    <w:rsid w:val="0B776EC0"/>
    <w:rsid w:val="0B7A075E"/>
    <w:rsid w:val="0B8415DD"/>
    <w:rsid w:val="0B887EEE"/>
    <w:rsid w:val="0B931985"/>
    <w:rsid w:val="0B957346"/>
    <w:rsid w:val="0B9A2BAF"/>
    <w:rsid w:val="0B9D61FB"/>
    <w:rsid w:val="0B9F01C5"/>
    <w:rsid w:val="0BA47589"/>
    <w:rsid w:val="0BB93035"/>
    <w:rsid w:val="0BBE689D"/>
    <w:rsid w:val="0BC419DA"/>
    <w:rsid w:val="0BCA3244"/>
    <w:rsid w:val="0BCB0FBA"/>
    <w:rsid w:val="0BCD4D32"/>
    <w:rsid w:val="0BD061CE"/>
    <w:rsid w:val="0BD240F7"/>
    <w:rsid w:val="0BD936D7"/>
    <w:rsid w:val="0BDA11FD"/>
    <w:rsid w:val="0BDA2FAB"/>
    <w:rsid w:val="0BDC31C7"/>
    <w:rsid w:val="0BE429B8"/>
    <w:rsid w:val="0BE45BD8"/>
    <w:rsid w:val="0BEB51B8"/>
    <w:rsid w:val="0BEC70D3"/>
    <w:rsid w:val="0BEF4CA9"/>
    <w:rsid w:val="0BF00A21"/>
    <w:rsid w:val="0BF91683"/>
    <w:rsid w:val="0BFA7A74"/>
    <w:rsid w:val="0BFE6C9A"/>
    <w:rsid w:val="0C0149DC"/>
    <w:rsid w:val="0C040028"/>
    <w:rsid w:val="0C0A3890"/>
    <w:rsid w:val="0C0B585A"/>
    <w:rsid w:val="0C0C6656"/>
    <w:rsid w:val="0C120997"/>
    <w:rsid w:val="0C126BE9"/>
    <w:rsid w:val="0C14470F"/>
    <w:rsid w:val="0C1B4A4E"/>
    <w:rsid w:val="0C1C35C4"/>
    <w:rsid w:val="0C22507E"/>
    <w:rsid w:val="0C264442"/>
    <w:rsid w:val="0C28640C"/>
    <w:rsid w:val="0C2D57D1"/>
    <w:rsid w:val="0C300E1D"/>
    <w:rsid w:val="0C34090D"/>
    <w:rsid w:val="0C35159A"/>
    <w:rsid w:val="0C443F22"/>
    <w:rsid w:val="0C460641"/>
    <w:rsid w:val="0C4843B9"/>
    <w:rsid w:val="0C4B5C57"/>
    <w:rsid w:val="0C4D19CF"/>
    <w:rsid w:val="0C5114BF"/>
    <w:rsid w:val="0C5B40EC"/>
    <w:rsid w:val="0C5F718D"/>
    <w:rsid w:val="0C676F35"/>
    <w:rsid w:val="0C6A2581"/>
    <w:rsid w:val="0C7156BE"/>
    <w:rsid w:val="0C7D22B4"/>
    <w:rsid w:val="0C7F1621"/>
    <w:rsid w:val="0C846CD5"/>
    <w:rsid w:val="0C880C59"/>
    <w:rsid w:val="0C882A07"/>
    <w:rsid w:val="0C8D0F7C"/>
    <w:rsid w:val="0C970E9C"/>
    <w:rsid w:val="0CA05FA3"/>
    <w:rsid w:val="0CA466A3"/>
    <w:rsid w:val="0CA57A5D"/>
    <w:rsid w:val="0CA710DF"/>
    <w:rsid w:val="0CAA6B80"/>
    <w:rsid w:val="0CB97065"/>
    <w:rsid w:val="0CBE28CD"/>
    <w:rsid w:val="0CC04897"/>
    <w:rsid w:val="0CC7352F"/>
    <w:rsid w:val="0CCF6888"/>
    <w:rsid w:val="0CD21ED4"/>
    <w:rsid w:val="0CD36378"/>
    <w:rsid w:val="0CD45C4C"/>
    <w:rsid w:val="0CDA7707"/>
    <w:rsid w:val="0CDD71F7"/>
    <w:rsid w:val="0CE642FD"/>
    <w:rsid w:val="0CF34325"/>
    <w:rsid w:val="0CF63E15"/>
    <w:rsid w:val="0CFB142B"/>
    <w:rsid w:val="0CFB767D"/>
    <w:rsid w:val="0D054058"/>
    <w:rsid w:val="0D074274"/>
    <w:rsid w:val="0D091D9A"/>
    <w:rsid w:val="0D116EA1"/>
    <w:rsid w:val="0D1424ED"/>
    <w:rsid w:val="0D2564A8"/>
    <w:rsid w:val="0D3A01A5"/>
    <w:rsid w:val="0D3F3A0E"/>
    <w:rsid w:val="0D4234FE"/>
    <w:rsid w:val="0D4508F8"/>
    <w:rsid w:val="0D4B23B2"/>
    <w:rsid w:val="0D5154EF"/>
    <w:rsid w:val="0D5A25F6"/>
    <w:rsid w:val="0D613984"/>
    <w:rsid w:val="0D674D12"/>
    <w:rsid w:val="0D685587"/>
    <w:rsid w:val="0D7501A0"/>
    <w:rsid w:val="0D7A4A46"/>
    <w:rsid w:val="0D817B82"/>
    <w:rsid w:val="0D832544"/>
    <w:rsid w:val="0D876BC0"/>
    <w:rsid w:val="0D8B758F"/>
    <w:rsid w:val="0D944959"/>
    <w:rsid w:val="0D9D24E2"/>
    <w:rsid w:val="0D9F26FE"/>
    <w:rsid w:val="0DA015BB"/>
    <w:rsid w:val="0DA27AF9"/>
    <w:rsid w:val="0DA61A3C"/>
    <w:rsid w:val="0DA75F99"/>
    <w:rsid w:val="0DB717F6"/>
    <w:rsid w:val="0DBA3094"/>
    <w:rsid w:val="0DBE2B84"/>
    <w:rsid w:val="0DC363ED"/>
    <w:rsid w:val="0DC539CC"/>
    <w:rsid w:val="0DCF2D63"/>
    <w:rsid w:val="0DD04666"/>
    <w:rsid w:val="0DD203DE"/>
    <w:rsid w:val="0DD46331"/>
    <w:rsid w:val="0DD8176C"/>
    <w:rsid w:val="0DE140E3"/>
    <w:rsid w:val="0DE3083D"/>
    <w:rsid w:val="0DE440BD"/>
    <w:rsid w:val="0DE97FB1"/>
    <w:rsid w:val="0DF77E44"/>
    <w:rsid w:val="0DFA5B87"/>
    <w:rsid w:val="0DFB23C6"/>
    <w:rsid w:val="0E0407B3"/>
    <w:rsid w:val="0E07353A"/>
    <w:rsid w:val="0E0D7668"/>
    <w:rsid w:val="0E19600D"/>
    <w:rsid w:val="0E250E55"/>
    <w:rsid w:val="0E302379"/>
    <w:rsid w:val="0E3270CE"/>
    <w:rsid w:val="0E33255C"/>
    <w:rsid w:val="0E456E02"/>
    <w:rsid w:val="0E472F86"/>
    <w:rsid w:val="0E5005EE"/>
    <w:rsid w:val="0E5B6625"/>
    <w:rsid w:val="0E5E7EC3"/>
    <w:rsid w:val="0E707BF7"/>
    <w:rsid w:val="0E71409B"/>
    <w:rsid w:val="0E745939"/>
    <w:rsid w:val="0E947D89"/>
    <w:rsid w:val="0E981627"/>
    <w:rsid w:val="0EB421D9"/>
    <w:rsid w:val="0EB5630C"/>
    <w:rsid w:val="0EB6385C"/>
    <w:rsid w:val="0EC73CBB"/>
    <w:rsid w:val="0EE228A3"/>
    <w:rsid w:val="0EE77EB9"/>
    <w:rsid w:val="0EED1247"/>
    <w:rsid w:val="0EF645A0"/>
    <w:rsid w:val="0EFB1BB6"/>
    <w:rsid w:val="0EFD76DC"/>
    <w:rsid w:val="0EFE3455"/>
    <w:rsid w:val="0F00541F"/>
    <w:rsid w:val="0F0C3DC3"/>
    <w:rsid w:val="0F0D5446"/>
    <w:rsid w:val="0F0F7410"/>
    <w:rsid w:val="0F1113DA"/>
    <w:rsid w:val="0F136F00"/>
    <w:rsid w:val="0F1862C4"/>
    <w:rsid w:val="0F2509E1"/>
    <w:rsid w:val="0F274759"/>
    <w:rsid w:val="0F3330FE"/>
    <w:rsid w:val="0F36499C"/>
    <w:rsid w:val="0F3D5D2B"/>
    <w:rsid w:val="0F44530B"/>
    <w:rsid w:val="0F4E618A"/>
    <w:rsid w:val="0F4F5A5E"/>
    <w:rsid w:val="0F56503F"/>
    <w:rsid w:val="0F580DB7"/>
    <w:rsid w:val="0F59068B"/>
    <w:rsid w:val="0F625791"/>
    <w:rsid w:val="0F630EA8"/>
    <w:rsid w:val="0F657030"/>
    <w:rsid w:val="0F6A2898"/>
    <w:rsid w:val="0F6C6610"/>
    <w:rsid w:val="0F6E2388"/>
    <w:rsid w:val="0F786D63"/>
    <w:rsid w:val="0F7F6343"/>
    <w:rsid w:val="0F827BE2"/>
    <w:rsid w:val="0F8E47D8"/>
    <w:rsid w:val="0F953DB9"/>
    <w:rsid w:val="0F953F6E"/>
    <w:rsid w:val="0F9A317D"/>
    <w:rsid w:val="0F9C5147"/>
    <w:rsid w:val="0FA61B22"/>
    <w:rsid w:val="0FA638D0"/>
    <w:rsid w:val="0FAD1102"/>
    <w:rsid w:val="0FB029A1"/>
    <w:rsid w:val="0FB35ED0"/>
    <w:rsid w:val="0FB81855"/>
    <w:rsid w:val="0FB87AA7"/>
    <w:rsid w:val="0FBA55CD"/>
    <w:rsid w:val="0FBA737B"/>
    <w:rsid w:val="0FC63F72"/>
    <w:rsid w:val="0FCB77DB"/>
    <w:rsid w:val="0FCF7D7A"/>
    <w:rsid w:val="0FD3043D"/>
    <w:rsid w:val="0FDC5544"/>
    <w:rsid w:val="0FE12B5A"/>
    <w:rsid w:val="0FED59A3"/>
    <w:rsid w:val="0FEE5277"/>
    <w:rsid w:val="0FF91678"/>
    <w:rsid w:val="0FFA7A32"/>
    <w:rsid w:val="0FFE195E"/>
    <w:rsid w:val="10023AD4"/>
    <w:rsid w:val="100827DD"/>
    <w:rsid w:val="100D394F"/>
    <w:rsid w:val="100D4AC2"/>
    <w:rsid w:val="10156CA8"/>
    <w:rsid w:val="101C1DE4"/>
    <w:rsid w:val="101E3DAE"/>
    <w:rsid w:val="102313C5"/>
    <w:rsid w:val="10234F21"/>
    <w:rsid w:val="102D5D9F"/>
    <w:rsid w:val="102E1B18"/>
    <w:rsid w:val="1030763E"/>
    <w:rsid w:val="10345380"/>
    <w:rsid w:val="103A04BC"/>
    <w:rsid w:val="103A4249"/>
    <w:rsid w:val="103B4960"/>
    <w:rsid w:val="10402ABE"/>
    <w:rsid w:val="10433815"/>
    <w:rsid w:val="10437371"/>
    <w:rsid w:val="104430E9"/>
    <w:rsid w:val="1045133B"/>
    <w:rsid w:val="104533D0"/>
    <w:rsid w:val="10463305"/>
    <w:rsid w:val="10484987"/>
    <w:rsid w:val="104C786B"/>
    <w:rsid w:val="1054157E"/>
    <w:rsid w:val="105552F6"/>
    <w:rsid w:val="105772C0"/>
    <w:rsid w:val="10606175"/>
    <w:rsid w:val="10611EED"/>
    <w:rsid w:val="10634E18"/>
    <w:rsid w:val="106477BA"/>
    <w:rsid w:val="10710382"/>
    <w:rsid w:val="107514F4"/>
    <w:rsid w:val="107870C0"/>
    <w:rsid w:val="1081433D"/>
    <w:rsid w:val="108160EB"/>
    <w:rsid w:val="108A4FA0"/>
    <w:rsid w:val="109122EB"/>
    <w:rsid w:val="10945E1E"/>
    <w:rsid w:val="10953945"/>
    <w:rsid w:val="109764CF"/>
    <w:rsid w:val="109951E3"/>
    <w:rsid w:val="109A3B9B"/>
    <w:rsid w:val="109D1177"/>
    <w:rsid w:val="10A1053B"/>
    <w:rsid w:val="10A5002C"/>
    <w:rsid w:val="10A71125"/>
    <w:rsid w:val="10B043A5"/>
    <w:rsid w:val="10B4201D"/>
    <w:rsid w:val="10BE733F"/>
    <w:rsid w:val="10C1473A"/>
    <w:rsid w:val="10C83D1A"/>
    <w:rsid w:val="10CC380A"/>
    <w:rsid w:val="10DE709A"/>
    <w:rsid w:val="10E24DDC"/>
    <w:rsid w:val="10EA3C90"/>
    <w:rsid w:val="10EA5A3E"/>
    <w:rsid w:val="10FB7C4C"/>
    <w:rsid w:val="11020FDA"/>
    <w:rsid w:val="11024BFB"/>
    <w:rsid w:val="11062CBA"/>
    <w:rsid w:val="110805BA"/>
    <w:rsid w:val="11082369"/>
    <w:rsid w:val="110C3C07"/>
    <w:rsid w:val="11150F0E"/>
    <w:rsid w:val="11160F29"/>
    <w:rsid w:val="111807FE"/>
    <w:rsid w:val="111A4579"/>
    <w:rsid w:val="111C2B53"/>
    <w:rsid w:val="1122167C"/>
    <w:rsid w:val="1129001A"/>
    <w:rsid w:val="11423ACC"/>
    <w:rsid w:val="11472E91"/>
    <w:rsid w:val="11513D10"/>
    <w:rsid w:val="11592BC4"/>
    <w:rsid w:val="115E01DA"/>
    <w:rsid w:val="116457F1"/>
    <w:rsid w:val="116E041E"/>
    <w:rsid w:val="1173012A"/>
    <w:rsid w:val="1178129C"/>
    <w:rsid w:val="117A14B8"/>
    <w:rsid w:val="11800378"/>
    <w:rsid w:val="11847C41"/>
    <w:rsid w:val="11875983"/>
    <w:rsid w:val="11902A8A"/>
    <w:rsid w:val="11934328"/>
    <w:rsid w:val="11A007F3"/>
    <w:rsid w:val="11A71B81"/>
    <w:rsid w:val="11A7392F"/>
    <w:rsid w:val="11B322D4"/>
    <w:rsid w:val="11BA18B5"/>
    <w:rsid w:val="11C10E95"/>
    <w:rsid w:val="11D64215"/>
    <w:rsid w:val="11DA1F57"/>
    <w:rsid w:val="11E3705D"/>
    <w:rsid w:val="11E9219A"/>
    <w:rsid w:val="11FE3E97"/>
    <w:rsid w:val="12015736"/>
    <w:rsid w:val="12107727"/>
    <w:rsid w:val="12307DC9"/>
    <w:rsid w:val="123D6042"/>
    <w:rsid w:val="123E0181"/>
    <w:rsid w:val="123F000C"/>
    <w:rsid w:val="124318AA"/>
    <w:rsid w:val="12435D4E"/>
    <w:rsid w:val="12463148"/>
    <w:rsid w:val="12485112"/>
    <w:rsid w:val="12541D09"/>
    <w:rsid w:val="125E66E4"/>
    <w:rsid w:val="12623510"/>
    <w:rsid w:val="126D4B79"/>
    <w:rsid w:val="126D7900"/>
    <w:rsid w:val="126E269F"/>
    <w:rsid w:val="126F3EC0"/>
    <w:rsid w:val="127204A3"/>
    <w:rsid w:val="12747CB6"/>
    <w:rsid w:val="12753A2E"/>
    <w:rsid w:val="12776593"/>
    <w:rsid w:val="127A7296"/>
    <w:rsid w:val="127F665A"/>
    <w:rsid w:val="12802AFE"/>
    <w:rsid w:val="12883761"/>
    <w:rsid w:val="1288550F"/>
    <w:rsid w:val="12925110"/>
    <w:rsid w:val="129C0FBA"/>
    <w:rsid w:val="12AD766B"/>
    <w:rsid w:val="12BB3B36"/>
    <w:rsid w:val="12BC165D"/>
    <w:rsid w:val="12C30F2B"/>
    <w:rsid w:val="12C7072D"/>
    <w:rsid w:val="12CD1ABC"/>
    <w:rsid w:val="12D4409A"/>
    <w:rsid w:val="12D544CC"/>
    <w:rsid w:val="12D6271E"/>
    <w:rsid w:val="12E0534B"/>
    <w:rsid w:val="12EA7F78"/>
    <w:rsid w:val="12ED1816"/>
    <w:rsid w:val="12F11306"/>
    <w:rsid w:val="12F157AA"/>
    <w:rsid w:val="12F232D0"/>
    <w:rsid w:val="12F42BA4"/>
    <w:rsid w:val="12FC7CAB"/>
    <w:rsid w:val="12FD414F"/>
    <w:rsid w:val="12FE7EC7"/>
    <w:rsid w:val="1309024B"/>
    <w:rsid w:val="130F5C30"/>
    <w:rsid w:val="13165211"/>
    <w:rsid w:val="1319260B"/>
    <w:rsid w:val="131B45D5"/>
    <w:rsid w:val="13201BEB"/>
    <w:rsid w:val="1326387E"/>
    <w:rsid w:val="132B3BA8"/>
    <w:rsid w:val="132C6AC6"/>
    <w:rsid w:val="13347445"/>
    <w:rsid w:val="133D02CB"/>
    <w:rsid w:val="13405DEA"/>
    <w:rsid w:val="134358DA"/>
    <w:rsid w:val="134E49AB"/>
    <w:rsid w:val="1356385F"/>
    <w:rsid w:val="135B70C7"/>
    <w:rsid w:val="135D2E40"/>
    <w:rsid w:val="135D699C"/>
    <w:rsid w:val="135E4911"/>
    <w:rsid w:val="1360648C"/>
    <w:rsid w:val="13620456"/>
    <w:rsid w:val="136441CE"/>
    <w:rsid w:val="136E0BA9"/>
    <w:rsid w:val="136E6DFB"/>
    <w:rsid w:val="13702B73"/>
    <w:rsid w:val="137D5290"/>
    <w:rsid w:val="138D3DF0"/>
    <w:rsid w:val="138E4DA7"/>
    <w:rsid w:val="13906D71"/>
    <w:rsid w:val="139A199E"/>
    <w:rsid w:val="139F5206"/>
    <w:rsid w:val="13A02D2C"/>
    <w:rsid w:val="13A22600"/>
    <w:rsid w:val="13A26AA4"/>
    <w:rsid w:val="13A31C56"/>
    <w:rsid w:val="13A4281C"/>
    <w:rsid w:val="13A55415"/>
    <w:rsid w:val="13AF2F6F"/>
    <w:rsid w:val="13AF4D1D"/>
    <w:rsid w:val="13B62550"/>
    <w:rsid w:val="13B642FE"/>
    <w:rsid w:val="13BA5B9C"/>
    <w:rsid w:val="13BC5DB8"/>
    <w:rsid w:val="13BD568C"/>
    <w:rsid w:val="13C06F2A"/>
    <w:rsid w:val="13C24A51"/>
    <w:rsid w:val="13C95DDF"/>
    <w:rsid w:val="13D529D6"/>
    <w:rsid w:val="13D749A0"/>
    <w:rsid w:val="13D824C6"/>
    <w:rsid w:val="13DA4490"/>
    <w:rsid w:val="13E7095B"/>
    <w:rsid w:val="13EB044B"/>
    <w:rsid w:val="13ED4CBD"/>
    <w:rsid w:val="13F015BE"/>
    <w:rsid w:val="13F37300"/>
    <w:rsid w:val="13F44FA5"/>
    <w:rsid w:val="13FA243C"/>
    <w:rsid w:val="14011A1D"/>
    <w:rsid w:val="14045069"/>
    <w:rsid w:val="141F6347"/>
    <w:rsid w:val="14264FE0"/>
    <w:rsid w:val="14276171"/>
    <w:rsid w:val="14290F74"/>
    <w:rsid w:val="142B0848"/>
    <w:rsid w:val="142E20E6"/>
    <w:rsid w:val="142E658A"/>
    <w:rsid w:val="14305E5E"/>
    <w:rsid w:val="1433594E"/>
    <w:rsid w:val="14461E69"/>
    <w:rsid w:val="14506500"/>
    <w:rsid w:val="14524026"/>
    <w:rsid w:val="145558C5"/>
    <w:rsid w:val="145A197A"/>
    <w:rsid w:val="145E0C1D"/>
    <w:rsid w:val="145F4995"/>
    <w:rsid w:val="14635758"/>
    <w:rsid w:val="1468384A"/>
    <w:rsid w:val="147321EF"/>
    <w:rsid w:val="14766FAA"/>
    <w:rsid w:val="14777F31"/>
    <w:rsid w:val="147A3AC9"/>
    <w:rsid w:val="147A6FCF"/>
    <w:rsid w:val="147F2942"/>
    <w:rsid w:val="147F6DE6"/>
    <w:rsid w:val="14810582"/>
    <w:rsid w:val="14843A55"/>
    <w:rsid w:val="14847F58"/>
    <w:rsid w:val="149C1746"/>
    <w:rsid w:val="149D101A"/>
    <w:rsid w:val="14A14FAE"/>
    <w:rsid w:val="14A423A8"/>
    <w:rsid w:val="14AB1989"/>
    <w:rsid w:val="14AD5701"/>
    <w:rsid w:val="14AE3227"/>
    <w:rsid w:val="14B24AC5"/>
    <w:rsid w:val="14B37C3C"/>
    <w:rsid w:val="14B4083D"/>
    <w:rsid w:val="14C111AC"/>
    <w:rsid w:val="14C53F76"/>
    <w:rsid w:val="14D13A42"/>
    <w:rsid w:val="14D25708"/>
    <w:rsid w:val="14D94748"/>
    <w:rsid w:val="14E135FC"/>
    <w:rsid w:val="14EB7FD7"/>
    <w:rsid w:val="14F21366"/>
    <w:rsid w:val="14F53680"/>
    <w:rsid w:val="15080B89"/>
    <w:rsid w:val="150A777D"/>
    <w:rsid w:val="15113EE2"/>
    <w:rsid w:val="15127C5A"/>
    <w:rsid w:val="15155054"/>
    <w:rsid w:val="151F6518"/>
    <w:rsid w:val="1525173B"/>
    <w:rsid w:val="1525275F"/>
    <w:rsid w:val="152626AF"/>
    <w:rsid w:val="15267261"/>
    <w:rsid w:val="15284D87"/>
    <w:rsid w:val="152E4A94"/>
    <w:rsid w:val="152F6116"/>
    <w:rsid w:val="153876C0"/>
    <w:rsid w:val="153E45AB"/>
    <w:rsid w:val="15415E49"/>
    <w:rsid w:val="154C316C"/>
    <w:rsid w:val="1553307A"/>
    <w:rsid w:val="15545B7C"/>
    <w:rsid w:val="15555377"/>
    <w:rsid w:val="155C7BF4"/>
    <w:rsid w:val="155D0ED5"/>
    <w:rsid w:val="1568787A"/>
    <w:rsid w:val="15695ACC"/>
    <w:rsid w:val="1573694A"/>
    <w:rsid w:val="158C165B"/>
    <w:rsid w:val="158F4E06"/>
    <w:rsid w:val="15966195"/>
    <w:rsid w:val="15973CBB"/>
    <w:rsid w:val="15A22D8C"/>
    <w:rsid w:val="15A308B2"/>
    <w:rsid w:val="15A7459D"/>
    <w:rsid w:val="15AB60E4"/>
    <w:rsid w:val="15B12FCF"/>
    <w:rsid w:val="15B34F99"/>
    <w:rsid w:val="15BB209F"/>
    <w:rsid w:val="15BD1974"/>
    <w:rsid w:val="15BD7BC5"/>
    <w:rsid w:val="15CA5E3E"/>
    <w:rsid w:val="15D1541F"/>
    <w:rsid w:val="15D37A49"/>
    <w:rsid w:val="15D54F0F"/>
    <w:rsid w:val="15EA64E1"/>
    <w:rsid w:val="15EC4007"/>
    <w:rsid w:val="15F80BFE"/>
    <w:rsid w:val="15FD7FC2"/>
    <w:rsid w:val="15FF3D3A"/>
    <w:rsid w:val="16041350"/>
    <w:rsid w:val="16050CEC"/>
    <w:rsid w:val="160C28FB"/>
    <w:rsid w:val="160F0324"/>
    <w:rsid w:val="161073BC"/>
    <w:rsid w:val="161407E8"/>
    <w:rsid w:val="162A0C4B"/>
    <w:rsid w:val="162C08A7"/>
    <w:rsid w:val="16302145"/>
    <w:rsid w:val="1635775C"/>
    <w:rsid w:val="16377978"/>
    <w:rsid w:val="163966A8"/>
    <w:rsid w:val="163D4862"/>
    <w:rsid w:val="16481B85"/>
    <w:rsid w:val="164B4D9F"/>
    <w:rsid w:val="164D719B"/>
    <w:rsid w:val="164E6A70"/>
    <w:rsid w:val="165322D8"/>
    <w:rsid w:val="1666025D"/>
    <w:rsid w:val="16691AFB"/>
    <w:rsid w:val="166B7621"/>
    <w:rsid w:val="166C5148"/>
    <w:rsid w:val="1672275E"/>
    <w:rsid w:val="167249BF"/>
    <w:rsid w:val="16751125"/>
    <w:rsid w:val="16775FC6"/>
    <w:rsid w:val="16797F90"/>
    <w:rsid w:val="16924BAE"/>
    <w:rsid w:val="169C1322"/>
    <w:rsid w:val="169C77DB"/>
    <w:rsid w:val="169E79F7"/>
    <w:rsid w:val="16A20B69"/>
    <w:rsid w:val="16A27F62"/>
    <w:rsid w:val="16A36DBB"/>
    <w:rsid w:val="16A62408"/>
    <w:rsid w:val="16AB2114"/>
    <w:rsid w:val="16AB4A01"/>
    <w:rsid w:val="16AD3796"/>
    <w:rsid w:val="16AD7C3A"/>
    <w:rsid w:val="16B05813"/>
    <w:rsid w:val="16B31A52"/>
    <w:rsid w:val="16B70AB9"/>
    <w:rsid w:val="16BA7698"/>
    <w:rsid w:val="16BF34C9"/>
    <w:rsid w:val="16C60CFC"/>
    <w:rsid w:val="16CB00C0"/>
    <w:rsid w:val="16CC2CE8"/>
    <w:rsid w:val="16D52CED"/>
    <w:rsid w:val="16DB47A7"/>
    <w:rsid w:val="16E80C72"/>
    <w:rsid w:val="16EB42BE"/>
    <w:rsid w:val="16F05D79"/>
    <w:rsid w:val="170114E8"/>
    <w:rsid w:val="170610F8"/>
    <w:rsid w:val="17092996"/>
    <w:rsid w:val="1715758D"/>
    <w:rsid w:val="171B2DF6"/>
    <w:rsid w:val="171C4DC0"/>
    <w:rsid w:val="17215F32"/>
    <w:rsid w:val="17283764"/>
    <w:rsid w:val="172F064F"/>
    <w:rsid w:val="17321EED"/>
    <w:rsid w:val="173B5246"/>
    <w:rsid w:val="173C2D6C"/>
    <w:rsid w:val="1740460A"/>
    <w:rsid w:val="17471E3D"/>
    <w:rsid w:val="17487963"/>
    <w:rsid w:val="174A5489"/>
    <w:rsid w:val="17620A24"/>
    <w:rsid w:val="17681DB3"/>
    <w:rsid w:val="176946F7"/>
    <w:rsid w:val="176A78D9"/>
    <w:rsid w:val="176E561B"/>
    <w:rsid w:val="176F3141"/>
    <w:rsid w:val="17742506"/>
    <w:rsid w:val="177469AA"/>
    <w:rsid w:val="177B7D38"/>
    <w:rsid w:val="177D585E"/>
    <w:rsid w:val="178169D1"/>
    <w:rsid w:val="178725A8"/>
    <w:rsid w:val="178F10EE"/>
    <w:rsid w:val="17966920"/>
    <w:rsid w:val="179761F4"/>
    <w:rsid w:val="17980C05"/>
    <w:rsid w:val="179D7CAF"/>
    <w:rsid w:val="179E3A27"/>
    <w:rsid w:val="17A032FB"/>
    <w:rsid w:val="17A50911"/>
    <w:rsid w:val="17AA4179"/>
    <w:rsid w:val="17AD5A18"/>
    <w:rsid w:val="17B2302E"/>
    <w:rsid w:val="17B31280"/>
    <w:rsid w:val="17B44FF8"/>
    <w:rsid w:val="17BD3EAD"/>
    <w:rsid w:val="17BE19D3"/>
    <w:rsid w:val="17CC40F0"/>
    <w:rsid w:val="17CF1E32"/>
    <w:rsid w:val="17DB4333"/>
    <w:rsid w:val="17DD00AB"/>
    <w:rsid w:val="17DF2075"/>
    <w:rsid w:val="17E458DD"/>
    <w:rsid w:val="17E70F2A"/>
    <w:rsid w:val="17E7717C"/>
    <w:rsid w:val="17FD074D"/>
    <w:rsid w:val="17FF44C5"/>
    <w:rsid w:val="18023FB5"/>
    <w:rsid w:val="18047D2E"/>
    <w:rsid w:val="18090EA0"/>
    <w:rsid w:val="180C273E"/>
    <w:rsid w:val="18100480"/>
    <w:rsid w:val="1811244B"/>
    <w:rsid w:val="18186614"/>
    <w:rsid w:val="181D494B"/>
    <w:rsid w:val="18245CDA"/>
    <w:rsid w:val="182E68ED"/>
    <w:rsid w:val="183F48C2"/>
    <w:rsid w:val="18420856"/>
    <w:rsid w:val="184C6FDF"/>
    <w:rsid w:val="1853036D"/>
    <w:rsid w:val="18534811"/>
    <w:rsid w:val="18585984"/>
    <w:rsid w:val="185A5BA0"/>
    <w:rsid w:val="185D2F9A"/>
    <w:rsid w:val="185E30EF"/>
    <w:rsid w:val="18602A8A"/>
    <w:rsid w:val="18673E19"/>
    <w:rsid w:val="1876405C"/>
    <w:rsid w:val="187D53EA"/>
    <w:rsid w:val="187F3B68"/>
    <w:rsid w:val="18820C52"/>
    <w:rsid w:val="18876269"/>
    <w:rsid w:val="188E3A9B"/>
    <w:rsid w:val="189270E7"/>
    <w:rsid w:val="18960420"/>
    <w:rsid w:val="189664AC"/>
    <w:rsid w:val="189D4520"/>
    <w:rsid w:val="18A45C5D"/>
    <w:rsid w:val="18A706B9"/>
    <w:rsid w:val="18AB63FB"/>
    <w:rsid w:val="18AE3758"/>
    <w:rsid w:val="18B708FC"/>
    <w:rsid w:val="18C94AD3"/>
    <w:rsid w:val="18D21BDA"/>
    <w:rsid w:val="18D53478"/>
    <w:rsid w:val="18D55226"/>
    <w:rsid w:val="18D906A0"/>
    <w:rsid w:val="18DD40DB"/>
    <w:rsid w:val="18E15979"/>
    <w:rsid w:val="18E91BA8"/>
    <w:rsid w:val="18EE0096"/>
    <w:rsid w:val="18F27B86"/>
    <w:rsid w:val="18F338FE"/>
    <w:rsid w:val="19037FE5"/>
    <w:rsid w:val="190B6E9A"/>
    <w:rsid w:val="190F5EFD"/>
    <w:rsid w:val="19120228"/>
    <w:rsid w:val="19121FD6"/>
    <w:rsid w:val="19163285"/>
    <w:rsid w:val="191904C5"/>
    <w:rsid w:val="19193365"/>
    <w:rsid w:val="191C4C03"/>
    <w:rsid w:val="192166BD"/>
    <w:rsid w:val="19314B52"/>
    <w:rsid w:val="193208CA"/>
    <w:rsid w:val="19355CC5"/>
    <w:rsid w:val="19362BA0"/>
    <w:rsid w:val="19393A07"/>
    <w:rsid w:val="1941466A"/>
    <w:rsid w:val="19434886"/>
    <w:rsid w:val="195C76F5"/>
    <w:rsid w:val="196B7938"/>
    <w:rsid w:val="19704F4F"/>
    <w:rsid w:val="19847484"/>
    <w:rsid w:val="1990114D"/>
    <w:rsid w:val="199155F1"/>
    <w:rsid w:val="19940C3D"/>
    <w:rsid w:val="19946E8F"/>
    <w:rsid w:val="19A35324"/>
    <w:rsid w:val="19D43730"/>
    <w:rsid w:val="19DE635C"/>
    <w:rsid w:val="19E75211"/>
    <w:rsid w:val="19E873D4"/>
    <w:rsid w:val="19E95DAD"/>
    <w:rsid w:val="19EC2827"/>
    <w:rsid w:val="19EF40C6"/>
    <w:rsid w:val="19F811CC"/>
    <w:rsid w:val="19FA13E8"/>
    <w:rsid w:val="19FE6D49"/>
    <w:rsid w:val="1A02029D"/>
    <w:rsid w:val="1A0900A3"/>
    <w:rsid w:val="1A091536"/>
    <w:rsid w:val="1A1104E0"/>
    <w:rsid w:val="1A1324AA"/>
    <w:rsid w:val="1A18361C"/>
    <w:rsid w:val="1A204BC7"/>
    <w:rsid w:val="1A2521DD"/>
    <w:rsid w:val="1A27385F"/>
    <w:rsid w:val="1A2C531A"/>
    <w:rsid w:val="1A2E4BEE"/>
    <w:rsid w:val="1A304E0A"/>
    <w:rsid w:val="1A361CF4"/>
    <w:rsid w:val="1A385A6D"/>
    <w:rsid w:val="1A3B555D"/>
    <w:rsid w:val="1A3E2C9D"/>
    <w:rsid w:val="1A4A39F2"/>
    <w:rsid w:val="1A4B7D94"/>
    <w:rsid w:val="1A534654"/>
    <w:rsid w:val="1A562397"/>
    <w:rsid w:val="1A5F124B"/>
    <w:rsid w:val="1A620D3B"/>
    <w:rsid w:val="1A6525DA"/>
    <w:rsid w:val="1A75281D"/>
    <w:rsid w:val="1A8C7B66"/>
    <w:rsid w:val="1A9013CC"/>
    <w:rsid w:val="1A907657"/>
    <w:rsid w:val="1A9133CF"/>
    <w:rsid w:val="1A935399"/>
    <w:rsid w:val="1A936D44"/>
    <w:rsid w:val="1A9829AF"/>
    <w:rsid w:val="1AA11864"/>
    <w:rsid w:val="1AA72BF2"/>
    <w:rsid w:val="1AA90718"/>
    <w:rsid w:val="1AA94BBC"/>
    <w:rsid w:val="1AB84DFF"/>
    <w:rsid w:val="1AB86BAD"/>
    <w:rsid w:val="1ABA46D4"/>
    <w:rsid w:val="1AC27242"/>
    <w:rsid w:val="1AD35795"/>
    <w:rsid w:val="1AE31E7C"/>
    <w:rsid w:val="1AE452E6"/>
    <w:rsid w:val="1AEE25CF"/>
    <w:rsid w:val="1AEF6A73"/>
    <w:rsid w:val="1AF000F5"/>
    <w:rsid w:val="1AF5570C"/>
    <w:rsid w:val="1AFA5418"/>
    <w:rsid w:val="1AFF658A"/>
    <w:rsid w:val="1B03607B"/>
    <w:rsid w:val="1B041DF3"/>
    <w:rsid w:val="1B067919"/>
    <w:rsid w:val="1B097409"/>
    <w:rsid w:val="1B0B4F2F"/>
    <w:rsid w:val="1B122762"/>
    <w:rsid w:val="1B171B26"/>
    <w:rsid w:val="1B1A7868"/>
    <w:rsid w:val="1B2E6E70"/>
    <w:rsid w:val="1B2F36F2"/>
    <w:rsid w:val="1B334486"/>
    <w:rsid w:val="1B34092A"/>
    <w:rsid w:val="1B351FAC"/>
    <w:rsid w:val="1B3721C8"/>
    <w:rsid w:val="1B395F40"/>
    <w:rsid w:val="1B3A68FE"/>
    <w:rsid w:val="1B3B1CB8"/>
    <w:rsid w:val="1B410951"/>
    <w:rsid w:val="1B446693"/>
    <w:rsid w:val="1B46065D"/>
    <w:rsid w:val="1B4F12C0"/>
    <w:rsid w:val="1B530684"/>
    <w:rsid w:val="1B612DA1"/>
    <w:rsid w:val="1B6F3710"/>
    <w:rsid w:val="1B7725C5"/>
    <w:rsid w:val="1B792E95"/>
    <w:rsid w:val="1B7E3953"/>
    <w:rsid w:val="1B854CE1"/>
    <w:rsid w:val="1B8D3B96"/>
    <w:rsid w:val="1B9211AC"/>
    <w:rsid w:val="1B9273FE"/>
    <w:rsid w:val="1B950C9D"/>
    <w:rsid w:val="1BA15893"/>
    <w:rsid w:val="1BA50EE0"/>
    <w:rsid w:val="1BA84E74"/>
    <w:rsid w:val="1BAD5FE6"/>
    <w:rsid w:val="1BAF484F"/>
    <w:rsid w:val="1BB27AA1"/>
    <w:rsid w:val="1BB43819"/>
    <w:rsid w:val="1BBD091F"/>
    <w:rsid w:val="1BCA6B98"/>
    <w:rsid w:val="1BD143CB"/>
    <w:rsid w:val="1BD545C9"/>
    <w:rsid w:val="1BD619E1"/>
    <w:rsid w:val="1BDB0DA5"/>
    <w:rsid w:val="1BE539D2"/>
    <w:rsid w:val="1BEC2FB3"/>
    <w:rsid w:val="1BF730CC"/>
    <w:rsid w:val="1BF73705"/>
    <w:rsid w:val="1BFD6F6E"/>
    <w:rsid w:val="1BFFC39F"/>
    <w:rsid w:val="1C057BD0"/>
    <w:rsid w:val="1C0876B4"/>
    <w:rsid w:val="1C123D07"/>
    <w:rsid w:val="1C1438B9"/>
    <w:rsid w:val="1C24274C"/>
    <w:rsid w:val="1C252021"/>
    <w:rsid w:val="1C2F4C4D"/>
    <w:rsid w:val="1C3109C5"/>
    <w:rsid w:val="1C3F14A8"/>
    <w:rsid w:val="1C3F7586"/>
    <w:rsid w:val="1C422BD3"/>
    <w:rsid w:val="1C493F61"/>
    <w:rsid w:val="1C4C3A51"/>
    <w:rsid w:val="1C4F709D"/>
    <w:rsid w:val="1C5A616E"/>
    <w:rsid w:val="1C5B5A42"/>
    <w:rsid w:val="1C627CB7"/>
    <w:rsid w:val="1C676ADD"/>
    <w:rsid w:val="1C694603"/>
    <w:rsid w:val="1C6963B1"/>
    <w:rsid w:val="1C6E1C1A"/>
    <w:rsid w:val="1C76287C"/>
    <w:rsid w:val="1C775737"/>
    <w:rsid w:val="1C784846"/>
    <w:rsid w:val="1C7D3C0B"/>
    <w:rsid w:val="1C80194D"/>
    <w:rsid w:val="1C8C20A0"/>
    <w:rsid w:val="1C8E16BB"/>
    <w:rsid w:val="1C8F393E"/>
    <w:rsid w:val="1CA613B3"/>
    <w:rsid w:val="1CB021A4"/>
    <w:rsid w:val="1CB735C0"/>
    <w:rsid w:val="1CB82E95"/>
    <w:rsid w:val="1CBD494F"/>
    <w:rsid w:val="1CBF5FD1"/>
    <w:rsid w:val="1CC122B1"/>
    <w:rsid w:val="1CC25AC1"/>
    <w:rsid w:val="1CC41839"/>
    <w:rsid w:val="1CC45CDD"/>
    <w:rsid w:val="1CC53527"/>
    <w:rsid w:val="1CD001DE"/>
    <w:rsid w:val="1CD203FA"/>
    <w:rsid w:val="1CDB6B83"/>
    <w:rsid w:val="1CDD0B4D"/>
    <w:rsid w:val="1CDD7C08"/>
    <w:rsid w:val="1CE912A0"/>
    <w:rsid w:val="1CEE2D5A"/>
    <w:rsid w:val="1CFF0AC4"/>
    <w:rsid w:val="1D0205B4"/>
    <w:rsid w:val="1D0B56BA"/>
    <w:rsid w:val="1D0C4F8F"/>
    <w:rsid w:val="1D2624F4"/>
    <w:rsid w:val="1D3764AF"/>
    <w:rsid w:val="1D3A1AFC"/>
    <w:rsid w:val="1D3B3901"/>
    <w:rsid w:val="1D3C5874"/>
    <w:rsid w:val="1D436C02"/>
    <w:rsid w:val="1D532BBD"/>
    <w:rsid w:val="1D554B87"/>
    <w:rsid w:val="1D5A219E"/>
    <w:rsid w:val="1D69418F"/>
    <w:rsid w:val="1D7135DB"/>
    <w:rsid w:val="1D725739"/>
    <w:rsid w:val="1D74500E"/>
    <w:rsid w:val="1D7C3EC2"/>
    <w:rsid w:val="1D7F1C04"/>
    <w:rsid w:val="1D81597C"/>
    <w:rsid w:val="1D8B05A9"/>
    <w:rsid w:val="1D8F1387"/>
    <w:rsid w:val="1D951428"/>
    <w:rsid w:val="1D9531D6"/>
    <w:rsid w:val="1D9751A0"/>
    <w:rsid w:val="1D9A5230"/>
    <w:rsid w:val="1DA36D9A"/>
    <w:rsid w:val="1DA376A1"/>
    <w:rsid w:val="1DA43419"/>
    <w:rsid w:val="1DA8115B"/>
    <w:rsid w:val="1DB16262"/>
    <w:rsid w:val="1DB4365C"/>
    <w:rsid w:val="1DB7314C"/>
    <w:rsid w:val="1DBA3241"/>
    <w:rsid w:val="1DC51D0D"/>
    <w:rsid w:val="1DC87107"/>
    <w:rsid w:val="1DD2442A"/>
    <w:rsid w:val="1DDC5928"/>
    <w:rsid w:val="1DE604FF"/>
    <w:rsid w:val="1DE64446"/>
    <w:rsid w:val="1DEC54EC"/>
    <w:rsid w:val="1DEC729A"/>
    <w:rsid w:val="1DEF0B38"/>
    <w:rsid w:val="1DEF28E6"/>
    <w:rsid w:val="1DF0665E"/>
    <w:rsid w:val="1DF60118"/>
    <w:rsid w:val="1DF63C75"/>
    <w:rsid w:val="1DF75C3F"/>
    <w:rsid w:val="1DF779ED"/>
    <w:rsid w:val="1DFB572F"/>
    <w:rsid w:val="1E067C30"/>
    <w:rsid w:val="1E07408D"/>
    <w:rsid w:val="1E0D0FBE"/>
    <w:rsid w:val="1E171E3D"/>
    <w:rsid w:val="1E2307E2"/>
    <w:rsid w:val="1E25455A"/>
    <w:rsid w:val="1E262080"/>
    <w:rsid w:val="1E2F362A"/>
    <w:rsid w:val="1E3653CF"/>
    <w:rsid w:val="1E472722"/>
    <w:rsid w:val="1E4F496B"/>
    <w:rsid w:val="1E537319"/>
    <w:rsid w:val="1E560BB7"/>
    <w:rsid w:val="1E5B7F7C"/>
    <w:rsid w:val="1E642BAC"/>
    <w:rsid w:val="1E6502D1"/>
    <w:rsid w:val="1E65704C"/>
    <w:rsid w:val="1E6C5291"/>
    <w:rsid w:val="1E6F1C79"/>
    <w:rsid w:val="1E733517"/>
    <w:rsid w:val="1E74728F"/>
    <w:rsid w:val="1E890F8D"/>
    <w:rsid w:val="1E8E65A3"/>
    <w:rsid w:val="1E933BB9"/>
    <w:rsid w:val="1E937715"/>
    <w:rsid w:val="1E9516DF"/>
    <w:rsid w:val="1EA27958"/>
    <w:rsid w:val="1EA336D1"/>
    <w:rsid w:val="1EA47B74"/>
    <w:rsid w:val="1EA57449"/>
    <w:rsid w:val="1EAC07D7"/>
    <w:rsid w:val="1EAC4C7B"/>
    <w:rsid w:val="1EAE0E48"/>
    <w:rsid w:val="1EB61656"/>
    <w:rsid w:val="1EBD0C36"/>
    <w:rsid w:val="1EC65D3D"/>
    <w:rsid w:val="1EC73863"/>
    <w:rsid w:val="1EC75611"/>
    <w:rsid w:val="1EC975DB"/>
    <w:rsid w:val="1ECB0BA8"/>
    <w:rsid w:val="1ED32208"/>
    <w:rsid w:val="1ED470A1"/>
    <w:rsid w:val="1EDA3596"/>
    <w:rsid w:val="1EE461C3"/>
    <w:rsid w:val="1EE937D9"/>
    <w:rsid w:val="1EE95587"/>
    <w:rsid w:val="1EEC5078"/>
    <w:rsid w:val="1EEE0DF0"/>
    <w:rsid w:val="1EF328AA"/>
    <w:rsid w:val="1F010B23"/>
    <w:rsid w:val="1F0C1276"/>
    <w:rsid w:val="1F0C74C8"/>
    <w:rsid w:val="1F1A514E"/>
    <w:rsid w:val="1F1F369F"/>
    <w:rsid w:val="1F234F3D"/>
    <w:rsid w:val="1F26058A"/>
    <w:rsid w:val="1F2760B0"/>
    <w:rsid w:val="1F2E743E"/>
    <w:rsid w:val="1F316F2E"/>
    <w:rsid w:val="1F3233D2"/>
    <w:rsid w:val="1F330EF8"/>
    <w:rsid w:val="1F394761"/>
    <w:rsid w:val="1F3A5DE3"/>
    <w:rsid w:val="1F3F5AEF"/>
    <w:rsid w:val="1F43738D"/>
    <w:rsid w:val="1F4B6242"/>
    <w:rsid w:val="1F536EA5"/>
    <w:rsid w:val="1F5C21FD"/>
    <w:rsid w:val="1F5C3FAB"/>
    <w:rsid w:val="1F62093A"/>
    <w:rsid w:val="1F63358C"/>
    <w:rsid w:val="1F642E60"/>
    <w:rsid w:val="1F647304"/>
    <w:rsid w:val="1F686DF4"/>
    <w:rsid w:val="1F6D7F66"/>
    <w:rsid w:val="1F75506D"/>
    <w:rsid w:val="1F784B5D"/>
    <w:rsid w:val="1F7B3932"/>
    <w:rsid w:val="1F867CC8"/>
    <w:rsid w:val="1F8B4890"/>
    <w:rsid w:val="1F8D0609"/>
    <w:rsid w:val="1F8F0C22"/>
    <w:rsid w:val="1F90634B"/>
    <w:rsid w:val="1F9A4AD4"/>
    <w:rsid w:val="1F9F033C"/>
    <w:rsid w:val="1FA85442"/>
    <w:rsid w:val="1FAF4A23"/>
    <w:rsid w:val="1FBC7140"/>
    <w:rsid w:val="1FBE6A14"/>
    <w:rsid w:val="1FC63B1B"/>
    <w:rsid w:val="1FCB2EDF"/>
    <w:rsid w:val="1FCB7383"/>
    <w:rsid w:val="1FD20711"/>
    <w:rsid w:val="1FD71884"/>
    <w:rsid w:val="1FD9384E"/>
    <w:rsid w:val="1FD955FC"/>
    <w:rsid w:val="1FE83B06"/>
    <w:rsid w:val="1FE913A2"/>
    <w:rsid w:val="1FEA5A5B"/>
    <w:rsid w:val="1FED554B"/>
    <w:rsid w:val="1FFB1A16"/>
    <w:rsid w:val="200731AA"/>
    <w:rsid w:val="20104D96"/>
    <w:rsid w:val="2020147D"/>
    <w:rsid w:val="2027280B"/>
    <w:rsid w:val="202A5E57"/>
    <w:rsid w:val="202B1BD0"/>
    <w:rsid w:val="20337402"/>
    <w:rsid w:val="20340A84"/>
    <w:rsid w:val="203942EC"/>
    <w:rsid w:val="20427645"/>
    <w:rsid w:val="20450EE3"/>
    <w:rsid w:val="20466DF8"/>
    <w:rsid w:val="2048658C"/>
    <w:rsid w:val="20494F46"/>
    <w:rsid w:val="204A64FA"/>
    <w:rsid w:val="204D7D98"/>
    <w:rsid w:val="2050488D"/>
    <w:rsid w:val="20566C4C"/>
    <w:rsid w:val="20580C17"/>
    <w:rsid w:val="206C6470"/>
    <w:rsid w:val="20711CD8"/>
    <w:rsid w:val="20717F2A"/>
    <w:rsid w:val="207215AC"/>
    <w:rsid w:val="20755732"/>
    <w:rsid w:val="2076109D"/>
    <w:rsid w:val="207672EF"/>
    <w:rsid w:val="20783067"/>
    <w:rsid w:val="20880DD0"/>
    <w:rsid w:val="208E288A"/>
    <w:rsid w:val="20A0611A"/>
    <w:rsid w:val="20A26336"/>
    <w:rsid w:val="20A34372"/>
    <w:rsid w:val="20AD0837"/>
    <w:rsid w:val="20B87907"/>
    <w:rsid w:val="20BB11A5"/>
    <w:rsid w:val="20BD316F"/>
    <w:rsid w:val="20C242E2"/>
    <w:rsid w:val="20C444FE"/>
    <w:rsid w:val="20C52024"/>
    <w:rsid w:val="20C91B14"/>
    <w:rsid w:val="20D34741"/>
    <w:rsid w:val="20D52267"/>
    <w:rsid w:val="20D74717"/>
    <w:rsid w:val="20DB35F6"/>
    <w:rsid w:val="20E95D13"/>
    <w:rsid w:val="20EB2DD8"/>
    <w:rsid w:val="20F85F56"/>
    <w:rsid w:val="20FA7F20"/>
    <w:rsid w:val="21004E0A"/>
    <w:rsid w:val="2105452D"/>
    <w:rsid w:val="211014F1"/>
    <w:rsid w:val="2120725A"/>
    <w:rsid w:val="21274A8D"/>
    <w:rsid w:val="212925B3"/>
    <w:rsid w:val="212A7796"/>
    <w:rsid w:val="213236FF"/>
    <w:rsid w:val="21355D04"/>
    <w:rsid w:val="214B077B"/>
    <w:rsid w:val="21535882"/>
    <w:rsid w:val="21562C7C"/>
    <w:rsid w:val="216058A9"/>
    <w:rsid w:val="21613AFB"/>
    <w:rsid w:val="217001E2"/>
    <w:rsid w:val="217355DC"/>
    <w:rsid w:val="217F6677"/>
    <w:rsid w:val="2188552B"/>
    <w:rsid w:val="21902632"/>
    <w:rsid w:val="21933B4E"/>
    <w:rsid w:val="219C2D85"/>
    <w:rsid w:val="219E6AFD"/>
    <w:rsid w:val="21A57604"/>
    <w:rsid w:val="21A94D9B"/>
    <w:rsid w:val="21A954A2"/>
    <w:rsid w:val="21A97250"/>
    <w:rsid w:val="21AF7B35"/>
    <w:rsid w:val="21B05C47"/>
    <w:rsid w:val="21B225A8"/>
    <w:rsid w:val="21B63D65"/>
    <w:rsid w:val="21B87493"/>
    <w:rsid w:val="21BA145D"/>
    <w:rsid w:val="21BE719F"/>
    <w:rsid w:val="21BF6A73"/>
    <w:rsid w:val="21C5052E"/>
    <w:rsid w:val="21D342CD"/>
    <w:rsid w:val="21D50045"/>
    <w:rsid w:val="21D70261"/>
    <w:rsid w:val="21DA565B"/>
    <w:rsid w:val="21DE339D"/>
    <w:rsid w:val="21E40288"/>
    <w:rsid w:val="21E53585"/>
    <w:rsid w:val="21E85FCA"/>
    <w:rsid w:val="21E93AF0"/>
    <w:rsid w:val="21F4496F"/>
    <w:rsid w:val="21F7620D"/>
    <w:rsid w:val="21F91F85"/>
    <w:rsid w:val="21FC6C05"/>
    <w:rsid w:val="2205092A"/>
    <w:rsid w:val="220F2458"/>
    <w:rsid w:val="22192627"/>
    <w:rsid w:val="221C624F"/>
    <w:rsid w:val="221E19EC"/>
    <w:rsid w:val="2221328A"/>
    <w:rsid w:val="22394A78"/>
    <w:rsid w:val="223C1E72"/>
    <w:rsid w:val="22433200"/>
    <w:rsid w:val="224340F6"/>
    <w:rsid w:val="22443F9F"/>
    <w:rsid w:val="224F7DF7"/>
    <w:rsid w:val="2250591D"/>
    <w:rsid w:val="22590C76"/>
    <w:rsid w:val="22625D7D"/>
    <w:rsid w:val="22671FB6"/>
    <w:rsid w:val="22723AE6"/>
    <w:rsid w:val="227B6E3E"/>
    <w:rsid w:val="229014B0"/>
    <w:rsid w:val="22934188"/>
    <w:rsid w:val="229B128E"/>
    <w:rsid w:val="229E2B2D"/>
    <w:rsid w:val="22A04AF7"/>
    <w:rsid w:val="22A53EBB"/>
    <w:rsid w:val="22AA7723"/>
    <w:rsid w:val="22B81E40"/>
    <w:rsid w:val="22C5455D"/>
    <w:rsid w:val="22C97BAA"/>
    <w:rsid w:val="22CC58EC"/>
    <w:rsid w:val="22CE22D7"/>
    <w:rsid w:val="22D97467"/>
    <w:rsid w:val="22DF561F"/>
    <w:rsid w:val="22DF73CD"/>
    <w:rsid w:val="22E03145"/>
    <w:rsid w:val="22E11681"/>
    <w:rsid w:val="22E36792"/>
    <w:rsid w:val="22E449E3"/>
    <w:rsid w:val="22F32E79"/>
    <w:rsid w:val="22F50136"/>
    <w:rsid w:val="22F64717"/>
    <w:rsid w:val="22F95FB5"/>
    <w:rsid w:val="23024E6A"/>
    <w:rsid w:val="23040BE2"/>
    <w:rsid w:val="23045B21"/>
    <w:rsid w:val="23121DAA"/>
    <w:rsid w:val="231B417D"/>
    <w:rsid w:val="231D6147"/>
    <w:rsid w:val="23294AEC"/>
    <w:rsid w:val="23356FED"/>
    <w:rsid w:val="233B037C"/>
    <w:rsid w:val="233F7E6C"/>
    <w:rsid w:val="2342795C"/>
    <w:rsid w:val="234B4A63"/>
    <w:rsid w:val="234E64B5"/>
    <w:rsid w:val="235063ED"/>
    <w:rsid w:val="2351194D"/>
    <w:rsid w:val="23533E91"/>
    <w:rsid w:val="2355143D"/>
    <w:rsid w:val="236478D2"/>
    <w:rsid w:val="2369138D"/>
    <w:rsid w:val="2371150A"/>
    <w:rsid w:val="23735D67"/>
    <w:rsid w:val="237613B4"/>
    <w:rsid w:val="23767606"/>
    <w:rsid w:val="23775858"/>
    <w:rsid w:val="237C2E6E"/>
    <w:rsid w:val="237F64BA"/>
    <w:rsid w:val="23825FAA"/>
    <w:rsid w:val="238B30B1"/>
    <w:rsid w:val="238C6E29"/>
    <w:rsid w:val="23971A56"/>
    <w:rsid w:val="239A32F4"/>
    <w:rsid w:val="239D2DE4"/>
    <w:rsid w:val="239F6B5C"/>
    <w:rsid w:val="23A203FB"/>
    <w:rsid w:val="23A501AD"/>
    <w:rsid w:val="23A67EEB"/>
    <w:rsid w:val="23B26890"/>
    <w:rsid w:val="23B4085A"/>
    <w:rsid w:val="23B43CB0"/>
    <w:rsid w:val="23B87C1E"/>
    <w:rsid w:val="23BD6FE3"/>
    <w:rsid w:val="23BE3486"/>
    <w:rsid w:val="23CB5BA3"/>
    <w:rsid w:val="23D04F68"/>
    <w:rsid w:val="23DC390D"/>
    <w:rsid w:val="23DC56BB"/>
    <w:rsid w:val="23E17175"/>
    <w:rsid w:val="23E35D90"/>
    <w:rsid w:val="23EB3B50"/>
    <w:rsid w:val="23F47ADC"/>
    <w:rsid w:val="23F52C20"/>
    <w:rsid w:val="23F76998"/>
    <w:rsid w:val="23FC09CC"/>
    <w:rsid w:val="23FE7D27"/>
    <w:rsid w:val="24003A9F"/>
    <w:rsid w:val="240F3CE2"/>
    <w:rsid w:val="24262DDA"/>
    <w:rsid w:val="242A4184"/>
    <w:rsid w:val="242B6642"/>
    <w:rsid w:val="24407927"/>
    <w:rsid w:val="2446522A"/>
    <w:rsid w:val="24482D50"/>
    <w:rsid w:val="244F2331"/>
    <w:rsid w:val="24594F5D"/>
    <w:rsid w:val="245A2A83"/>
    <w:rsid w:val="246011EC"/>
    <w:rsid w:val="246102B6"/>
    <w:rsid w:val="24612064"/>
    <w:rsid w:val="246A716A"/>
    <w:rsid w:val="246E6870"/>
    <w:rsid w:val="24704055"/>
    <w:rsid w:val="2471674B"/>
    <w:rsid w:val="247753E3"/>
    <w:rsid w:val="247D50F0"/>
    <w:rsid w:val="24883A94"/>
    <w:rsid w:val="248D4C07"/>
    <w:rsid w:val="248E5C7D"/>
    <w:rsid w:val="249661B1"/>
    <w:rsid w:val="24977834"/>
    <w:rsid w:val="24991923"/>
    <w:rsid w:val="24A501A2"/>
    <w:rsid w:val="24A73F1B"/>
    <w:rsid w:val="24A75516"/>
    <w:rsid w:val="24A87C93"/>
    <w:rsid w:val="24B14D99"/>
    <w:rsid w:val="24B2466D"/>
    <w:rsid w:val="24B65F0C"/>
    <w:rsid w:val="24BC54EC"/>
    <w:rsid w:val="24BE3F37"/>
    <w:rsid w:val="24C30629"/>
    <w:rsid w:val="24C50845"/>
    <w:rsid w:val="24CA27EA"/>
    <w:rsid w:val="24CD76F9"/>
    <w:rsid w:val="24CF521F"/>
    <w:rsid w:val="24CF6FCD"/>
    <w:rsid w:val="24D34D10"/>
    <w:rsid w:val="24DD5B8E"/>
    <w:rsid w:val="24DE1906"/>
    <w:rsid w:val="24E60E96"/>
    <w:rsid w:val="24EA3E07"/>
    <w:rsid w:val="24F546DD"/>
    <w:rsid w:val="250A6257"/>
    <w:rsid w:val="250C6474"/>
    <w:rsid w:val="251000EC"/>
    <w:rsid w:val="251175E6"/>
    <w:rsid w:val="251315B0"/>
    <w:rsid w:val="25145328"/>
    <w:rsid w:val="251B0465"/>
    <w:rsid w:val="251B66B7"/>
    <w:rsid w:val="251E1D03"/>
    <w:rsid w:val="25284930"/>
    <w:rsid w:val="252F3F10"/>
    <w:rsid w:val="25387269"/>
    <w:rsid w:val="254479BB"/>
    <w:rsid w:val="254A2AF8"/>
    <w:rsid w:val="254F010E"/>
    <w:rsid w:val="25506360"/>
    <w:rsid w:val="25513E86"/>
    <w:rsid w:val="255319AC"/>
    <w:rsid w:val="2556149D"/>
    <w:rsid w:val="255676EF"/>
    <w:rsid w:val="25592D3B"/>
    <w:rsid w:val="256242E5"/>
    <w:rsid w:val="25665B84"/>
    <w:rsid w:val="256A4F48"/>
    <w:rsid w:val="2572277A"/>
    <w:rsid w:val="25795F88"/>
    <w:rsid w:val="259124D5"/>
    <w:rsid w:val="259D3570"/>
    <w:rsid w:val="25A20B86"/>
    <w:rsid w:val="25B12B77"/>
    <w:rsid w:val="25B85CB3"/>
    <w:rsid w:val="25BD5036"/>
    <w:rsid w:val="25C603D0"/>
    <w:rsid w:val="25C64874"/>
    <w:rsid w:val="25C74149"/>
    <w:rsid w:val="25CB3C39"/>
    <w:rsid w:val="25D16D75"/>
    <w:rsid w:val="25D40C60"/>
    <w:rsid w:val="25DA2D45"/>
    <w:rsid w:val="25DD571A"/>
    <w:rsid w:val="25DE1BBE"/>
    <w:rsid w:val="25E90563"/>
    <w:rsid w:val="25E92311"/>
    <w:rsid w:val="25F0369F"/>
    <w:rsid w:val="2604539D"/>
    <w:rsid w:val="2610789E"/>
    <w:rsid w:val="26154EB4"/>
    <w:rsid w:val="26176E7E"/>
    <w:rsid w:val="26192BF6"/>
    <w:rsid w:val="261E151D"/>
    <w:rsid w:val="26215F4F"/>
    <w:rsid w:val="26296BB1"/>
    <w:rsid w:val="262D2C9E"/>
    <w:rsid w:val="262E41C8"/>
    <w:rsid w:val="26307F40"/>
    <w:rsid w:val="26345C82"/>
    <w:rsid w:val="26355198"/>
    <w:rsid w:val="2637307C"/>
    <w:rsid w:val="26431A21"/>
    <w:rsid w:val="264439EB"/>
    <w:rsid w:val="264A1001"/>
    <w:rsid w:val="264D6D44"/>
    <w:rsid w:val="265505E9"/>
    <w:rsid w:val="265C0D35"/>
    <w:rsid w:val="265E4AAD"/>
    <w:rsid w:val="26663961"/>
    <w:rsid w:val="266D6A9E"/>
    <w:rsid w:val="26712A32"/>
    <w:rsid w:val="26775B6F"/>
    <w:rsid w:val="267B565F"/>
    <w:rsid w:val="26806A2A"/>
    <w:rsid w:val="26813488"/>
    <w:rsid w:val="26865DB2"/>
    <w:rsid w:val="268A7650"/>
    <w:rsid w:val="268D0EEE"/>
    <w:rsid w:val="26906C30"/>
    <w:rsid w:val="26971D6D"/>
    <w:rsid w:val="269D3BA8"/>
    <w:rsid w:val="26A16E16"/>
    <w:rsid w:val="26A526DC"/>
    <w:rsid w:val="26B02E2F"/>
    <w:rsid w:val="26BB1EFF"/>
    <w:rsid w:val="26CD578F"/>
    <w:rsid w:val="26D22DA5"/>
    <w:rsid w:val="26D44D6F"/>
    <w:rsid w:val="26D60AE7"/>
    <w:rsid w:val="26DB60FD"/>
    <w:rsid w:val="26E33204"/>
    <w:rsid w:val="26E52AD8"/>
    <w:rsid w:val="26EB3E67"/>
    <w:rsid w:val="26F61189"/>
    <w:rsid w:val="26F70A5D"/>
    <w:rsid w:val="26FD2518"/>
    <w:rsid w:val="270C2F18"/>
    <w:rsid w:val="270D202F"/>
    <w:rsid w:val="270F023A"/>
    <w:rsid w:val="270F3FF9"/>
    <w:rsid w:val="271B474C"/>
    <w:rsid w:val="271C2272"/>
    <w:rsid w:val="271D56D4"/>
    <w:rsid w:val="27221F7E"/>
    <w:rsid w:val="27271343"/>
    <w:rsid w:val="272730F1"/>
    <w:rsid w:val="2729330D"/>
    <w:rsid w:val="272A2BE1"/>
    <w:rsid w:val="272C0707"/>
    <w:rsid w:val="2734580E"/>
    <w:rsid w:val="27360209"/>
    <w:rsid w:val="27361586"/>
    <w:rsid w:val="273E668C"/>
    <w:rsid w:val="27400656"/>
    <w:rsid w:val="275163C0"/>
    <w:rsid w:val="2753038A"/>
    <w:rsid w:val="27533EE6"/>
    <w:rsid w:val="275A34C6"/>
    <w:rsid w:val="275E4BA2"/>
    <w:rsid w:val="27602AA7"/>
    <w:rsid w:val="276420F2"/>
    <w:rsid w:val="276C4FA7"/>
    <w:rsid w:val="27710810"/>
    <w:rsid w:val="27750300"/>
    <w:rsid w:val="277D71B5"/>
    <w:rsid w:val="27802801"/>
    <w:rsid w:val="278422F1"/>
    <w:rsid w:val="27873B8F"/>
    <w:rsid w:val="278B7B24"/>
    <w:rsid w:val="278C389C"/>
    <w:rsid w:val="278E4F1E"/>
    <w:rsid w:val="27912C60"/>
    <w:rsid w:val="279462AC"/>
    <w:rsid w:val="279A7D67"/>
    <w:rsid w:val="27A44741"/>
    <w:rsid w:val="27A75FE0"/>
    <w:rsid w:val="27B150B0"/>
    <w:rsid w:val="27B23302"/>
    <w:rsid w:val="27B626C7"/>
    <w:rsid w:val="27B84691"/>
    <w:rsid w:val="27C13545"/>
    <w:rsid w:val="27C546B8"/>
    <w:rsid w:val="27C9064C"/>
    <w:rsid w:val="27CC5A46"/>
    <w:rsid w:val="27D019DA"/>
    <w:rsid w:val="27D6206B"/>
    <w:rsid w:val="27D74B17"/>
    <w:rsid w:val="27DE7237"/>
    <w:rsid w:val="27E040D7"/>
    <w:rsid w:val="27E62FAC"/>
    <w:rsid w:val="27E64DFD"/>
    <w:rsid w:val="27E92A9C"/>
    <w:rsid w:val="27E965F8"/>
    <w:rsid w:val="27EE1E60"/>
    <w:rsid w:val="27F219B8"/>
    <w:rsid w:val="27F531EF"/>
    <w:rsid w:val="27F60D15"/>
    <w:rsid w:val="27FA25B3"/>
    <w:rsid w:val="27FE6547"/>
    <w:rsid w:val="27FF372E"/>
    <w:rsid w:val="28053985"/>
    <w:rsid w:val="28124EC5"/>
    <w:rsid w:val="281713B7"/>
    <w:rsid w:val="2818512F"/>
    <w:rsid w:val="281C077C"/>
    <w:rsid w:val="281D44F4"/>
    <w:rsid w:val="282B4E63"/>
    <w:rsid w:val="283C0E1E"/>
    <w:rsid w:val="283E4B96"/>
    <w:rsid w:val="28442F27"/>
    <w:rsid w:val="28500425"/>
    <w:rsid w:val="285272AD"/>
    <w:rsid w:val="2858552C"/>
    <w:rsid w:val="285A5748"/>
    <w:rsid w:val="285F27BE"/>
    <w:rsid w:val="28612632"/>
    <w:rsid w:val="28642123"/>
    <w:rsid w:val="286E4D4F"/>
    <w:rsid w:val="286F11F3"/>
    <w:rsid w:val="28722A91"/>
    <w:rsid w:val="287265EE"/>
    <w:rsid w:val="2874680A"/>
    <w:rsid w:val="28814A83"/>
    <w:rsid w:val="288325A9"/>
    <w:rsid w:val="288D1679"/>
    <w:rsid w:val="289447B6"/>
    <w:rsid w:val="28A6273B"/>
    <w:rsid w:val="28A864B3"/>
    <w:rsid w:val="28B409B4"/>
    <w:rsid w:val="28CA642A"/>
    <w:rsid w:val="28CC03F4"/>
    <w:rsid w:val="28CD1A76"/>
    <w:rsid w:val="28CF1C92"/>
    <w:rsid w:val="28D0506B"/>
    <w:rsid w:val="28D252DE"/>
    <w:rsid w:val="28D728F5"/>
    <w:rsid w:val="28D9041B"/>
    <w:rsid w:val="28D948BF"/>
    <w:rsid w:val="28DB0637"/>
    <w:rsid w:val="28DF17A9"/>
    <w:rsid w:val="28E82D54"/>
    <w:rsid w:val="28F6721F"/>
    <w:rsid w:val="29023E15"/>
    <w:rsid w:val="29080D00"/>
    <w:rsid w:val="290A4A78"/>
    <w:rsid w:val="291D0CF0"/>
    <w:rsid w:val="29220014"/>
    <w:rsid w:val="29244AEE"/>
    <w:rsid w:val="2927562A"/>
    <w:rsid w:val="292813A2"/>
    <w:rsid w:val="293164A9"/>
    <w:rsid w:val="29341AF5"/>
    <w:rsid w:val="293B2E83"/>
    <w:rsid w:val="293D6BFB"/>
    <w:rsid w:val="29455AB0"/>
    <w:rsid w:val="294C6E3F"/>
    <w:rsid w:val="29514455"/>
    <w:rsid w:val="29543F45"/>
    <w:rsid w:val="2959155B"/>
    <w:rsid w:val="295B52D4"/>
    <w:rsid w:val="295D54F0"/>
    <w:rsid w:val="295E6B72"/>
    <w:rsid w:val="295F4405"/>
    <w:rsid w:val="296C5733"/>
    <w:rsid w:val="296F0D7F"/>
    <w:rsid w:val="29763EBB"/>
    <w:rsid w:val="297D524A"/>
    <w:rsid w:val="29804D3A"/>
    <w:rsid w:val="29856970"/>
    <w:rsid w:val="298A5BB9"/>
    <w:rsid w:val="298C36DF"/>
    <w:rsid w:val="299A1A87"/>
    <w:rsid w:val="299A22A0"/>
    <w:rsid w:val="299B1B74"/>
    <w:rsid w:val="299B6018"/>
    <w:rsid w:val="299D3B3E"/>
    <w:rsid w:val="29AB414D"/>
    <w:rsid w:val="29B42C36"/>
    <w:rsid w:val="29B83B80"/>
    <w:rsid w:val="29BF3A53"/>
    <w:rsid w:val="29BF3AB4"/>
    <w:rsid w:val="29C015DB"/>
    <w:rsid w:val="29C27101"/>
    <w:rsid w:val="29D37560"/>
    <w:rsid w:val="29E4176D"/>
    <w:rsid w:val="29EC6874"/>
    <w:rsid w:val="29EE6148"/>
    <w:rsid w:val="29F51284"/>
    <w:rsid w:val="29F64FFC"/>
    <w:rsid w:val="29FA0F90"/>
    <w:rsid w:val="29FB37E0"/>
    <w:rsid w:val="29FD4568"/>
    <w:rsid w:val="2A077209"/>
    <w:rsid w:val="2A0911D4"/>
    <w:rsid w:val="2A1115B5"/>
    <w:rsid w:val="2A16744D"/>
    <w:rsid w:val="2A1831C5"/>
    <w:rsid w:val="2A1A5439"/>
    <w:rsid w:val="2A2953D2"/>
    <w:rsid w:val="2A297180"/>
    <w:rsid w:val="2A2C3390"/>
    <w:rsid w:val="2A3049B2"/>
    <w:rsid w:val="2A306760"/>
    <w:rsid w:val="2A383867"/>
    <w:rsid w:val="2A3C5105"/>
    <w:rsid w:val="2A481CFC"/>
    <w:rsid w:val="2A4915D0"/>
    <w:rsid w:val="2A4B023A"/>
    <w:rsid w:val="2A5E32AB"/>
    <w:rsid w:val="2A6308E4"/>
    <w:rsid w:val="2A6813DA"/>
    <w:rsid w:val="2A703001"/>
    <w:rsid w:val="2A73489F"/>
    <w:rsid w:val="2A790107"/>
    <w:rsid w:val="2A7C3754"/>
    <w:rsid w:val="2A862824"/>
    <w:rsid w:val="2A8A2314"/>
    <w:rsid w:val="2A900FAD"/>
    <w:rsid w:val="2A97058D"/>
    <w:rsid w:val="2A9860B3"/>
    <w:rsid w:val="2A9F7442"/>
    <w:rsid w:val="2AA35184"/>
    <w:rsid w:val="2ABA427C"/>
    <w:rsid w:val="2AC05D36"/>
    <w:rsid w:val="2AC46EA9"/>
    <w:rsid w:val="2AC944BF"/>
    <w:rsid w:val="2AD409FF"/>
    <w:rsid w:val="2ADB07BB"/>
    <w:rsid w:val="2ADC0696"/>
    <w:rsid w:val="2AE11467"/>
    <w:rsid w:val="2AE31A25"/>
    <w:rsid w:val="2AF05EF0"/>
    <w:rsid w:val="2AF22208"/>
    <w:rsid w:val="2AFC2AE6"/>
    <w:rsid w:val="2AFC6642"/>
    <w:rsid w:val="2B073965"/>
    <w:rsid w:val="2B0E45AA"/>
    <w:rsid w:val="2B1020EE"/>
    <w:rsid w:val="2B177920"/>
    <w:rsid w:val="2B193698"/>
    <w:rsid w:val="2B195446"/>
    <w:rsid w:val="2B231E21"/>
    <w:rsid w:val="2B261911"/>
    <w:rsid w:val="2B312790"/>
    <w:rsid w:val="2B391645"/>
    <w:rsid w:val="2B3E30FF"/>
    <w:rsid w:val="2B420AE1"/>
    <w:rsid w:val="2B430715"/>
    <w:rsid w:val="2B45448D"/>
    <w:rsid w:val="2B4C75CA"/>
    <w:rsid w:val="2B4D7ADE"/>
    <w:rsid w:val="2B4F70BA"/>
    <w:rsid w:val="2B595843"/>
    <w:rsid w:val="2B5E72FD"/>
    <w:rsid w:val="2B606BD1"/>
    <w:rsid w:val="2B681F2A"/>
    <w:rsid w:val="2B715282"/>
    <w:rsid w:val="2B797443"/>
    <w:rsid w:val="2B7B1C5D"/>
    <w:rsid w:val="2B7B3A0B"/>
    <w:rsid w:val="2B8E4E3B"/>
    <w:rsid w:val="2B920D55"/>
    <w:rsid w:val="2B956DFA"/>
    <w:rsid w:val="2BA32F62"/>
    <w:rsid w:val="2BB36004"/>
    <w:rsid w:val="2BBB64FD"/>
    <w:rsid w:val="2BBF5FEE"/>
    <w:rsid w:val="2BCE6231"/>
    <w:rsid w:val="2BCE740C"/>
    <w:rsid w:val="2BCE7FDF"/>
    <w:rsid w:val="2BD61589"/>
    <w:rsid w:val="2BD63337"/>
    <w:rsid w:val="2BDD0222"/>
    <w:rsid w:val="2BDD6474"/>
    <w:rsid w:val="2BDF21EC"/>
    <w:rsid w:val="2BE07D12"/>
    <w:rsid w:val="2BE219F2"/>
    <w:rsid w:val="2BE912BD"/>
    <w:rsid w:val="2BE9306B"/>
    <w:rsid w:val="2BF3672D"/>
    <w:rsid w:val="2BF37A45"/>
    <w:rsid w:val="2BF612E4"/>
    <w:rsid w:val="2BF66CC1"/>
    <w:rsid w:val="2BFB4B4C"/>
    <w:rsid w:val="2C025EDA"/>
    <w:rsid w:val="2C097269"/>
    <w:rsid w:val="2C0D3E59"/>
    <w:rsid w:val="2C11436F"/>
    <w:rsid w:val="2C1354E0"/>
    <w:rsid w:val="2C161986"/>
    <w:rsid w:val="2C2736A5"/>
    <w:rsid w:val="2C31056E"/>
    <w:rsid w:val="2C324A12"/>
    <w:rsid w:val="2C387B4E"/>
    <w:rsid w:val="2C3A5674"/>
    <w:rsid w:val="2C3D5164"/>
    <w:rsid w:val="2C4604BD"/>
    <w:rsid w:val="2C46065A"/>
    <w:rsid w:val="2C4958B7"/>
    <w:rsid w:val="2C550700"/>
    <w:rsid w:val="2C583D4C"/>
    <w:rsid w:val="2C5A3F68"/>
    <w:rsid w:val="2C62736F"/>
    <w:rsid w:val="2C673F8F"/>
    <w:rsid w:val="2C6A106A"/>
    <w:rsid w:val="2C6D5A4A"/>
    <w:rsid w:val="2C6D60A4"/>
    <w:rsid w:val="2C7768C8"/>
    <w:rsid w:val="2C781ABD"/>
    <w:rsid w:val="2C7D37B3"/>
    <w:rsid w:val="2C8763E0"/>
    <w:rsid w:val="2C8C3BA3"/>
    <w:rsid w:val="2C901738"/>
    <w:rsid w:val="2C923702"/>
    <w:rsid w:val="2C931228"/>
    <w:rsid w:val="2C9A4365"/>
    <w:rsid w:val="2C9D5C03"/>
    <w:rsid w:val="2CA156F3"/>
    <w:rsid w:val="2CA43435"/>
    <w:rsid w:val="2CA451E4"/>
    <w:rsid w:val="2CAB0320"/>
    <w:rsid w:val="2CAD5E46"/>
    <w:rsid w:val="2CB5119F"/>
    <w:rsid w:val="2CBD0053"/>
    <w:rsid w:val="2CC472B9"/>
    <w:rsid w:val="2CC94C4A"/>
    <w:rsid w:val="2CCB09C2"/>
    <w:rsid w:val="2CCB30DB"/>
    <w:rsid w:val="2CCB6C14"/>
    <w:rsid w:val="2CCE400E"/>
    <w:rsid w:val="2CD755B9"/>
    <w:rsid w:val="2CD94E8D"/>
    <w:rsid w:val="2CDE6947"/>
    <w:rsid w:val="2CE455E0"/>
    <w:rsid w:val="2CEB4BC0"/>
    <w:rsid w:val="2CEF46B1"/>
    <w:rsid w:val="2CF27CFD"/>
    <w:rsid w:val="2CF33A75"/>
    <w:rsid w:val="2CF41CC7"/>
    <w:rsid w:val="2CF66EF2"/>
    <w:rsid w:val="2CF9552F"/>
    <w:rsid w:val="2CF972DD"/>
    <w:rsid w:val="2D0068BE"/>
    <w:rsid w:val="2D1E4F96"/>
    <w:rsid w:val="2D376058"/>
    <w:rsid w:val="2D376BAE"/>
    <w:rsid w:val="2D3E2F42"/>
    <w:rsid w:val="2D480265"/>
    <w:rsid w:val="2D482013"/>
    <w:rsid w:val="2D4A5D8B"/>
    <w:rsid w:val="2D5E3BF4"/>
    <w:rsid w:val="2D6055AE"/>
    <w:rsid w:val="2D614E83"/>
    <w:rsid w:val="2D6230D5"/>
    <w:rsid w:val="2D656721"/>
    <w:rsid w:val="2D726292"/>
    <w:rsid w:val="2D776454"/>
    <w:rsid w:val="2D834DF9"/>
    <w:rsid w:val="2D8543FF"/>
    <w:rsid w:val="2D880661"/>
    <w:rsid w:val="2D8A262B"/>
    <w:rsid w:val="2D986AF6"/>
    <w:rsid w:val="2D9E1C33"/>
    <w:rsid w:val="2DA134D1"/>
    <w:rsid w:val="2DA74F8B"/>
    <w:rsid w:val="2DA76D39"/>
    <w:rsid w:val="2DAA682A"/>
    <w:rsid w:val="2DAC4350"/>
    <w:rsid w:val="2DB66F7C"/>
    <w:rsid w:val="2DBD030B"/>
    <w:rsid w:val="2DBE22D5"/>
    <w:rsid w:val="2DBE4083"/>
    <w:rsid w:val="2DBF0527"/>
    <w:rsid w:val="2DC13DBD"/>
    <w:rsid w:val="2DC31699"/>
    <w:rsid w:val="2DCA0C7A"/>
    <w:rsid w:val="2DCD42C6"/>
    <w:rsid w:val="2DCF6290"/>
    <w:rsid w:val="2DD12008"/>
    <w:rsid w:val="2DD83397"/>
    <w:rsid w:val="2DDE64D3"/>
    <w:rsid w:val="2DE33AEA"/>
    <w:rsid w:val="2DE55AB4"/>
    <w:rsid w:val="2DE57862"/>
    <w:rsid w:val="2DE75388"/>
    <w:rsid w:val="2DE955A4"/>
    <w:rsid w:val="2DEA30CA"/>
    <w:rsid w:val="2DEE768F"/>
    <w:rsid w:val="2DEF248E"/>
    <w:rsid w:val="2DF301D1"/>
    <w:rsid w:val="2E100D83"/>
    <w:rsid w:val="2E150147"/>
    <w:rsid w:val="2E1819E5"/>
    <w:rsid w:val="2E1A575D"/>
    <w:rsid w:val="2E1B14D5"/>
    <w:rsid w:val="2E1D524D"/>
    <w:rsid w:val="2E1F0FC6"/>
    <w:rsid w:val="2E204D3E"/>
    <w:rsid w:val="2E272F6B"/>
    <w:rsid w:val="2E277E7A"/>
    <w:rsid w:val="2E2F6D2F"/>
    <w:rsid w:val="2E310CF9"/>
    <w:rsid w:val="2E314855"/>
    <w:rsid w:val="2E382087"/>
    <w:rsid w:val="2E3F3416"/>
    <w:rsid w:val="2E3F51C4"/>
    <w:rsid w:val="2E505623"/>
    <w:rsid w:val="2E5549E7"/>
    <w:rsid w:val="2E583FB3"/>
    <w:rsid w:val="2E5958F1"/>
    <w:rsid w:val="2E60666A"/>
    <w:rsid w:val="2E644C2A"/>
    <w:rsid w:val="2E6469D8"/>
    <w:rsid w:val="2E6966E5"/>
    <w:rsid w:val="2E6A4C84"/>
    <w:rsid w:val="2E6C6E5B"/>
    <w:rsid w:val="2E6E7857"/>
    <w:rsid w:val="2E7110F5"/>
    <w:rsid w:val="2E731311"/>
    <w:rsid w:val="2E756E38"/>
    <w:rsid w:val="2E76670C"/>
    <w:rsid w:val="2E813A2E"/>
    <w:rsid w:val="2E8157DC"/>
    <w:rsid w:val="2E864BA1"/>
    <w:rsid w:val="2E884DBD"/>
    <w:rsid w:val="2E9279E9"/>
    <w:rsid w:val="2E951288"/>
    <w:rsid w:val="2E960B5C"/>
    <w:rsid w:val="2EA65243"/>
    <w:rsid w:val="2EAB2859"/>
    <w:rsid w:val="2EB060C2"/>
    <w:rsid w:val="2EC8340B"/>
    <w:rsid w:val="2ED0406E"/>
    <w:rsid w:val="2ED27DE6"/>
    <w:rsid w:val="2ED7364E"/>
    <w:rsid w:val="2EDE49DD"/>
    <w:rsid w:val="2EE353EB"/>
    <w:rsid w:val="2EE47B19"/>
    <w:rsid w:val="2EEB70FA"/>
    <w:rsid w:val="2EED10C4"/>
    <w:rsid w:val="2EF51D26"/>
    <w:rsid w:val="2EF529CE"/>
    <w:rsid w:val="2EF97A69"/>
    <w:rsid w:val="2EFC30B5"/>
    <w:rsid w:val="2F032695"/>
    <w:rsid w:val="2F1403FE"/>
    <w:rsid w:val="2F1877C3"/>
    <w:rsid w:val="2F193C67"/>
    <w:rsid w:val="2F1F0B51"/>
    <w:rsid w:val="2F231E9A"/>
    <w:rsid w:val="2F2820FC"/>
    <w:rsid w:val="2F2B1BEC"/>
    <w:rsid w:val="2F2F5238"/>
    <w:rsid w:val="2F322206"/>
    <w:rsid w:val="2F370591"/>
    <w:rsid w:val="2F3A598B"/>
    <w:rsid w:val="2F3B1E2F"/>
    <w:rsid w:val="2F500B3A"/>
    <w:rsid w:val="2F503401"/>
    <w:rsid w:val="2F551796"/>
    <w:rsid w:val="2F5922B5"/>
    <w:rsid w:val="2F596BB6"/>
    <w:rsid w:val="2F5C1DA5"/>
    <w:rsid w:val="2F5E167A"/>
    <w:rsid w:val="2F633134"/>
    <w:rsid w:val="2F642A08"/>
    <w:rsid w:val="2F6824F8"/>
    <w:rsid w:val="2F68699C"/>
    <w:rsid w:val="2F6B1FE9"/>
    <w:rsid w:val="2F754C15"/>
    <w:rsid w:val="2F762E67"/>
    <w:rsid w:val="2F792957"/>
    <w:rsid w:val="2F803CE6"/>
    <w:rsid w:val="2F8337D6"/>
    <w:rsid w:val="2F833C37"/>
    <w:rsid w:val="2F854E58"/>
    <w:rsid w:val="2F8F2AF6"/>
    <w:rsid w:val="2F927575"/>
    <w:rsid w:val="2F963509"/>
    <w:rsid w:val="2FA31782"/>
    <w:rsid w:val="2FA379D4"/>
    <w:rsid w:val="2FAB0637"/>
    <w:rsid w:val="2FB53032"/>
    <w:rsid w:val="2FB63264"/>
    <w:rsid w:val="2FBF705B"/>
    <w:rsid w:val="2FC02334"/>
    <w:rsid w:val="2FC17E5A"/>
    <w:rsid w:val="2FC5794B"/>
    <w:rsid w:val="2FC75471"/>
    <w:rsid w:val="2FCE2CA3"/>
    <w:rsid w:val="2FCF34F1"/>
    <w:rsid w:val="2FD162F0"/>
    <w:rsid w:val="2FD65F6C"/>
    <w:rsid w:val="2FD8767E"/>
    <w:rsid w:val="2FE222AB"/>
    <w:rsid w:val="2FEA115F"/>
    <w:rsid w:val="2FEA73B1"/>
    <w:rsid w:val="2FEC5819"/>
    <w:rsid w:val="2FF3270A"/>
    <w:rsid w:val="2FF63FA8"/>
    <w:rsid w:val="30000983"/>
    <w:rsid w:val="30006BD5"/>
    <w:rsid w:val="3002294D"/>
    <w:rsid w:val="30072EC0"/>
    <w:rsid w:val="300F6E18"/>
    <w:rsid w:val="30112B90"/>
    <w:rsid w:val="301B428D"/>
    <w:rsid w:val="301E705B"/>
    <w:rsid w:val="30274161"/>
    <w:rsid w:val="30354AD0"/>
    <w:rsid w:val="303F4F25"/>
    <w:rsid w:val="3049057C"/>
    <w:rsid w:val="3049232A"/>
    <w:rsid w:val="305111DE"/>
    <w:rsid w:val="30595E14"/>
    <w:rsid w:val="30662EDC"/>
    <w:rsid w:val="306C426A"/>
    <w:rsid w:val="306E08CA"/>
    <w:rsid w:val="306E1D90"/>
    <w:rsid w:val="30731155"/>
    <w:rsid w:val="30744ECD"/>
    <w:rsid w:val="307D6477"/>
    <w:rsid w:val="3082509F"/>
    <w:rsid w:val="3086532C"/>
    <w:rsid w:val="309A4933"/>
    <w:rsid w:val="309C4B4F"/>
    <w:rsid w:val="309D2676"/>
    <w:rsid w:val="30A25EDE"/>
    <w:rsid w:val="30A77050"/>
    <w:rsid w:val="30A92DC8"/>
    <w:rsid w:val="30B17ECF"/>
    <w:rsid w:val="30B67293"/>
    <w:rsid w:val="30B8125D"/>
    <w:rsid w:val="30C220DC"/>
    <w:rsid w:val="30C419B0"/>
    <w:rsid w:val="30CC6AB7"/>
    <w:rsid w:val="30CE6CD3"/>
    <w:rsid w:val="30D36097"/>
    <w:rsid w:val="30D8545C"/>
    <w:rsid w:val="30DC13F0"/>
    <w:rsid w:val="30EE4C7F"/>
    <w:rsid w:val="30FA1876"/>
    <w:rsid w:val="31012C04"/>
    <w:rsid w:val="310446E2"/>
    <w:rsid w:val="31124E12"/>
    <w:rsid w:val="311B08F6"/>
    <w:rsid w:val="311C359A"/>
    <w:rsid w:val="311F12DD"/>
    <w:rsid w:val="311F308B"/>
    <w:rsid w:val="31230DCD"/>
    <w:rsid w:val="31294F6D"/>
    <w:rsid w:val="312E1520"/>
    <w:rsid w:val="314174A5"/>
    <w:rsid w:val="31436D79"/>
    <w:rsid w:val="31442AF1"/>
    <w:rsid w:val="31464ABB"/>
    <w:rsid w:val="31490108"/>
    <w:rsid w:val="314D409C"/>
    <w:rsid w:val="31501496"/>
    <w:rsid w:val="315076E8"/>
    <w:rsid w:val="31532D34"/>
    <w:rsid w:val="315D7B4B"/>
    <w:rsid w:val="31605B7D"/>
    <w:rsid w:val="316136A3"/>
    <w:rsid w:val="31615451"/>
    <w:rsid w:val="31634234"/>
    <w:rsid w:val="31653193"/>
    <w:rsid w:val="3166515D"/>
    <w:rsid w:val="31682C84"/>
    <w:rsid w:val="316B62D0"/>
    <w:rsid w:val="316D3DF6"/>
    <w:rsid w:val="316E7B6E"/>
    <w:rsid w:val="31745184"/>
    <w:rsid w:val="31755DD2"/>
    <w:rsid w:val="31771119"/>
    <w:rsid w:val="318F6462"/>
    <w:rsid w:val="319121DA"/>
    <w:rsid w:val="319B6BB5"/>
    <w:rsid w:val="319C46DB"/>
    <w:rsid w:val="31A11CF2"/>
    <w:rsid w:val="31A33CBC"/>
    <w:rsid w:val="31A54EB0"/>
    <w:rsid w:val="31A55C86"/>
    <w:rsid w:val="31A83080"/>
    <w:rsid w:val="31AA504A"/>
    <w:rsid w:val="31AF2660"/>
    <w:rsid w:val="31B639EF"/>
    <w:rsid w:val="31BC5392"/>
    <w:rsid w:val="31BC6B2B"/>
    <w:rsid w:val="31BD2FCF"/>
    <w:rsid w:val="31C559E0"/>
    <w:rsid w:val="31CC3212"/>
    <w:rsid w:val="31D2634F"/>
    <w:rsid w:val="31D64091"/>
    <w:rsid w:val="31DB3455"/>
    <w:rsid w:val="31DB5204"/>
    <w:rsid w:val="31DD71CE"/>
    <w:rsid w:val="31E83DC4"/>
    <w:rsid w:val="31EF0CAF"/>
    <w:rsid w:val="31EF147B"/>
    <w:rsid w:val="31EF6F01"/>
    <w:rsid w:val="31FC517A"/>
    <w:rsid w:val="320504D2"/>
    <w:rsid w:val="3207249C"/>
    <w:rsid w:val="320F30FF"/>
    <w:rsid w:val="32140715"/>
    <w:rsid w:val="321A09C1"/>
    <w:rsid w:val="321D3A6E"/>
    <w:rsid w:val="322A7F39"/>
    <w:rsid w:val="32355B8A"/>
    <w:rsid w:val="3239017C"/>
    <w:rsid w:val="323D1A1A"/>
    <w:rsid w:val="323D7C6C"/>
    <w:rsid w:val="323E597C"/>
    <w:rsid w:val="32496611"/>
    <w:rsid w:val="324C4353"/>
    <w:rsid w:val="324C7EAF"/>
    <w:rsid w:val="324D52A1"/>
    <w:rsid w:val="324E1E79"/>
    <w:rsid w:val="3251196A"/>
    <w:rsid w:val="32513718"/>
    <w:rsid w:val="3255145A"/>
    <w:rsid w:val="325925CC"/>
    <w:rsid w:val="325E7BE3"/>
    <w:rsid w:val="325F5E35"/>
    <w:rsid w:val="3260395B"/>
    <w:rsid w:val="32607DFF"/>
    <w:rsid w:val="326276D3"/>
    <w:rsid w:val="32696CB3"/>
    <w:rsid w:val="326F1DF0"/>
    <w:rsid w:val="32717916"/>
    <w:rsid w:val="32737B32"/>
    <w:rsid w:val="327B69E7"/>
    <w:rsid w:val="32870EE7"/>
    <w:rsid w:val="32990C1B"/>
    <w:rsid w:val="329A6E6D"/>
    <w:rsid w:val="32AB37DD"/>
    <w:rsid w:val="32B2752D"/>
    <w:rsid w:val="32B31CDC"/>
    <w:rsid w:val="32B617CD"/>
    <w:rsid w:val="32BA306B"/>
    <w:rsid w:val="32C263C3"/>
    <w:rsid w:val="32CB5278"/>
    <w:rsid w:val="32D00AE0"/>
    <w:rsid w:val="32D22AAA"/>
    <w:rsid w:val="32D3412D"/>
    <w:rsid w:val="32D81743"/>
    <w:rsid w:val="32DC56D7"/>
    <w:rsid w:val="32E427DE"/>
    <w:rsid w:val="32E53E60"/>
    <w:rsid w:val="32F10A57"/>
    <w:rsid w:val="32F12805"/>
    <w:rsid w:val="32FA6BE3"/>
    <w:rsid w:val="33010C9A"/>
    <w:rsid w:val="33082597"/>
    <w:rsid w:val="330B38C7"/>
    <w:rsid w:val="33114C55"/>
    <w:rsid w:val="33152997"/>
    <w:rsid w:val="33174961"/>
    <w:rsid w:val="331D7A9E"/>
    <w:rsid w:val="33240E2C"/>
    <w:rsid w:val="332932E2"/>
    <w:rsid w:val="332B5D17"/>
    <w:rsid w:val="333252F7"/>
    <w:rsid w:val="33482D6D"/>
    <w:rsid w:val="334943EF"/>
    <w:rsid w:val="3350577D"/>
    <w:rsid w:val="33527747"/>
    <w:rsid w:val="33542A82"/>
    <w:rsid w:val="3357136A"/>
    <w:rsid w:val="3357668E"/>
    <w:rsid w:val="335A484E"/>
    <w:rsid w:val="335C2896"/>
    <w:rsid w:val="335C309B"/>
    <w:rsid w:val="335E17F2"/>
    <w:rsid w:val="33660CCD"/>
    <w:rsid w:val="336D632F"/>
    <w:rsid w:val="33721B98"/>
    <w:rsid w:val="33756B27"/>
    <w:rsid w:val="337E678E"/>
    <w:rsid w:val="337E7C19"/>
    <w:rsid w:val="33857B1D"/>
    <w:rsid w:val="338F0E0F"/>
    <w:rsid w:val="3392223A"/>
    <w:rsid w:val="33942343"/>
    <w:rsid w:val="339733AC"/>
    <w:rsid w:val="33997124"/>
    <w:rsid w:val="33A71C67"/>
    <w:rsid w:val="33A8380B"/>
    <w:rsid w:val="33A855B9"/>
    <w:rsid w:val="33AFEC5B"/>
    <w:rsid w:val="33B3020A"/>
    <w:rsid w:val="33BE6B8B"/>
    <w:rsid w:val="33BF2903"/>
    <w:rsid w:val="33C06DA7"/>
    <w:rsid w:val="33C87A09"/>
    <w:rsid w:val="33CD3146"/>
    <w:rsid w:val="33D740F0"/>
    <w:rsid w:val="33DA14EB"/>
    <w:rsid w:val="33DB773D"/>
    <w:rsid w:val="33DC5263"/>
    <w:rsid w:val="33DF6B01"/>
    <w:rsid w:val="33E10ACB"/>
    <w:rsid w:val="33E23C62"/>
    <w:rsid w:val="33E76902"/>
    <w:rsid w:val="33EC194A"/>
    <w:rsid w:val="33EC7B9C"/>
    <w:rsid w:val="33ED56C2"/>
    <w:rsid w:val="33F2420D"/>
    <w:rsid w:val="33F425AD"/>
    <w:rsid w:val="33F54A0C"/>
    <w:rsid w:val="33FB1B8D"/>
    <w:rsid w:val="33FD3B57"/>
    <w:rsid w:val="33FE342B"/>
    <w:rsid w:val="33FE78CF"/>
    <w:rsid w:val="34052A0C"/>
    <w:rsid w:val="340A7BE9"/>
    <w:rsid w:val="340F5638"/>
    <w:rsid w:val="34160775"/>
    <w:rsid w:val="341744ED"/>
    <w:rsid w:val="341B5D8B"/>
    <w:rsid w:val="34213243"/>
    <w:rsid w:val="3424150B"/>
    <w:rsid w:val="34243CCB"/>
    <w:rsid w:val="342D5ABF"/>
    <w:rsid w:val="34311A53"/>
    <w:rsid w:val="3434509F"/>
    <w:rsid w:val="343706EB"/>
    <w:rsid w:val="3442156A"/>
    <w:rsid w:val="344F0BC8"/>
    <w:rsid w:val="345D45F6"/>
    <w:rsid w:val="34605E94"/>
    <w:rsid w:val="34607C42"/>
    <w:rsid w:val="346314E0"/>
    <w:rsid w:val="34694D37"/>
    <w:rsid w:val="346D3676"/>
    <w:rsid w:val="348D682D"/>
    <w:rsid w:val="348E4780"/>
    <w:rsid w:val="349D0E96"/>
    <w:rsid w:val="34A51AF9"/>
    <w:rsid w:val="34AC2E87"/>
    <w:rsid w:val="34AF1EA4"/>
    <w:rsid w:val="34B14942"/>
    <w:rsid w:val="34C44675"/>
    <w:rsid w:val="34C75F13"/>
    <w:rsid w:val="34CA484F"/>
    <w:rsid w:val="34CC3529"/>
    <w:rsid w:val="34CE2DFE"/>
    <w:rsid w:val="34CE54F3"/>
    <w:rsid w:val="34D16D92"/>
    <w:rsid w:val="34D523DE"/>
    <w:rsid w:val="34D83C7C"/>
    <w:rsid w:val="34E00D75"/>
    <w:rsid w:val="34E40873"/>
    <w:rsid w:val="34EB33C6"/>
    <w:rsid w:val="34EC7728"/>
    <w:rsid w:val="34F860CC"/>
    <w:rsid w:val="34FA1E45"/>
    <w:rsid w:val="35004F81"/>
    <w:rsid w:val="3518051D"/>
    <w:rsid w:val="351A4295"/>
    <w:rsid w:val="352073D1"/>
    <w:rsid w:val="352670DE"/>
    <w:rsid w:val="35284C04"/>
    <w:rsid w:val="352C30F1"/>
    <w:rsid w:val="352E457E"/>
    <w:rsid w:val="353335A8"/>
    <w:rsid w:val="35357321"/>
    <w:rsid w:val="35362C55"/>
    <w:rsid w:val="35380BBF"/>
    <w:rsid w:val="35441312"/>
    <w:rsid w:val="35466E38"/>
    <w:rsid w:val="35492DCC"/>
    <w:rsid w:val="35496928"/>
    <w:rsid w:val="3550415A"/>
    <w:rsid w:val="35523A2F"/>
    <w:rsid w:val="3555351F"/>
    <w:rsid w:val="356E2833"/>
    <w:rsid w:val="3575596F"/>
    <w:rsid w:val="357A2F85"/>
    <w:rsid w:val="358636D8"/>
    <w:rsid w:val="358838F4"/>
    <w:rsid w:val="35887450"/>
    <w:rsid w:val="358A766C"/>
    <w:rsid w:val="35980BD9"/>
    <w:rsid w:val="3598340C"/>
    <w:rsid w:val="35A3428A"/>
    <w:rsid w:val="35A72150"/>
    <w:rsid w:val="35AF0E81"/>
    <w:rsid w:val="35B30245"/>
    <w:rsid w:val="35B37551"/>
    <w:rsid w:val="35B77D36"/>
    <w:rsid w:val="35BC70FA"/>
    <w:rsid w:val="35C02258"/>
    <w:rsid w:val="35C80195"/>
    <w:rsid w:val="35CB558F"/>
    <w:rsid w:val="35CF1523"/>
    <w:rsid w:val="35D22DC1"/>
    <w:rsid w:val="35D41965"/>
    <w:rsid w:val="35D47806"/>
    <w:rsid w:val="35D94150"/>
    <w:rsid w:val="35D97CAC"/>
    <w:rsid w:val="35E054DE"/>
    <w:rsid w:val="35EC651F"/>
    <w:rsid w:val="35F5260C"/>
    <w:rsid w:val="35FB269C"/>
    <w:rsid w:val="35FC7E3E"/>
    <w:rsid w:val="35FE3BB6"/>
    <w:rsid w:val="360B1E2F"/>
    <w:rsid w:val="361231BE"/>
    <w:rsid w:val="36146F36"/>
    <w:rsid w:val="3619279E"/>
    <w:rsid w:val="36280C33"/>
    <w:rsid w:val="362A0508"/>
    <w:rsid w:val="362D5DAF"/>
    <w:rsid w:val="362F3D70"/>
    <w:rsid w:val="36306450"/>
    <w:rsid w:val="36317AE8"/>
    <w:rsid w:val="36372206"/>
    <w:rsid w:val="36394BEF"/>
    <w:rsid w:val="36415851"/>
    <w:rsid w:val="3647730B"/>
    <w:rsid w:val="36486BE0"/>
    <w:rsid w:val="364F4412"/>
    <w:rsid w:val="365732C7"/>
    <w:rsid w:val="365932DD"/>
    <w:rsid w:val="365C268B"/>
    <w:rsid w:val="365E6403"/>
    <w:rsid w:val="36610A6A"/>
    <w:rsid w:val="366559E4"/>
    <w:rsid w:val="36657792"/>
    <w:rsid w:val="367B0D63"/>
    <w:rsid w:val="36826596"/>
    <w:rsid w:val="36857E34"/>
    <w:rsid w:val="3687595A"/>
    <w:rsid w:val="369167D9"/>
    <w:rsid w:val="369E0EF6"/>
    <w:rsid w:val="36A44F75"/>
    <w:rsid w:val="36A77DAA"/>
    <w:rsid w:val="36B14785"/>
    <w:rsid w:val="36BB5604"/>
    <w:rsid w:val="36BE6EA2"/>
    <w:rsid w:val="36D13079"/>
    <w:rsid w:val="36D16BD5"/>
    <w:rsid w:val="36D861B6"/>
    <w:rsid w:val="36DA1F2E"/>
    <w:rsid w:val="36DB3EF8"/>
    <w:rsid w:val="36E0506A"/>
    <w:rsid w:val="36EA5EE9"/>
    <w:rsid w:val="36F079A3"/>
    <w:rsid w:val="36F17277"/>
    <w:rsid w:val="36F823B4"/>
    <w:rsid w:val="36FA437E"/>
    <w:rsid w:val="36FA5D6F"/>
    <w:rsid w:val="36FD3E6E"/>
    <w:rsid w:val="36FD79CA"/>
    <w:rsid w:val="36FF7BE6"/>
    <w:rsid w:val="37076A9B"/>
    <w:rsid w:val="370945C1"/>
    <w:rsid w:val="370C5E5F"/>
    <w:rsid w:val="370E607B"/>
    <w:rsid w:val="371116C7"/>
    <w:rsid w:val="371B1451"/>
    <w:rsid w:val="371F2036"/>
    <w:rsid w:val="37215DAE"/>
    <w:rsid w:val="37265173"/>
    <w:rsid w:val="372E2279"/>
    <w:rsid w:val="373A29CC"/>
    <w:rsid w:val="374101FF"/>
    <w:rsid w:val="374D6BA3"/>
    <w:rsid w:val="37500442"/>
    <w:rsid w:val="37555A58"/>
    <w:rsid w:val="375D2B5F"/>
    <w:rsid w:val="37647A49"/>
    <w:rsid w:val="3768578B"/>
    <w:rsid w:val="376B0DD8"/>
    <w:rsid w:val="376D2DA2"/>
    <w:rsid w:val="376E6B1A"/>
    <w:rsid w:val="37702892"/>
    <w:rsid w:val="37751C56"/>
    <w:rsid w:val="37773C20"/>
    <w:rsid w:val="37873738"/>
    <w:rsid w:val="378974B0"/>
    <w:rsid w:val="378D6FA0"/>
    <w:rsid w:val="3790083E"/>
    <w:rsid w:val="379426EC"/>
    <w:rsid w:val="379540A7"/>
    <w:rsid w:val="37977E1F"/>
    <w:rsid w:val="379950AD"/>
    <w:rsid w:val="379A66C6"/>
    <w:rsid w:val="379E73FF"/>
    <w:rsid w:val="37AB1B1C"/>
    <w:rsid w:val="37AC6F17"/>
    <w:rsid w:val="37B02C8E"/>
    <w:rsid w:val="37B409D1"/>
    <w:rsid w:val="37B502A5"/>
    <w:rsid w:val="37BE184F"/>
    <w:rsid w:val="37BF2ED1"/>
    <w:rsid w:val="37C239D4"/>
    <w:rsid w:val="37CB05A4"/>
    <w:rsid w:val="37CB1876"/>
    <w:rsid w:val="37CB5D1A"/>
    <w:rsid w:val="37D01583"/>
    <w:rsid w:val="37D56B99"/>
    <w:rsid w:val="37DD15AA"/>
    <w:rsid w:val="37E172EC"/>
    <w:rsid w:val="37E33064"/>
    <w:rsid w:val="37E34E12"/>
    <w:rsid w:val="37E82428"/>
    <w:rsid w:val="37ED3EE3"/>
    <w:rsid w:val="37ED7A3F"/>
    <w:rsid w:val="37F60FE9"/>
    <w:rsid w:val="38022BDC"/>
    <w:rsid w:val="3814321D"/>
    <w:rsid w:val="381C20D2"/>
    <w:rsid w:val="38213B8C"/>
    <w:rsid w:val="3821593A"/>
    <w:rsid w:val="38237904"/>
    <w:rsid w:val="38244AE6"/>
    <w:rsid w:val="382673F4"/>
    <w:rsid w:val="38327B47"/>
    <w:rsid w:val="38404012"/>
    <w:rsid w:val="38433B03"/>
    <w:rsid w:val="38451629"/>
    <w:rsid w:val="384B29B7"/>
    <w:rsid w:val="385201EA"/>
    <w:rsid w:val="38561A88"/>
    <w:rsid w:val="385B709E"/>
    <w:rsid w:val="386341A5"/>
    <w:rsid w:val="386D5023"/>
    <w:rsid w:val="38795776"/>
    <w:rsid w:val="387B504A"/>
    <w:rsid w:val="388163D9"/>
    <w:rsid w:val="38887767"/>
    <w:rsid w:val="388A34DF"/>
    <w:rsid w:val="388C36FB"/>
    <w:rsid w:val="388D4D7E"/>
    <w:rsid w:val="38983E4E"/>
    <w:rsid w:val="38991974"/>
    <w:rsid w:val="389B749B"/>
    <w:rsid w:val="38A30A45"/>
    <w:rsid w:val="38A5656B"/>
    <w:rsid w:val="38A74091"/>
    <w:rsid w:val="38A87E0A"/>
    <w:rsid w:val="38B22A36"/>
    <w:rsid w:val="38C06F01"/>
    <w:rsid w:val="38C613AA"/>
    <w:rsid w:val="38C904AC"/>
    <w:rsid w:val="38D17360"/>
    <w:rsid w:val="38D64977"/>
    <w:rsid w:val="38DB1F8D"/>
    <w:rsid w:val="38DD49CB"/>
    <w:rsid w:val="38DE1A7D"/>
    <w:rsid w:val="38DF7A7F"/>
    <w:rsid w:val="38E54BBA"/>
    <w:rsid w:val="38ED3A6E"/>
    <w:rsid w:val="38EF3C8A"/>
    <w:rsid w:val="38F117B0"/>
    <w:rsid w:val="38F1355F"/>
    <w:rsid w:val="38F65019"/>
    <w:rsid w:val="38F848ED"/>
    <w:rsid w:val="38FD0155"/>
    <w:rsid w:val="38FF3ECD"/>
    <w:rsid w:val="3902751A"/>
    <w:rsid w:val="391334D5"/>
    <w:rsid w:val="39172A9C"/>
    <w:rsid w:val="391D4354"/>
    <w:rsid w:val="39253208"/>
    <w:rsid w:val="39276F80"/>
    <w:rsid w:val="392B4CC2"/>
    <w:rsid w:val="39350A01"/>
    <w:rsid w:val="39365415"/>
    <w:rsid w:val="393C6ED0"/>
    <w:rsid w:val="39447B32"/>
    <w:rsid w:val="394A0EC1"/>
    <w:rsid w:val="394B57D9"/>
    <w:rsid w:val="394E6C03"/>
    <w:rsid w:val="395A1104"/>
    <w:rsid w:val="39677CC5"/>
    <w:rsid w:val="396E2E01"/>
    <w:rsid w:val="39706B79"/>
    <w:rsid w:val="397B70F5"/>
    <w:rsid w:val="397B72CC"/>
    <w:rsid w:val="398B750F"/>
    <w:rsid w:val="3991089E"/>
    <w:rsid w:val="39916AF0"/>
    <w:rsid w:val="399565E0"/>
    <w:rsid w:val="399D7F94"/>
    <w:rsid w:val="39AC4D26"/>
    <w:rsid w:val="39AE31FE"/>
    <w:rsid w:val="39B20F40"/>
    <w:rsid w:val="39B36A66"/>
    <w:rsid w:val="39B631FE"/>
    <w:rsid w:val="39BF18AF"/>
    <w:rsid w:val="39BF540B"/>
    <w:rsid w:val="39C24EFB"/>
    <w:rsid w:val="39C62C3D"/>
    <w:rsid w:val="39CB0253"/>
    <w:rsid w:val="39CD7B28"/>
    <w:rsid w:val="39D07618"/>
    <w:rsid w:val="39E44E71"/>
    <w:rsid w:val="39E7589A"/>
    <w:rsid w:val="39F552D0"/>
    <w:rsid w:val="39F72DF7"/>
    <w:rsid w:val="39F74BA5"/>
    <w:rsid w:val="39F900B1"/>
    <w:rsid w:val="39FD5F33"/>
    <w:rsid w:val="3A015A23"/>
    <w:rsid w:val="3A0177D1"/>
    <w:rsid w:val="3A0948D8"/>
    <w:rsid w:val="3A0977A4"/>
    <w:rsid w:val="3A137505"/>
    <w:rsid w:val="3A1439A9"/>
    <w:rsid w:val="3A15327D"/>
    <w:rsid w:val="3A257964"/>
    <w:rsid w:val="3A26548A"/>
    <w:rsid w:val="3A2B484E"/>
    <w:rsid w:val="3A2B6F44"/>
    <w:rsid w:val="3A325BDD"/>
    <w:rsid w:val="3A396F6B"/>
    <w:rsid w:val="3A4122C4"/>
    <w:rsid w:val="3A43428E"/>
    <w:rsid w:val="3A43603C"/>
    <w:rsid w:val="3A441E84"/>
    <w:rsid w:val="3A4B3142"/>
    <w:rsid w:val="3A577D39"/>
    <w:rsid w:val="3A5B3385"/>
    <w:rsid w:val="3A5D5AD7"/>
    <w:rsid w:val="3A5E69D2"/>
    <w:rsid w:val="3A6B10EF"/>
    <w:rsid w:val="3A6D130B"/>
    <w:rsid w:val="3A766411"/>
    <w:rsid w:val="3A7C154E"/>
    <w:rsid w:val="3A7E38B2"/>
    <w:rsid w:val="3A7E7074"/>
    <w:rsid w:val="3A886145"/>
    <w:rsid w:val="3A8D158F"/>
    <w:rsid w:val="3A98366A"/>
    <w:rsid w:val="3A9D4A5A"/>
    <w:rsid w:val="3A9D6889"/>
    <w:rsid w:val="3AA35040"/>
    <w:rsid w:val="3AB17449"/>
    <w:rsid w:val="3AB42FBD"/>
    <w:rsid w:val="3AB962FE"/>
    <w:rsid w:val="3AC30F2B"/>
    <w:rsid w:val="3AC56A51"/>
    <w:rsid w:val="3AC802EF"/>
    <w:rsid w:val="3ACD3B57"/>
    <w:rsid w:val="3AD1189A"/>
    <w:rsid w:val="3AE315CD"/>
    <w:rsid w:val="3AE3337B"/>
    <w:rsid w:val="3AE570F3"/>
    <w:rsid w:val="3AE80991"/>
    <w:rsid w:val="3AE96BE3"/>
    <w:rsid w:val="3AFB06C4"/>
    <w:rsid w:val="3AFE1F63"/>
    <w:rsid w:val="3B045A41"/>
    <w:rsid w:val="3B0A6B5A"/>
    <w:rsid w:val="3B0E03F8"/>
    <w:rsid w:val="3B1654FE"/>
    <w:rsid w:val="3B253993"/>
    <w:rsid w:val="3B2714BA"/>
    <w:rsid w:val="3B2C4D22"/>
    <w:rsid w:val="3B2F65C0"/>
    <w:rsid w:val="3B300A0F"/>
    <w:rsid w:val="3B31058A"/>
    <w:rsid w:val="3B3F4A55"/>
    <w:rsid w:val="3B4262F3"/>
    <w:rsid w:val="3B455DE4"/>
    <w:rsid w:val="3B457B92"/>
    <w:rsid w:val="3B5F50F7"/>
    <w:rsid w:val="3B6224F2"/>
    <w:rsid w:val="3B781D15"/>
    <w:rsid w:val="3B7F12F6"/>
    <w:rsid w:val="3B824942"/>
    <w:rsid w:val="3B895CD0"/>
    <w:rsid w:val="3B8E778B"/>
    <w:rsid w:val="3B914B85"/>
    <w:rsid w:val="3BB23479"/>
    <w:rsid w:val="3BBC42F8"/>
    <w:rsid w:val="3BD056AD"/>
    <w:rsid w:val="3BD74C8E"/>
    <w:rsid w:val="3BD75073"/>
    <w:rsid w:val="3BE64ED1"/>
    <w:rsid w:val="3BED44B1"/>
    <w:rsid w:val="3BEE1C53"/>
    <w:rsid w:val="3BF82E56"/>
    <w:rsid w:val="3BFA097C"/>
    <w:rsid w:val="3BFF5F92"/>
    <w:rsid w:val="3C014195"/>
    <w:rsid w:val="3C0435A9"/>
    <w:rsid w:val="3C065573"/>
    <w:rsid w:val="3C12216A"/>
    <w:rsid w:val="3C177CC1"/>
    <w:rsid w:val="3C1B3742"/>
    <w:rsid w:val="3C1C4D96"/>
    <w:rsid w:val="3C1F03E3"/>
    <w:rsid w:val="3C265C15"/>
    <w:rsid w:val="3C2679C3"/>
    <w:rsid w:val="3C28373B"/>
    <w:rsid w:val="3C2854E9"/>
    <w:rsid w:val="3C2B6D87"/>
    <w:rsid w:val="3C2D0D52"/>
    <w:rsid w:val="3C2D6FA3"/>
    <w:rsid w:val="3C2E0626"/>
    <w:rsid w:val="3C300842"/>
    <w:rsid w:val="3C357C06"/>
    <w:rsid w:val="3C37397E"/>
    <w:rsid w:val="3C4542ED"/>
    <w:rsid w:val="3C4E2A76"/>
    <w:rsid w:val="3C5349E3"/>
    <w:rsid w:val="3C5E53AF"/>
    <w:rsid w:val="3C686BF7"/>
    <w:rsid w:val="3C7E15AD"/>
    <w:rsid w:val="3C8841DA"/>
    <w:rsid w:val="3C8A1D00"/>
    <w:rsid w:val="3C8B3CCA"/>
    <w:rsid w:val="3C8F7316"/>
    <w:rsid w:val="3C9C5ED7"/>
    <w:rsid w:val="3C9E1C4F"/>
    <w:rsid w:val="3CAF1767"/>
    <w:rsid w:val="3CB274A9"/>
    <w:rsid w:val="3CBA010B"/>
    <w:rsid w:val="3CBE7BFC"/>
    <w:rsid w:val="3CCD6091"/>
    <w:rsid w:val="3CCF3BB7"/>
    <w:rsid w:val="3CD236A7"/>
    <w:rsid w:val="3CD70CBD"/>
    <w:rsid w:val="3CD72A6B"/>
    <w:rsid w:val="3CD967E3"/>
    <w:rsid w:val="3CDF42AB"/>
    <w:rsid w:val="3CE5162C"/>
    <w:rsid w:val="3CE533DA"/>
    <w:rsid w:val="3CE60F00"/>
    <w:rsid w:val="3CE704BC"/>
    <w:rsid w:val="3CEF6007"/>
    <w:rsid w:val="3CF03B2D"/>
    <w:rsid w:val="3CF208B5"/>
    <w:rsid w:val="3D031E2F"/>
    <w:rsid w:val="3D0611DA"/>
    <w:rsid w:val="3D073351"/>
    <w:rsid w:val="3D0870C9"/>
    <w:rsid w:val="3D0A4004"/>
    <w:rsid w:val="3D0B5494"/>
    <w:rsid w:val="3D112421"/>
    <w:rsid w:val="3D1837B0"/>
    <w:rsid w:val="3D1B6DFC"/>
    <w:rsid w:val="3D2A34E3"/>
    <w:rsid w:val="3D314871"/>
    <w:rsid w:val="3D3243C2"/>
    <w:rsid w:val="3D3D4FC4"/>
    <w:rsid w:val="3D3E0D3C"/>
    <w:rsid w:val="3D4C3459"/>
    <w:rsid w:val="3D510A70"/>
    <w:rsid w:val="3D54230E"/>
    <w:rsid w:val="3D567E34"/>
    <w:rsid w:val="3D580050"/>
    <w:rsid w:val="3D605157"/>
    <w:rsid w:val="3D624A2B"/>
    <w:rsid w:val="3D6562C9"/>
    <w:rsid w:val="3D695DB9"/>
    <w:rsid w:val="3D801355"/>
    <w:rsid w:val="3D87623F"/>
    <w:rsid w:val="3D89645B"/>
    <w:rsid w:val="3D8A5D30"/>
    <w:rsid w:val="3D9D1F07"/>
    <w:rsid w:val="3D9F5C7F"/>
    <w:rsid w:val="3DAE0F7D"/>
    <w:rsid w:val="3DB159B2"/>
    <w:rsid w:val="3DB64D77"/>
    <w:rsid w:val="3DB80AEF"/>
    <w:rsid w:val="3DB86D41"/>
    <w:rsid w:val="3DBA1DD5"/>
    <w:rsid w:val="3DBA4867"/>
    <w:rsid w:val="3DBD4357"/>
    <w:rsid w:val="3DBF4E21"/>
    <w:rsid w:val="3DC01751"/>
    <w:rsid w:val="3DC0640E"/>
    <w:rsid w:val="3DC47494"/>
    <w:rsid w:val="3DC6618F"/>
    <w:rsid w:val="3DCB2BE5"/>
    <w:rsid w:val="3DCE20C0"/>
    <w:rsid w:val="3DD1395F"/>
    <w:rsid w:val="3DD376D7"/>
    <w:rsid w:val="3DE2791A"/>
    <w:rsid w:val="3DEB22C0"/>
    <w:rsid w:val="3DEE2762"/>
    <w:rsid w:val="3DEE62BF"/>
    <w:rsid w:val="3E06185A"/>
    <w:rsid w:val="3E0B6E71"/>
    <w:rsid w:val="3E135D25"/>
    <w:rsid w:val="3E1A70B4"/>
    <w:rsid w:val="3E1F0B6E"/>
    <w:rsid w:val="3E1F291C"/>
    <w:rsid w:val="3E2B7513"/>
    <w:rsid w:val="3E2C6DE7"/>
    <w:rsid w:val="3E39336E"/>
    <w:rsid w:val="3E3A1504"/>
    <w:rsid w:val="3E3B007D"/>
    <w:rsid w:val="3E3F4D6C"/>
    <w:rsid w:val="3E467EA9"/>
    <w:rsid w:val="3E570308"/>
    <w:rsid w:val="3E5720B6"/>
    <w:rsid w:val="3E5A3954"/>
    <w:rsid w:val="3E5A7DF8"/>
    <w:rsid w:val="3E5C591E"/>
    <w:rsid w:val="3E5E4B58"/>
    <w:rsid w:val="3E5F0F6A"/>
    <w:rsid w:val="3E642A25"/>
    <w:rsid w:val="3E6A003B"/>
    <w:rsid w:val="3E6B5B61"/>
    <w:rsid w:val="3E6D7B2B"/>
    <w:rsid w:val="3E734A16"/>
    <w:rsid w:val="3E75078E"/>
    <w:rsid w:val="3E78202C"/>
    <w:rsid w:val="3E7E5894"/>
    <w:rsid w:val="3E95498C"/>
    <w:rsid w:val="3E974BA8"/>
    <w:rsid w:val="3E976956"/>
    <w:rsid w:val="3E990920"/>
    <w:rsid w:val="3E9C21BE"/>
    <w:rsid w:val="3E9C5D1B"/>
    <w:rsid w:val="3EAB0654"/>
    <w:rsid w:val="3EAB2402"/>
    <w:rsid w:val="3EAF1EF2"/>
    <w:rsid w:val="3EB05C6A"/>
    <w:rsid w:val="3EB07A18"/>
    <w:rsid w:val="3EB72B54"/>
    <w:rsid w:val="3EB968CD"/>
    <w:rsid w:val="3EBA4F51"/>
    <w:rsid w:val="3EBC016B"/>
    <w:rsid w:val="3EBE2135"/>
    <w:rsid w:val="3EBE3EE3"/>
    <w:rsid w:val="3EBF7C5B"/>
    <w:rsid w:val="3ECD2378"/>
    <w:rsid w:val="3ED25BE0"/>
    <w:rsid w:val="3ED5122D"/>
    <w:rsid w:val="3ED70A3A"/>
    <w:rsid w:val="3EDB2CE7"/>
    <w:rsid w:val="3EDF3E59"/>
    <w:rsid w:val="3EE14075"/>
    <w:rsid w:val="3EE17BD1"/>
    <w:rsid w:val="3EEF22EE"/>
    <w:rsid w:val="3EEF6792"/>
    <w:rsid w:val="3EF602DA"/>
    <w:rsid w:val="3F081602"/>
    <w:rsid w:val="3F082449"/>
    <w:rsid w:val="3F0D6C18"/>
    <w:rsid w:val="3F163D1F"/>
    <w:rsid w:val="3F1B30E3"/>
    <w:rsid w:val="3F1C50AD"/>
    <w:rsid w:val="3F1E0E25"/>
    <w:rsid w:val="3F2B709E"/>
    <w:rsid w:val="3F3423F7"/>
    <w:rsid w:val="3F36616F"/>
    <w:rsid w:val="3F392CE3"/>
    <w:rsid w:val="3F446ADE"/>
    <w:rsid w:val="3F4871AE"/>
    <w:rsid w:val="3F4A5777"/>
    <w:rsid w:val="3F514D57"/>
    <w:rsid w:val="3F52287D"/>
    <w:rsid w:val="3F584337"/>
    <w:rsid w:val="3F5847F0"/>
    <w:rsid w:val="3F60143E"/>
    <w:rsid w:val="3F6A406B"/>
    <w:rsid w:val="3F7153F9"/>
    <w:rsid w:val="3F76656C"/>
    <w:rsid w:val="3F823162"/>
    <w:rsid w:val="3F8F762D"/>
    <w:rsid w:val="3F942E96"/>
    <w:rsid w:val="3F9B4224"/>
    <w:rsid w:val="3F9B5FD2"/>
    <w:rsid w:val="3F9B6B83"/>
    <w:rsid w:val="3FA05CDE"/>
    <w:rsid w:val="3FA550A3"/>
    <w:rsid w:val="3FA82F37"/>
    <w:rsid w:val="3FAF0434"/>
    <w:rsid w:val="3FC01EDD"/>
    <w:rsid w:val="3FC4377B"/>
    <w:rsid w:val="3FCB2D5B"/>
    <w:rsid w:val="3FCF2120"/>
    <w:rsid w:val="3FD339BE"/>
    <w:rsid w:val="3FD5747A"/>
    <w:rsid w:val="3FDF6807"/>
    <w:rsid w:val="3FE200A5"/>
    <w:rsid w:val="3FE21E53"/>
    <w:rsid w:val="3FE94F8F"/>
    <w:rsid w:val="3FEC4A80"/>
    <w:rsid w:val="3FF027C2"/>
    <w:rsid w:val="3FF658FE"/>
    <w:rsid w:val="3FF676AC"/>
    <w:rsid w:val="3FF80472"/>
    <w:rsid w:val="3FFE0A32"/>
    <w:rsid w:val="3FFF2A05"/>
    <w:rsid w:val="400022D9"/>
    <w:rsid w:val="400718BA"/>
    <w:rsid w:val="400C5122"/>
    <w:rsid w:val="400D32E3"/>
    <w:rsid w:val="400F2EC6"/>
    <w:rsid w:val="401144E6"/>
    <w:rsid w:val="401364B0"/>
    <w:rsid w:val="4024421A"/>
    <w:rsid w:val="40251D40"/>
    <w:rsid w:val="402E5098"/>
    <w:rsid w:val="4033445D"/>
    <w:rsid w:val="403A1C8F"/>
    <w:rsid w:val="40420B44"/>
    <w:rsid w:val="404228F2"/>
    <w:rsid w:val="404448BC"/>
    <w:rsid w:val="40464190"/>
    <w:rsid w:val="40556AC9"/>
    <w:rsid w:val="40564282"/>
    <w:rsid w:val="405A7C3B"/>
    <w:rsid w:val="405D772B"/>
    <w:rsid w:val="40640ABA"/>
    <w:rsid w:val="407056B1"/>
    <w:rsid w:val="407231D7"/>
    <w:rsid w:val="407F58F4"/>
    <w:rsid w:val="4081166C"/>
    <w:rsid w:val="4081341A"/>
    <w:rsid w:val="408353E4"/>
    <w:rsid w:val="40907B01"/>
    <w:rsid w:val="40923879"/>
    <w:rsid w:val="40932860"/>
    <w:rsid w:val="409749EB"/>
    <w:rsid w:val="40980764"/>
    <w:rsid w:val="40A11D0E"/>
    <w:rsid w:val="40AA0BC3"/>
    <w:rsid w:val="40AF442B"/>
    <w:rsid w:val="40BC4452"/>
    <w:rsid w:val="40D7128C"/>
    <w:rsid w:val="40D93256"/>
    <w:rsid w:val="40DA6FCE"/>
    <w:rsid w:val="40E65973"/>
    <w:rsid w:val="40EC6DDC"/>
    <w:rsid w:val="40F170AA"/>
    <w:rsid w:val="40F462E2"/>
    <w:rsid w:val="40FA31CC"/>
    <w:rsid w:val="40FB76FB"/>
    <w:rsid w:val="410042A8"/>
    <w:rsid w:val="410B53D9"/>
    <w:rsid w:val="411029F0"/>
    <w:rsid w:val="41110C42"/>
    <w:rsid w:val="411424E0"/>
    <w:rsid w:val="41151DB4"/>
    <w:rsid w:val="41165E8B"/>
    <w:rsid w:val="411918A4"/>
    <w:rsid w:val="411B386E"/>
    <w:rsid w:val="411E335F"/>
    <w:rsid w:val="411E6EBB"/>
    <w:rsid w:val="412626D2"/>
    <w:rsid w:val="41270465"/>
    <w:rsid w:val="41285F8B"/>
    <w:rsid w:val="412C5A7C"/>
    <w:rsid w:val="41313092"/>
    <w:rsid w:val="413F3272"/>
    <w:rsid w:val="41401527"/>
    <w:rsid w:val="41406E31"/>
    <w:rsid w:val="414553E3"/>
    <w:rsid w:val="41456B3D"/>
    <w:rsid w:val="414C3A28"/>
    <w:rsid w:val="4151103E"/>
    <w:rsid w:val="41526B64"/>
    <w:rsid w:val="41596145"/>
    <w:rsid w:val="415B3C6B"/>
    <w:rsid w:val="415C79E3"/>
    <w:rsid w:val="415D5C35"/>
    <w:rsid w:val="41614FF9"/>
    <w:rsid w:val="416C40CA"/>
    <w:rsid w:val="41781F5F"/>
    <w:rsid w:val="4178424B"/>
    <w:rsid w:val="41796A32"/>
    <w:rsid w:val="41856F3A"/>
    <w:rsid w:val="41866E0A"/>
    <w:rsid w:val="418A09F4"/>
    <w:rsid w:val="418A27A2"/>
    <w:rsid w:val="41911D83"/>
    <w:rsid w:val="4194717D"/>
    <w:rsid w:val="41990C37"/>
    <w:rsid w:val="419E7FFC"/>
    <w:rsid w:val="41A53138"/>
    <w:rsid w:val="41A73354"/>
    <w:rsid w:val="41AA69A0"/>
    <w:rsid w:val="41B45A71"/>
    <w:rsid w:val="41BB0BAE"/>
    <w:rsid w:val="41BF069E"/>
    <w:rsid w:val="41C061C4"/>
    <w:rsid w:val="41C863AE"/>
    <w:rsid w:val="41C932CA"/>
    <w:rsid w:val="41CC4B69"/>
    <w:rsid w:val="41E066CC"/>
    <w:rsid w:val="41E225DE"/>
    <w:rsid w:val="41E55C2A"/>
    <w:rsid w:val="41FB544E"/>
    <w:rsid w:val="41FD2F74"/>
    <w:rsid w:val="42002A64"/>
    <w:rsid w:val="42091919"/>
    <w:rsid w:val="42196C84"/>
    <w:rsid w:val="421B164C"/>
    <w:rsid w:val="421B33FA"/>
    <w:rsid w:val="422229DB"/>
    <w:rsid w:val="4222518C"/>
    <w:rsid w:val="42295B17"/>
    <w:rsid w:val="422B5D33"/>
    <w:rsid w:val="423170C2"/>
    <w:rsid w:val="423544BC"/>
    <w:rsid w:val="423A41C8"/>
    <w:rsid w:val="423C6C0F"/>
    <w:rsid w:val="423F533B"/>
    <w:rsid w:val="42462B6D"/>
    <w:rsid w:val="42472441"/>
    <w:rsid w:val="424A5D19"/>
    <w:rsid w:val="424C7A58"/>
    <w:rsid w:val="4250579A"/>
    <w:rsid w:val="425B7C9B"/>
    <w:rsid w:val="425C5EED"/>
    <w:rsid w:val="425D1C65"/>
    <w:rsid w:val="426254CD"/>
    <w:rsid w:val="42644DA1"/>
    <w:rsid w:val="42660B19"/>
    <w:rsid w:val="42674891"/>
    <w:rsid w:val="42723962"/>
    <w:rsid w:val="42733236"/>
    <w:rsid w:val="427E62E2"/>
    <w:rsid w:val="42815953"/>
    <w:rsid w:val="4289147A"/>
    <w:rsid w:val="42892A5A"/>
    <w:rsid w:val="428C42F8"/>
    <w:rsid w:val="429531AD"/>
    <w:rsid w:val="429A4C67"/>
    <w:rsid w:val="429C09DF"/>
    <w:rsid w:val="42A41642"/>
    <w:rsid w:val="42A653BA"/>
    <w:rsid w:val="42AD1AEC"/>
    <w:rsid w:val="42B555FD"/>
    <w:rsid w:val="42BC2E2F"/>
    <w:rsid w:val="42BF022A"/>
    <w:rsid w:val="42C121F4"/>
    <w:rsid w:val="42C910A8"/>
    <w:rsid w:val="42D068DB"/>
    <w:rsid w:val="42DC0934"/>
    <w:rsid w:val="42DE4B4E"/>
    <w:rsid w:val="42E14644"/>
    <w:rsid w:val="42E3660E"/>
    <w:rsid w:val="42ED123B"/>
    <w:rsid w:val="42ED4D97"/>
    <w:rsid w:val="42EF6D61"/>
    <w:rsid w:val="42F04887"/>
    <w:rsid w:val="42F223AD"/>
    <w:rsid w:val="42F8373B"/>
    <w:rsid w:val="42FF4201"/>
    <w:rsid w:val="430622FC"/>
    <w:rsid w:val="43092A55"/>
    <w:rsid w:val="43100A85"/>
    <w:rsid w:val="431E13F4"/>
    <w:rsid w:val="431E7646"/>
    <w:rsid w:val="432D7889"/>
    <w:rsid w:val="432F3601"/>
    <w:rsid w:val="433504EC"/>
    <w:rsid w:val="433517D1"/>
    <w:rsid w:val="43421586"/>
    <w:rsid w:val="43432C09"/>
    <w:rsid w:val="434B7D0F"/>
    <w:rsid w:val="434D2C25"/>
    <w:rsid w:val="435326DA"/>
    <w:rsid w:val="4355293C"/>
    <w:rsid w:val="4356105B"/>
    <w:rsid w:val="435B43F6"/>
    <w:rsid w:val="435C1F1C"/>
    <w:rsid w:val="4361198C"/>
    <w:rsid w:val="436D5ED7"/>
    <w:rsid w:val="43770B04"/>
    <w:rsid w:val="437E1E93"/>
    <w:rsid w:val="43827BD5"/>
    <w:rsid w:val="4383394D"/>
    <w:rsid w:val="43917E18"/>
    <w:rsid w:val="43943464"/>
    <w:rsid w:val="43993170"/>
    <w:rsid w:val="439B778F"/>
    <w:rsid w:val="439D4A0F"/>
    <w:rsid w:val="43A075A0"/>
    <w:rsid w:val="43B92ECB"/>
    <w:rsid w:val="43C755E8"/>
    <w:rsid w:val="43E91A02"/>
    <w:rsid w:val="43E97C54"/>
    <w:rsid w:val="43EF2D90"/>
    <w:rsid w:val="43F16B09"/>
    <w:rsid w:val="43F32881"/>
    <w:rsid w:val="43F62371"/>
    <w:rsid w:val="43FE4D82"/>
    <w:rsid w:val="44000AFA"/>
    <w:rsid w:val="44134CD1"/>
    <w:rsid w:val="441427F7"/>
    <w:rsid w:val="44157B0F"/>
    <w:rsid w:val="4416066E"/>
    <w:rsid w:val="442073EE"/>
    <w:rsid w:val="44226CC2"/>
    <w:rsid w:val="4427252A"/>
    <w:rsid w:val="442742D8"/>
    <w:rsid w:val="442A5B77"/>
    <w:rsid w:val="442E38B9"/>
    <w:rsid w:val="44315157"/>
    <w:rsid w:val="44376732"/>
    <w:rsid w:val="443C6934"/>
    <w:rsid w:val="443D1D4E"/>
    <w:rsid w:val="443D3AFC"/>
    <w:rsid w:val="443F17B1"/>
    <w:rsid w:val="44476729"/>
    <w:rsid w:val="44507CD3"/>
    <w:rsid w:val="44564BBE"/>
    <w:rsid w:val="445826E4"/>
    <w:rsid w:val="445C6678"/>
    <w:rsid w:val="445F3A72"/>
    <w:rsid w:val="446217B4"/>
    <w:rsid w:val="44642C0C"/>
    <w:rsid w:val="446C2633"/>
    <w:rsid w:val="446E63AB"/>
    <w:rsid w:val="447339C1"/>
    <w:rsid w:val="4484172B"/>
    <w:rsid w:val="4484797D"/>
    <w:rsid w:val="44867251"/>
    <w:rsid w:val="4487121B"/>
    <w:rsid w:val="4488746D"/>
    <w:rsid w:val="449D27EC"/>
    <w:rsid w:val="44AD0606"/>
    <w:rsid w:val="44B27F70"/>
    <w:rsid w:val="44B813D4"/>
    <w:rsid w:val="44B87626"/>
    <w:rsid w:val="44C139EB"/>
    <w:rsid w:val="44C24001"/>
    <w:rsid w:val="44C71617"/>
    <w:rsid w:val="44CB1108"/>
    <w:rsid w:val="44CE0BF8"/>
    <w:rsid w:val="44E4666D"/>
    <w:rsid w:val="44E86CCF"/>
    <w:rsid w:val="44F00B6E"/>
    <w:rsid w:val="44F80CE9"/>
    <w:rsid w:val="44F87A23"/>
    <w:rsid w:val="44FC39B7"/>
    <w:rsid w:val="44FD328B"/>
    <w:rsid w:val="45010FCD"/>
    <w:rsid w:val="4504461A"/>
    <w:rsid w:val="450B1E4C"/>
    <w:rsid w:val="45124F88"/>
    <w:rsid w:val="4513485D"/>
    <w:rsid w:val="451E392D"/>
    <w:rsid w:val="451F76A5"/>
    <w:rsid w:val="452627E2"/>
    <w:rsid w:val="452C0E17"/>
    <w:rsid w:val="452D591E"/>
    <w:rsid w:val="453E18DA"/>
    <w:rsid w:val="454315E6"/>
    <w:rsid w:val="454669E0"/>
    <w:rsid w:val="454A4722"/>
    <w:rsid w:val="456450B8"/>
    <w:rsid w:val="456652D4"/>
    <w:rsid w:val="456D21BF"/>
    <w:rsid w:val="456D6663"/>
    <w:rsid w:val="457572C5"/>
    <w:rsid w:val="457B0D80"/>
    <w:rsid w:val="457C68A6"/>
    <w:rsid w:val="45826F1E"/>
    <w:rsid w:val="45837329"/>
    <w:rsid w:val="45886FF9"/>
    <w:rsid w:val="458A34FF"/>
    <w:rsid w:val="458D2861"/>
    <w:rsid w:val="458F482B"/>
    <w:rsid w:val="45912351"/>
    <w:rsid w:val="45921630"/>
    <w:rsid w:val="4594599D"/>
    <w:rsid w:val="45984FD7"/>
    <w:rsid w:val="45A02594"/>
    <w:rsid w:val="45A51959"/>
    <w:rsid w:val="45A831F7"/>
    <w:rsid w:val="45B147A1"/>
    <w:rsid w:val="45BE6EBE"/>
    <w:rsid w:val="45C36283"/>
    <w:rsid w:val="45D16BF2"/>
    <w:rsid w:val="45D264C6"/>
    <w:rsid w:val="45D40490"/>
    <w:rsid w:val="45D71D2E"/>
    <w:rsid w:val="45D95AA6"/>
    <w:rsid w:val="45DB35CC"/>
    <w:rsid w:val="45E00BE3"/>
    <w:rsid w:val="45E06E35"/>
    <w:rsid w:val="45E306D3"/>
    <w:rsid w:val="45E76415"/>
    <w:rsid w:val="45EC7588"/>
    <w:rsid w:val="45F14B9E"/>
    <w:rsid w:val="45F46806"/>
    <w:rsid w:val="46026DAD"/>
    <w:rsid w:val="46113492"/>
    <w:rsid w:val="46130FB8"/>
    <w:rsid w:val="462036D5"/>
    <w:rsid w:val="46224AC9"/>
    <w:rsid w:val="46260101"/>
    <w:rsid w:val="46284338"/>
    <w:rsid w:val="462C6948"/>
    <w:rsid w:val="462E490D"/>
    <w:rsid w:val="46333AFA"/>
    <w:rsid w:val="46380A1F"/>
    <w:rsid w:val="463902F3"/>
    <w:rsid w:val="463B22BD"/>
    <w:rsid w:val="463D7DE3"/>
    <w:rsid w:val="46476EB4"/>
    <w:rsid w:val="464C0026"/>
    <w:rsid w:val="464F42E8"/>
    <w:rsid w:val="465A0995"/>
    <w:rsid w:val="465A2875"/>
    <w:rsid w:val="466000AE"/>
    <w:rsid w:val="46625A9C"/>
    <w:rsid w:val="4662784A"/>
    <w:rsid w:val="466730B2"/>
    <w:rsid w:val="466F1F67"/>
    <w:rsid w:val="4670640B"/>
    <w:rsid w:val="467F664E"/>
    <w:rsid w:val="46850939"/>
    <w:rsid w:val="46893028"/>
    <w:rsid w:val="468B5C4E"/>
    <w:rsid w:val="468E6891"/>
    <w:rsid w:val="468F19EB"/>
    <w:rsid w:val="469730DC"/>
    <w:rsid w:val="4698770F"/>
    <w:rsid w:val="46A55988"/>
    <w:rsid w:val="46A72251"/>
    <w:rsid w:val="46AE2A8F"/>
    <w:rsid w:val="46B06807"/>
    <w:rsid w:val="46B362F7"/>
    <w:rsid w:val="46B81B60"/>
    <w:rsid w:val="46BD2CD2"/>
    <w:rsid w:val="46C027C2"/>
    <w:rsid w:val="46C25D0A"/>
    <w:rsid w:val="46D02A05"/>
    <w:rsid w:val="46D15F8F"/>
    <w:rsid w:val="46F34946"/>
    <w:rsid w:val="47064679"/>
    <w:rsid w:val="47125265"/>
    <w:rsid w:val="471A6376"/>
    <w:rsid w:val="471C5C4A"/>
    <w:rsid w:val="471F398D"/>
    <w:rsid w:val="473E02B7"/>
    <w:rsid w:val="474451A1"/>
    <w:rsid w:val="47462CC7"/>
    <w:rsid w:val="47482EE3"/>
    <w:rsid w:val="474D4056"/>
    <w:rsid w:val="474E6C61"/>
    <w:rsid w:val="47501D98"/>
    <w:rsid w:val="47664E5A"/>
    <w:rsid w:val="476D294A"/>
    <w:rsid w:val="47700BE5"/>
    <w:rsid w:val="477C2ED7"/>
    <w:rsid w:val="477C493B"/>
    <w:rsid w:val="478163F5"/>
    <w:rsid w:val="47881532"/>
    <w:rsid w:val="4792415F"/>
    <w:rsid w:val="479753C8"/>
    <w:rsid w:val="479E2B03"/>
    <w:rsid w:val="47A45C40"/>
    <w:rsid w:val="47A70D1B"/>
    <w:rsid w:val="47AA594C"/>
    <w:rsid w:val="47B42327"/>
    <w:rsid w:val="47B56610"/>
    <w:rsid w:val="47C22C96"/>
    <w:rsid w:val="47C702AC"/>
    <w:rsid w:val="47CF7161"/>
    <w:rsid w:val="47D227AD"/>
    <w:rsid w:val="47D420AB"/>
    <w:rsid w:val="47D44777"/>
    <w:rsid w:val="47DE55F6"/>
    <w:rsid w:val="47E0311C"/>
    <w:rsid w:val="47F15FD3"/>
    <w:rsid w:val="47FB1D04"/>
    <w:rsid w:val="480706A9"/>
    <w:rsid w:val="480A1F47"/>
    <w:rsid w:val="481132D5"/>
    <w:rsid w:val="48147269"/>
    <w:rsid w:val="48180B08"/>
    <w:rsid w:val="481B4154"/>
    <w:rsid w:val="481D7ECC"/>
    <w:rsid w:val="48223734"/>
    <w:rsid w:val="48376AB4"/>
    <w:rsid w:val="483E36C7"/>
    <w:rsid w:val="483E6094"/>
    <w:rsid w:val="484A2C8B"/>
    <w:rsid w:val="484C255F"/>
    <w:rsid w:val="485853A8"/>
    <w:rsid w:val="48587156"/>
    <w:rsid w:val="48592ECE"/>
    <w:rsid w:val="485B27A2"/>
    <w:rsid w:val="485D29BF"/>
    <w:rsid w:val="486024AF"/>
    <w:rsid w:val="4860425D"/>
    <w:rsid w:val="486E0837"/>
    <w:rsid w:val="4875070A"/>
    <w:rsid w:val="48776B62"/>
    <w:rsid w:val="487839B2"/>
    <w:rsid w:val="487C662B"/>
    <w:rsid w:val="488937B4"/>
    <w:rsid w:val="488E4926"/>
    <w:rsid w:val="48914416"/>
    <w:rsid w:val="48B545A9"/>
    <w:rsid w:val="48C20A74"/>
    <w:rsid w:val="48D12A65"/>
    <w:rsid w:val="48D367DD"/>
    <w:rsid w:val="48D51A77"/>
    <w:rsid w:val="48DD3AFF"/>
    <w:rsid w:val="48E00EFA"/>
    <w:rsid w:val="48E22EC4"/>
    <w:rsid w:val="48E409EA"/>
    <w:rsid w:val="48EE3617"/>
    <w:rsid w:val="48FA1FBB"/>
    <w:rsid w:val="4900334A"/>
    <w:rsid w:val="490115D2"/>
    <w:rsid w:val="490B41C9"/>
    <w:rsid w:val="490C799C"/>
    <w:rsid w:val="4910358D"/>
    <w:rsid w:val="491312CF"/>
    <w:rsid w:val="49267254"/>
    <w:rsid w:val="49296D45"/>
    <w:rsid w:val="493279A7"/>
    <w:rsid w:val="49351245"/>
    <w:rsid w:val="49373210"/>
    <w:rsid w:val="49396F88"/>
    <w:rsid w:val="493C4382"/>
    <w:rsid w:val="49404145"/>
    <w:rsid w:val="4944592C"/>
    <w:rsid w:val="494B6CBB"/>
    <w:rsid w:val="495042D1"/>
    <w:rsid w:val="4953791E"/>
    <w:rsid w:val="49543DC1"/>
    <w:rsid w:val="49575660"/>
    <w:rsid w:val="495E69EE"/>
    <w:rsid w:val="496438D9"/>
    <w:rsid w:val="49695393"/>
    <w:rsid w:val="49706721"/>
    <w:rsid w:val="49753D38"/>
    <w:rsid w:val="49777AB0"/>
    <w:rsid w:val="497F0713"/>
    <w:rsid w:val="49845D29"/>
    <w:rsid w:val="49867CF3"/>
    <w:rsid w:val="49886629"/>
    <w:rsid w:val="498A77E3"/>
    <w:rsid w:val="498B70B7"/>
    <w:rsid w:val="498D2E30"/>
    <w:rsid w:val="49971F00"/>
    <w:rsid w:val="499860A6"/>
    <w:rsid w:val="49A563CB"/>
    <w:rsid w:val="49A95790"/>
    <w:rsid w:val="49AA1C33"/>
    <w:rsid w:val="49B900C8"/>
    <w:rsid w:val="49BF6D61"/>
    <w:rsid w:val="49C03205"/>
    <w:rsid w:val="49E862B8"/>
    <w:rsid w:val="49F11610"/>
    <w:rsid w:val="49F27137"/>
    <w:rsid w:val="49FB248F"/>
    <w:rsid w:val="4A0550BC"/>
    <w:rsid w:val="4A08695A"/>
    <w:rsid w:val="4A113A61"/>
    <w:rsid w:val="4A143551"/>
    <w:rsid w:val="4A17094B"/>
    <w:rsid w:val="4A1946C3"/>
    <w:rsid w:val="4A2319E6"/>
    <w:rsid w:val="4A3027A7"/>
    <w:rsid w:val="4A315EB1"/>
    <w:rsid w:val="4A413C1A"/>
    <w:rsid w:val="4A49144C"/>
    <w:rsid w:val="4A4C2CEB"/>
    <w:rsid w:val="4A563B69"/>
    <w:rsid w:val="4A591F38"/>
    <w:rsid w:val="4A593B07"/>
    <w:rsid w:val="4A745D9D"/>
    <w:rsid w:val="4A7D10F6"/>
    <w:rsid w:val="4A7E09CA"/>
    <w:rsid w:val="4A8204BA"/>
    <w:rsid w:val="4A82495E"/>
    <w:rsid w:val="4A8E6E5F"/>
    <w:rsid w:val="4A9D3546"/>
    <w:rsid w:val="4A9F106C"/>
    <w:rsid w:val="4AA06B93"/>
    <w:rsid w:val="4AB56AE2"/>
    <w:rsid w:val="4ABD14F2"/>
    <w:rsid w:val="4AC26B09"/>
    <w:rsid w:val="4AC40AD3"/>
    <w:rsid w:val="4ACE3700"/>
    <w:rsid w:val="4ADB406F"/>
    <w:rsid w:val="4ADF76BB"/>
    <w:rsid w:val="4AE01685"/>
    <w:rsid w:val="4AE42F23"/>
    <w:rsid w:val="4AE64EED"/>
    <w:rsid w:val="4AEB2504"/>
    <w:rsid w:val="4AF56EDE"/>
    <w:rsid w:val="4AFD3FE5"/>
    <w:rsid w:val="4AFD5D93"/>
    <w:rsid w:val="4B02784D"/>
    <w:rsid w:val="4B045373"/>
    <w:rsid w:val="4B054C48"/>
    <w:rsid w:val="4B0D06CC"/>
    <w:rsid w:val="4B0E61F2"/>
    <w:rsid w:val="4B15132F"/>
    <w:rsid w:val="4B241572"/>
    <w:rsid w:val="4B293685"/>
    <w:rsid w:val="4B2C0426"/>
    <w:rsid w:val="4B2E0642"/>
    <w:rsid w:val="4B38501D"/>
    <w:rsid w:val="4B3A6458"/>
    <w:rsid w:val="4B4C2876"/>
    <w:rsid w:val="4B5005B9"/>
    <w:rsid w:val="4B532CE1"/>
    <w:rsid w:val="4B564639"/>
    <w:rsid w:val="4B5A1437"/>
    <w:rsid w:val="4B5C0D0B"/>
    <w:rsid w:val="4B645E12"/>
    <w:rsid w:val="4B6C4D31"/>
    <w:rsid w:val="4B6E4EE3"/>
    <w:rsid w:val="4B6E6C91"/>
    <w:rsid w:val="4B702A09"/>
    <w:rsid w:val="4B80314D"/>
    <w:rsid w:val="4B810772"/>
    <w:rsid w:val="4B865D88"/>
    <w:rsid w:val="4B904E59"/>
    <w:rsid w:val="4B9423F1"/>
    <w:rsid w:val="4B985ABC"/>
    <w:rsid w:val="4B9E7576"/>
    <w:rsid w:val="4BA6467C"/>
    <w:rsid w:val="4BA72908"/>
    <w:rsid w:val="4BA803F5"/>
    <w:rsid w:val="4BAD77B9"/>
    <w:rsid w:val="4BB14A48"/>
    <w:rsid w:val="4BB328F5"/>
    <w:rsid w:val="4BB52B12"/>
    <w:rsid w:val="4BB723E6"/>
    <w:rsid w:val="4BBA69BC"/>
    <w:rsid w:val="4BBB5CCD"/>
    <w:rsid w:val="4BC114B6"/>
    <w:rsid w:val="4BC33571"/>
    <w:rsid w:val="4BC468B1"/>
    <w:rsid w:val="4BD034A7"/>
    <w:rsid w:val="4BD905AE"/>
    <w:rsid w:val="4BD9235C"/>
    <w:rsid w:val="4BDB2578"/>
    <w:rsid w:val="4BDF36EB"/>
    <w:rsid w:val="4BE16C2F"/>
    <w:rsid w:val="4BE47401"/>
    <w:rsid w:val="4BE8259F"/>
    <w:rsid w:val="4BEE392E"/>
    <w:rsid w:val="4BF03B4A"/>
    <w:rsid w:val="4BFC604B"/>
    <w:rsid w:val="4C082C41"/>
    <w:rsid w:val="4C0A69B9"/>
    <w:rsid w:val="4C0F6FA6"/>
    <w:rsid w:val="4C120BAA"/>
    <w:rsid w:val="4C15710C"/>
    <w:rsid w:val="4C1930A0"/>
    <w:rsid w:val="4C1C493F"/>
    <w:rsid w:val="4C2D08FA"/>
    <w:rsid w:val="4C3707CB"/>
    <w:rsid w:val="4C455C43"/>
    <w:rsid w:val="4C4F0870"/>
    <w:rsid w:val="4C553F36"/>
    <w:rsid w:val="4C572BCB"/>
    <w:rsid w:val="4C6053BE"/>
    <w:rsid w:val="4C6267F5"/>
    <w:rsid w:val="4C6C2B44"/>
    <w:rsid w:val="4C6D3572"/>
    <w:rsid w:val="4C6F2CC0"/>
    <w:rsid w:val="4C7402D7"/>
    <w:rsid w:val="4C806D7F"/>
    <w:rsid w:val="4C8147A2"/>
    <w:rsid w:val="4C8D1398"/>
    <w:rsid w:val="4C9A69DF"/>
    <w:rsid w:val="4C9D5A7F"/>
    <w:rsid w:val="4C9E35A6"/>
    <w:rsid w:val="4CA02E7A"/>
    <w:rsid w:val="4CAC5739"/>
    <w:rsid w:val="4CB42DC9"/>
    <w:rsid w:val="4CB44B77"/>
    <w:rsid w:val="4CB46925"/>
    <w:rsid w:val="4CBD0415"/>
    <w:rsid w:val="4CBE1552"/>
    <w:rsid w:val="4CCA7EF7"/>
    <w:rsid w:val="4CD40D75"/>
    <w:rsid w:val="4CE92A73"/>
    <w:rsid w:val="4CE94821"/>
    <w:rsid w:val="4CED2C69"/>
    <w:rsid w:val="4CEF795D"/>
    <w:rsid w:val="4CF3569F"/>
    <w:rsid w:val="4CF3744D"/>
    <w:rsid w:val="4CF66298"/>
    <w:rsid w:val="4CFF4044"/>
    <w:rsid w:val="4D07739D"/>
    <w:rsid w:val="4D0C050F"/>
    <w:rsid w:val="4D106251"/>
    <w:rsid w:val="4D186EB4"/>
    <w:rsid w:val="4D1A70D0"/>
    <w:rsid w:val="4D2243EF"/>
    <w:rsid w:val="4D2B308B"/>
    <w:rsid w:val="4D2E492A"/>
    <w:rsid w:val="4D2F3ED8"/>
    <w:rsid w:val="4D3161C8"/>
    <w:rsid w:val="4D317F76"/>
    <w:rsid w:val="4D337467"/>
    <w:rsid w:val="4D3A507C"/>
    <w:rsid w:val="4D3C5E91"/>
    <w:rsid w:val="4D4203D5"/>
    <w:rsid w:val="4D4C3002"/>
    <w:rsid w:val="4D5123C6"/>
    <w:rsid w:val="4D5A3970"/>
    <w:rsid w:val="4D5A74CD"/>
    <w:rsid w:val="4D5D520F"/>
    <w:rsid w:val="4D622825"/>
    <w:rsid w:val="4D7A7778"/>
    <w:rsid w:val="4D7D7304"/>
    <w:rsid w:val="4D7F0CE1"/>
    <w:rsid w:val="4D826A23"/>
    <w:rsid w:val="4D8B3B2A"/>
    <w:rsid w:val="4D8C1650"/>
    <w:rsid w:val="4D8E53C8"/>
    <w:rsid w:val="4D986247"/>
    <w:rsid w:val="4D9F4273"/>
    <w:rsid w:val="4DA62712"/>
    <w:rsid w:val="4DA93FB0"/>
    <w:rsid w:val="4DB26FA1"/>
    <w:rsid w:val="4DB52955"/>
    <w:rsid w:val="4DBE3EFF"/>
    <w:rsid w:val="4DC041CF"/>
    <w:rsid w:val="4DC4528E"/>
    <w:rsid w:val="4DC4703C"/>
    <w:rsid w:val="4DC66910"/>
    <w:rsid w:val="4DDC6134"/>
    <w:rsid w:val="4DE1374A"/>
    <w:rsid w:val="4DE4148C"/>
    <w:rsid w:val="4DE44FE8"/>
    <w:rsid w:val="4DEA4CF4"/>
    <w:rsid w:val="4DED2394"/>
    <w:rsid w:val="4DF03675"/>
    <w:rsid w:val="4DF3347D"/>
    <w:rsid w:val="4DF72F6D"/>
    <w:rsid w:val="4E031912"/>
    <w:rsid w:val="4E035DB6"/>
    <w:rsid w:val="4E0631B0"/>
    <w:rsid w:val="4E0A0EF3"/>
    <w:rsid w:val="4E0F6509"/>
    <w:rsid w:val="4E17716C"/>
    <w:rsid w:val="4E180282"/>
    <w:rsid w:val="4E197388"/>
    <w:rsid w:val="4E263853"/>
    <w:rsid w:val="4E2B70BB"/>
    <w:rsid w:val="4E345F70"/>
    <w:rsid w:val="4E361CE8"/>
    <w:rsid w:val="4E393586"/>
    <w:rsid w:val="4E3A10AC"/>
    <w:rsid w:val="4E3C3076"/>
    <w:rsid w:val="4E434405"/>
    <w:rsid w:val="4E485577"/>
    <w:rsid w:val="4E487C6D"/>
    <w:rsid w:val="4E4D7031"/>
    <w:rsid w:val="4E5403C0"/>
    <w:rsid w:val="4E573921"/>
    <w:rsid w:val="4E5A7363"/>
    <w:rsid w:val="4E615575"/>
    <w:rsid w:val="4E6A373F"/>
    <w:rsid w:val="4E6B74B7"/>
    <w:rsid w:val="4E726A98"/>
    <w:rsid w:val="4E797E26"/>
    <w:rsid w:val="4E7E1C21"/>
    <w:rsid w:val="4E872543"/>
    <w:rsid w:val="4E922C96"/>
    <w:rsid w:val="4E962786"/>
    <w:rsid w:val="4E984750"/>
    <w:rsid w:val="4EAA6232"/>
    <w:rsid w:val="4EAA7FE0"/>
    <w:rsid w:val="4EB25DBB"/>
    <w:rsid w:val="4EB42C0C"/>
    <w:rsid w:val="4EBB043F"/>
    <w:rsid w:val="4EBD41B7"/>
    <w:rsid w:val="4EC866B8"/>
    <w:rsid w:val="4ECC61A8"/>
    <w:rsid w:val="4EE96D5A"/>
    <w:rsid w:val="4EEA2AD2"/>
    <w:rsid w:val="4EEF1E97"/>
    <w:rsid w:val="4EF456FF"/>
    <w:rsid w:val="4EFB083B"/>
    <w:rsid w:val="4F0718D0"/>
    <w:rsid w:val="4F071D4D"/>
    <w:rsid w:val="4F0C2A48"/>
    <w:rsid w:val="4F0E4A13"/>
    <w:rsid w:val="4F195165"/>
    <w:rsid w:val="4F1D07B2"/>
    <w:rsid w:val="4F2348A9"/>
    <w:rsid w:val="4F251D5C"/>
    <w:rsid w:val="4F3A01B4"/>
    <w:rsid w:val="4F3B50DC"/>
    <w:rsid w:val="4F4026F2"/>
    <w:rsid w:val="4F4915A7"/>
    <w:rsid w:val="4F4F2935"/>
    <w:rsid w:val="4F5B752C"/>
    <w:rsid w:val="4F7A5C04"/>
    <w:rsid w:val="4F824AB9"/>
    <w:rsid w:val="4F870321"/>
    <w:rsid w:val="4F8847C5"/>
    <w:rsid w:val="4F936CC6"/>
    <w:rsid w:val="4FA72771"/>
    <w:rsid w:val="4FAA76DD"/>
    <w:rsid w:val="4FAB1E17"/>
    <w:rsid w:val="4FC033E2"/>
    <w:rsid w:val="4FC21359"/>
    <w:rsid w:val="4FCC15FF"/>
    <w:rsid w:val="4FD35314"/>
    <w:rsid w:val="4FE055FC"/>
    <w:rsid w:val="4FE535DF"/>
    <w:rsid w:val="4FE63299"/>
    <w:rsid w:val="4FEB6B02"/>
    <w:rsid w:val="4FEE0D10"/>
    <w:rsid w:val="4FF359B6"/>
    <w:rsid w:val="4FF5172F"/>
    <w:rsid w:val="4FF97471"/>
    <w:rsid w:val="4FFE6835"/>
    <w:rsid w:val="50016325"/>
    <w:rsid w:val="500B2D00"/>
    <w:rsid w:val="500D4CCA"/>
    <w:rsid w:val="501E6ED7"/>
    <w:rsid w:val="501F0559"/>
    <w:rsid w:val="5024289C"/>
    <w:rsid w:val="50265D8C"/>
    <w:rsid w:val="50267B3A"/>
    <w:rsid w:val="502913D8"/>
    <w:rsid w:val="502A762A"/>
    <w:rsid w:val="502D0EC8"/>
    <w:rsid w:val="50371D47"/>
    <w:rsid w:val="50373AF5"/>
    <w:rsid w:val="50377F99"/>
    <w:rsid w:val="503C735D"/>
    <w:rsid w:val="503F0BFC"/>
    <w:rsid w:val="504306EC"/>
    <w:rsid w:val="5043693E"/>
    <w:rsid w:val="50483F54"/>
    <w:rsid w:val="504A7CCC"/>
    <w:rsid w:val="504D156B"/>
    <w:rsid w:val="5055041F"/>
    <w:rsid w:val="50630D8E"/>
    <w:rsid w:val="50675AF8"/>
    <w:rsid w:val="50697A27"/>
    <w:rsid w:val="506B7C43"/>
    <w:rsid w:val="50715259"/>
    <w:rsid w:val="50760AC1"/>
    <w:rsid w:val="50792360"/>
    <w:rsid w:val="508D1967"/>
    <w:rsid w:val="508F3C37"/>
    <w:rsid w:val="50903205"/>
    <w:rsid w:val="50947199"/>
    <w:rsid w:val="50A05B3E"/>
    <w:rsid w:val="50A602ED"/>
    <w:rsid w:val="50B05655"/>
    <w:rsid w:val="50B25872"/>
    <w:rsid w:val="50B45146"/>
    <w:rsid w:val="50BA160C"/>
    <w:rsid w:val="50BE7D72"/>
    <w:rsid w:val="50C35389"/>
    <w:rsid w:val="50C51101"/>
    <w:rsid w:val="50CD6207"/>
    <w:rsid w:val="50CF01D2"/>
    <w:rsid w:val="50DD469C"/>
    <w:rsid w:val="50E6185A"/>
    <w:rsid w:val="50E81293"/>
    <w:rsid w:val="50EA500B"/>
    <w:rsid w:val="50ED2406"/>
    <w:rsid w:val="50F25C6E"/>
    <w:rsid w:val="50F33BA4"/>
    <w:rsid w:val="50FA1BB1"/>
    <w:rsid w:val="50FB2D75"/>
    <w:rsid w:val="50FD6AED"/>
    <w:rsid w:val="510A120A"/>
    <w:rsid w:val="510A745C"/>
    <w:rsid w:val="510C31D4"/>
    <w:rsid w:val="510C6D30"/>
    <w:rsid w:val="51112598"/>
    <w:rsid w:val="51114346"/>
    <w:rsid w:val="5116195C"/>
    <w:rsid w:val="51166F3E"/>
    <w:rsid w:val="51220301"/>
    <w:rsid w:val="512A365A"/>
    <w:rsid w:val="512E314A"/>
    <w:rsid w:val="512F2A1E"/>
    <w:rsid w:val="51330760"/>
    <w:rsid w:val="51392E48"/>
    <w:rsid w:val="513B13C3"/>
    <w:rsid w:val="514E7348"/>
    <w:rsid w:val="51516E38"/>
    <w:rsid w:val="5153495F"/>
    <w:rsid w:val="515A3F3F"/>
    <w:rsid w:val="51610292"/>
    <w:rsid w:val="516115B4"/>
    <w:rsid w:val="51630E60"/>
    <w:rsid w:val="516A1CA8"/>
    <w:rsid w:val="516B614C"/>
    <w:rsid w:val="51750DEA"/>
    <w:rsid w:val="51752B27"/>
    <w:rsid w:val="5176064D"/>
    <w:rsid w:val="5176689F"/>
    <w:rsid w:val="51775F1A"/>
    <w:rsid w:val="517B5C63"/>
    <w:rsid w:val="517F5754"/>
    <w:rsid w:val="51824063"/>
    <w:rsid w:val="518C7E71"/>
    <w:rsid w:val="51915487"/>
    <w:rsid w:val="5195362C"/>
    <w:rsid w:val="51964435"/>
    <w:rsid w:val="51984A67"/>
    <w:rsid w:val="519A07DF"/>
    <w:rsid w:val="519B6306"/>
    <w:rsid w:val="519D3E2C"/>
    <w:rsid w:val="51A0391C"/>
    <w:rsid w:val="51A927D1"/>
    <w:rsid w:val="51AC406F"/>
    <w:rsid w:val="51B178D7"/>
    <w:rsid w:val="51BA2C30"/>
    <w:rsid w:val="51BD44CE"/>
    <w:rsid w:val="51BF3DA2"/>
    <w:rsid w:val="51D51818"/>
    <w:rsid w:val="51D84E64"/>
    <w:rsid w:val="51DF14E9"/>
    <w:rsid w:val="51DF2696"/>
    <w:rsid w:val="51E1640E"/>
    <w:rsid w:val="51EE4372"/>
    <w:rsid w:val="51FA127E"/>
    <w:rsid w:val="51FE5F02"/>
    <w:rsid w:val="5207347D"/>
    <w:rsid w:val="5208399B"/>
    <w:rsid w:val="520D0FB1"/>
    <w:rsid w:val="521C2FA3"/>
    <w:rsid w:val="521D4F6D"/>
    <w:rsid w:val="5224454D"/>
    <w:rsid w:val="522462FB"/>
    <w:rsid w:val="522D51B0"/>
    <w:rsid w:val="522E717A"/>
    <w:rsid w:val="52397FF8"/>
    <w:rsid w:val="52416EAD"/>
    <w:rsid w:val="524D13AE"/>
    <w:rsid w:val="52522E68"/>
    <w:rsid w:val="5257047F"/>
    <w:rsid w:val="526112FD"/>
    <w:rsid w:val="52662470"/>
    <w:rsid w:val="52691F60"/>
    <w:rsid w:val="526B3F2A"/>
    <w:rsid w:val="526D7CA2"/>
    <w:rsid w:val="526E7576"/>
    <w:rsid w:val="527032EE"/>
    <w:rsid w:val="527A1055"/>
    <w:rsid w:val="527A5F1B"/>
    <w:rsid w:val="52831274"/>
    <w:rsid w:val="52860D64"/>
    <w:rsid w:val="528F19C6"/>
    <w:rsid w:val="52992845"/>
    <w:rsid w:val="529A65BD"/>
    <w:rsid w:val="529F5982"/>
    <w:rsid w:val="52A1794C"/>
    <w:rsid w:val="52AA4A52"/>
    <w:rsid w:val="52AA6800"/>
    <w:rsid w:val="52AB7845"/>
    <w:rsid w:val="52B70F1D"/>
    <w:rsid w:val="52B92EE7"/>
    <w:rsid w:val="52B96A43"/>
    <w:rsid w:val="52BA27BB"/>
    <w:rsid w:val="52BC29D7"/>
    <w:rsid w:val="52C33D66"/>
    <w:rsid w:val="52C673B2"/>
    <w:rsid w:val="52D03D8D"/>
    <w:rsid w:val="52D41ACF"/>
    <w:rsid w:val="52D7336D"/>
    <w:rsid w:val="52D7511B"/>
    <w:rsid w:val="52D970E6"/>
    <w:rsid w:val="52DB10B0"/>
    <w:rsid w:val="52EA12F3"/>
    <w:rsid w:val="52EF6909"/>
    <w:rsid w:val="52F21CCE"/>
    <w:rsid w:val="52F43F1F"/>
    <w:rsid w:val="52FB52AE"/>
    <w:rsid w:val="53000B16"/>
    <w:rsid w:val="53051C89"/>
    <w:rsid w:val="53073C53"/>
    <w:rsid w:val="530E3233"/>
    <w:rsid w:val="53165C44"/>
    <w:rsid w:val="53177C0E"/>
    <w:rsid w:val="53185E60"/>
    <w:rsid w:val="53195734"/>
    <w:rsid w:val="531B76FE"/>
    <w:rsid w:val="531B78B9"/>
    <w:rsid w:val="531E0F9C"/>
    <w:rsid w:val="53202F66"/>
    <w:rsid w:val="532760A3"/>
    <w:rsid w:val="532C5467"/>
    <w:rsid w:val="5334256E"/>
    <w:rsid w:val="53373E0C"/>
    <w:rsid w:val="533B38FC"/>
    <w:rsid w:val="534327B1"/>
    <w:rsid w:val="534704F3"/>
    <w:rsid w:val="5349426B"/>
    <w:rsid w:val="534A7FE3"/>
    <w:rsid w:val="534C78B7"/>
    <w:rsid w:val="534E1882"/>
    <w:rsid w:val="534F1156"/>
    <w:rsid w:val="53530C46"/>
    <w:rsid w:val="53536E98"/>
    <w:rsid w:val="5354676C"/>
    <w:rsid w:val="535D1AC5"/>
    <w:rsid w:val="535E75EB"/>
    <w:rsid w:val="53642E53"/>
    <w:rsid w:val="536C721C"/>
    <w:rsid w:val="53702858"/>
    <w:rsid w:val="537312E8"/>
    <w:rsid w:val="53755060"/>
    <w:rsid w:val="537E1A3B"/>
    <w:rsid w:val="5382152B"/>
    <w:rsid w:val="53852DC9"/>
    <w:rsid w:val="538708F0"/>
    <w:rsid w:val="538B502A"/>
    <w:rsid w:val="538E7ED0"/>
    <w:rsid w:val="53915C12"/>
    <w:rsid w:val="53A019B1"/>
    <w:rsid w:val="53A45945"/>
    <w:rsid w:val="53A5346C"/>
    <w:rsid w:val="53A577D0"/>
    <w:rsid w:val="53AA2830"/>
    <w:rsid w:val="53AB0A82"/>
    <w:rsid w:val="53AC0356"/>
    <w:rsid w:val="53AE40CE"/>
    <w:rsid w:val="53B10062"/>
    <w:rsid w:val="53B316E5"/>
    <w:rsid w:val="53B813F1"/>
    <w:rsid w:val="53B84F69"/>
    <w:rsid w:val="53BA19C2"/>
    <w:rsid w:val="53C02053"/>
    <w:rsid w:val="53C658BC"/>
    <w:rsid w:val="53C90F08"/>
    <w:rsid w:val="53CA0834"/>
    <w:rsid w:val="53D55AFF"/>
    <w:rsid w:val="53D72ACA"/>
    <w:rsid w:val="53E47AF0"/>
    <w:rsid w:val="53E915AA"/>
    <w:rsid w:val="53EC0951"/>
    <w:rsid w:val="53EE0EFD"/>
    <w:rsid w:val="53F00B8B"/>
    <w:rsid w:val="53F32429"/>
    <w:rsid w:val="53FD32A8"/>
    <w:rsid w:val="53FD53DF"/>
    <w:rsid w:val="540957A8"/>
    <w:rsid w:val="540E7263"/>
    <w:rsid w:val="541303D5"/>
    <w:rsid w:val="541D3002"/>
    <w:rsid w:val="541F6D7A"/>
    <w:rsid w:val="54240834"/>
    <w:rsid w:val="54260108"/>
    <w:rsid w:val="542645AC"/>
    <w:rsid w:val="542C1085"/>
    <w:rsid w:val="54352A41"/>
    <w:rsid w:val="5435659E"/>
    <w:rsid w:val="54370568"/>
    <w:rsid w:val="54384218"/>
    <w:rsid w:val="543842E0"/>
    <w:rsid w:val="543F741C"/>
    <w:rsid w:val="54442C85"/>
    <w:rsid w:val="54444A33"/>
    <w:rsid w:val="544607AB"/>
    <w:rsid w:val="54482775"/>
    <w:rsid w:val="5454111A"/>
    <w:rsid w:val="546275D9"/>
    <w:rsid w:val="546D5D37"/>
    <w:rsid w:val="546E7D01"/>
    <w:rsid w:val="547A66A6"/>
    <w:rsid w:val="549239F0"/>
    <w:rsid w:val="5492579E"/>
    <w:rsid w:val="5495703C"/>
    <w:rsid w:val="54972DB4"/>
    <w:rsid w:val="549A0AF6"/>
    <w:rsid w:val="54A86D6F"/>
    <w:rsid w:val="54AD082A"/>
    <w:rsid w:val="54AD6A7C"/>
    <w:rsid w:val="54B02D4F"/>
    <w:rsid w:val="54B55930"/>
    <w:rsid w:val="54C811C0"/>
    <w:rsid w:val="54C94F38"/>
    <w:rsid w:val="54CA13DC"/>
    <w:rsid w:val="54D23DEC"/>
    <w:rsid w:val="54D933CD"/>
    <w:rsid w:val="54DE6C35"/>
    <w:rsid w:val="54E104D3"/>
    <w:rsid w:val="54E51D72"/>
    <w:rsid w:val="54E87AB4"/>
    <w:rsid w:val="54EA3781"/>
    <w:rsid w:val="54ED376F"/>
    <w:rsid w:val="54F226E1"/>
    <w:rsid w:val="54F2623D"/>
    <w:rsid w:val="54FE2E33"/>
    <w:rsid w:val="55054147"/>
    <w:rsid w:val="55081F04"/>
    <w:rsid w:val="550A17D8"/>
    <w:rsid w:val="550A7A2A"/>
    <w:rsid w:val="551268DF"/>
    <w:rsid w:val="551B39E5"/>
    <w:rsid w:val="551C150B"/>
    <w:rsid w:val="5523289A"/>
    <w:rsid w:val="55265A7D"/>
    <w:rsid w:val="552669B6"/>
    <w:rsid w:val="5527238A"/>
    <w:rsid w:val="55376345"/>
    <w:rsid w:val="55466588"/>
    <w:rsid w:val="554747DA"/>
    <w:rsid w:val="555111B5"/>
    <w:rsid w:val="55560EC1"/>
    <w:rsid w:val="55572544"/>
    <w:rsid w:val="5559450E"/>
    <w:rsid w:val="555B0286"/>
    <w:rsid w:val="556A04C9"/>
    <w:rsid w:val="556F788D"/>
    <w:rsid w:val="55741347"/>
    <w:rsid w:val="557F3E00"/>
    <w:rsid w:val="558477DD"/>
    <w:rsid w:val="558570B1"/>
    <w:rsid w:val="5588094F"/>
    <w:rsid w:val="55886BA1"/>
    <w:rsid w:val="558C6691"/>
    <w:rsid w:val="559A7000"/>
    <w:rsid w:val="55AF412E"/>
    <w:rsid w:val="55B1109A"/>
    <w:rsid w:val="55B61960"/>
    <w:rsid w:val="55B87486"/>
    <w:rsid w:val="55BF108B"/>
    <w:rsid w:val="55C220B3"/>
    <w:rsid w:val="55C94D0E"/>
    <w:rsid w:val="55DC0515"/>
    <w:rsid w:val="55DD4614"/>
    <w:rsid w:val="55EC7130"/>
    <w:rsid w:val="55F14746"/>
    <w:rsid w:val="55F54236"/>
    <w:rsid w:val="55F61D5C"/>
    <w:rsid w:val="55F86516"/>
    <w:rsid w:val="55FF3307"/>
    <w:rsid w:val="55FF6E63"/>
    <w:rsid w:val="560674C5"/>
    <w:rsid w:val="56091A90"/>
    <w:rsid w:val="560E52F8"/>
    <w:rsid w:val="56150435"/>
    <w:rsid w:val="561F7505"/>
    <w:rsid w:val="56220DA3"/>
    <w:rsid w:val="56244B1C"/>
    <w:rsid w:val="56253F4F"/>
    <w:rsid w:val="56336B0D"/>
    <w:rsid w:val="563551E8"/>
    <w:rsid w:val="563805C7"/>
    <w:rsid w:val="563B3C13"/>
    <w:rsid w:val="563C1E65"/>
    <w:rsid w:val="564E3947"/>
    <w:rsid w:val="565B6061"/>
    <w:rsid w:val="566118CC"/>
    <w:rsid w:val="566D0271"/>
    <w:rsid w:val="566D2EA9"/>
    <w:rsid w:val="566E5D97"/>
    <w:rsid w:val="56725887"/>
    <w:rsid w:val="567809C3"/>
    <w:rsid w:val="56794E67"/>
    <w:rsid w:val="567A0BDF"/>
    <w:rsid w:val="56824C41"/>
    <w:rsid w:val="56861332"/>
    <w:rsid w:val="568630E0"/>
    <w:rsid w:val="56867584"/>
    <w:rsid w:val="56982E14"/>
    <w:rsid w:val="569A430A"/>
    <w:rsid w:val="56A8574D"/>
    <w:rsid w:val="56AE2637"/>
    <w:rsid w:val="56B20379"/>
    <w:rsid w:val="56B45E9F"/>
    <w:rsid w:val="56BA0FDC"/>
    <w:rsid w:val="56BA5480"/>
    <w:rsid w:val="56C105BC"/>
    <w:rsid w:val="56C7337E"/>
    <w:rsid w:val="56CD0D0F"/>
    <w:rsid w:val="56CD51B3"/>
    <w:rsid w:val="56DA167E"/>
    <w:rsid w:val="56DE2F1C"/>
    <w:rsid w:val="56DE4CCA"/>
    <w:rsid w:val="56F72230"/>
    <w:rsid w:val="56F95FA8"/>
    <w:rsid w:val="56FE35BF"/>
    <w:rsid w:val="570404A9"/>
    <w:rsid w:val="57120E18"/>
    <w:rsid w:val="571F7091"/>
    <w:rsid w:val="57234DD3"/>
    <w:rsid w:val="572D17AE"/>
    <w:rsid w:val="573413CC"/>
    <w:rsid w:val="573B211D"/>
    <w:rsid w:val="57482A8C"/>
    <w:rsid w:val="574A2360"/>
    <w:rsid w:val="574F5BC8"/>
    <w:rsid w:val="575136EE"/>
    <w:rsid w:val="57560A68"/>
    <w:rsid w:val="57560D05"/>
    <w:rsid w:val="575E22AF"/>
    <w:rsid w:val="575F2360"/>
    <w:rsid w:val="57664CC0"/>
    <w:rsid w:val="57680A38"/>
    <w:rsid w:val="577613A7"/>
    <w:rsid w:val="577B076B"/>
    <w:rsid w:val="577B683B"/>
    <w:rsid w:val="578A30A4"/>
    <w:rsid w:val="578E22E5"/>
    <w:rsid w:val="57925AB5"/>
    <w:rsid w:val="57931F59"/>
    <w:rsid w:val="579D6934"/>
    <w:rsid w:val="57A8352A"/>
    <w:rsid w:val="57AF2B0B"/>
    <w:rsid w:val="57B31820"/>
    <w:rsid w:val="57B41ECF"/>
    <w:rsid w:val="57B60D2F"/>
    <w:rsid w:val="57C9597B"/>
    <w:rsid w:val="57CA524F"/>
    <w:rsid w:val="57D32355"/>
    <w:rsid w:val="57D936E4"/>
    <w:rsid w:val="57DB56AE"/>
    <w:rsid w:val="57DF519E"/>
    <w:rsid w:val="57E26A3C"/>
    <w:rsid w:val="57F30C49"/>
    <w:rsid w:val="57F54A48"/>
    <w:rsid w:val="57F55ADD"/>
    <w:rsid w:val="57F77651"/>
    <w:rsid w:val="58003366"/>
    <w:rsid w:val="58090325"/>
    <w:rsid w:val="580F7106"/>
    <w:rsid w:val="58161499"/>
    <w:rsid w:val="582C5F09"/>
    <w:rsid w:val="582D0E61"/>
    <w:rsid w:val="583354EA"/>
    <w:rsid w:val="58417C07"/>
    <w:rsid w:val="58496ABB"/>
    <w:rsid w:val="58535244"/>
    <w:rsid w:val="586B07E0"/>
    <w:rsid w:val="5875165E"/>
    <w:rsid w:val="58951D01"/>
    <w:rsid w:val="58A61818"/>
    <w:rsid w:val="58B32187"/>
    <w:rsid w:val="58B73A25"/>
    <w:rsid w:val="58B8779D"/>
    <w:rsid w:val="58BB59C9"/>
    <w:rsid w:val="58C85C32"/>
    <w:rsid w:val="58CA7BFC"/>
    <w:rsid w:val="58CE6FC1"/>
    <w:rsid w:val="58D00F8B"/>
    <w:rsid w:val="58D72319"/>
    <w:rsid w:val="58D8399B"/>
    <w:rsid w:val="58DC7930"/>
    <w:rsid w:val="58E93DFA"/>
    <w:rsid w:val="58F033DB"/>
    <w:rsid w:val="58FF6AF9"/>
    <w:rsid w:val="59041A49"/>
    <w:rsid w:val="591075D9"/>
    <w:rsid w:val="591470C9"/>
    <w:rsid w:val="591946E0"/>
    <w:rsid w:val="591A3FB4"/>
    <w:rsid w:val="591E5852"/>
    <w:rsid w:val="59262959"/>
    <w:rsid w:val="59282B75"/>
    <w:rsid w:val="592F249A"/>
    <w:rsid w:val="593432C8"/>
    <w:rsid w:val="59350DEE"/>
    <w:rsid w:val="59396B30"/>
    <w:rsid w:val="59464DA9"/>
    <w:rsid w:val="59483BA3"/>
    <w:rsid w:val="596147DC"/>
    <w:rsid w:val="59653481"/>
    <w:rsid w:val="596811C3"/>
    <w:rsid w:val="59682F71"/>
    <w:rsid w:val="596A4F3B"/>
    <w:rsid w:val="596C0CB3"/>
    <w:rsid w:val="596D2CD7"/>
    <w:rsid w:val="597E09E7"/>
    <w:rsid w:val="59822285"/>
    <w:rsid w:val="598F6750"/>
    <w:rsid w:val="59927FEE"/>
    <w:rsid w:val="59A541C5"/>
    <w:rsid w:val="59AF294E"/>
    <w:rsid w:val="59B2243E"/>
    <w:rsid w:val="59B61F2F"/>
    <w:rsid w:val="59BE0DE3"/>
    <w:rsid w:val="59C363FA"/>
    <w:rsid w:val="59C77C98"/>
    <w:rsid w:val="59CF2FF0"/>
    <w:rsid w:val="59D10B16"/>
    <w:rsid w:val="59D9224D"/>
    <w:rsid w:val="59E06FAB"/>
    <w:rsid w:val="59E22D24"/>
    <w:rsid w:val="59E94913"/>
    <w:rsid w:val="59EA607C"/>
    <w:rsid w:val="59EA7E2A"/>
    <w:rsid w:val="59EE791A"/>
    <w:rsid w:val="59F40CA9"/>
    <w:rsid w:val="59F667CF"/>
    <w:rsid w:val="5A04713E"/>
    <w:rsid w:val="5A0709DC"/>
    <w:rsid w:val="5A1629CD"/>
    <w:rsid w:val="5A1804F3"/>
    <w:rsid w:val="5A1D5B0A"/>
    <w:rsid w:val="5A292701"/>
    <w:rsid w:val="5A292D4F"/>
    <w:rsid w:val="5A2C3F9F"/>
    <w:rsid w:val="5A30765B"/>
    <w:rsid w:val="5A307F33"/>
    <w:rsid w:val="5A315A59"/>
    <w:rsid w:val="5A407A4A"/>
    <w:rsid w:val="5A581238"/>
    <w:rsid w:val="5A5B66E3"/>
    <w:rsid w:val="5A5F3EBC"/>
    <w:rsid w:val="5A600625"/>
    <w:rsid w:val="5A6279C1"/>
    <w:rsid w:val="5A6574B1"/>
    <w:rsid w:val="5A672A61"/>
    <w:rsid w:val="5A690D4F"/>
    <w:rsid w:val="5A6E2809"/>
    <w:rsid w:val="5A70032F"/>
    <w:rsid w:val="5A751DEA"/>
    <w:rsid w:val="5A7A11AE"/>
    <w:rsid w:val="5A7B493B"/>
    <w:rsid w:val="5A7D0C9E"/>
    <w:rsid w:val="5A7D2A4C"/>
    <w:rsid w:val="5A7F0572"/>
    <w:rsid w:val="5A8262B5"/>
    <w:rsid w:val="5A84202D"/>
    <w:rsid w:val="5A851901"/>
    <w:rsid w:val="5A89132E"/>
    <w:rsid w:val="5A8A6DCB"/>
    <w:rsid w:val="5A8C7845"/>
    <w:rsid w:val="5A932270"/>
    <w:rsid w:val="5A9B1124"/>
    <w:rsid w:val="5AA1498D"/>
    <w:rsid w:val="5AA75D1B"/>
    <w:rsid w:val="5AB04BD0"/>
    <w:rsid w:val="5ABC17C7"/>
    <w:rsid w:val="5ABD553F"/>
    <w:rsid w:val="5AC42429"/>
    <w:rsid w:val="5ACB37B8"/>
    <w:rsid w:val="5ACB7C5C"/>
    <w:rsid w:val="5AD00DCE"/>
    <w:rsid w:val="5AD05272"/>
    <w:rsid w:val="5AD20FEA"/>
    <w:rsid w:val="5AD36B10"/>
    <w:rsid w:val="5ADC7773"/>
    <w:rsid w:val="5ADE7CB6"/>
    <w:rsid w:val="5AE623A0"/>
    <w:rsid w:val="5AE76118"/>
    <w:rsid w:val="5AE85938"/>
    <w:rsid w:val="5AF32D0E"/>
    <w:rsid w:val="5AFB767B"/>
    <w:rsid w:val="5B01367D"/>
    <w:rsid w:val="5B0B44FC"/>
    <w:rsid w:val="5B111E48"/>
    <w:rsid w:val="5B1C04B7"/>
    <w:rsid w:val="5B2829B8"/>
    <w:rsid w:val="5B2B06FA"/>
    <w:rsid w:val="5B2D6220"/>
    <w:rsid w:val="5B303F63"/>
    <w:rsid w:val="5B370E4D"/>
    <w:rsid w:val="5B3752F1"/>
    <w:rsid w:val="5B4041A6"/>
    <w:rsid w:val="5B4322BB"/>
    <w:rsid w:val="5B5A2D8E"/>
    <w:rsid w:val="5B5A4B3C"/>
    <w:rsid w:val="5B5B6C00"/>
    <w:rsid w:val="5B647768"/>
    <w:rsid w:val="5B661732"/>
    <w:rsid w:val="5B722965"/>
    <w:rsid w:val="5B800A46"/>
    <w:rsid w:val="5B8147BE"/>
    <w:rsid w:val="5B8322E4"/>
    <w:rsid w:val="5B865931"/>
    <w:rsid w:val="5B8A5421"/>
    <w:rsid w:val="5B9444F1"/>
    <w:rsid w:val="5B9462A0"/>
    <w:rsid w:val="5B975D90"/>
    <w:rsid w:val="5B997251"/>
    <w:rsid w:val="5BA81D4B"/>
    <w:rsid w:val="5BAA7871"/>
    <w:rsid w:val="5BB24978"/>
    <w:rsid w:val="5BB57FC4"/>
    <w:rsid w:val="5BB727DA"/>
    <w:rsid w:val="5BC22E0D"/>
    <w:rsid w:val="5BC36B85"/>
    <w:rsid w:val="5BCB77E7"/>
    <w:rsid w:val="5BE371A1"/>
    <w:rsid w:val="5BE663CF"/>
    <w:rsid w:val="5BE72873"/>
    <w:rsid w:val="5BEA2363"/>
    <w:rsid w:val="5BEC7F89"/>
    <w:rsid w:val="5BF8682E"/>
    <w:rsid w:val="5BFE5E0F"/>
    <w:rsid w:val="5C0276AD"/>
    <w:rsid w:val="5C065BEE"/>
    <w:rsid w:val="5C0A0310"/>
    <w:rsid w:val="5C0A1DD1"/>
    <w:rsid w:val="5C1271C4"/>
    <w:rsid w:val="5C174245"/>
    <w:rsid w:val="5C237623"/>
    <w:rsid w:val="5C317F92"/>
    <w:rsid w:val="5C3C0960"/>
    <w:rsid w:val="5C3D6937"/>
    <w:rsid w:val="5C43431F"/>
    <w:rsid w:val="5C45759A"/>
    <w:rsid w:val="5C473312"/>
    <w:rsid w:val="5C5D48E3"/>
    <w:rsid w:val="5C643EC4"/>
    <w:rsid w:val="5C69772C"/>
    <w:rsid w:val="5C6B34A4"/>
    <w:rsid w:val="5C6C4B26"/>
    <w:rsid w:val="5C6E089F"/>
    <w:rsid w:val="5C6E7413"/>
    <w:rsid w:val="5C741C2D"/>
    <w:rsid w:val="5C7560D1"/>
    <w:rsid w:val="5C7E485A"/>
    <w:rsid w:val="5C8400C2"/>
    <w:rsid w:val="5C891B7C"/>
    <w:rsid w:val="5CA22C3E"/>
    <w:rsid w:val="5CA70BD7"/>
    <w:rsid w:val="5CB279E6"/>
    <w:rsid w:val="5CB31FEC"/>
    <w:rsid w:val="5CBC3D00"/>
    <w:rsid w:val="5CBC5AAE"/>
    <w:rsid w:val="5CC04E72"/>
    <w:rsid w:val="5CC606DB"/>
    <w:rsid w:val="5CCC3817"/>
    <w:rsid w:val="5CCE57E1"/>
    <w:rsid w:val="5CD34BA6"/>
    <w:rsid w:val="5CD56B70"/>
    <w:rsid w:val="5CD64ACB"/>
    <w:rsid w:val="5CD8040E"/>
    <w:rsid w:val="5CD85CEA"/>
    <w:rsid w:val="5CDC6150"/>
    <w:rsid w:val="5CE172C2"/>
    <w:rsid w:val="5CE24DE9"/>
    <w:rsid w:val="5CE62B2B"/>
    <w:rsid w:val="5CE768A3"/>
    <w:rsid w:val="5CEB6393"/>
    <w:rsid w:val="5CEE7AF4"/>
    <w:rsid w:val="5CF35248"/>
    <w:rsid w:val="5CF37ADF"/>
    <w:rsid w:val="5CF8460C"/>
    <w:rsid w:val="5D066D29"/>
    <w:rsid w:val="5D0E2082"/>
    <w:rsid w:val="5D0E3E30"/>
    <w:rsid w:val="5D0F205D"/>
    <w:rsid w:val="5D1256CE"/>
    <w:rsid w:val="5D284EF1"/>
    <w:rsid w:val="5D2A066C"/>
    <w:rsid w:val="5D2E002E"/>
    <w:rsid w:val="5D347D3A"/>
    <w:rsid w:val="5D395350"/>
    <w:rsid w:val="5D430142"/>
    <w:rsid w:val="5D437F7D"/>
    <w:rsid w:val="5D4806FF"/>
    <w:rsid w:val="5D4810F0"/>
    <w:rsid w:val="5D4D3138"/>
    <w:rsid w:val="5D526412"/>
    <w:rsid w:val="5D59154F"/>
    <w:rsid w:val="5D5977A1"/>
    <w:rsid w:val="5D5D4946"/>
    <w:rsid w:val="5D656145"/>
    <w:rsid w:val="5D7C6FEB"/>
    <w:rsid w:val="5D8F31C2"/>
    <w:rsid w:val="5D8F4F70"/>
    <w:rsid w:val="5D902A97"/>
    <w:rsid w:val="5D916F3A"/>
    <w:rsid w:val="5D981878"/>
    <w:rsid w:val="5D995DEF"/>
    <w:rsid w:val="5D9E3405"/>
    <w:rsid w:val="5DAA7FFC"/>
    <w:rsid w:val="5DB26EB1"/>
    <w:rsid w:val="5DBE321D"/>
    <w:rsid w:val="5DC56BE4"/>
    <w:rsid w:val="5DCA244C"/>
    <w:rsid w:val="5DCF1811"/>
    <w:rsid w:val="5DD46E27"/>
    <w:rsid w:val="5DD706C5"/>
    <w:rsid w:val="5DE057CC"/>
    <w:rsid w:val="5DE30E18"/>
    <w:rsid w:val="5DE93060"/>
    <w:rsid w:val="5DF50B4C"/>
    <w:rsid w:val="5DF9063C"/>
    <w:rsid w:val="5DFB1D6B"/>
    <w:rsid w:val="5E0019CA"/>
    <w:rsid w:val="5E056FE1"/>
    <w:rsid w:val="5E0E058B"/>
    <w:rsid w:val="5E111E29"/>
    <w:rsid w:val="5E1216FE"/>
    <w:rsid w:val="5E176D14"/>
    <w:rsid w:val="5E1B4A56"/>
    <w:rsid w:val="5E1E4546"/>
    <w:rsid w:val="5E225DE5"/>
    <w:rsid w:val="5E231B5D"/>
    <w:rsid w:val="5E251431"/>
    <w:rsid w:val="5E257683"/>
    <w:rsid w:val="5E315472"/>
    <w:rsid w:val="5E3873B6"/>
    <w:rsid w:val="5E3C677A"/>
    <w:rsid w:val="5E483371"/>
    <w:rsid w:val="5E484884"/>
    <w:rsid w:val="5E532442"/>
    <w:rsid w:val="5E5835B4"/>
    <w:rsid w:val="5E58579A"/>
    <w:rsid w:val="5E59518E"/>
    <w:rsid w:val="5E5A37D0"/>
    <w:rsid w:val="5E653F23"/>
    <w:rsid w:val="5E6C9980"/>
    <w:rsid w:val="5E7128C8"/>
    <w:rsid w:val="5E714676"/>
    <w:rsid w:val="5E770717"/>
    <w:rsid w:val="5E7B54F5"/>
    <w:rsid w:val="5E802B0B"/>
    <w:rsid w:val="5E8425FB"/>
    <w:rsid w:val="5E873E9A"/>
    <w:rsid w:val="5E914D18"/>
    <w:rsid w:val="5E9717B4"/>
    <w:rsid w:val="5E9D546B"/>
    <w:rsid w:val="5EA26944"/>
    <w:rsid w:val="5EA70098"/>
    <w:rsid w:val="5EA7453C"/>
    <w:rsid w:val="5EA902B4"/>
    <w:rsid w:val="5EA92062"/>
    <w:rsid w:val="5EAF519E"/>
    <w:rsid w:val="5EB01642"/>
    <w:rsid w:val="5EB6652D"/>
    <w:rsid w:val="5EB86749"/>
    <w:rsid w:val="5EBA426F"/>
    <w:rsid w:val="5EC21376"/>
    <w:rsid w:val="5EC46D1E"/>
    <w:rsid w:val="5EC7569F"/>
    <w:rsid w:val="5ECE7D1A"/>
    <w:rsid w:val="5ED13367"/>
    <w:rsid w:val="5ED2780B"/>
    <w:rsid w:val="5ED370DF"/>
    <w:rsid w:val="5ED976DB"/>
    <w:rsid w:val="5EDA66BF"/>
    <w:rsid w:val="5EDB5F93"/>
    <w:rsid w:val="5EE70DDC"/>
    <w:rsid w:val="5EF17565"/>
    <w:rsid w:val="5EF77271"/>
    <w:rsid w:val="5EFB027D"/>
    <w:rsid w:val="5F011E9E"/>
    <w:rsid w:val="5F024A3E"/>
    <w:rsid w:val="5F0B4089"/>
    <w:rsid w:val="5F0C25F1"/>
    <w:rsid w:val="5F0C439F"/>
    <w:rsid w:val="5F1C0A86"/>
    <w:rsid w:val="5F1C2834"/>
    <w:rsid w:val="5F1C6CD8"/>
    <w:rsid w:val="5F217E4A"/>
    <w:rsid w:val="5F265461"/>
    <w:rsid w:val="5F304BF4"/>
    <w:rsid w:val="5F357D99"/>
    <w:rsid w:val="5F3A53B0"/>
    <w:rsid w:val="5F3C2ED6"/>
    <w:rsid w:val="5F426012"/>
    <w:rsid w:val="5F487ACD"/>
    <w:rsid w:val="5F4A5A61"/>
    <w:rsid w:val="5F5521EA"/>
    <w:rsid w:val="5F5D2E4C"/>
    <w:rsid w:val="5F621FFB"/>
    <w:rsid w:val="5F6A180A"/>
    <w:rsid w:val="5F812FDF"/>
    <w:rsid w:val="5F8328B3"/>
    <w:rsid w:val="5F86334B"/>
    <w:rsid w:val="5F893C41"/>
    <w:rsid w:val="5F8D1984"/>
    <w:rsid w:val="5F8D3732"/>
    <w:rsid w:val="5F8D54E0"/>
    <w:rsid w:val="5F922AF6"/>
    <w:rsid w:val="5F9E76ED"/>
    <w:rsid w:val="5F9F5213"/>
    <w:rsid w:val="5FAB3BB8"/>
    <w:rsid w:val="5FB40CBE"/>
    <w:rsid w:val="5FC15189"/>
    <w:rsid w:val="5FC52ECB"/>
    <w:rsid w:val="5FCD3B2E"/>
    <w:rsid w:val="5FCF5AF8"/>
    <w:rsid w:val="5FD17AC2"/>
    <w:rsid w:val="5FD41360"/>
    <w:rsid w:val="5FD50C35"/>
    <w:rsid w:val="60011A2A"/>
    <w:rsid w:val="60123C37"/>
    <w:rsid w:val="60161979"/>
    <w:rsid w:val="601D2D07"/>
    <w:rsid w:val="602471D7"/>
    <w:rsid w:val="60255718"/>
    <w:rsid w:val="60365B77"/>
    <w:rsid w:val="603718EF"/>
    <w:rsid w:val="603B4F3C"/>
    <w:rsid w:val="604007A4"/>
    <w:rsid w:val="604858AA"/>
    <w:rsid w:val="604D4C6F"/>
    <w:rsid w:val="605204D7"/>
    <w:rsid w:val="60522285"/>
    <w:rsid w:val="6054383A"/>
    <w:rsid w:val="606F72DB"/>
    <w:rsid w:val="60716BAF"/>
    <w:rsid w:val="60732927"/>
    <w:rsid w:val="60762418"/>
    <w:rsid w:val="60786190"/>
    <w:rsid w:val="60793CB6"/>
    <w:rsid w:val="60820DBC"/>
    <w:rsid w:val="60854409"/>
    <w:rsid w:val="608A66C7"/>
    <w:rsid w:val="608F34D9"/>
    <w:rsid w:val="609B59DA"/>
    <w:rsid w:val="609D79A4"/>
    <w:rsid w:val="60A46F85"/>
    <w:rsid w:val="60A725D1"/>
    <w:rsid w:val="60AE7E03"/>
    <w:rsid w:val="60B148C9"/>
    <w:rsid w:val="60B8658C"/>
    <w:rsid w:val="60BB607C"/>
    <w:rsid w:val="60D4713E"/>
    <w:rsid w:val="60D61108"/>
    <w:rsid w:val="60DA0BF8"/>
    <w:rsid w:val="60DF6178"/>
    <w:rsid w:val="60E455D3"/>
    <w:rsid w:val="60EC4488"/>
    <w:rsid w:val="60F33A68"/>
    <w:rsid w:val="60F8107F"/>
    <w:rsid w:val="60F82E2D"/>
    <w:rsid w:val="610C4B2A"/>
    <w:rsid w:val="6112750A"/>
    <w:rsid w:val="61135EB8"/>
    <w:rsid w:val="611539DF"/>
    <w:rsid w:val="611C2FBF"/>
    <w:rsid w:val="612B1454"/>
    <w:rsid w:val="612C6F7A"/>
    <w:rsid w:val="612D1A7D"/>
    <w:rsid w:val="612E2CF2"/>
    <w:rsid w:val="613876CD"/>
    <w:rsid w:val="613C71BD"/>
    <w:rsid w:val="613D2F35"/>
    <w:rsid w:val="614222FA"/>
    <w:rsid w:val="61475B62"/>
    <w:rsid w:val="614B11AE"/>
    <w:rsid w:val="615E35D8"/>
    <w:rsid w:val="61616C24"/>
    <w:rsid w:val="61693D2A"/>
    <w:rsid w:val="616B35FF"/>
    <w:rsid w:val="616C7377"/>
    <w:rsid w:val="6171498D"/>
    <w:rsid w:val="61750921"/>
    <w:rsid w:val="617D3332"/>
    <w:rsid w:val="61880654"/>
    <w:rsid w:val="618943CD"/>
    <w:rsid w:val="618D7A19"/>
    <w:rsid w:val="619863BE"/>
    <w:rsid w:val="619A0388"/>
    <w:rsid w:val="619A3EE4"/>
    <w:rsid w:val="619C4100"/>
    <w:rsid w:val="61A253BE"/>
    <w:rsid w:val="61A94127"/>
    <w:rsid w:val="61B72CE8"/>
    <w:rsid w:val="61C947C9"/>
    <w:rsid w:val="61C94AD0"/>
    <w:rsid w:val="61CB0541"/>
    <w:rsid w:val="61CB22EF"/>
    <w:rsid w:val="61CF66BD"/>
    <w:rsid w:val="61D513C0"/>
    <w:rsid w:val="61D75138"/>
    <w:rsid w:val="61DE0274"/>
    <w:rsid w:val="61E138C1"/>
    <w:rsid w:val="61E37639"/>
    <w:rsid w:val="61E84C4F"/>
    <w:rsid w:val="61F01B27"/>
    <w:rsid w:val="61F25ACE"/>
    <w:rsid w:val="62051CA5"/>
    <w:rsid w:val="6208709F"/>
    <w:rsid w:val="620D6DAC"/>
    <w:rsid w:val="6211064A"/>
    <w:rsid w:val="621A6DD3"/>
    <w:rsid w:val="6222429B"/>
    <w:rsid w:val="622540F5"/>
    <w:rsid w:val="622D2FAA"/>
    <w:rsid w:val="622D4D58"/>
    <w:rsid w:val="623468A3"/>
    <w:rsid w:val="624327CD"/>
    <w:rsid w:val="624F2F20"/>
    <w:rsid w:val="62500A46"/>
    <w:rsid w:val="6252656D"/>
    <w:rsid w:val="62540537"/>
    <w:rsid w:val="625C563D"/>
    <w:rsid w:val="62612C54"/>
    <w:rsid w:val="62707F48"/>
    <w:rsid w:val="62712E97"/>
    <w:rsid w:val="62750C70"/>
    <w:rsid w:val="62774225"/>
    <w:rsid w:val="62791502"/>
    <w:rsid w:val="628506F0"/>
    <w:rsid w:val="629628FD"/>
    <w:rsid w:val="629B6165"/>
    <w:rsid w:val="629D0130"/>
    <w:rsid w:val="62A0552A"/>
    <w:rsid w:val="62A50D92"/>
    <w:rsid w:val="62A74B0A"/>
    <w:rsid w:val="62AC0373"/>
    <w:rsid w:val="62AF7E63"/>
    <w:rsid w:val="62B334AF"/>
    <w:rsid w:val="62B86D17"/>
    <w:rsid w:val="62B965EC"/>
    <w:rsid w:val="62BF00A6"/>
    <w:rsid w:val="62C56307"/>
    <w:rsid w:val="62C84579"/>
    <w:rsid w:val="62D578C9"/>
    <w:rsid w:val="62E0626E"/>
    <w:rsid w:val="62E55633"/>
    <w:rsid w:val="62E573E1"/>
    <w:rsid w:val="62EC4C13"/>
    <w:rsid w:val="62F12229"/>
    <w:rsid w:val="62FB09B2"/>
    <w:rsid w:val="62FD472A"/>
    <w:rsid w:val="62FF4946"/>
    <w:rsid w:val="630006BE"/>
    <w:rsid w:val="63051831"/>
    <w:rsid w:val="630A5099"/>
    <w:rsid w:val="630D00D6"/>
    <w:rsid w:val="630F445E"/>
    <w:rsid w:val="631B2E02"/>
    <w:rsid w:val="631F28F3"/>
    <w:rsid w:val="63350368"/>
    <w:rsid w:val="633B16F7"/>
    <w:rsid w:val="633E0520"/>
    <w:rsid w:val="634405AB"/>
    <w:rsid w:val="634467FD"/>
    <w:rsid w:val="634B1E4B"/>
    <w:rsid w:val="63612F0B"/>
    <w:rsid w:val="63691DC0"/>
    <w:rsid w:val="6381535B"/>
    <w:rsid w:val="63864720"/>
    <w:rsid w:val="638E7A78"/>
    <w:rsid w:val="639037F0"/>
    <w:rsid w:val="63911317"/>
    <w:rsid w:val="63917579"/>
    <w:rsid w:val="639C3F43"/>
    <w:rsid w:val="63A24ED8"/>
    <w:rsid w:val="63A4729C"/>
    <w:rsid w:val="63A96660"/>
    <w:rsid w:val="63B15515"/>
    <w:rsid w:val="63B472ED"/>
    <w:rsid w:val="63B82D47"/>
    <w:rsid w:val="63C4349A"/>
    <w:rsid w:val="63C82F8A"/>
    <w:rsid w:val="63CC234F"/>
    <w:rsid w:val="63D20880"/>
    <w:rsid w:val="63DA4A6C"/>
    <w:rsid w:val="63DC6A36"/>
    <w:rsid w:val="63E9766D"/>
    <w:rsid w:val="63EA73A4"/>
    <w:rsid w:val="63EE6769"/>
    <w:rsid w:val="63F773CC"/>
    <w:rsid w:val="640B2E77"/>
    <w:rsid w:val="6410048D"/>
    <w:rsid w:val="641149A5"/>
    <w:rsid w:val="64155AA4"/>
    <w:rsid w:val="641C6E32"/>
    <w:rsid w:val="641F6922"/>
    <w:rsid w:val="64202DC6"/>
    <w:rsid w:val="642B52C7"/>
    <w:rsid w:val="64340620"/>
    <w:rsid w:val="64370110"/>
    <w:rsid w:val="643E149E"/>
    <w:rsid w:val="64446389"/>
    <w:rsid w:val="644A7E43"/>
    <w:rsid w:val="64504D2E"/>
    <w:rsid w:val="646031C3"/>
    <w:rsid w:val="646B1B68"/>
    <w:rsid w:val="64713622"/>
    <w:rsid w:val="64727679"/>
    <w:rsid w:val="64760C38"/>
    <w:rsid w:val="64764597"/>
    <w:rsid w:val="64805613"/>
    <w:rsid w:val="64813139"/>
    <w:rsid w:val="64832A3F"/>
    <w:rsid w:val="64852C29"/>
    <w:rsid w:val="648A6492"/>
    <w:rsid w:val="64915A72"/>
    <w:rsid w:val="64A04C33"/>
    <w:rsid w:val="64A82DBC"/>
    <w:rsid w:val="64A86918"/>
    <w:rsid w:val="64AA2690"/>
    <w:rsid w:val="64AC28AC"/>
    <w:rsid w:val="64AD2180"/>
    <w:rsid w:val="64AD6236"/>
    <w:rsid w:val="64B11C70"/>
    <w:rsid w:val="64B17EC2"/>
    <w:rsid w:val="64B33C3A"/>
    <w:rsid w:val="64B70007"/>
    <w:rsid w:val="64B90B25"/>
    <w:rsid w:val="64BE613B"/>
    <w:rsid w:val="64D94D23"/>
    <w:rsid w:val="64E02555"/>
    <w:rsid w:val="64E47800"/>
    <w:rsid w:val="64EB71D9"/>
    <w:rsid w:val="64EC0EFA"/>
    <w:rsid w:val="64F16511"/>
    <w:rsid w:val="64F63B27"/>
    <w:rsid w:val="6502427A"/>
    <w:rsid w:val="65091AAC"/>
    <w:rsid w:val="650F4BE9"/>
    <w:rsid w:val="651D7306"/>
    <w:rsid w:val="65212235"/>
    <w:rsid w:val="652266CA"/>
    <w:rsid w:val="65255F5E"/>
    <w:rsid w:val="65312DB1"/>
    <w:rsid w:val="65362175"/>
    <w:rsid w:val="65387C9C"/>
    <w:rsid w:val="653A2CD0"/>
    <w:rsid w:val="65404DA2"/>
    <w:rsid w:val="65556AA0"/>
    <w:rsid w:val="655B1BDC"/>
    <w:rsid w:val="655C6080"/>
    <w:rsid w:val="656B0071"/>
    <w:rsid w:val="65735178"/>
    <w:rsid w:val="657459E4"/>
    <w:rsid w:val="65795592"/>
    <w:rsid w:val="65870C23"/>
    <w:rsid w:val="658A426F"/>
    <w:rsid w:val="658C233E"/>
    <w:rsid w:val="658D448B"/>
    <w:rsid w:val="659A2704"/>
    <w:rsid w:val="659A6BA8"/>
    <w:rsid w:val="659B022A"/>
    <w:rsid w:val="65A73073"/>
    <w:rsid w:val="65AB0B59"/>
    <w:rsid w:val="65B01F28"/>
    <w:rsid w:val="65B35574"/>
    <w:rsid w:val="65B85280"/>
    <w:rsid w:val="65BD4645"/>
    <w:rsid w:val="65BF216B"/>
    <w:rsid w:val="65CB4FB4"/>
    <w:rsid w:val="65CF759F"/>
    <w:rsid w:val="65D025CA"/>
    <w:rsid w:val="65D26342"/>
    <w:rsid w:val="65D379C4"/>
    <w:rsid w:val="65DF280D"/>
    <w:rsid w:val="65EB11B2"/>
    <w:rsid w:val="65EC0A86"/>
    <w:rsid w:val="65F04A1A"/>
    <w:rsid w:val="65F30067"/>
    <w:rsid w:val="65F52C07"/>
    <w:rsid w:val="65F8742B"/>
    <w:rsid w:val="65FF4C5D"/>
    <w:rsid w:val="660B715E"/>
    <w:rsid w:val="66134265"/>
    <w:rsid w:val="66157FDD"/>
    <w:rsid w:val="66173D55"/>
    <w:rsid w:val="661A3845"/>
    <w:rsid w:val="6626043C"/>
    <w:rsid w:val="66263F98"/>
    <w:rsid w:val="66291CDA"/>
    <w:rsid w:val="662F5543"/>
    <w:rsid w:val="6635067F"/>
    <w:rsid w:val="663F505A"/>
    <w:rsid w:val="664A412A"/>
    <w:rsid w:val="664D3C1B"/>
    <w:rsid w:val="664D59C9"/>
    <w:rsid w:val="664D7777"/>
    <w:rsid w:val="66524D8D"/>
    <w:rsid w:val="665925BF"/>
    <w:rsid w:val="6659611C"/>
    <w:rsid w:val="6666618F"/>
    <w:rsid w:val="666A60D6"/>
    <w:rsid w:val="666F1DE3"/>
    <w:rsid w:val="66703465"/>
    <w:rsid w:val="667747F4"/>
    <w:rsid w:val="66891B00"/>
    <w:rsid w:val="668922D2"/>
    <w:rsid w:val="669037AE"/>
    <w:rsid w:val="669058B5"/>
    <w:rsid w:val="6695111E"/>
    <w:rsid w:val="66967370"/>
    <w:rsid w:val="669E4476"/>
    <w:rsid w:val="66A51361"/>
    <w:rsid w:val="66A575B3"/>
    <w:rsid w:val="66AF0431"/>
    <w:rsid w:val="66B75538"/>
    <w:rsid w:val="66BB6DD6"/>
    <w:rsid w:val="66BC37E2"/>
    <w:rsid w:val="66C13CC1"/>
    <w:rsid w:val="66C30D22"/>
    <w:rsid w:val="66C814F3"/>
    <w:rsid w:val="66CF63DE"/>
    <w:rsid w:val="66DB1226"/>
    <w:rsid w:val="66DF0F5D"/>
    <w:rsid w:val="66E225B5"/>
    <w:rsid w:val="66E300DB"/>
    <w:rsid w:val="66EC3434"/>
    <w:rsid w:val="66ED2D08"/>
    <w:rsid w:val="66EF6A80"/>
    <w:rsid w:val="66F145A6"/>
    <w:rsid w:val="66F67E0E"/>
    <w:rsid w:val="670A1B0C"/>
    <w:rsid w:val="670A38BA"/>
    <w:rsid w:val="670C13E0"/>
    <w:rsid w:val="670F7122"/>
    <w:rsid w:val="671E1113"/>
    <w:rsid w:val="6727446C"/>
    <w:rsid w:val="67281F92"/>
    <w:rsid w:val="672901E4"/>
    <w:rsid w:val="672E57FA"/>
    <w:rsid w:val="673152EA"/>
    <w:rsid w:val="6732696D"/>
    <w:rsid w:val="67346B89"/>
    <w:rsid w:val="67362901"/>
    <w:rsid w:val="673821D5"/>
    <w:rsid w:val="67452B44"/>
    <w:rsid w:val="674F5770"/>
    <w:rsid w:val="674F6614"/>
    <w:rsid w:val="67515045"/>
    <w:rsid w:val="6751773B"/>
    <w:rsid w:val="675D7E8D"/>
    <w:rsid w:val="67654F94"/>
    <w:rsid w:val="67674868"/>
    <w:rsid w:val="67780823"/>
    <w:rsid w:val="67786A75"/>
    <w:rsid w:val="6780605E"/>
    <w:rsid w:val="67825B46"/>
    <w:rsid w:val="6789494D"/>
    <w:rsid w:val="678C2521"/>
    <w:rsid w:val="678E0047"/>
    <w:rsid w:val="67A21D44"/>
    <w:rsid w:val="67A41555"/>
    <w:rsid w:val="67AE693B"/>
    <w:rsid w:val="67B13D35"/>
    <w:rsid w:val="67BD6B7E"/>
    <w:rsid w:val="67C55A8E"/>
    <w:rsid w:val="67CA4DF7"/>
    <w:rsid w:val="67CB7C26"/>
    <w:rsid w:val="67CE2B39"/>
    <w:rsid w:val="67CF6CDD"/>
    <w:rsid w:val="67D5211A"/>
    <w:rsid w:val="67D61813"/>
    <w:rsid w:val="67D6379C"/>
    <w:rsid w:val="67D839B8"/>
    <w:rsid w:val="67DF4D46"/>
    <w:rsid w:val="67E4235D"/>
    <w:rsid w:val="67E57E78"/>
    <w:rsid w:val="67E81E4D"/>
    <w:rsid w:val="67E91721"/>
    <w:rsid w:val="67E97973"/>
    <w:rsid w:val="67FD341E"/>
    <w:rsid w:val="68014CBD"/>
    <w:rsid w:val="68077DF9"/>
    <w:rsid w:val="68106CAE"/>
    <w:rsid w:val="68202928"/>
    <w:rsid w:val="68216989"/>
    <w:rsid w:val="6821710D"/>
    <w:rsid w:val="68232E85"/>
    <w:rsid w:val="68246BFD"/>
    <w:rsid w:val="682D7860"/>
    <w:rsid w:val="68362CCE"/>
    <w:rsid w:val="683706DE"/>
    <w:rsid w:val="683A3D2B"/>
    <w:rsid w:val="683F57E5"/>
    <w:rsid w:val="68405094"/>
    <w:rsid w:val="68437083"/>
    <w:rsid w:val="684B418A"/>
    <w:rsid w:val="684E2DD5"/>
    <w:rsid w:val="6850354E"/>
    <w:rsid w:val="685272C6"/>
    <w:rsid w:val="68527809"/>
    <w:rsid w:val="68541290"/>
    <w:rsid w:val="68594AF9"/>
    <w:rsid w:val="685C6397"/>
    <w:rsid w:val="685F3791"/>
    <w:rsid w:val="68602477"/>
    <w:rsid w:val="68622876"/>
    <w:rsid w:val="68684D3C"/>
    <w:rsid w:val="686F695A"/>
    <w:rsid w:val="68727968"/>
    <w:rsid w:val="687A681D"/>
    <w:rsid w:val="68882CE8"/>
    <w:rsid w:val="688B27D8"/>
    <w:rsid w:val="688D6550"/>
    <w:rsid w:val="68907DEF"/>
    <w:rsid w:val="68953657"/>
    <w:rsid w:val="689834F3"/>
    <w:rsid w:val="689C6793"/>
    <w:rsid w:val="68A13DAA"/>
    <w:rsid w:val="68A564EF"/>
    <w:rsid w:val="68A67612"/>
    <w:rsid w:val="68A928FF"/>
    <w:rsid w:val="68AA0EB0"/>
    <w:rsid w:val="68AD6BF3"/>
    <w:rsid w:val="68B03FED"/>
    <w:rsid w:val="68B735CD"/>
    <w:rsid w:val="68C53F3C"/>
    <w:rsid w:val="68C63810"/>
    <w:rsid w:val="68CA3301"/>
    <w:rsid w:val="68CB7079"/>
    <w:rsid w:val="68CF4DBB"/>
    <w:rsid w:val="68D26659"/>
    <w:rsid w:val="68D45F2D"/>
    <w:rsid w:val="68D777CC"/>
    <w:rsid w:val="68D979E8"/>
    <w:rsid w:val="68DE6DAC"/>
    <w:rsid w:val="68E02B24"/>
    <w:rsid w:val="68E1064A"/>
    <w:rsid w:val="68E31B1E"/>
    <w:rsid w:val="68EF4B15"/>
    <w:rsid w:val="68F14D31"/>
    <w:rsid w:val="68F35F86"/>
    <w:rsid w:val="68F62348"/>
    <w:rsid w:val="68F77E6E"/>
    <w:rsid w:val="690600B1"/>
    <w:rsid w:val="69074555"/>
    <w:rsid w:val="690F6F65"/>
    <w:rsid w:val="69164798"/>
    <w:rsid w:val="691B0000"/>
    <w:rsid w:val="692F585A"/>
    <w:rsid w:val="693410C2"/>
    <w:rsid w:val="6947305B"/>
    <w:rsid w:val="6951757E"/>
    <w:rsid w:val="695218D5"/>
    <w:rsid w:val="696574CD"/>
    <w:rsid w:val="69692B1A"/>
    <w:rsid w:val="696D2228"/>
    <w:rsid w:val="696D4097"/>
    <w:rsid w:val="69731BEA"/>
    <w:rsid w:val="6973469A"/>
    <w:rsid w:val="69790883"/>
    <w:rsid w:val="697F058F"/>
    <w:rsid w:val="69807E63"/>
    <w:rsid w:val="69931944"/>
    <w:rsid w:val="699B4C9D"/>
    <w:rsid w:val="69A04061"/>
    <w:rsid w:val="69B47B0D"/>
    <w:rsid w:val="69B55D5F"/>
    <w:rsid w:val="69BD10B7"/>
    <w:rsid w:val="69BF098B"/>
    <w:rsid w:val="69C064B2"/>
    <w:rsid w:val="69CE6E20"/>
    <w:rsid w:val="69D56401"/>
    <w:rsid w:val="69DB32EB"/>
    <w:rsid w:val="69DD7064"/>
    <w:rsid w:val="69E403F2"/>
    <w:rsid w:val="69EB1780"/>
    <w:rsid w:val="69F47C99"/>
    <w:rsid w:val="69F51147"/>
    <w:rsid w:val="69F83E9D"/>
    <w:rsid w:val="69F85C4B"/>
    <w:rsid w:val="69FF6FDA"/>
    <w:rsid w:val="6A0740E0"/>
    <w:rsid w:val="6A0D5B9B"/>
    <w:rsid w:val="6A0D6879"/>
    <w:rsid w:val="6A0E546F"/>
    <w:rsid w:val="6A102F95"/>
    <w:rsid w:val="6A143694"/>
    <w:rsid w:val="6A2151A2"/>
    <w:rsid w:val="6A22716C"/>
    <w:rsid w:val="6A244C92"/>
    <w:rsid w:val="6A246A40"/>
    <w:rsid w:val="6A2829D5"/>
    <w:rsid w:val="6A2922A9"/>
    <w:rsid w:val="6A314603"/>
    <w:rsid w:val="6A3A2708"/>
    <w:rsid w:val="6A4175F2"/>
    <w:rsid w:val="6A4315BC"/>
    <w:rsid w:val="6A4964A7"/>
    <w:rsid w:val="6A4B0471"/>
    <w:rsid w:val="6A4B791D"/>
    <w:rsid w:val="6A4C5F97"/>
    <w:rsid w:val="6A58493C"/>
    <w:rsid w:val="6A5A63E0"/>
    <w:rsid w:val="6A627569"/>
    <w:rsid w:val="6A6E23B2"/>
    <w:rsid w:val="6A6E4160"/>
    <w:rsid w:val="6A7A0D56"/>
    <w:rsid w:val="6A8077CB"/>
    <w:rsid w:val="6A845731"/>
    <w:rsid w:val="6A8E65B0"/>
    <w:rsid w:val="6A9040D6"/>
    <w:rsid w:val="6A99742E"/>
    <w:rsid w:val="6A9C0CCD"/>
    <w:rsid w:val="6AA54025"/>
    <w:rsid w:val="6AAB0F10"/>
    <w:rsid w:val="6AAB53B4"/>
    <w:rsid w:val="6AAE27AE"/>
    <w:rsid w:val="6AAF0A00"/>
    <w:rsid w:val="6AB97AD1"/>
    <w:rsid w:val="6ABC136F"/>
    <w:rsid w:val="6ABC311D"/>
    <w:rsid w:val="6AC10733"/>
    <w:rsid w:val="6AD06BC8"/>
    <w:rsid w:val="6ADB7A47"/>
    <w:rsid w:val="6AE14931"/>
    <w:rsid w:val="6AEC0BB1"/>
    <w:rsid w:val="6AF26B3F"/>
    <w:rsid w:val="6B016D82"/>
    <w:rsid w:val="6B040620"/>
    <w:rsid w:val="6B0D1BCA"/>
    <w:rsid w:val="6B0F149F"/>
    <w:rsid w:val="6B1E16E2"/>
    <w:rsid w:val="6B217424"/>
    <w:rsid w:val="6B295089"/>
    <w:rsid w:val="6B2A631C"/>
    <w:rsid w:val="6B334A90"/>
    <w:rsid w:val="6B3453A9"/>
    <w:rsid w:val="6B405AFC"/>
    <w:rsid w:val="6B451364"/>
    <w:rsid w:val="6B453112"/>
    <w:rsid w:val="6B454EC0"/>
    <w:rsid w:val="6B476E8A"/>
    <w:rsid w:val="6B4B624F"/>
    <w:rsid w:val="6B4F21E3"/>
    <w:rsid w:val="6B4F3F91"/>
    <w:rsid w:val="6B5C4ABB"/>
    <w:rsid w:val="6B5E5F82"/>
    <w:rsid w:val="6B623CC4"/>
    <w:rsid w:val="6B6317EA"/>
    <w:rsid w:val="6B686E01"/>
    <w:rsid w:val="6B7457A6"/>
    <w:rsid w:val="6B752525"/>
    <w:rsid w:val="6B7D3277"/>
    <w:rsid w:val="6B87197D"/>
    <w:rsid w:val="6B882FFF"/>
    <w:rsid w:val="6B945E48"/>
    <w:rsid w:val="6B96571C"/>
    <w:rsid w:val="6B975E2B"/>
    <w:rsid w:val="6B9823DF"/>
    <w:rsid w:val="6B9B2D32"/>
    <w:rsid w:val="6BA442DD"/>
    <w:rsid w:val="6BA51E03"/>
    <w:rsid w:val="6BA55F62"/>
    <w:rsid w:val="6BAF2C82"/>
    <w:rsid w:val="6BB87D88"/>
    <w:rsid w:val="6BB90B20"/>
    <w:rsid w:val="6BBA58AE"/>
    <w:rsid w:val="6BC06C3D"/>
    <w:rsid w:val="6BC26511"/>
    <w:rsid w:val="6BC77FCB"/>
    <w:rsid w:val="6BCB7ABB"/>
    <w:rsid w:val="6BCF0C2E"/>
    <w:rsid w:val="6BD44496"/>
    <w:rsid w:val="6BD66B78"/>
    <w:rsid w:val="6BDA5F51"/>
    <w:rsid w:val="6BDD77EF"/>
    <w:rsid w:val="6BE15A0A"/>
    <w:rsid w:val="6BF16DF6"/>
    <w:rsid w:val="6BF608B1"/>
    <w:rsid w:val="6BF95CAB"/>
    <w:rsid w:val="6BFB5EC7"/>
    <w:rsid w:val="6BFF1513"/>
    <w:rsid w:val="6C046B2A"/>
    <w:rsid w:val="6C133210"/>
    <w:rsid w:val="6C134FBF"/>
    <w:rsid w:val="6C205F48"/>
    <w:rsid w:val="6C2B67AC"/>
    <w:rsid w:val="6C2E004A"/>
    <w:rsid w:val="6C2E3BA6"/>
    <w:rsid w:val="6C33740F"/>
    <w:rsid w:val="6C3D028D"/>
    <w:rsid w:val="6C3F5DB4"/>
    <w:rsid w:val="6C3F7B62"/>
    <w:rsid w:val="6C4038DA"/>
    <w:rsid w:val="6C4B29AA"/>
    <w:rsid w:val="6C523D39"/>
    <w:rsid w:val="6C5850C7"/>
    <w:rsid w:val="6C5F1FB2"/>
    <w:rsid w:val="6C613F7C"/>
    <w:rsid w:val="6C64581A"/>
    <w:rsid w:val="6C6F2A4C"/>
    <w:rsid w:val="6C735A5D"/>
    <w:rsid w:val="6C755C79"/>
    <w:rsid w:val="6C81017A"/>
    <w:rsid w:val="6C861C34"/>
    <w:rsid w:val="6C89702F"/>
    <w:rsid w:val="6C8D73F3"/>
    <w:rsid w:val="6C8E6D3B"/>
    <w:rsid w:val="6C9003BD"/>
    <w:rsid w:val="6C937EAD"/>
    <w:rsid w:val="6CA87DFD"/>
    <w:rsid w:val="6CB0280D"/>
    <w:rsid w:val="6CB0493B"/>
    <w:rsid w:val="6CB26586"/>
    <w:rsid w:val="6CBF5146"/>
    <w:rsid w:val="6CC573C5"/>
    <w:rsid w:val="6CC8224D"/>
    <w:rsid w:val="6CC85DA9"/>
    <w:rsid w:val="6CC87B57"/>
    <w:rsid w:val="6CD504C6"/>
    <w:rsid w:val="6CE93F71"/>
    <w:rsid w:val="6CEB5F3B"/>
    <w:rsid w:val="6CED3A62"/>
    <w:rsid w:val="6CF05300"/>
    <w:rsid w:val="6CFA0F76"/>
    <w:rsid w:val="6D003795"/>
    <w:rsid w:val="6D142D9C"/>
    <w:rsid w:val="6D19473D"/>
    <w:rsid w:val="6D1C7EA3"/>
    <w:rsid w:val="6D2B6338"/>
    <w:rsid w:val="6D2D0302"/>
    <w:rsid w:val="6D2D3E5E"/>
    <w:rsid w:val="6D317DF2"/>
    <w:rsid w:val="6D48513C"/>
    <w:rsid w:val="6D4F0278"/>
    <w:rsid w:val="6D4F2026"/>
    <w:rsid w:val="6D4F320D"/>
    <w:rsid w:val="6D561607"/>
    <w:rsid w:val="6D5B4E6F"/>
    <w:rsid w:val="6D5C2995"/>
    <w:rsid w:val="6D6104D7"/>
    <w:rsid w:val="6D657A9C"/>
    <w:rsid w:val="6D6830E8"/>
    <w:rsid w:val="6D6D6950"/>
    <w:rsid w:val="6D714693"/>
    <w:rsid w:val="6D7221B9"/>
    <w:rsid w:val="6D732E4B"/>
    <w:rsid w:val="6D7970A3"/>
    <w:rsid w:val="6D7C6B93"/>
    <w:rsid w:val="6D7D4DE5"/>
    <w:rsid w:val="6D9B34BE"/>
    <w:rsid w:val="6D9E4D5C"/>
    <w:rsid w:val="6D9E6B0A"/>
    <w:rsid w:val="6DA02882"/>
    <w:rsid w:val="6DA2484C"/>
    <w:rsid w:val="6DBC51E2"/>
    <w:rsid w:val="6DBD3434"/>
    <w:rsid w:val="6DC72505"/>
    <w:rsid w:val="6DCF72B7"/>
    <w:rsid w:val="6DD10C8D"/>
    <w:rsid w:val="6DD45363"/>
    <w:rsid w:val="6DD90074"/>
    <w:rsid w:val="6DDA2238"/>
    <w:rsid w:val="6DE50BDD"/>
    <w:rsid w:val="6DE76703"/>
    <w:rsid w:val="6DFA4688"/>
    <w:rsid w:val="6E001573"/>
    <w:rsid w:val="6E027099"/>
    <w:rsid w:val="6E05302D"/>
    <w:rsid w:val="6E072901"/>
    <w:rsid w:val="6E0E705B"/>
    <w:rsid w:val="6E1119D2"/>
    <w:rsid w:val="6E113780"/>
    <w:rsid w:val="6E162B44"/>
    <w:rsid w:val="6E166336"/>
    <w:rsid w:val="6E182D60"/>
    <w:rsid w:val="6E1A6AD8"/>
    <w:rsid w:val="6E1C6898"/>
    <w:rsid w:val="6E1F5E9D"/>
    <w:rsid w:val="6E2434B3"/>
    <w:rsid w:val="6E26547D"/>
    <w:rsid w:val="6E2A65EF"/>
    <w:rsid w:val="6E3631E6"/>
    <w:rsid w:val="6E386F5E"/>
    <w:rsid w:val="6E4678CD"/>
    <w:rsid w:val="6E470F4F"/>
    <w:rsid w:val="6E484C7F"/>
    <w:rsid w:val="6E4E6782"/>
    <w:rsid w:val="6E4F283B"/>
    <w:rsid w:val="6E535B46"/>
    <w:rsid w:val="6E573888"/>
    <w:rsid w:val="6E58315D"/>
    <w:rsid w:val="6E5A6ED5"/>
    <w:rsid w:val="6E606037"/>
    <w:rsid w:val="6E614AB8"/>
    <w:rsid w:val="6E7066F8"/>
    <w:rsid w:val="6E71421E"/>
    <w:rsid w:val="6E76518E"/>
    <w:rsid w:val="6E7A30D3"/>
    <w:rsid w:val="6E971ED7"/>
    <w:rsid w:val="6E9A3775"/>
    <w:rsid w:val="6E9F0D8B"/>
    <w:rsid w:val="6EA445F4"/>
    <w:rsid w:val="6EB5235D"/>
    <w:rsid w:val="6EB8009F"/>
    <w:rsid w:val="6EBD7464"/>
    <w:rsid w:val="6EC16F54"/>
    <w:rsid w:val="6EC30F1E"/>
    <w:rsid w:val="6EC86534"/>
    <w:rsid w:val="6EC9405A"/>
    <w:rsid w:val="6ECB392F"/>
    <w:rsid w:val="6ED053E9"/>
    <w:rsid w:val="6ED21161"/>
    <w:rsid w:val="6ED315EE"/>
    <w:rsid w:val="6ED8604B"/>
    <w:rsid w:val="6EED5F9B"/>
    <w:rsid w:val="6EF410D7"/>
    <w:rsid w:val="6EF70BC7"/>
    <w:rsid w:val="6EF8049C"/>
    <w:rsid w:val="6EF966EE"/>
    <w:rsid w:val="6EFC7F8C"/>
    <w:rsid w:val="6F0357BE"/>
    <w:rsid w:val="6F03756C"/>
    <w:rsid w:val="6F060E0B"/>
    <w:rsid w:val="6F0D2199"/>
    <w:rsid w:val="6F141779"/>
    <w:rsid w:val="6F152DFC"/>
    <w:rsid w:val="6F1C418A"/>
    <w:rsid w:val="6F2614AD"/>
    <w:rsid w:val="6F285225"/>
    <w:rsid w:val="6F2B0CA8"/>
    <w:rsid w:val="6F2B6AC3"/>
    <w:rsid w:val="6F2F65B3"/>
    <w:rsid w:val="6F307C36"/>
    <w:rsid w:val="6F3A01D0"/>
    <w:rsid w:val="6F4656AB"/>
    <w:rsid w:val="6F51652A"/>
    <w:rsid w:val="6F5C6C7D"/>
    <w:rsid w:val="6F60676D"/>
    <w:rsid w:val="6F6A1399"/>
    <w:rsid w:val="6F6F4C02"/>
    <w:rsid w:val="6F745D74"/>
    <w:rsid w:val="6F767D3E"/>
    <w:rsid w:val="6F773AB6"/>
    <w:rsid w:val="6F7C10CD"/>
    <w:rsid w:val="6F800BBD"/>
    <w:rsid w:val="6F871F4B"/>
    <w:rsid w:val="6F946416"/>
    <w:rsid w:val="6F993A2D"/>
    <w:rsid w:val="6F997ED1"/>
    <w:rsid w:val="6F9B77A5"/>
    <w:rsid w:val="6FA128E1"/>
    <w:rsid w:val="6FAC7C04"/>
    <w:rsid w:val="6FB46AB9"/>
    <w:rsid w:val="6FB82CD6"/>
    <w:rsid w:val="6FBC771B"/>
    <w:rsid w:val="6FCD1928"/>
    <w:rsid w:val="6FD66A2F"/>
    <w:rsid w:val="6FD748C9"/>
    <w:rsid w:val="6FDD5985"/>
    <w:rsid w:val="6FE54EC4"/>
    <w:rsid w:val="6FF15617"/>
    <w:rsid w:val="6FF9271D"/>
    <w:rsid w:val="6FFB46E7"/>
    <w:rsid w:val="6FFD7865"/>
    <w:rsid w:val="70081277"/>
    <w:rsid w:val="700E447F"/>
    <w:rsid w:val="70115CB9"/>
    <w:rsid w:val="7012558D"/>
    <w:rsid w:val="7019691C"/>
    <w:rsid w:val="701B2694"/>
    <w:rsid w:val="70205EFC"/>
    <w:rsid w:val="702459EC"/>
    <w:rsid w:val="70271038"/>
    <w:rsid w:val="7027728A"/>
    <w:rsid w:val="702A0B29"/>
    <w:rsid w:val="702E686B"/>
    <w:rsid w:val="702F4391"/>
    <w:rsid w:val="70357BF9"/>
    <w:rsid w:val="703E6382"/>
    <w:rsid w:val="7053007F"/>
    <w:rsid w:val="705362D1"/>
    <w:rsid w:val="7056191E"/>
    <w:rsid w:val="70567B70"/>
    <w:rsid w:val="705B5186"/>
    <w:rsid w:val="705D0EFE"/>
    <w:rsid w:val="70645DE9"/>
    <w:rsid w:val="706933FF"/>
    <w:rsid w:val="707B3132"/>
    <w:rsid w:val="7080699B"/>
    <w:rsid w:val="708741CD"/>
    <w:rsid w:val="708B5A6B"/>
    <w:rsid w:val="708C3591"/>
    <w:rsid w:val="70906068"/>
    <w:rsid w:val="70974410"/>
    <w:rsid w:val="709D579F"/>
    <w:rsid w:val="70A73F27"/>
    <w:rsid w:val="70A83187"/>
    <w:rsid w:val="70AE52B6"/>
    <w:rsid w:val="70B054D2"/>
    <w:rsid w:val="70B74010"/>
    <w:rsid w:val="70B743C1"/>
    <w:rsid w:val="70B76860"/>
    <w:rsid w:val="70B825D8"/>
    <w:rsid w:val="70BF5715"/>
    <w:rsid w:val="70C1148D"/>
    <w:rsid w:val="70C90342"/>
    <w:rsid w:val="70CB230C"/>
    <w:rsid w:val="70CD7E32"/>
    <w:rsid w:val="70E045F5"/>
    <w:rsid w:val="70E231B1"/>
    <w:rsid w:val="70E64A50"/>
    <w:rsid w:val="70E909E4"/>
    <w:rsid w:val="70E92792"/>
    <w:rsid w:val="70EB475C"/>
    <w:rsid w:val="70F076DF"/>
    <w:rsid w:val="70F76C5D"/>
    <w:rsid w:val="710B095A"/>
    <w:rsid w:val="71123A97"/>
    <w:rsid w:val="71124563"/>
    <w:rsid w:val="711315BD"/>
    <w:rsid w:val="71155335"/>
    <w:rsid w:val="71162F65"/>
    <w:rsid w:val="71171B91"/>
    <w:rsid w:val="71175551"/>
    <w:rsid w:val="711772FF"/>
    <w:rsid w:val="711A6DEF"/>
    <w:rsid w:val="711E68DF"/>
    <w:rsid w:val="712832BA"/>
    <w:rsid w:val="712B6906"/>
    <w:rsid w:val="713A123F"/>
    <w:rsid w:val="714125CE"/>
    <w:rsid w:val="71494FDF"/>
    <w:rsid w:val="714B0D57"/>
    <w:rsid w:val="715776FB"/>
    <w:rsid w:val="71597917"/>
    <w:rsid w:val="715C7408"/>
    <w:rsid w:val="715F4802"/>
    <w:rsid w:val="716562BC"/>
    <w:rsid w:val="71665B90"/>
    <w:rsid w:val="71687B5B"/>
    <w:rsid w:val="716F0EE9"/>
    <w:rsid w:val="718030F6"/>
    <w:rsid w:val="71810C1C"/>
    <w:rsid w:val="71836742"/>
    <w:rsid w:val="71881FAB"/>
    <w:rsid w:val="7189187F"/>
    <w:rsid w:val="71926986"/>
    <w:rsid w:val="719E17CE"/>
    <w:rsid w:val="71A17E6E"/>
    <w:rsid w:val="71A30B93"/>
    <w:rsid w:val="71AB7A47"/>
    <w:rsid w:val="71AC3EEB"/>
    <w:rsid w:val="71B2527A"/>
    <w:rsid w:val="71BC7EA6"/>
    <w:rsid w:val="71C254BD"/>
    <w:rsid w:val="71C32FE3"/>
    <w:rsid w:val="71C54E5B"/>
    <w:rsid w:val="71C56D5B"/>
    <w:rsid w:val="71C81E4D"/>
    <w:rsid w:val="71C8684B"/>
    <w:rsid w:val="71CD20B4"/>
    <w:rsid w:val="71CF5DCD"/>
    <w:rsid w:val="71D03DC0"/>
    <w:rsid w:val="71D3338E"/>
    <w:rsid w:val="71D64AC4"/>
    <w:rsid w:val="71D92806"/>
    <w:rsid w:val="71E35433"/>
    <w:rsid w:val="71E76CD1"/>
    <w:rsid w:val="71F66F14"/>
    <w:rsid w:val="71FD4747"/>
    <w:rsid w:val="72005FE5"/>
    <w:rsid w:val="720535FB"/>
    <w:rsid w:val="720A29C0"/>
    <w:rsid w:val="720D425E"/>
    <w:rsid w:val="72161365"/>
    <w:rsid w:val="72165809"/>
    <w:rsid w:val="72227D09"/>
    <w:rsid w:val="72247F25"/>
    <w:rsid w:val="723149DA"/>
    <w:rsid w:val="7231619E"/>
    <w:rsid w:val="72323CC5"/>
    <w:rsid w:val="723932A5"/>
    <w:rsid w:val="724063E2"/>
    <w:rsid w:val="724834E8"/>
    <w:rsid w:val="7258372B"/>
    <w:rsid w:val="725917E7"/>
    <w:rsid w:val="725C13C8"/>
    <w:rsid w:val="726227FC"/>
    <w:rsid w:val="726245AA"/>
    <w:rsid w:val="72634067"/>
    <w:rsid w:val="727918F3"/>
    <w:rsid w:val="727B4EBF"/>
    <w:rsid w:val="728C7879"/>
    <w:rsid w:val="729329B5"/>
    <w:rsid w:val="72AE5A41"/>
    <w:rsid w:val="72B06C75"/>
    <w:rsid w:val="72B4703F"/>
    <w:rsid w:val="72C139C6"/>
    <w:rsid w:val="72C74D55"/>
    <w:rsid w:val="72C76B03"/>
    <w:rsid w:val="72CC236B"/>
    <w:rsid w:val="72CC5EC7"/>
    <w:rsid w:val="72D37256"/>
    <w:rsid w:val="72D80D10"/>
    <w:rsid w:val="72D82ABE"/>
    <w:rsid w:val="72D90331"/>
    <w:rsid w:val="72DD00D4"/>
    <w:rsid w:val="72E66F89"/>
    <w:rsid w:val="72EE22E1"/>
    <w:rsid w:val="72F07E08"/>
    <w:rsid w:val="72FF004B"/>
    <w:rsid w:val="73005B71"/>
    <w:rsid w:val="730218E9"/>
    <w:rsid w:val="730E64E0"/>
    <w:rsid w:val="731059AA"/>
    <w:rsid w:val="73120080"/>
    <w:rsid w:val="73155AC0"/>
    <w:rsid w:val="73171838"/>
    <w:rsid w:val="731A1328"/>
    <w:rsid w:val="731E2BC7"/>
    <w:rsid w:val="73243F55"/>
    <w:rsid w:val="73245D03"/>
    <w:rsid w:val="732857F3"/>
    <w:rsid w:val="7329331A"/>
    <w:rsid w:val="73335F46"/>
    <w:rsid w:val="73375A36"/>
    <w:rsid w:val="733A5527"/>
    <w:rsid w:val="73440153"/>
    <w:rsid w:val="734D525A"/>
    <w:rsid w:val="73506AF8"/>
    <w:rsid w:val="73552361"/>
    <w:rsid w:val="735E1215"/>
    <w:rsid w:val="736305DA"/>
    <w:rsid w:val="7375030D"/>
    <w:rsid w:val="737A5923"/>
    <w:rsid w:val="73852C46"/>
    <w:rsid w:val="738642C8"/>
    <w:rsid w:val="738844E4"/>
    <w:rsid w:val="738B18DE"/>
    <w:rsid w:val="739509AF"/>
    <w:rsid w:val="7399049F"/>
    <w:rsid w:val="739B229B"/>
    <w:rsid w:val="73B13A3B"/>
    <w:rsid w:val="73B766DC"/>
    <w:rsid w:val="73BE1CB4"/>
    <w:rsid w:val="73BE3A62"/>
    <w:rsid w:val="73C51294"/>
    <w:rsid w:val="73C55A7E"/>
    <w:rsid w:val="73CA68AB"/>
    <w:rsid w:val="73CD1EF7"/>
    <w:rsid w:val="73D74B24"/>
    <w:rsid w:val="73F73418"/>
    <w:rsid w:val="73FB2F08"/>
    <w:rsid w:val="73FC458A"/>
    <w:rsid w:val="73FE5C0F"/>
    <w:rsid w:val="740D6797"/>
    <w:rsid w:val="740F250F"/>
    <w:rsid w:val="740F42BD"/>
    <w:rsid w:val="74145D78"/>
    <w:rsid w:val="7419338E"/>
    <w:rsid w:val="7420296E"/>
    <w:rsid w:val="74277859"/>
    <w:rsid w:val="742C4E6F"/>
    <w:rsid w:val="742E508B"/>
    <w:rsid w:val="74392BD3"/>
    <w:rsid w:val="74393A30"/>
    <w:rsid w:val="743E1047"/>
    <w:rsid w:val="74477EFB"/>
    <w:rsid w:val="744F0B5E"/>
    <w:rsid w:val="7452064E"/>
    <w:rsid w:val="745E6FF3"/>
    <w:rsid w:val="74607B5C"/>
    <w:rsid w:val="74640AAD"/>
    <w:rsid w:val="74650381"/>
    <w:rsid w:val="747131CA"/>
    <w:rsid w:val="74716D26"/>
    <w:rsid w:val="7476433D"/>
    <w:rsid w:val="747855EE"/>
    <w:rsid w:val="747E57F8"/>
    <w:rsid w:val="748A428C"/>
    <w:rsid w:val="748C0004"/>
    <w:rsid w:val="748C1A26"/>
    <w:rsid w:val="748C590E"/>
    <w:rsid w:val="748D1686"/>
    <w:rsid w:val="748F3650"/>
    <w:rsid w:val="74980757"/>
    <w:rsid w:val="74982505"/>
    <w:rsid w:val="749D7B1B"/>
    <w:rsid w:val="749F7D37"/>
    <w:rsid w:val="74A40EAA"/>
    <w:rsid w:val="74A72748"/>
    <w:rsid w:val="74AA048A"/>
    <w:rsid w:val="74AC7D5E"/>
    <w:rsid w:val="74C26F1A"/>
    <w:rsid w:val="74CB364E"/>
    <w:rsid w:val="74D472B5"/>
    <w:rsid w:val="74E6227A"/>
    <w:rsid w:val="74EC2851"/>
    <w:rsid w:val="74EC45FF"/>
    <w:rsid w:val="74F646C9"/>
    <w:rsid w:val="7507768A"/>
    <w:rsid w:val="75137DDD"/>
    <w:rsid w:val="751D6EAE"/>
    <w:rsid w:val="75263FB5"/>
    <w:rsid w:val="753C7334"/>
    <w:rsid w:val="75491A51"/>
    <w:rsid w:val="754E0E15"/>
    <w:rsid w:val="75622B13"/>
    <w:rsid w:val="75662603"/>
    <w:rsid w:val="756D3991"/>
    <w:rsid w:val="756E770A"/>
    <w:rsid w:val="75710B04"/>
    <w:rsid w:val="757840E4"/>
    <w:rsid w:val="75792336"/>
    <w:rsid w:val="757F5473"/>
    <w:rsid w:val="758000A0"/>
    <w:rsid w:val="75864A53"/>
    <w:rsid w:val="75866801"/>
    <w:rsid w:val="7589009F"/>
    <w:rsid w:val="758D095C"/>
    <w:rsid w:val="759F5B15"/>
    <w:rsid w:val="75A35605"/>
    <w:rsid w:val="75A44ED9"/>
    <w:rsid w:val="75A5137D"/>
    <w:rsid w:val="75A86778"/>
    <w:rsid w:val="75AB6268"/>
    <w:rsid w:val="75AE7B06"/>
    <w:rsid w:val="75AF3FAA"/>
    <w:rsid w:val="75B415C0"/>
    <w:rsid w:val="75BA64AB"/>
    <w:rsid w:val="75BC7564"/>
    <w:rsid w:val="75C13CDD"/>
    <w:rsid w:val="75C15E3F"/>
    <w:rsid w:val="75C630A2"/>
    <w:rsid w:val="75C94940"/>
    <w:rsid w:val="75CB4B5C"/>
    <w:rsid w:val="75CF63FA"/>
    <w:rsid w:val="75D70262"/>
    <w:rsid w:val="75D91027"/>
    <w:rsid w:val="75E33C54"/>
    <w:rsid w:val="75E55C1E"/>
    <w:rsid w:val="75E83018"/>
    <w:rsid w:val="75E91581"/>
    <w:rsid w:val="75EF43A6"/>
    <w:rsid w:val="75F419BD"/>
    <w:rsid w:val="75F96FD3"/>
    <w:rsid w:val="76067942"/>
    <w:rsid w:val="76085468"/>
    <w:rsid w:val="761D1EEE"/>
    <w:rsid w:val="76285B0A"/>
    <w:rsid w:val="762878B8"/>
    <w:rsid w:val="762B70C3"/>
    <w:rsid w:val="763D7808"/>
    <w:rsid w:val="76402E54"/>
    <w:rsid w:val="764364A0"/>
    <w:rsid w:val="764861AD"/>
    <w:rsid w:val="764A3CD3"/>
    <w:rsid w:val="764A5A81"/>
    <w:rsid w:val="764C17F9"/>
    <w:rsid w:val="76500BBD"/>
    <w:rsid w:val="76515061"/>
    <w:rsid w:val="76564426"/>
    <w:rsid w:val="7657019E"/>
    <w:rsid w:val="76604CB6"/>
    <w:rsid w:val="76684159"/>
    <w:rsid w:val="766C3C49"/>
    <w:rsid w:val="766D176F"/>
    <w:rsid w:val="766F3DA0"/>
    <w:rsid w:val="7671300D"/>
    <w:rsid w:val="76746FA2"/>
    <w:rsid w:val="76760624"/>
    <w:rsid w:val="76766876"/>
    <w:rsid w:val="767E1BCE"/>
    <w:rsid w:val="768216BE"/>
    <w:rsid w:val="7682346D"/>
    <w:rsid w:val="76826FE0"/>
    <w:rsid w:val="76870A83"/>
    <w:rsid w:val="76872831"/>
    <w:rsid w:val="768A0573"/>
    <w:rsid w:val="7691545E"/>
    <w:rsid w:val="76933762"/>
    <w:rsid w:val="769E7B7B"/>
    <w:rsid w:val="76A15AC2"/>
    <w:rsid w:val="76A60CD0"/>
    <w:rsid w:val="76A71125"/>
    <w:rsid w:val="76B455F0"/>
    <w:rsid w:val="76BB072D"/>
    <w:rsid w:val="76C03F95"/>
    <w:rsid w:val="76C13FA1"/>
    <w:rsid w:val="76C659F8"/>
    <w:rsid w:val="76CE0460"/>
    <w:rsid w:val="76D11CFE"/>
    <w:rsid w:val="76D35A76"/>
    <w:rsid w:val="76DC5C45"/>
    <w:rsid w:val="76E25CB9"/>
    <w:rsid w:val="76E61C4D"/>
    <w:rsid w:val="76E71522"/>
    <w:rsid w:val="76E934EC"/>
    <w:rsid w:val="76EA1012"/>
    <w:rsid w:val="76F123A0"/>
    <w:rsid w:val="76F82369"/>
    <w:rsid w:val="76FD0D45"/>
    <w:rsid w:val="770519A8"/>
    <w:rsid w:val="77106CCA"/>
    <w:rsid w:val="771A36A5"/>
    <w:rsid w:val="7725204A"/>
    <w:rsid w:val="772A6B6C"/>
    <w:rsid w:val="772E53A2"/>
    <w:rsid w:val="77364257"/>
    <w:rsid w:val="77453774"/>
    <w:rsid w:val="774626EC"/>
    <w:rsid w:val="774A385E"/>
    <w:rsid w:val="774E77F3"/>
    <w:rsid w:val="77514BED"/>
    <w:rsid w:val="77536BB7"/>
    <w:rsid w:val="77546CC9"/>
    <w:rsid w:val="7758241F"/>
    <w:rsid w:val="77674410"/>
    <w:rsid w:val="77692944"/>
    <w:rsid w:val="776C1A27"/>
    <w:rsid w:val="776E1C43"/>
    <w:rsid w:val="7771703D"/>
    <w:rsid w:val="77756B2D"/>
    <w:rsid w:val="77847B6B"/>
    <w:rsid w:val="778B45A3"/>
    <w:rsid w:val="778E2041"/>
    <w:rsid w:val="779571D0"/>
    <w:rsid w:val="77972F48"/>
    <w:rsid w:val="779F1DFC"/>
    <w:rsid w:val="77A92C7B"/>
    <w:rsid w:val="77B16F55"/>
    <w:rsid w:val="77B66F3B"/>
    <w:rsid w:val="77C47AB5"/>
    <w:rsid w:val="77CE623E"/>
    <w:rsid w:val="77E616E7"/>
    <w:rsid w:val="77EF630B"/>
    <w:rsid w:val="77F816A9"/>
    <w:rsid w:val="77FE6825"/>
    <w:rsid w:val="78000AED"/>
    <w:rsid w:val="780A371A"/>
    <w:rsid w:val="78140451"/>
    <w:rsid w:val="78197E01"/>
    <w:rsid w:val="781E0F73"/>
    <w:rsid w:val="78283BA0"/>
    <w:rsid w:val="782C7B34"/>
    <w:rsid w:val="782D12A8"/>
    <w:rsid w:val="783B7D77"/>
    <w:rsid w:val="783E33C3"/>
    <w:rsid w:val="783F0EE9"/>
    <w:rsid w:val="78434E7D"/>
    <w:rsid w:val="78520C1D"/>
    <w:rsid w:val="785B3F75"/>
    <w:rsid w:val="78652314"/>
    <w:rsid w:val="786B1CDE"/>
    <w:rsid w:val="786D3CA8"/>
    <w:rsid w:val="786F17CF"/>
    <w:rsid w:val="787119EB"/>
    <w:rsid w:val="787646F2"/>
    <w:rsid w:val="78782D79"/>
    <w:rsid w:val="787E7C64"/>
    <w:rsid w:val="7883527A"/>
    <w:rsid w:val="788A6608"/>
    <w:rsid w:val="788D434B"/>
    <w:rsid w:val="788E3053"/>
    <w:rsid w:val="78955947"/>
    <w:rsid w:val="78A07BDA"/>
    <w:rsid w:val="78A3591C"/>
    <w:rsid w:val="78A551F0"/>
    <w:rsid w:val="78AE0187"/>
    <w:rsid w:val="78AF42C1"/>
    <w:rsid w:val="78BC5321"/>
    <w:rsid w:val="78C064CE"/>
    <w:rsid w:val="78CA4C57"/>
    <w:rsid w:val="78D930EC"/>
    <w:rsid w:val="78DD0E2E"/>
    <w:rsid w:val="78DD2BDC"/>
    <w:rsid w:val="78E24696"/>
    <w:rsid w:val="78EC06E7"/>
    <w:rsid w:val="78EE6B97"/>
    <w:rsid w:val="78F65A4C"/>
    <w:rsid w:val="78F817C4"/>
    <w:rsid w:val="78FE2B52"/>
    <w:rsid w:val="78FF0DA4"/>
    <w:rsid w:val="79052133"/>
    <w:rsid w:val="79084528"/>
    <w:rsid w:val="790939D1"/>
    <w:rsid w:val="790A7749"/>
    <w:rsid w:val="790C34C1"/>
    <w:rsid w:val="790E2D96"/>
    <w:rsid w:val="790E548B"/>
    <w:rsid w:val="790F6B0E"/>
    <w:rsid w:val="79182EA4"/>
    <w:rsid w:val="79183C14"/>
    <w:rsid w:val="792151BF"/>
    <w:rsid w:val="79224A93"/>
    <w:rsid w:val="792627D5"/>
    <w:rsid w:val="79273E57"/>
    <w:rsid w:val="79393B8B"/>
    <w:rsid w:val="793C234D"/>
    <w:rsid w:val="793D7B1F"/>
    <w:rsid w:val="79420C91"/>
    <w:rsid w:val="79534C4C"/>
    <w:rsid w:val="79556C16"/>
    <w:rsid w:val="79584959"/>
    <w:rsid w:val="795A247F"/>
    <w:rsid w:val="795B7FA5"/>
    <w:rsid w:val="79642D04"/>
    <w:rsid w:val="796450AB"/>
    <w:rsid w:val="796706F8"/>
    <w:rsid w:val="79694470"/>
    <w:rsid w:val="796E1A86"/>
    <w:rsid w:val="798017B9"/>
    <w:rsid w:val="798968C0"/>
    <w:rsid w:val="798D4602"/>
    <w:rsid w:val="79907C4E"/>
    <w:rsid w:val="79A67472"/>
    <w:rsid w:val="79A84102"/>
    <w:rsid w:val="79AC25AE"/>
    <w:rsid w:val="79B7342D"/>
    <w:rsid w:val="79B853F7"/>
    <w:rsid w:val="79BA116F"/>
    <w:rsid w:val="79BC0A44"/>
    <w:rsid w:val="79BD2A0E"/>
    <w:rsid w:val="79C142AC"/>
    <w:rsid w:val="79C30024"/>
    <w:rsid w:val="79CA6C00"/>
    <w:rsid w:val="79CE0777"/>
    <w:rsid w:val="79D02741"/>
    <w:rsid w:val="79D20FEE"/>
    <w:rsid w:val="79D77D74"/>
    <w:rsid w:val="79DA35C0"/>
    <w:rsid w:val="79DD6C0C"/>
    <w:rsid w:val="79DF0BD6"/>
    <w:rsid w:val="79E85CDC"/>
    <w:rsid w:val="79EF706B"/>
    <w:rsid w:val="79FE330B"/>
    <w:rsid w:val="7A08012D"/>
    <w:rsid w:val="7A1940E8"/>
    <w:rsid w:val="7A1B6F32"/>
    <w:rsid w:val="7A2F7467"/>
    <w:rsid w:val="7A320489"/>
    <w:rsid w:val="7A342CD0"/>
    <w:rsid w:val="7A354147"/>
    <w:rsid w:val="7A3730B0"/>
    <w:rsid w:val="7A3902E6"/>
    <w:rsid w:val="7A3D6F22"/>
    <w:rsid w:val="7A3E58FC"/>
    <w:rsid w:val="7A3E76AA"/>
    <w:rsid w:val="7A424439"/>
    <w:rsid w:val="7A5769BE"/>
    <w:rsid w:val="7A65732D"/>
    <w:rsid w:val="7A680BCB"/>
    <w:rsid w:val="7A6B4218"/>
    <w:rsid w:val="7A6F5AB6"/>
    <w:rsid w:val="7A731BC2"/>
    <w:rsid w:val="7A756E44"/>
    <w:rsid w:val="7A7F1A71"/>
    <w:rsid w:val="7A8C54B0"/>
    <w:rsid w:val="7A8D418E"/>
    <w:rsid w:val="7A8F3748"/>
    <w:rsid w:val="7A913CBB"/>
    <w:rsid w:val="7A9D6AC7"/>
    <w:rsid w:val="7AA339B1"/>
    <w:rsid w:val="7AA40E74"/>
    <w:rsid w:val="7AAD65DE"/>
    <w:rsid w:val="7AB45BBF"/>
    <w:rsid w:val="7AB756AF"/>
    <w:rsid w:val="7ABE07EB"/>
    <w:rsid w:val="7AC027B5"/>
    <w:rsid w:val="7AC202DC"/>
    <w:rsid w:val="7AC322A6"/>
    <w:rsid w:val="7ACC5CEF"/>
    <w:rsid w:val="7ACF47A6"/>
    <w:rsid w:val="7AD24297"/>
    <w:rsid w:val="7AD65B35"/>
    <w:rsid w:val="7AD81021"/>
    <w:rsid w:val="7AD93877"/>
    <w:rsid w:val="7ADB314B"/>
    <w:rsid w:val="7ADE49EA"/>
    <w:rsid w:val="7AE71AF0"/>
    <w:rsid w:val="7AEA5A84"/>
    <w:rsid w:val="7AEE7323"/>
    <w:rsid w:val="7AF1296F"/>
    <w:rsid w:val="7AF1471D"/>
    <w:rsid w:val="7AFB7554"/>
    <w:rsid w:val="7B022DCE"/>
    <w:rsid w:val="7B0703E4"/>
    <w:rsid w:val="7B09415C"/>
    <w:rsid w:val="7B22521E"/>
    <w:rsid w:val="7B272834"/>
    <w:rsid w:val="7B2A7C2F"/>
    <w:rsid w:val="7B2C39A7"/>
    <w:rsid w:val="7B436B05"/>
    <w:rsid w:val="7B4E1B6F"/>
    <w:rsid w:val="7B5353D8"/>
    <w:rsid w:val="7B62561B"/>
    <w:rsid w:val="7B6475E5"/>
    <w:rsid w:val="7B694BFB"/>
    <w:rsid w:val="7B6E5D6D"/>
    <w:rsid w:val="7B746E0D"/>
    <w:rsid w:val="7B75534E"/>
    <w:rsid w:val="7B784E3E"/>
    <w:rsid w:val="7B7A2964"/>
    <w:rsid w:val="7B8B2DF6"/>
    <w:rsid w:val="7B8D7AD7"/>
    <w:rsid w:val="7B8E01BE"/>
    <w:rsid w:val="7B8E6410"/>
    <w:rsid w:val="7B917CAE"/>
    <w:rsid w:val="7B9B0B2D"/>
    <w:rsid w:val="7B9D6653"/>
    <w:rsid w:val="7BA42612"/>
    <w:rsid w:val="7BA600C3"/>
    <w:rsid w:val="7BA63759"/>
    <w:rsid w:val="7BA67BFD"/>
    <w:rsid w:val="7BA7127F"/>
    <w:rsid w:val="7BAD0F8C"/>
    <w:rsid w:val="7BAE1B6F"/>
    <w:rsid w:val="7BB67714"/>
    <w:rsid w:val="7BBA5457"/>
    <w:rsid w:val="7BC736D0"/>
    <w:rsid w:val="7BC94A41"/>
    <w:rsid w:val="7BCC0CE6"/>
    <w:rsid w:val="7BD07F2F"/>
    <w:rsid w:val="7BD227A0"/>
    <w:rsid w:val="7BD83B2F"/>
    <w:rsid w:val="7BDC53CD"/>
    <w:rsid w:val="7BDF4EBD"/>
    <w:rsid w:val="7BE14791"/>
    <w:rsid w:val="7BEC1388"/>
    <w:rsid w:val="7BED75DA"/>
    <w:rsid w:val="7BF10DD0"/>
    <w:rsid w:val="7BF22E42"/>
    <w:rsid w:val="7BF81ADB"/>
    <w:rsid w:val="7BF9316F"/>
    <w:rsid w:val="7BFE1C08"/>
    <w:rsid w:val="7BFF2E69"/>
    <w:rsid w:val="7C014E34"/>
    <w:rsid w:val="7C091F3A"/>
    <w:rsid w:val="7C1032C9"/>
    <w:rsid w:val="7C122B9D"/>
    <w:rsid w:val="7C2166BD"/>
    <w:rsid w:val="7C2C0434"/>
    <w:rsid w:val="7C2D3E7B"/>
    <w:rsid w:val="7C3A0345"/>
    <w:rsid w:val="7C3C5E6C"/>
    <w:rsid w:val="7C43369E"/>
    <w:rsid w:val="7C4579C7"/>
    <w:rsid w:val="7C484810"/>
    <w:rsid w:val="7C5331B5"/>
    <w:rsid w:val="7C541407"/>
    <w:rsid w:val="7C5533D1"/>
    <w:rsid w:val="7C5807CC"/>
    <w:rsid w:val="7C605FFE"/>
    <w:rsid w:val="7C6453C2"/>
    <w:rsid w:val="7C662EE9"/>
    <w:rsid w:val="7C703D67"/>
    <w:rsid w:val="7C741AA9"/>
    <w:rsid w:val="7C7C095E"/>
    <w:rsid w:val="7C7C44BA"/>
    <w:rsid w:val="7C865339"/>
    <w:rsid w:val="7C9061B7"/>
    <w:rsid w:val="7C907F65"/>
    <w:rsid w:val="7C9378B1"/>
    <w:rsid w:val="7C9C690A"/>
    <w:rsid w:val="7C9E462D"/>
    <w:rsid w:val="7CA3413D"/>
    <w:rsid w:val="7CA44E04"/>
    <w:rsid w:val="7CA73C2D"/>
    <w:rsid w:val="7CB225D2"/>
    <w:rsid w:val="7CC04CEF"/>
    <w:rsid w:val="7CC55E61"/>
    <w:rsid w:val="7CC83BA3"/>
    <w:rsid w:val="7CC93645"/>
    <w:rsid w:val="7CCA3477"/>
    <w:rsid w:val="7CCF49B2"/>
    <w:rsid w:val="7CD24A22"/>
    <w:rsid w:val="7CE00EED"/>
    <w:rsid w:val="7CE61163"/>
    <w:rsid w:val="7CE7227B"/>
    <w:rsid w:val="7CE86C9A"/>
    <w:rsid w:val="7CEC1640"/>
    <w:rsid w:val="7CF6426C"/>
    <w:rsid w:val="7CF90201"/>
    <w:rsid w:val="7CFB1883"/>
    <w:rsid w:val="7D0050EB"/>
    <w:rsid w:val="7D0A41BC"/>
    <w:rsid w:val="7D0A5F6A"/>
    <w:rsid w:val="7D0C7F34"/>
    <w:rsid w:val="7D11554A"/>
    <w:rsid w:val="7D16490F"/>
    <w:rsid w:val="7D1D3EEF"/>
    <w:rsid w:val="7D2012E9"/>
    <w:rsid w:val="7D2E7EAA"/>
    <w:rsid w:val="7D3B6123"/>
    <w:rsid w:val="7D5471E5"/>
    <w:rsid w:val="7D553689"/>
    <w:rsid w:val="7D562F5D"/>
    <w:rsid w:val="7D580A83"/>
    <w:rsid w:val="7D625DA6"/>
    <w:rsid w:val="7D6513F2"/>
    <w:rsid w:val="7D67516A"/>
    <w:rsid w:val="7D6E02A7"/>
    <w:rsid w:val="7D741635"/>
    <w:rsid w:val="7D761851"/>
    <w:rsid w:val="7D7635FF"/>
    <w:rsid w:val="7D7F24B4"/>
    <w:rsid w:val="7D835CBB"/>
    <w:rsid w:val="7D890306"/>
    <w:rsid w:val="7D9615AC"/>
    <w:rsid w:val="7D9B4E14"/>
    <w:rsid w:val="7D9F2B56"/>
    <w:rsid w:val="7DB3215D"/>
    <w:rsid w:val="7DB36601"/>
    <w:rsid w:val="7DBC3708"/>
    <w:rsid w:val="7DBF6D54"/>
    <w:rsid w:val="7DCC1471"/>
    <w:rsid w:val="7DD345AE"/>
    <w:rsid w:val="7DD50326"/>
    <w:rsid w:val="7DD722F0"/>
    <w:rsid w:val="7DDA2CEF"/>
    <w:rsid w:val="7DE46300"/>
    <w:rsid w:val="7DE70059"/>
    <w:rsid w:val="7DEB4668"/>
    <w:rsid w:val="7DF10ED8"/>
    <w:rsid w:val="7DF32D12"/>
    <w:rsid w:val="7DF64DA9"/>
    <w:rsid w:val="7DF82266"/>
    <w:rsid w:val="7E002EC9"/>
    <w:rsid w:val="7E01736D"/>
    <w:rsid w:val="7E024E93"/>
    <w:rsid w:val="7E0E041C"/>
    <w:rsid w:val="7E1352F2"/>
    <w:rsid w:val="7E176B90"/>
    <w:rsid w:val="7E1C193F"/>
    <w:rsid w:val="7E2B263C"/>
    <w:rsid w:val="7E2D63B4"/>
    <w:rsid w:val="7E3239CA"/>
    <w:rsid w:val="7E3A63DB"/>
    <w:rsid w:val="7E3E411D"/>
    <w:rsid w:val="7E431733"/>
    <w:rsid w:val="7E447259"/>
    <w:rsid w:val="7E4B05E8"/>
    <w:rsid w:val="7E4C610E"/>
    <w:rsid w:val="7E5E47BF"/>
    <w:rsid w:val="7E61605D"/>
    <w:rsid w:val="7E745D91"/>
    <w:rsid w:val="7E751B09"/>
    <w:rsid w:val="7E77762F"/>
    <w:rsid w:val="7E7A2C7B"/>
    <w:rsid w:val="7E88183C"/>
    <w:rsid w:val="7E8B6C36"/>
    <w:rsid w:val="7E9C7095"/>
    <w:rsid w:val="7E9F58CF"/>
    <w:rsid w:val="7EAB3B49"/>
    <w:rsid w:val="7EB4618D"/>
    <w:rsid w:val="7EB77A2B"/>
    <w:rsid w:val="7EB87481"/>
    <w:rsid w:val="7EC00FD6"/>
    <w:rsid w:val="7EC15CA3"/>
    <w:rsid w:val="7EC30AC6"/>
    <w:rsid w:val="7EC5039A"/>
    <w:rsid w:val="7EE04211"/>
    <w:rsid w:val="7EE36A72"/>
    <w:rsid w:val="7EE747B5"/>
    <w:rsid w:val="7EF50554"/>
    <w:rsid w:val="7EF742CC"/>
    <w:rsid w:val="7F0A2251"/>
    <w:rsid w:val="7F0D1FD5"/>
    <w:rsid w:val="7F141322"/>
    <w:rsid w:val="7F1C3D32"/>
    <w:rsid w:val="7F207CC7"/>
    <w:rsid w:val="7F250FD5"/>
    <w:rsid w:val="7F2C1424"/>
    <w:rsid w:val="7F2F3A66"/>
    <w:rsid w:val="7F477001"/>
    <w:rsid w:val="7F4974F7"/>
    <w:rsid w:val="7F5160D2"/>
    <w:rsid w:val="7F565496"/>
    <w:rsid w:val="7F606315"/>
    <w:rsid w:val="7F6A0F42"/>
    <w:rsid w:val="7F6A7194"/>
    <w:rsid w:val="7F6C4CBA"/>
    <w:rsid w:val="7F6F47AA"/>
    <w:rsid w:val="7F736048"/>
    <w:rsid w:val="7F791185"/>
    <w:rsid w:val="7F7973D7"/>
    <w:rsid w:val="7F7B314F"/>
    <w:rsid w:val="7F8C0BDE"/>
    <w:rsid w:val="7F967D36"/>
    <w:rsid w:val="7F995383"/>
    <w:rsid w:val="7F9B10FB"/>
    <w:rsid w:val="7F9D30C5"/>
    <w:rsid w:val="7FA426A6"/>
    <w:rsid w:val="7FAE52D2"/>
    <w:rsid w:val="7FB0104A"/>
    <w:rsid w:val="7FB56661"/>
    <w:rsid w:val="7FB81705"/>
    <w:rsid w:val="7FBA3C77"/>
    <w:rsid w:val="7FC11EE8"/>
    <w:rsid w:val="7FC16F0E"/>
    <w:rsid w:val="7FC248DA"/>
    <w:rsid w:val="7FC70142"/>
    <w:rsid w:val="7FCE14D1"/>
    <w:rsid w:val="7FD64829"/>
    <w:rsid w:val="7FE74340"/>
    <w:rsid w:val="7FE9630A"/>
    <w:rsid w:val="7FEA5BDF"/>
    <w:rsid w:val="7FF058EB"/>
    <w:rsid w:val="7FF37189"/>
    <w:rsid w:val="7FF52F01"/>
    <w:rsid w:val="7FF64583"/>
    <w:rsid w:val="7FFD5912"/>
    <w:rsid w:val="F4ED29D4"/>
    <w:rsid w:val="FCFFE4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400" w:lineRule="exact"/>
      <w:ind w:firstLine="200" w:firstLineChars="200"/>
      <w:jc w:val="both"/>
    </w:pPr>
    <w:rPr>
      <w:rFonts w:asciiTheme="minorHAnsi" w:hAnsiTheme="minorHAnsi" w:eastAsiaTheme="minorEastAsia" w:cstheme="minorBidi"/>
      <w:sz w:val="21"/>
      <w:szCs w:val="22"/>
      <w:lang w:val="en-US" w:eastAsia="zh-CN" w:bidi="ar-SA"/>
    </w:rPr>
  </w:style>
  <w:style w:type="paragraph" w:styleId="3">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semiHidden/>
    <w:unhideWhenUsed/>
    <w:qFormat/>
    <w:uiPriority w:val="0"/>
    <w:pPr>
      <w:keepNext/>
      <w:keepLines/>
      <w:numPr>
        <w:ilvl w:val="1"/>
        <w:numId w:val="1"/>
      </w:numPr>
      <w:spacing w:before="60" w:beforeLines="0" w:beforeAutospacing="0" w:after="60" w:afterLines="0" w:afterAutospacing="0" w:line="360" w:lineRule="auto"/>
      <w:ind w:left="575" w:hanging="575"/>
      <w:outlineLvl w:val="1"/>
    </w:pPr>
    <w:rPr>
      <w:rFonts w:ascii="Arial" w:hAnsi="Arial" w:eastAsia="宋体" w:cs="Times New Roman"/>
      <w:b/>
      <w:sz w:val="30"/>
    </w:rPr>
  </w:style>
  <w:style w:type="paragraph" w:styleId="5">
    <w:name w:val="heading 3"/>
    <w:basedOn w:val="1"/>
    <w:next w:val="1"/>
    <w:autoRedefine/>
    <w:semiHidden/>
    <w:unhideWhenUsed/>
    <w:qFormat/>
    <w:uiPriority w:val="0"/>
    <w:pPr>
      <w:keepNext/>
      <w:keepLines/>
      <w:numPr>
        <w:ilvl w:val="2"/>
        <w:numId w:val="1"/>
      </w:numPr>
      <w:tabs>
        <w:tab w:val="left" w:pos="0"/>
      </w:tabs>
      <w:spacing w:beforeLines="0" w:beforeAutospacing="0" w:after="50" w:afterLines="50" w:afterAutospacing="0" w:line="360" w:lineRule="auto"/>
      <w:ind w:left="720" w:leftChars="0" w:right="0" w:rightChars="0" w:hanging="720" w:firstLineChars="0"/>
      <w:jc w:val="left"/>
      <w:outlineLvl w:val="2"/>
    </w:pPr>
    <w:rPr>
      <w:rFonts w:ascii="Times New Roman" w:hAnsi="Times New Roman" w:eastAsia="宋体" w:cs="Times New Roman"/>
      <w:b/>
      <w:sz w:val="28"/>
    </w:rPr>
  </w:style>
  <w:style w:type="paragraph" w:styleId="6">
    <w:name w:val="heading 4"/>
    <w:basedOn w:val="1"/>
    <w:next w:val="1"/>
    <w:autoRedefine/>
    <w:semiHidden/>
    <w:unhideWhenUsed/>
    <w:qFormat/>
    <w:uiPriority w:val="0"/>
    <w:pPr>
      <w:keepNext/>
      <w:keepLines/>
      <w:numPr>
        <w:ilvl w:val="3"/>
        <w:numId w:val="1"/>
      </w:numPr>
      <w:spacing w:before="140" w:beforeLines="0" w:beforeAutospacing="0" w:after="140" w:afterLines="0" w:afterAutospacing="0" w:line="360" w:lineRule="auto"/>
      <w:ind w:left="862" w:hanging="862"/>
      <w:outlineLvl w:val="3"/>
    </w:pPr>
    <w:rPr>
      <w:rFonts w:ascii="Arial" w:hAnsi="Arial" w:eastAsia="宋体" w:cs="Times New Roman"/>
      <w:b/>
      <w:sz w:val="24"/>
    </w:rPr>
  </w:style>
  <w:style w:type="character" w:default="1" w:styleId="26">
    <w:name w:val="Default Paragraph Font"/>
    <w:autoRedefine/>
    <w:unhideWhenUsed/>
    <w:qFormat/>
    <w:uiPriority w:val="1"/>
  </w:style>
  <w:style w:type="table" w:default="1" w:styleId="24">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line="360" w:lineRule="exact"/>
    </w:pPr>
    <w:rPr>
      <w:sz w:val="24"/>
    </w:rPr>
  </w:style>
  <w:style w:type="paragraph" w:styleId="7">
    <w:name w:val="Normal Indent"/>
    <w:basedOn w:val="1"/>
    <w:autoRedefine/>
    <w:qFormat/>
    <w:uiPriority w:val="0"/>
    <w:pPr>
      <w:ind w:firstLine="420"/>
    </w:pPr>
    <w:rPr>
      <w:szCs w:val="20"/>
    </w:rPr>
  </w:style>
  <w:style w:type="paragraph" w:styleId="8">
    <w:name w:val="annotation text"/>
    <w:basedOn w:val="1"/>
    <w:autoRedefine/>
    <w:qFormat/>
    <w:uiPriority w:val="0"/>
    <w:pPr>
      <w:jc w:val="left"/>
    </w:pPr>
  </w:style>
  <w:style w:type="paragraph" w:styleId="9">
    <w:name w:val="Body Text Indent"/>
    <w:basedOn w:val="1"/>
    <w:next w:val="10"/>
    <w:autoRedefine/>
    <w:qFormat/>
    <w:uiPriority w:val="0"/>
    <w:pPr>
      <w:spacing w:after="120"/>
      <w:ind w:left="420" w:leftChars="200"/>
    </w:pPr>
  </w:style>
  <w:style w:type="paragraph" w:styleId="10">
    <w:name w:val="Body Text First Indent 2"/>
    <w:basedOn w:val="9"/>
    <w:autoRedefine/>
    <w:qFormat/>
    <w:uiPriority w:val="99"/>
    <w:pPr>
      <w:tabs>
        <w:tab w:val="left" w:pos="2160"/>
      </w:tabs>
      <w:spacing w:after="120" w:line="480" w:lineRule="auto"/>
      <w:ind w:left="418" w:leftChars="0" w:firstLine="216"/>
    </w:pPr>
    <w:rPr>
      <w:rFonts w:eastAsia="仿宋_GB2312"/>
      <w:sz w:val="24"/>
    </w:rPr>
  </w:style>
  <w:style w:type="paragraph" w:styleId="11">
    <w:name w:val="toc 3"/>
    <w:basedOn w:val="1"/>
    <w:next w:val="1"/>
    <w:autoRedefine/>
    <w:qFormat/>
    <w:uiPriority w:val="0"/>
    <w:pPr>
      <w:tabs>
        <w:tab w:val="right" w:leader="dot" w:pos="8777"/>
      </w:tabs>
      <w:spacing w:line="480" w:lineRule="exact"/>
      <w:ind w:left="482" w:firstLine="103" w:firstLineChars="43"/>
      <w:jc w:val="left"/>
    </w:pPr>
    <w:rPr>
      <w:rFonts w:ascii="Calibri" w:hAnsi="Calibri"/>
      <w:i/>
      <w:iCs/>
      <w:sz w:val="20"/>
      <w:szCs w:val="20"/>
    </w:rPr>
  </w:style>
  <w:style w:type="paragraph" w:styleId="12">
    <w:name w:val="Plain Text"/>
    <w:basedOn w:val="1"/>
    <w:autoRedefine/>
    <w:qFormat/>
    <w:uiPriority w:val="0"/>
    <w:rPr>
      <w:rFonts w:ascii="宋体" w:hAnsi="Courier New"/>
      <w:szCs w:val="20"/>
    </w:rPr>
  </w:style>
  <w:style w:type="paragraph" w:styleId="13">
    <w:name w:val="Body Text Indent 2"/>
    <w:basedOn w:val="1"/>
    <w:qFormat/>
    <w:uiPriority w:val="0"/>
    <w:pPr>
      <w:spacing w:line="480" w:lineRule="auto"/>
      <w:ind w:left="420" w:leftChars="200"/>
    </w:pPr>
  </w:style>
  <w:style w:type="paragraph" w:styleId="14">
    <w:name w:val="Balloon Text"/>
    <w:basedOn w:val="1"/>
    <w:link w:val="38"/>
    <w:autoRedefine/>
    <w:qFormat/>
    <w:uiPriority w:val="0"/>
    <w:pPr>
      <w:spacing w:line="240" w:lineRule="auto"/>
    </w:pPr>
    <w:rPr>
      <w:sz w:val="18"/>
      <w:szCs w:val="18"/>
    </w:rPr>
  </w:style>
  <w:style w:type="paragraph" w:styleId="15">
    <w:name w:val="footer"/>
    <w:basedOn w:val="1"/>
    <w:autoRedefine/>
    <w:qFormat/>
    <w:uiPriority w:val="0"/>
    <w:pPr>
      <w:tabs>
        <w:tab w:val="center" w:pos="4153"/>
        <w:tab w:val="right" w:pos="8306"/>
      </w:tabs>
      <w:snapToGrid w:val="0"/>
      <w:jc w:val="left"/>
    </w:pPr>
    <w:rPr>
      <w:sz w:val="18"/>
      <w:szCs w:val="20"/>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0"/>
    <w:pPr>
      <w:spacing w:before="120" w:after="120"/>
      <w:jc w:val="left"/>
    </w:pPr>
    <w:rPr>
      <w:rFonts w:ascii="Calibri" w:hAnsi="Calibri"/>
      <w:b/>
      <w:bCs/>
      <w:caps/>
      <w:sz w:val="20"/>
      <w:szCs w:val="20"/>
    </w:rPr>
  </w:style>
  <w:style w:type="paragraph" w:styleId="18">
    <w:name w:val="toc 6"/>
    <w:basedOn w:val="1"/>
    <w:next w:val="1"/>
    <w:semiHidden/>
    <w:qFormat/>
    <w:uiPriority w:val="0"/>
    <w:pPr>
      <w:ind w:left="1200"/>
    </w:pPr>
    <w:rPr>
      <w:sz w:val="18"/>
      <w:szCs w:val="18"/>
    </w:rPr>
  </w:style>
  <w:style w:type="paragraph" w:styleId="19">
    <w:name w:val="toc 2"/>
    <w:basedOn w:val="1"/>
    <w:next w:val="1"/>
    <w:autoRedefine/>
    <w:qFormat/>
    <w:uiPriority w:val="0"/>
    <w:pPr>
      <w:ind w:left="420" w:leftChars="200"/>
    </w:pPr>
  </w:style>
  <w:style w:type="paragraph" w:styleId="20">
    <w:name w:val="HTML Preformatted"/>
    <w:basedOn w:val="1"/>
    <w:semiHidden/>
    <w:unhideWhenUsed/>
    <w:qFormat/>
    <w:uiPriority w:val="99"/>
    <w:rPr>
      <w:rFonts w:ascii="Courier New" w:hAnsi="Courier New" w:cs="Courier New"/>
      <w:sz w:val="20"/>
      <w:szCs w:val="20"/>
    </w:rPr>
  </w:style>
  <w:style w:type="paragraph" w:styleId="21">
    <w:name w:val="Normal (Web)"/>
    <w:basedOn w:val="1"/>
    <w:autoRedefine/>
    <w:qFormat/>
    <w:uiPriority w:val="0"/>
    <w:pPr>
      <w:widowControl/>
      <w:spacing w:before="100" w:beforeAutospacing="1" w:after="119"/>
      <w:jc w:val="left"/>
    </w:pPr>
    <w:rPr>
      <w:rFonts w:ascii="宋体" w:hAnsi="宋体" w:cs="宋体"/>
      <w:sz w:val="24"/>
    </w:rPr>
  </w:style>
  <w:style w:type="paragraph" w:styleId="22">
    <w:name w:val="Title"/>
    <w:basedOn w:val="1"/>
    <w:next w:val="1"/>
    <w:autoRedefine/>
    <w:qFormat/>
    <w:uiPriority w:val="0"/>
    <w:pPr>
      <w:spacing w:before="240" w:after="60"/>
      <w:jc w:val="center"/>
      <w:outlineLvl w:val="0"/>
    </w:pPr>
    <w:rPr>
      <w:rFonts w:ascii="Cambria" w:hAnsi="Cambria"/>
      <w:b/>
      <w:bCs/>
      <w:sz w:val="36"/>
      <w:szCs w:val="32"/>
    </w:rPr>
  </w:style>
  <w:style w:type="paragraph" w:styleId="23">
    <w:name w:val="Body Text First Indent"/>
    <w:basedOn w:val="2"/>
    <w:autoRedefine/>
    <w:unhideWhenUsed/>
    <w:qFormat/>
    <w:uiPriority w:val="99"/>
    <w:pPr>
      <w:widowControl w:val="0"/>
      <w:spacing w:line="360" w:lineRule="auto"/>
      <w:ind w:firstLine="200" w:firstLineChars="200"/>
      <w:jc w:val="both"/>
    </w:pPr>
    <w:rPr>
      <w:rFonts w:ascii="Calibri" w:hAnsi="Calibri" w:eastAsia="宋体" w:cs="Times New Roman"/>
      <w:kern w:val="2"/>
      <w:sz w:val="21"/>
      <w:szCs w:val="24"/>
      <w:lang w:val="en-US" w:eastAsia="zh-CN" w:bidi="ar-SA"/>
    </w:r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autoRedefine/>
    <w:qFormat/>
    <w:uiPriority w:val="0"/>
  </w:style>
  <w:style w:type="character" w:styleId="28">
    <w:name w:val="page number"/>
    <w:basedOn w:val="26"/>
    <w:autoRedefine/>
    <w:qFormat/>
    <w:uiPriority w:val="0"/>
  </w:style>
  <w:style w:type="character" w:styleId="29">
    <w:name w:val="Hyperlink"/>
    <w:autoRedefine/>
    <w:qFormat/>
    <w:uiPriority w:val="0"/>
    <w:rPr>
      <w:color w:val="000099"/>
      <w:u w:val="none"/>
    </w:rPr>
  </w:style>
  <w:style w:type="character" w:styleId="30">
    <w:name w:val="HTML Sample"/>
    <w:basedOn w:val="26"/>
    <w:qFormat/>
    <w:uiPriority w:val="0"/>
    <w:rPr>
      <w:rFonts w:ascii="Courier New" w:hAnsi="Courier New"/>
    </w:rPr>
  </w:style>
  <w:style w:type="paragraph" w:customStyle="1" w:styleId="31">
    <w:name w:val="一级条标题"/>
    <w:basedOn w:val="32"/>
    <w:next w:val="33"/>
    <w:autoRedefine/>
    <w:qFormat/>
    <w:uiPriority w:val="0"/>
    <w:pPr>
      <w:spacing w:line="240" w:lineRule="auto"/>
      <w:ind w:left="420"/>
      <w:outlineLvl w:val="2"/>
    </w:pPr>
  </w:style>
  <w:style w:type="paragraph" w:customStyle="1" w:styleId="32">
    <w:name w:val="章标题"/>
    <w:next w:val="1"/>
    <w:autoRedefine/>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33">
    <w:name w:val="段"/>
    <w:next w:val="1"/>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6">
    <w:name w:val="样式 标题 3 + 首行缩进:  2 字符"/>
    <w:basedOn w:val="5"/>
    <w:autoRedefine/>
    <w:qFormat/>
    <w:uiPriority w:val="0"/>
    <w:pPr>
      <w:spacing w:before="0" w:after="0" w:line="480" w:lineRule="exact"/>
    </w:pPr>
    <w:rPr>
      <w:sz w:val="28"/>
      <w:szCs w:val="28"/>
      <w:lang w:bidi="ar-DZ"/>
    </w:rPr>
  </w:style>
  <w:style w:type="paragraph" w:customStyle="1" w:styleId="37">
    <w:name w:val="列出段落1"/>
    <w:basedOn w:val="1"/>
    <w:autoRedefine/>
    <w:qFormat/>
    <w:uiPriority w:val="34"/>
    <w:pPr>
      <w:ind w:firstLine="420"/>
    </w:pPr>
    <w:rPr>
      <w:rFonts w:ascii="Calibri" w:hAnsi="Calibri"/>
    </w:rPr>
  </w:style>
  <w:style w:type="character" w:customStyle="1" w:styleId="38">
    <w:name w:val="批注框文本 Char"/>
    <w:basedOn w:val="26"/>
    <w:link w:val="14"/>
    <w:autoRedefine/>
    <w:qFormat/>
    <w:uiPriority w:val="0"/>
    <w:rPr>
      <w:sz w:val="18"/>
      <w:szCs w:val="18"/>
    </w:rPr>
  </w:style>
  <w:style w:type="character" w:customStyle="1" w:styleId="39">
    <w:name w:val="font41"/>
    <w:basedOn w:val="26"/>
    <w:autoRedefine/>
    <w:qFormat/>
    <w:uiPriority w:val="0"/>
    <w:rPr>
      <w:rFonts w:hint="default" w:ascii="Tahoma" w:hAnsi="Tahoma" w:eastAsia="Tahoma" w:cs="Tahoma"/>
      <w:color w:val="000000"/>
      <w:sz w:val="18"/>
      <w:szCs w:val="18"/>
      <w:u w:val="none"/>
    </w:rPr>
  </w:style>
  <w:style w:type="character" w:customStyle="1" w:styleId="40">
    <w:name w:val="font11"/>
    <w:basedOn w:val="26"/>
    <w:autoRedefine/>
    <w:qFormat/>
    <w:uiPriority w:val="0"/>
    <w:rPr>
      <w:rFonts w:hint="eastAsia" w:ascii="宋体" w:hAnsi="宋体" w:eastAsia="宋体" w:cs="宋体"/>
      <w:color w:val="000000"/>
      <w:sz w:val="24"/>
      <w:szCs w:val="24"/>
      <w:u w:val="none"/>
      <w:vertAlign w:val="subscript"/>
    </w:rPr>
  </w:style>
  <w:style w:type="character" w:customStyle="1" w:styleId="41">
    <w:name w:val="int_huang_12_b1"/>
    <w:autoRedefine/>
    <w:qFormat/>
    <w:uiPriority w:val="0"/>
    <w:rPr>
      <w:rFonts w:hint="default" w:ascii="Verdana" w:hAnsi="Verdana"/>
      <w:b/>
      <w:bCs/>
      <w:color w:val="EECC77"/>
      <w:sz w:val="18"/>
      <w:szCs w:val="18"/>
    </w:rPr>
  </w:style>
  <w:style w:type="paragraph" w:customStyle="1" w:styleId="42">
    <w:name w:val="Table Paragraph"/>
    <w:basedOn w:val="1"/>
    <w:autoRedefine/>
    <w:qFormat/>
    <w:uiPriority w:val="1"/>
    <w:rPr>
      <w:rFonts w:ascii="宋体" w:hAnsi="宋体" w:eastAsia="宋体" w:cs="宋体"/>
      <w:lang w:val="zh-CN" w:eastAsia="zh-CN" w:bidi="zh-CN"/>
    </w:rPr>
  </w:style>
  <w:style w:type="paragraph" w:customStyle="1" w:styleId="43">
    <w:name w:val="正文文本缩进 21"/>
    <w:basedOn w:val="1"/>
    <w:autoRedefine/>
    <w:qFormat/>
    <w:uiPriority w:val="0"/>
    <w:pPr>
      <w:spacing w:after="120" w:line="480" w:lineRule="auto"/>
      <w:ind w:left="200" w:leftChars="200"/>
    </w:pPr>
  </w:style>
  <w:style w:type="paragraph" w:customStyle="1" w:styleId="44">
    <w:name w:val="List Paragraph"/>
    <w:basedOn w:val="1"/>
    <w:autoRedefine/>
    <w:qFormat/>
    <w:uiPriority w:val="99"/>
    <w:pPr>
      <w:ind w:firstLine="420" w:firstLineChars="200"/>
    </w:pPr>
  </w:style>
  <w:style w:type="table" w:customStyle="1" w:styleId="45">
    <w:name w:val="Table Normal"/>
    <w:autoRedefine/>
    <w:semiHidden/>
    <w:unhideWhenUsed/>
    <w:qFormat/>
    <w:uiPriority w:val="0"/>
    <w:tblPr>
      <w:tblCellMar>
        <w:top w:w="0" w:type="dxa"/>
        <w:left w:w="0" w:type="dxa"/>
        <w:bottom w:w="0" w:type="dxa"/>
        <w:right w:w="0" w:type="dxa"/>
      </w:tblCellMar>
    </w:tblPr>
  </w:style>
  <w:style w:type="paragraph" w:customStyle="1" w:styleId="46">
    <w:name w:val="Table Text"/>
    <w:basedOn w:val="1"/>
    <w:autoRedefine/>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青海鼎钊</Company>
  <Pages>51</Pages>
  <Words>8997</Words>
  <Characters>9615</Characters>
  <Lines>32</Lines>
  <Paragraphs>58</Paragraphs>
  <TotalTime>86</TotalTime>
  <ScaleCrop>false</ScaleCrop>
  <LinksUpToDate>false</LinksUpToDate>
  <CharactersWithSpaces>9755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2016-02-18T11:12:00Z</dcterms:created>
  <dc:creator>太子弹琴</dc:creator>
  <cp:lastModifiedBy>·</cp:lastModifiedBy>
  <cp:lastPrinted>2025-10-14T01:50:00Z</cp:lastPrinted>
  <dcterms:modified xsi:type="dcterms:W3CDTF">2026-05-21T09:26:30Z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D392429255F1457796F955909D62B244_13</vt:lpwstr>
  </property>
  <property fmtid="{D5CDD505-2E9C-101B-9397-08002B2CF9AE}" pid="4" name="KSOTemplateDocerSaveRecord">
    <vt:lpwstr>eyJoZGlkIjoiN2IzMTBkMTA2Zjg3YjQyODMyMzUzNDgyNmNlZTU0ZWIiLCJ1c2VySWQiOiI5NDU0NTQ1OTgifQ==</vt:lpwstr>
  </property>
</Properties>
</file>