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CAB1D8">
      <w:pPr>
        <w:spacing w:line="240" w:lineRule="atLeast"/>
        <w:jc w:val="center"/>
        <w:rPr>
          <w:rFonts w:hint="eastAsia" w:ascii="微软雅黑" w:hAnsi="微软雅黑" w:eastAsia="微软雅黑" w:cs="微软雅黑"/>
          <w:b/>
          <w:color w:val="auto"/>
          <w:kern w:val="44"/>
          <w:sz w:val="44"/>
          <w:szCs w:val="44"/>
          <w:highlight w:val="none"/>
          <w:lang w:eastAsia="zh-CN"/>
        </w:rPr>
      </w:pPr>
      <w:bookmarkStart w:id="0" w:name="_Toc13297"/>
      <w:bookmarkStart w:id="1" w:name="_Toc4177"/>
      <w:bookmarkStart w:id="2" w:name="_Toc31636"/>
      <w:bookmarkStart w:id="3" w:name="_Toc1934"/>
      <w:bookmarkStart w:id="4" w:name="_Toc16093"/>
      <w:bookmarkStart w:id="5" w:name="_Toc3501"/>
      <w:bookmarkStart w:id="6" w:name="_Toc27286"/>
      <w:bookmarkStart w:id="7" w:name="_Toc17321"/>
      <w:bookmarkStart w:id="8" w:name="_Toc31645"/>
      <w:bookmarkStart w:id="9" w:name="_Toc11880"/>
      <w:bookmarkStart w:id="10" w:name="_Toc22083"/>
      <w:bookmarkStart w:id="11" w:name="_Toc12442"/>
      <w:bookmarkStart w:id="12" w:name="_Toc13057"/>
      <w:bookmarkStart w:id="13" w:name="_Toc29241"/>
      <w:bookmarkStart w:id="14" w:name="_Toc216582826"/>
      <w:bookmarkStart w:id="15" w:name="_Toc219175639"/>
      <w:bookmarkStart w:id="16" w:name="_Toc7971"/>
      <w:bookmarkStart w:id="17" w:name="_Toc218935355"/>
      <w:bookmarkStart w:id="18" w:name="_Toc515647832"/>
      <w:bookmarkStart w:id="19" w:name="_Toc32647"/>
      <w:bookmarkStart w:id="20" w:name="_Toc507399907"/>
    </w:p>
    <w:p w14:paraId="078787E0">
      <w:pPr>
        <w:pStyle w:val="5"/>
        <w:ind w:left="0" w:leftChars="0" w:firstLine="0" w:firstLineChars="0"/>
        <w:jc w:val="center"/>
        <w:rPr>
          <w:rFonts w:hint="eastAsia" w:ascii="微软雅黑" w:hAnsi="微软雅黑" w:eastAsia="微软雅黑" w:cs="微软雅黑"/>
          <w:b/>
          <w:color w:val="auto"/>
          <w:spacing w:val="6"/>
          <w:kern w:val="44"/>
          <w:sz w:val="56"/>
          <w:szCs w:val="56"/>
          <w:highlight w:val="none"/>
          <w:lang w:val="en-US" w:eastAsia="zh-CN"/>
        </w:rPr>
      </w:pPr>
      <w:r>
        <w:rPr>
          <w:rFonts w:hint="eastAsia" w:ascii="微软雅黑" w:hAnsi="微软雅黑" w:eastAsia="微软雅黑" w:cs="微软雅黑"/>
          <w:b/>
          <w:color w:val="auto"/>
          <w:spacing w:val="6"/>
          <w:kern w:val="44"/>
          <w:sz w:val="56"/>
          <w:szCs w:val="56"/>
          <w:highlight w:val="none"/>
          <w:lang w:val="en-US" w:eastAsia="zh-CN"/>
        </w:rPr>
        <w:t>泽普县维吾尔医医院中药饮片及包装材料采购项目</w:t>
      </w:r>
    </w:p>
    <w:p w14:paraId="309114E7">
      <w:pPr>
        <w:spacing w:line="360" w:lineRule="auto"/>
        <w:jc w:val="center"/>
        <w:rPr>
          <w:rFonts w:hint="eastAsia" w:ascii="微软雅黑" w:hAnsi="微软雅黑" w:eastAsia="微软雅黑" w:cs="微软雅黑"/>
          <w:b/>
          <w:color w:val="auto"/>
          <w:sz w:val="28"/>
          <w:szCs w:val="28"/>
          <w:highlight w:val="none"/>
        </w:rPr>
      </w:pPr>
    </w:p>
    <w:p w14:paraId="30F02EBC">
      <w:pPr>
        <w:spacing w:line="360" w:lineRule="auto"/>
        <w:jc w:val="center"/>
        <w:outlineLvl w:val="9"/>
        <w:rPr>
          <w:rFonts w:hint="default" w:ascii="微软雅黑" w:hAnsi="微软雅黑" w:eastAsia="微软雅黑" w:cs="微软雅黑"/>
          <w:b/>
          <w:color w:val="auto"/>
          <w:sz w:val="36"/>
          <w:szCs w:val="36"/>
          <w:highlight w:val="yellow"/>
          <w:lang w:val="en-US" w:eastAsia="zh-CN"/>
        </w:rPr>
      </w:pPr>
      <w:r>
        <w:rPr>
          <w:rFonts w:hint="eastAsia" w:ascii="微软雅黑" w:hAnsi="微软雅黑" w:eastAsia="微软雅黑" w:cs="微软雅黑"/>
          <w:b/>
          <w:color w:val="auto"/>
          <w:sz w:val="36"/>
          <w:szCs w:val="36"/>
          <w:highlight w:val="none"/>
        </w:rPr>
        <w:t>项目编号：ZPDL(202</w:t>
      </w:r>
      <w:r>
        <w:rPr>
          <w:rFonts w:hint="eastAsia" w:ascii="微软雅黑" w:hAnsi="微软雅黑" w:eastAsia="微软雅黑" w:cs="微软雅黑"/>
          <w:b/>
          <w:color w:val="auto"/>
          <w:sz w:val="36"/>
          <w:szCs w:val="36"/>
          <w:highlight w:val="none"/>
          <w:lang w:val="en-US" w:eastAsia="zh-CN"/>
        </w:rPr>
        <w:t>6</w:t>
      </w:r>
      <w:r>
        <w:rPr>
          <w:rFonts w:hint="eastAsia" w:ascii="微软雅黑" w:hAnsi="微软雅黑" w:eastAsia="微软雅黑" w:cs="微软雅黑"/>
          <w:b/>
          <w:color w:val="auto"/>
          <w:sz w:val="36"/>
          <w:szCs w:val="36"/>
          <w:highlight w:val="none"/>
        </w:rPr>
        <w:t>)0</w:t>
      </w:r>
      <w:r>
        <w:rPr>
          <w:rFonts w:hint="eastAsia" w:ascii="微软雅黑" w:hAnsi="微软雅黑" w:eastAsia="微软雅黑" w:cs="微软雅黑"/>
          <w:b/>
          <w:color w:val="auto"/>
          <w:sz w:val="36"/>
          <w:szCs w:val="36"/>
          <w:highlight w:val="none"/>
          <w:lang w:val="en-US" w:eastAsia="zh-CN"/>
        </w:rPr>
        <w:t>18</w:t>
      </w:r>
    </w:p>
    <w:p w14:paraId="0529E9E8">
      <w:pPr>
        <w:rPr>
          <w:rFonts w:hint="eastAsia" w:ascii="微软雅黑" w:hAnsi="微软雅黑" w:eastAsia="微软雅黑" w:cs="微软雅黑"/>
          <w:sz w:val="20"/>
          <w:szCs w:val="22"/>
          <w:highlight w:val="none"/>
          <w:lang w:eastAsia="zh-CN"/>
        </w:rPr>
      </w:pPr>
    </w:p>
    <w:p w14:paraId="00B2F5C6">
      <w:pPr>
        <w:spacing w:line="240" w:lineRule="atLeast"/>
        <w:jc w:val="center"/>
        <w:rPr>
          <w:rFonts w:hint="eastAsia" w:ascii="微软雅黑" w:hAnsi="微软雅黑" w:eastAsia="微软雅黑" w:cs="微软雅黑"/>
          <w:b/>
          <w:bCs w:val="0"/>
          <w:color w:val="auto"/>
          <w:sz w:val="52"/>
          <w:szCs w:val="52"/>
          <w:highlight w:val="none"/>
        </w:rPr>
      </w:pPr>
      <w:r>
        <w:rPr>
          <w:rFonts w:hint="eastAsia" w:ascii="微软雅黑" w:hAnsi="微软雅黑" w:eastAsia="微软雅黑" w:cs="微软雅黑"/>
          <w:b/>
          <w:bCs w:val="0"/>
          <w:color w:val="auto"/>
          <w:sz w:val="52"/>
          <w:szCs w:val="52"/>
          <w:highlight w:val="none"/>
        </w:rPr>
        <w:t>招 标 文 件</w:t>
      </w:r>
    </w:p>
    <w:p w14:paraId="15554733">
      <w:pPr>
        <w:spacing w:line="240" w:lineRule="atLeast"/>
        <w:jc w:val="both"/>
        <w:rPr>
          <w:rFonts w:hint="eastAsia" w:ascii="微软雅黑" w:hAnsi="微软雅黑" w:eastAsia="微软雅黑" w:cs="微软雅黑"/>
          <w:b/>
          <w:color w:val="auto"/>
          <w:sz w:val="28"/>
          <w:szCs w:val="28"/>
          <w:highlight w:val="none"/>
        </w:rPr>
      </w:pPr>
    </w:p>
    <w:p w14:paraId="7891E8F1">
      <w:pPr>
        <w:spacing w:line="240" w:lineRule="atLeast"/>
        <w:jc w:val="both"/>
        <w:rPr>
          <w:rFonts w:hint="eastAsia" w:ascii="微软雅黑" w:hAnsi="微软雅黑" w:eastAsia="微软雅黑" w:cs="微软雅黑"/>
          <w:b/>
          <w:color w:val="auto"/>
          <w:sz w:val="28"/>
          <w:szCs w:val="28"/>
          <w:highlight w:val="none"/>
        </w:rPr>
      </w:pPr>
      <w:r>
        <w:rPr>
          <w:rFonts w:hint="eastAsia" w:ascii="微软雅黑" w:hAnsi="微软雅黑" w:eastAsia="微软雅黑" w:cs="微软雅黑"/>
          <w:b/>
          <w:color w:val="auto"/>
          <w:sz w:val="28"/>
          <w:szCs w:val="28"/>
          <w:highlight w:val="none"/>
        </w:rPr>
        <w:t xml:space="preserve">  </w:t>
      </w:r>
    </w:p>
    <w:p w14:paraId="358EE760">
      <w:pPr>
        <w:spacing w:line="240" w:lineRule="atLeast"/>
        <w:ind w:firstLine="640" w:firstLineChars="200"/>
        <w:jc w:val="both"/>
        <w:rPr>
          <w:rFonts w:hint="eastAsia" w:ascii="微软雅黑" w:hAnsi="微软雅黑" w:eastAsia="微软雅黑" w:cs="微软雅黑"/>
          <w:b/>
          <w:color w:val="auto"/>
          <w:sz w:val="32"/>
          <w:szCs w:val="32"/>
          <w:highlight w:val="none"/>
        </w:rPr>
      </w:pPr>
      <w:r>
        <w:rPr>
          <w:rFonts w:hint="eastAsia" w:ascii="微软雅黑" w:hAnsi="微软雅黑" w:eastAsia="微软雅黑" w:cs="微软雅黑"/>
          <w:b/>
          <w:color w:val="auto"/>
          <w:sz w:val="32"/>
          <w:szCs w:val="32"/>
          <w:highlight w:val="none"/>
        </w:rPr>
        <w:t>采购单位：</w:t>
      </w:r>
      <w:r>
        <w:rPr>
          <w:rFonts w:hint="eastAsia" w:ascii="微软雅黑" w:hAnsi="微软雅黑" w:eastAsia="微软雅黑" w:cs="微软雅黑"/>
          <w:b/>
          <w:color w:val="auto"/>
          <w:sz w:val="32"/>
          <w:szCs w:val="32"/>
          <w:highlight w:val="none"/>
          <w:lang w:val="en-US" w:eastAsia="zh-CN"/>
        </w:rPr>
        <w:t xml:space="preserve"> </w:t>
      </w:r>
      <w:r>
        <w:rPr>
          <w:rFonts w:hint="eastAsia" w:ascii="微软雅黑" w:hAnsi="微软雅黑" w:eastAsia="微软雅黑" w:cs="微软雅黑"/>
          <w:b/>
          <w:color w:val="auto"/>
          <w:sz w:val="32"/>
          <w:szCs w:val="32"/>
          <w:highlight w:val="none"/>
          <w:u w:val="single"/>
          <w:lang w:val="en-US" w:eastAsia="zh-CN"/>
        </w:rPr>
        <w:t xml:space="preserve">      泽普县维吾尔医医院     </w:t>
      </w:r>
      <w:r>
        <w:rPr>
          <w:rFonts w:hint="eastAsia" w:ascii="微软雅黑" w:hAnsi="微软雅黑" w:eastAsia="微软雅黑" w:cs="微软雅黑"/>
          <w:b/>
          <w:color w:val="auto"/>
          <w:sz w:val="32"/>
          <w:szCs w:val="32"/>
          <w:highlight w:val="none"/>
        </w:rPr>
        <w:t xml:space="preserve">   </w:t>
      </w:r>
    </w:p>
    <w:p w14:paraId="223703BC">
      <w:pPr>
        <w:ind w:firstLine="640" w:firstLineChars="200"/>
        <w:rPr>
          <w:rFonts w:hint="eastAsia" w:ascii="微软雅黑" w:hAnsi="微软雅黑" w:eastAsia="微软雅黑" w:cs="微软雅黑"/>
          <w:b/>
          <w:color w:val="auto"/>
          <w:sz w:val="32"/>
          <w:szCs w:val="32"/>
          <w:highlight w:val="none"/>
          <w:u w:val="single"/>
        </w:rPr>
      </w:pPr>
      <w:r>
        <w:rPr>
          <w:rFonts w:hint="eastAsia" w:ascii="微软雅黑" w:hAnsi="微软雅黑" w:eastAsia="微软雅黑" w:cs="微软雅黑"/>
          <w:b/>
          <w:color w:val="auto"/>
          <w:sz w:val="32"/>
          <w:szCs w:val="32"/>
          <w:highlight w:val="none"/>
        </w:rPr>
        <w:t>联</w:t>
      </w:r>
      <w:r>
        <w:rPr>
          <w:rFonts w:hint="eastAsia" w:ascii="微软雅黑" w:hAnsi="微软雅黑" w:eastAsia="微软雅黑" w:cs="微软雅黑"/>
          <w:b/>
          <w:color w:val="auto"/>
          <w:sz w:val="32"/>
          <w:szCs w:val="32"/>
          <w:highlight w:val="none"/>
          <w:lang w:val="en-US" w:eastAsia="zh-CN"/>
        </w:rPr>
        <w:t xml:space="preserve"> </w:t>
      </w:r>
      <w:r>
        <w:rPr>
          <w:rFonts w:hint="eastAsia" w:ascii="微软雅黑" w:hAnsi="微软雅黑" w:eastAsia="微软雅黑" w:cs="微软雅黑"/>
          <w:b/>
          <w:color w:val="auto"/>
          <w:sz w:val="32"/>
          <w:szCs w:val="32"/>
          <w:highlight w:val="none"/>
        </w:rPr>
        <w:t>系</w:t>
      </w:r>
      <w:r>
        <w:rPr>
          <w:rFonts w:hint="eastAsia" w:ascii="微软雅黑" w:hAnsi="微软雅黑" w:eastAsia="微软雅黑" w:cs="微软雅黑"/>
          <w:b/>
          <w:color w:val="auto"/>
          <w:sz w:val="32"/>
          <w:szCs w:val="32"/>
          <w:highlight w:val="none"/>
          <w:lang w:val="en-US" w:eastAsia="zh-CN"/>
        </w:rPr>
        <w:t xml:space="preserve"> </w:t>
      </w:r>
      <w:r>
        <w:rPr>
          <w:rFonts w:hint="eastAsia" w:ascii="微软雅黑" w:hAnsi="微软雅黑" w:eastAsia="微软雅黑" w:cs="微软雅黑"/>
          <w:b/>
          <w:color w:val="auto"/>
          <w:sz w:val="32"/>
          <w:szCs w:val="32"/>
          <w:highlight w:val="none"/>
        </w:rPr>
        <w:t>人：</w:t>
      </w:r>
      <w:r>
        <w:rPr>
          <w:rFonts w:hint="eastAsia" w:ascii="微软雅黑" w:hAnsi="微软雅黑" w:eastAsia="微软雅黑" w:cs="微软雅黑"/>
          <w:b/>
          <w:color w:val="auto"/>
          <w:sz w:val="32"/>
          <w:szCs w:val="32"/>
          <w:highlight w:val="none"/>
          <w:u w:val="single"/>
        </w:rPr>
        <w:t xml:space="preserve">    </w:t>
      </w:r>
      <w:r>
        <w:rPr>
          <w:rFonts w:hint="eastAsia" w:ascii="微软雅黑" w:hAnsi="微软雅黑" w:eastAsia="微软雅黑" w:cs="微软雅黑"/>
          <w:b/>
          <w:color w:val="auto"/>
          <w:sz w:val="32"/>
          <w:szCs w:val="32"/>
          <w:highlight w:val="none"/>
          <w:u w:val="single"/>
          <w:lang w:val="en-US" w:eastAsia="zh-CN"/>
        </w:rPr>
        <w:t xml:space="preserve"> </w:t>
      </w:r>
      <w:r>
        <w:rPr>
          <w:rFonts w:hint="eastAsia" w:ascii="微软雅黑" w:hAnsi="微软雅黑" w:eastAsia="微软雅黑" w:cs="微软雅黑"/>
          <w:b/>
          <w:color w:val="auto"/>
          <w:sz w:val="32"/>
          <w:szCs w:val="32"/>
          <w:highlight w:val="none"/>
          <w:u w:val="single"/>
        </w:rPr>
        <w:t xml:space="preserve"> </w:t>
      </w:r>
      <w:r>
        <w:rPr>
          <w:rFonts w:hint="eastAsia" w:ascii="微软雅黑" w:hAnsi="微软雅黑" w:eastAsia="微软雅黑" w:cs="微软雅黑"/>
          <w:b/>
          <w:color w:val="auto"/>
          <w:sz w:val="32"/>
          <w:szCs w:val="32"/>
          <w:highlight w:val="none"/>
          <w:u w:val="single"/>
          <w:lang w:val="en-US" w:eastAsia="zh-CN"/>
        </w:rPr>
        <w:t xml:space="preserve"> </w:t>
      </w:r>
      <w:r>
        <w:rPr>
          <w:rFonts w:hint="eastAsia" w:ascii="微软雅黑" w:hAnsi="微软雅黑" w:eastAsia="微软雅黑" w:cs="微软雅黑"/>
          <w:b/>
          <w:color w:val="auto"/>
          <w:sz w:val="32"/>
          <w:szCs w:val="32"/>
          <w:highlight w:val="none"/>
          <w:u w:val="single"/>
          <w:lang w:eastAsia="zh-CN"/>
        </w:rPr>
        <w:t>努尔阿米娜</w:t>
      </w:r>
      <w:r>
        <w:rPr>
          <w:rFonts w:hint="eastAsia" w:ascii="微软雅黑" w:hAnsi="微软雅黑" w:eastAsia="微软雅黑" w:cs="微软雅黑"/>
          <w:b/>
          <w:color w:val="auto"/>
          <w:sz w:val="32"/>
          <w:szCs w:val="32"/>
          <w:highlight w:val="none"/>
          <w:u w:val="single"/>
          <w:lang w:val="en-US" w:eastAsia="zh-CN"/>
        </w:rPr>
        <w:t xml:space="preserve">·麦图地      </w:t>
      </w:r>
      <w:r>
        <w:rPr>
          <w:rFonts w:hint="eastAsia" w:ascii="微软雅黑" w:hAnsi="微软雅黑" w:eastAsia="微软雅黑" w:cs="微软雅黑"/>
          <w:b/>
          <w:color w:val="auto"/>
          <w:sz w:val="32"/>
          <w:szCs w:val="32"/>
          <w:highlight w:val="none"/>
        </w:rPr>
        <w:t xml:space="preserve">     </w:t>
      </w:r>
    </w:p>
    <w:p w14:paraId="039574C2">
      <w:pPr>
        <w:spacing w:line="360" w:lineRule="auto"/>
        <w:ind w:firstLine="640" w:firstLineChars="200"/>
        <w:rPr>
          <w:rFonts w:hint="eastAsia" w:ascii="微软雅黑" w:hAnsi="微软雅黑" w:eastAsia="微软雅黑" w:cs="微软雅黑"/>
          <w:b/>
          <w:color w:val="auto"/>
          <w:sz w:val="32"/>
          <w:szCs w:val="32"/>
          <w:highlight w:val="none"/>
          <w:u w:val="single"/>
          <w:lang w:val="en-US" w:eastAsia="zh-CN"/>
        </w:rPr>
      </w:pPr>
      <w:r>
        <w:rPr>
          <w:rFonts w:hint="eastAsia" w:ascii="微软雅黑" w:hAnsi="微软雅黑" w:eastAsia="微软雅黑" w:cs="微软雅黑"/>
          <w:b/>
          <w:color w:val="auto"/>
          <w:sz w:val="32"/>
          <w:szCs w:val="32"/>
          <w:highlight w:val="none"/>
        </w:rPr>
        <w:t>联系电话：</w:t>
      </w:r>
      <w:r>
        <w:rPr>
          <w:rFonts w:hint="eastAsia" w:ascii="微软雅黑" w:hAnsi="微软雅黑" w:eastAsia="微软雅黑" w:cs="微软雅黑"/>
          <w:b/>
          <w:color w:val="auto"/>
          <w:sz w:val="32"/>
          <w:szCs w:val="32"/>
          <w:highlight w:val="none"/>
          <w:u w:val="single"/>
        </w:rPr>
        <w:t xml:space="preserve">    </w:t>
      </w:r>
      <w:r>
        <w:rPr>
          <w:rFonts w:hint="eastAsia" w:ascii="微软雅黑" w:hAnsi="微软雅黑" w:eastAsia="微软雅黑" w:cs="微软雅黑"/>
          <w:b/>
          <w:color w:val="auto"/>
          <w:sz w:val="32"/>
          <w:szCs w:val="32"/>
          <w:highlight w:val="none"/>
          <w:u w:val="single"/>
          <w:lang w:val="en-US" w:eastAsia="zh-CN"/>
        </w:rPr>
        <w:t xml:space="preserve">     13579075405  </w:t>
      </w:r>
      <w:r>
        <w:rPr>
          <w:rFonts w:hint="eastAsia" w:ascii="微软雅黑" w:hAnsi="微软雅黑" w:eastAsia="微软雅黑" w:cs="微软雅黑"/>
          <w:b/>
          <w:color w:val="auto"/>
          <w:sz w:val="32"/>
          <w:szCs w:val="32"/>
          <w:highlight w:val="none"/>
          <w:u w:val="single"/>
        </w:rPr>
        <w:t xml:space="preserve"> </w:t>
      </w:r>
      <w:r>
        <w:rPr>
          <w:rFonts w:hint="eastAsia" w:ascii="微软雅黑" w:hAnsi="微软雅黑" w:eastAsia="微软雅黑" w:cs="微软雅黑"/>
          <w:b/>
          <w:color w:val="auto"/>
          <w:sz w:val="32"/>
          <w:szCs w:val="32"/>
          <w:highlight w:val="none"/>
          <w:u w:val="single"/>
          <w:lang w:val="en-US" w:eastAsia="zh-CN"/>
        </w:rPr>
        <w:t xml:space="preserve">   </w:t>
      </w:r>
    </w:p>
    <w:p w14:paraId="7CF140BA">
      <w:pPr>
        <w:rPr>
          <w:rFonts w:hint="eastAsia" w:ascii="微软雅黑" w:hAnsi="微软雅黑" w:eastAsia="微软雅黑" w:cs="微软雅黑"/>
          <w:color w:val="auto"/>
          <w:sz w:val="32"/>
          <w:szCs w:val="32"/>
          <w:highlight w:val="none"/>
        </w:rPr>
      </w:pPr>
    </w:p>
    <w:p w14:paraId="0DA5B835">
      <w:pPr>
        <w:ind w:firstLine="420" w:firstLineChars="0"/>
        <w:rPr>
          <w:rFonts w:hint="eastAsia" w:ascii="微软雅黑" w:hAnsi="微软雅黑" w:eastAsia="微软雅黑" w:cs="微软雅黑"/>
          <w:color w:val="auto"/>
          <w:sz w:val="32"/>
          <w:szCs w:val="32"/>
          <w:highlight w:val="none"/>
        </w:rPr>
      </w:pPr>
    </w:p>
    <w:p w14:paraId="3D78F4D5">
      <w:pPr>
        <w:spacing w:line="240" w:lineRule="atLeast"/>
        <w:ind w:firstLine="736" w:firstLineChars="230"/>
        <w:rPr>
          <w:rFonts w:hint="eastAsia" w:ascii="微软雅黑" w:hAnsi="微软雅黑" w:eastAsia="微软雅黑" w:cs="微软雅黑"/>
          <w:b/>
          <w:color w:val="auto"/>
          <w:sz w:val="32"/>
          <w:szCs w:val="32"/>
          <w:highlight w:val="none"/>
          <w:u w:val="single"/>
          <w:lang w:val="en-US" w:eastAsia="zh-CN"/>
        </w:rPr>
      </w:pPr>
      <w:r>
        <w:rPr>
          <w:rFonts w:hint="eastAsia" w:ascii="微软雅黑" w:hAnsi="微软雅黑" w:eastAsia="微软雅黑" w:cs="微软雅黑"/>
          <w:b/>
          <w:color w:val="auto"/>
          <w:sz w:val="32"/>
          <w:szCs w:val="32"/>
          <w:highlight w:val="none"/>
        </w:rPr>
        <w:t>代理机构：</w:t>
      </w:r>
      <w:r>
        <w:rPr>
          <w:rFonts w:hint="eastAsia" w:ascii="微软雅黑" w:hAnsi="微软雅黑" w:eastAsia="微软雅黑" w:cs="微软雅黑"/>
          <w:b/>
          <w:color w:val="auto"/>
          <w:sz w:val="32"/>
          <w:szCs w:val="32"/>
          <w:highlight w:val="none"/>
          <w:u w:val="single"/>
          <w:lang w:val="en-US" w:eastAsia="zh-CN"/>
        </w:rPr>
        <w:t xml:space="preserve"> </w:t>
      </w:r>
      <w:r>
        <w:rPr>
          <w:rFonts w:hint="eastAsia" w:ascii="微软雅黑" w:hAnsi="微软雅黑" w:eastAsia="微软雅黑" w:cs="微软雅黑"/>
          <w:b/>
          <w:color w:val="auto"/>
          <w:sz w:val="32"/>
          <w:szCs w:val="32"/>
          <w:highlight w:val="none"/>
          <w:u w:val="single"/>
        </w:rPr>
        <w:t>新疆共建恒业信息咨询有限责任公司</w:t>
      </w:r>
      <w:r>
        <w:rPr>
          <w:rFonts w:hint="eastAsia" w:ascii="微软雅黑" w:hAnsi="微软雅黑" w:eastAsia="微软雅黑" w:cs="微软雅黑"/>
          <w:b/>
          <w:color w:val="auto"/>
          <w:sz w:val="32"/>
          <w:szCs w:val="32"/>
          <w:highlight w:val="none"/>
          <w:u w:val="single"/>
          <w:lang w:val="en-US" w:eastAsia="zh-CN"/>
        </w:rPr>
        <w:t xml:space="preserve"> </w:t>
      </w:r>
    </w:p>
    <w:p w14:paraId="784ADE05">
      <w:pPr>
        <w:spacing w:line="240" w:lineRule="atLeast"/>
        <w:ind w:firstLine="736" w:firstLineChars="230"/>
        <w:rPr>
          <w:rFonts w:hint="eastAsia" w:ascii="微软雅黑" w:hAnsi="微软雅黑" w:eastAsia="微软雅黑" w:cs="微软雅黑"/>
          <w:b/>
          <w:color w:val="auto"/>
          <w:sz w:val="32"/>
          <w:szCs w:val="32"/>
          <w:highlight w:val="none"/>
        </w:rPr>
      </w:pPr>
      <w:r>
        <w:rPr>
          <w:rFonts w:hint="eastAsia" w:ascii="微软雅黑" w:hAnsi="微软雅黑" w:eastAsia="微软雅黑" w:cs="微软雅黑"/>
          <w:b/>
          <w:color w:val="auto"/>
          <w:sz w:val="32"/>
          <w:szCs w:val="32"/>
          <w:highlight w:val="none"/>
        </w:rPr>
        <w:t>联</w:t>
      </w:r>
      <w:r>
        <w:rPr>
          <w:rFonts w:hint="eastAsia" w:ascii="微软雅黑" w:hAnsi="微软雅黑" w:eastAsia="微软雅黑" w:cs="微软雅黑"/>
          <w:b/>
          <w:color w:val="auto"/>
          <w:sz w:val="32"/>
          <w:szCs w:val="32"/>
          <w:highlight w:val="none"/>
          <w:lang w:val="en-US" w:eastAsia="zh-CN"/>
        </w:rPr>
        <w:t xml:space="preserve"> </w:t>
      </w:r>
      <w:r>
        <w:rPr>
          <w:rFonts w:hint="eastAsia" w:ascii="微软雅黑" w:hAnsi="微软雅黑" w:eastAsia="微软雅黑" w:cs="微软雅黑"/>
          <w:b/>
          <w:color w:val="auto"/>
          <w:sz w:val="32"/>
          <w:szCs w:val="32"/>
          <w:highlight w:val="none"/>
        </w:rPr>
        <w:t>系</w:t>
      </w:r>
      <w:r>
        <w:rPr>
          <w:rFonts w:hint="eastAsia" w:ascii="微软雅黑" w:hAnsi="微软雅黑" w:eastAsia="微软雅黑" w:cs="微软雅黑"/>
          <w:b/>
          <w:color w:val="auto"/>
          <w:sz w:val="32"/>
          <w:szCs w:val="32"/>
          <w:highlight w:val="none"/>
          <w:lang w:val="en-US" w:eastAsia="zh-CN"/>
        </w:rPr>
        <w:t xml:space="preserve"> </w:t>
      </w:r>
      <w:r>
        <w:rPr>
          <w:rFonts w:hint="eastAsia" w:ascii="微软雅黑" w:hAnsi="微软雅黑" w:eastAsia="微软雅黑" w:cs="微软雅黑"/>
          <w:b/>
          <w:color w:val="auto"/>
          <w:sz w:val="32"/>
          <w:szCs w:val="32"/>
          <w:highlight w:val="none"/>
        </w:rPr>
        <w:t>人：</w:t>
      </w:r>
      <w:r>
        <w:rPr>
          <w:rFonts w:hint="eastAsia" w:ascii="微软雅黑" w:hAnsi="微软雅黑" w:eastAsia="微软雅黑" w:cs="微软雅黑"/>
          <w:b/>
          <w:color w:val="auto"/>
          <w:sz w:val="32"/>
          <w:szCs w:val="32"/>
          <w:highlight w:val="none"/>
          <w:u w:val="single"/>
        </w:rPr>
        <w:t xml:space="preserve">      </w:t>
      </w:r>
      <w:r>
        <w:rPr>
          <w:rFonts w:hint="eastAsia" w:ascii="微软雅黑" w:hAnsi="微软雅黑" w:eastAsia="微软雅黑" w:cs="微软雅黑"/>
          <w:b/>
          <w:color w:val="auto"/>
          <w:sz w:val="32"/>
          <w:szCs w:val="32"/>
          <w:highlight w:val="none"/>
          <w:u w:val="single"/>
          <w:lang w:val="en-US" w:eastAsia="zh-CN"/>
        </w:rPr>
        <w:t xml:space="preserve">        </w:t>
      </w:r>
      <w:r>
        <w:rPr>
          <w:rFonts w:hint="eastAsia" w:ascii="微软雅黑" w:hAnsi="微软雅黑" w:eastAsia="微软雅黑" w:cs="微软雅黑"/>
          <w:b/>
          <w:color w:val="auto"/>
          <w:sz w:val="32"/>
          <w:szCs w:val="32"/>
          <w:highlight w:val="none"/>
          <w:u w:val="single"/>
        </w:rPr>
        <w:t xml:space="preserve"> </w:t>
      </w:r>
      <w:r>
        <w:rPr>
          <w:rFonts w:hint="eastAsia" w:ascii="微软雅黑" w:hAnsi="微软雅黑" w:eastAsia="微软雅黑" w:cs="微软雅黑"/>
          <w:b/>
          <w:color w:val="auto"/>
          <w:sz w:val="32"/>
          <w:szCs w:val="32"/>
          <w:highlight w:val="none"/>
          <w:u w:val="single"/>
          <w:lang w:eastAsia="zh-CN"/>
        </w:rPr>
        <w:t>朱萍</w:t>
      </w:r>
      <w:r>
        <w:rPr>
          <w:rFonts w:hint="eastAsia" w:ascii="微软雅黑" w:hAnsi="微软雅黑" w:eastAsia="微软雅黑" w:cs="微软雅黑"/>
          <w:b/>
          <w:color w:val="auto"/>
          <w:sz w:val="32"/>
          <w:szCs w:val="32"/>
          <w:highlight w:val="none"/>
          <w:u w:val="single"/>
        </w:rPr>
        <w:t xml:space="preserve">    </w:t>
      </w:r>
      <w:r>
        <w:rPr>
          <w:rFonts w:hint="eastAsia" w:ascii="微软雅黑" w:hAnsi="微软雅黑" w:eastAsia="微软雅黑" w:cs="微软雅黑"/>
          <w:b/>
          <w:color w:val="auto"/>
          <w:sz w:val="32"/>
          <w:szCs w:val="32"/>
          <w:highlight w:val="none"/>
          <w:u w:val="single"/>
          <w:lang w:val="en-US" w:eastAsia="zh-CN"/>
        </w:rPr>
        <w:t xml:space="preserve"> </w:t>
      </w:r>
      <w:r>
        <w:rPr>
          <w:rFonts w:hint="eastAsia" w:ascii="微软雅黑" w:hAnsi="微软雅黑" w:eastAsia="微软雅黑" w:cs="微软雅黑"/>
          <w:b/>
          <w:color w:val="auto"/>
          <w:sz w:val="32"/>
          <w:szCs w:val="32"/>
          <w:highlight w:val="none"/>
          <w:u w:val="single"/>
        </w:rPr>
        <w:t xml:space="preserve"> </w:t>
      </w:r>
      <w:r>
        <w:rPr>
          <w:rFonts w:hint="eastAsia" w:ascii="微软雅黑" w:hAnsi="微软雅黑" w:eastAsia="微软雅黑" w:cs="微软雅黑"/>
          <w:b/>
          <w:color w:val="auto"/>
          <w:sz w:val="32"/>
          <w:szCs w:val="32"/>
          <w:highlight w:val="none"/>
          <w:u w:val="single"/>
          <w:lang w:val="en-US" w:eastAsia="zh-CN"/>
        </w:rPr>
        <w:t xml:space="preserve">     </w:t>
      </w:r>
      <w:r>
        <w:rPr>
          <w:rFonts w:hint="eastAsia" w:ascii="微软雅黑" w:hAnsi="微软雅黑" w:eastAsia="微软雅黑" w:cs="微软雅黑"/>
          <w:b/>
          <w:color w:val="auto"/>
          <w:sz w:val="32"/>
          <w:szCs w:val="32"/>
          <w:highlight w:val="none"/>
          <w:u w:val="single"/>
        </w:rPr>
        <w:t xml:space="preserve">  </w:t>
      </w:r>
      <w:r>
        <w:rPr>
          <w:rFonts w:hint="eastAsia" w:ascii="微软雅黑" w:hAnsi="微软雅黑" w:eastAsia="微软雅黑" w:cs="微软雅黑"/>
          <w:b/>
          <w:color w:val="auto"/>
          <w:sz w:val="32"/>
          <w:szCs w:val="32"/>
          <w:highlight w:val="none"/>
          <w:u w:val="single"/>
          <w:lang w:val="en-US" w:eastAsia="zh-CN"/>
        </w:rPr>
        <w:t xml:space="preserve"> </w:t>
      </w:r>
      <w:r>
        <w:rPr>
          <w:rFonts w:hint="eastAsia" w:ascii="微软雅黑" w:hAnsi="微软雅黑" w:eastAsia="微软雅黑" w:cs="微软雅黑"/>
          <w:b/>
          <w:color w:val="auto"/>
          <w:sz w:val="32"/>
          <w:szCs w:val="32"/>
          <w:highlight w:val="none"/>
        </w:rPr>
        <w:t xml:space="preserve">      </w:t>
      </w:r>
    </w:p>
    <w:p w14:paraId="3DE60492">
      <w:pPr>
        <w:ind w:firstLine="736" w:firstLineChars="230"/>
        <w:jc w:val="both"/>
        <w:rPr>
          <w:rFonts w:hint="eastAsia" w:ascii="微软雅黑" w:hAnsi="微软雅黑" w:eastAsia="微软雅黑" w:cs="微软雅黑"/>
          <w:b/>
          <w:color w:val="auto"/>
          <w:sz w:val="32"/>
          <w:szCs w:val="32"/>
          <w:highlight w:val="none"/>
          <w:u w:val="single"/>
        </w:rPr>
      </w:pPr>
      <w:r>
        <w:rPr>
          <w:rFonts w:hint="eastAsia" w:ascii="微软雅黑" w:hAnsi="微软雅黑" w:eastAsia="微软雅黑" w:cs="微软雅黑"/>
          <w:b/>
          <w:color w:val="auto"/>
          <w:sz w:val="32"/>
          <w:szCs w:val="32"/>
          <w:highlight w:val="none"/>
        </w:rPr>
        <w:t>联系电话：</w:t>
      </w:r>
      <w:r>
        <w:rPr>
          <w:rFonts w:hint="eastAsia" w:ascii="微软雅黑" w:hAnsi="微软雅黑" w:eastAsia="微软雅黑" w:cs="微软雅黑"/>
          <w:b/>
          <w:color w:val="auto"/>
          <w:sz w:val="32"/>
          <w:szCs w:val="32"/>
          <w:highlight w:val="none"/>
          <w:u w:val="single"/>
        </w:rPr>
        <w:t xml:space="preserve">       </w:t>
      </w:r>
      <w:r>
        <w:rPr>
          <w:rFonts w:hint="eastAsia" w:ascii="微软雅黑" w:hAnsi="微软雅黑" w:eastAsia="微软雅黑" w:cs="微软雅黑"/>
          <w:b/>
          <w:color w:val="auto"/>
          <w:sz w:val="32"/>
          <w:szCs w:val="32"/>
          <w:highlight w:val="none"/>
          <w:u w:val="single"/>
          <w:lang w:val="en-US" w:eastAsia="zh-CN"/>
        </w:rPr>
        <w:t xml:space="preserve">  </w:t>
      </w:r>
      <w:r>
        <w:rPr>
          <w:rFonts w:hint="eastAsia" w:ascii="微软雅黑" w:hAnsi="微软雅黑" w:eastAsia="微软雅黑" w:cs="微软雅黑"/>
          <w:b/>
          <w:color w:val="auto"/>
          <w:sz w:val="32"/>
          <w:szCs w:val="32"/>
          <w:highlight w:val="none"/>
          <w:u w:val="single"/>
        </w:rPr>
        <w:t xml:space="preserve"> 18209987338    </w:t>
      </w:r>
      <w:r>
        <w:rPr>
          <w:rFonts w:hint="eastAsia" w:ascii="微软雅黑" w:hAnsi="微软雅黑" w:eastAsia="微软雅黑" w:cs="微软雅黑"/>
          <w:b/>
          <w:color w:val="auto"/>
          <w:sz w:val="32"/>
          <w:szCs w:val="32"/>
          <w:highlight w:val="none"/>
          <w:u w:val="single"/>
          <w:lang w:val="en-US" w:eastAsia="zh-CN"/>
        </w:rPr>
        <w:t xml:space="preserve"> </w:t>
      </w:r>
      <w:r>
        <w:rPr>
          <w:rFonts w:hint="eastAsia" w:ascii="微软雅黑" w:hAnsi="微软雅黑" w:eastAsia="微软雅黑" w:cs="微软雅黑"/>
          <w:b/>
          <w:color w:val="auto"/>
          <w:sz w:val="32"/>
          <w:szCs w:val="32"/>
          <w:highlight w:val="none"/>
          <w:u w:val="single"/>
        </w:rPr>
        <w:t xml:space="preserve">  </w:t>
      </w:r>
      <w:r>
        <w:rPr>
          <w:rFonts w:hint="eastAsia" w:ascii="微软雅黑" w:hAnsi="微软雅黑" w:eastAsia="微软雅黑" w:cs="微软雅黑"/>
          <w:b/>
          <w:color w:val="auto"/>
          <w:sz w:val="32"/>
          <w:szCs w:val="32"/>
          <w:highlight w:val="none"/>
          <w:u w:val="single"/>
          <w:lang w:val="en-US" w:eastAsia="zh-CN"/>
        </w:rPr>
        <w:t xml:space="preserve"> </w:t>
      </w:r>
      <w:r>
        <w:rPr>
          <w:rFonts w:hint="eastAsia" w:ascii="微软雅黑" w:hAnsi="微软雅黑" w:eastAsia="微软雅黑" w:cs="微软雅黑"/>
          <w:b/>
          <w:color w:val="auto"/>
          <w:sz w:val="32"/>
          <w:szCs w:val="32"/>
          <w:highlight w:val="none"/>
          <w:u w:val="single"/>
        </w:rPr>
        <w:t xml:space="preserve">   </w:t>
      </w:r>
    </w:p>
    <w:p w14:paraId="00950D46">
      <w:pPr>
        <w:rPr>
          <w:rFonts w:hint="eastAsia" w:ascii="微软雅黑" w:hAnsi="微软雅黑" w:eastAsia="微软雅黑" w:cs="微软雅黑"/>
          <w:b/>
          <w:bCs/>
          <w:color w:val="auto"/>
          <w:sz w:val="22"/>
          <w:szCs w:val="22"/>
          <w:highlight w:val="none"/>
        </w:rPr>
      </w:pPr>
      <w:r>
        <w:rPr>
          <w:rFonts w:hint="eastAsia" w:ascii="微软雅黑" w:hAnsi="微软雅黑" w:eastAsia="微软雅黑" w:cs="微软雅黑"/>
          <w:b/>
          <w:bCs/>
          <w:color w:val="auto"/>
          <w:sz w:val="22"/>
          <w:szCs w:val="22"/>
          <w:highlight w:val="none"/>
        </w:rPr>
        <w:br w:type="page"/>
      </w:r>
    </w:p>
    <w:p w14:paraId="671BBC1B">
      <w:pPr>
        <w:spacing w:line="360" w:lineRule="auto"/>
        <w:jc w:val="center"/>
        <w:rPr>
          <w:rFonts w:hint="eastAsia" w:ascii="微软雅黑" w:hAnsi="微软雅黑" w:eastAsia="微软雅黑" w:cs="微软雅黑"/>
          <w:b/>
          <w:bCs/>
          <w:color w:val="auto"/>
          <w:sz w:val="24"/>
          <w:szCs w:val="24"/>
          <w:highlight w:val="none"/>
        </w:rPr>
      </w:pPr>
      <w:r>
        <w:rPr>
          <w:rFonts w:hint="eastAsia" w:ascii="微软雅黑" w:hAnsi="微软雅黑" w:eastAsia="微软雅黑" w:cs="微软雅黑"/>
          <w:b/>
          <w:bCs/>
          <w:color w:val="auto"/>
          <w:sz w:val="24"/>
          <w:szCs w:val="24"/>
          <w:highlight w:val="none"/>
        </w:rPr>
        <w:t>目   录</w:t>
      </w:r>
    </w:p>
    <w:p w14:paraId="215BD42F">
      <w:pPr>
        <w:pStyle w:val="24"/>
        <w:keepNext w:val="0"/>
        <w:keepLines w:val="0"/>
        <w:pageBreakBefore w:val="0"/>
        <w:widowControl w:val="0"/>
        <w:tabs>
          <w:tab w:val="right" w:leader="dot" w:pos="8300"/>
        </w:tabs>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color w:val="auto"/>
          <w:sz w:val="22"/>
          <w:szCs w:val="22"/>
          <w:highlight w:val="none"/>
        </w:rPr>
        <w:fldChar w:fldCharType="begin"/>
      </w:r>
      <w:r>
        <w:rPr>
          <w:rFonts w:hint="eastAsia" w:ascii="微软雅黑" w:hAnsi="微软雅黑" w:eastAsia="微软雅黑" w:cs="微软雅黑"/>
          <w:color w:val="auto"/>
          <w:sz w:val="22"/>
          <w:szCs w:val="22"/>
          <w:highlight w:val="none"/>
        </w:rPr>
        <w:instrText xml:space="preserve">TOC \o "1-3" \h \u </w:instrText>
      </w:r>
      <w:r>
        <w:rPr>
          <w:rFonts w:hint="eastAsia" w:ascii="微软雅黑" w:hAnsi="微软雅黑" w:eastAsia="微软雅黑" w:cs="微软雅黑"/>
          <w:color w:val="auto"/>
          <w:sz w:val="22"/>
          <w:szCs w:val="22"/>
          <w:highlight w:val="none"/>
        </w:rPr>
        <w:fldChar w:fldCharType="separate"/>
      </w:r>
      <w:r>
        <w:rPr>
          <w:rFonts w:hint="eastAsia" w:ascii="微软雅黑" w:hAnsi="微软雅黑" w:eastAsia="微软雅黑" w:cs="微软雅黑"/>
          <w:color w:val="auto"/>
          <w:szCs w:val="22"/>
          <w:highlight w:val="none"/>
        </w:rPr>
        <w:fldChar w:fldCharType="begin"/>
      </w:r>
      <w:r>
        <w:rPr>
          <w:rFonts w:hint="eastAsia" w:ascii="微软雅黑" w:hAnsi="微软雅黑" w:eastAsia="微软雅黑" w:cs="微软雅黑"/>
          <w:szCs w:val="22"/>
          <w:highlight w:val="none"/>
        </w:rPr>
        <w:instrText xml:space="preserve"> HYPERLINK \l _Toc4139 </w:instrText>
      </w:r>
      <w:r>
        <w:rPr>
          <w:rFonts w:hint="eastAsia" w:ascii="微软雅黑" w:hAnsi="微软雅黑" w:eastAsia="微软雅黑" w:cs="微软雅黑"/>
          <w:szCs w:val="22"/>
          <w:highlight w:val="none"/>
        </w:rPr>
        <w:fldChar w:fldCharType="separate"/>
      </w:r>
      <w:r>
        <w:rPr>
          <w:rFonts w:hint="eastAsia" w:ascii="微软雅黑" w:hAnsi="微软雅黑" w:eastAsia="微软雅黑" w:cs="微软雅黑"/>
          <w:bCs/>
          <w:szCs w:val="28"/>
          <w:highlight w:val="none"/>
        </w:rPr>
        <w:t xml:space="preserve">第1章  </w:t>
      </w:r>
      <w:r>
        <w:rPr>
          <w:rFonts w:hint="eastAsia" w:ascii="微软雅黑" w:hAnsi="微软雅黑" w:eastAsia="微软雅黑" w:cs="微软雅黑"/>
          <w:bCs/>
          <w:szCs w:val="28"/>
          <w:highlight w:val="none"/>
          <w:lang w:eastAsia="zh-CN"/>
        </w:rPr>
        <w:t>供应商</w:t>
      </w:r>
      <w:r>
        <w:rPr>
          <w:rFonts w:hint="eastAsia" w:ascii="微软雅黑" w:hAnsi="微软雅黑" w:eastAsia="微软雅黑" w:cs="微软雅黑"/>
          <w:bCs/>
          <w:szCs w:val="28"/>
          <w:highlight w:val="none"/>
        </w:rPr>
        <w:t>须知</w:t>
      </w:r>
      <w:r>
        <w:tab/>
      </w:r>
      <w:r>
        <w:fldChar w:fldCharType="begin"/>
      </w:r>
      <w:r>
        <w:instrText xml:space="preserve"> PAGEREF _Toc4139 \h </w:instrText>
      </w:r>
      <w:r>
        <w:fldChar w:fldCharType="separate"/>
      </w:r>
      <w:r>
        <w:t>4</w:t>
      </w:r>
      <w:r>
        <w:fldChar w:fldCharType="end"/>
      </w:r>
      <w:r>
        <w:rPr>
          <w:rFonts w:hint="eastAsia" w:ascii="微软雅黑" w:hAnsi="微软雅黑" w:eastAsia="微软雅黑" w:cs="微软雅黑"/>
          <w:color w:val="auto"/>
          <w:szCs w:val="22"/>
          <w:highlight w:val="none"/>
        </w:rPr>
        <w:fldChar w:fldCharType="end"/>
      </w:r>
    </w:p>
    <w:p w14:paraId="2794289F">
      <w:pPr>
        <w:pStyle w:val="26"/>
        <w:keepNext w:val="0"/>
        <w:keepLines w:val="0"/>
        <w:pageBreakBefore w:val="0"/>
        <w:widowControl w:val="0"/>
        <w:tabs>
          <w:tab w:val="right" w:leader="dot" w:pos="8300"/>
        </w:tabs>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color w:val="auto"/>
          <w:kern w:val="2"/>
          <w:szCs w:val="22"/>
          <w:highlight w:val="none"/>
        </w:rPr>
        <w:fldChar w:fldCharType="begin"/>
      </w:r>
      <w:r>
        <w:rPr>
          <w:rFonts w:hint="eastAsia" w:ascii="微软雅黑" w:hAnsi="微软雅黑" w:eastAsia="微软雅黑" w:cs="微软雅黑"/>
          <w:kern w:val="2"/>
          <w:szCs w:val="22"/>
          <w:highlight w:val="none"/>
        </w:rPr>
        <w:instrText xml:space="preserve"> HYPERLINK \l _Toc2244 </w:instrText>
      </w:r>
      <w:r>
        <w:rPr>
          <w:rFonts w:hint="eastAsia" w:ascii="微软雅黑" w:hAnsi="微软雅黑" w:eastAsia="微软雅黑" w:cs="微软雅黑"/>
          <w:kern w:val="2"/>
          <w:szCs w:val="22"/>
          <w:highlight w:val="none"/>
        </w:rPr>
        <w:fldChar w:fldCharType="separate"/>
      </w:r>
      <w:r>
        <w:rPr>
          <w:rFonts w:hint="eastAsia" w:ascii="微软雅黑" w:hAnsi="微软雅黑" w:eastAsia="微软雅黑" w:cs="微软雅黑"/>
          <w:szCs w:val="18"/>
          <w:highlight w:val="none"/>
        </w:rPr>
        <w:t>一   总 则</w:t>
      </w:r>
      <w:r>
        <w:tab/>
      </w:r>
      <w:r>
        <w:fldChar w:fldCharType="begin"/>
      </w:r>
      <w:r>
        <w:instrText xml:space="preserve"> PAGEREF _Toc2244 \h </w:instrText>
      </w:r>
      <w:r>
        <w:fldChar w:fldCharType="separate"/>
      </w:r>
      <w:r>
        <w:t>4</w:t>
      </w:r>
      <w:r>
        <w:fldChar w:fldCharType="end"/>
      </w:r>
      <w:r>
        <w:rPr>
          <w:rFonts w:hint="eastAsia" w:ascii="微软雅黑" w:hAnsi="微软雅黑" w:eastAsia="微软雅黑" w:cs="微软雅黑"/>
          <w:color w:val="auto"/>
          <w:kern w:val="2"/>
          <w:szCs w:val="22"/>
          <w:highlight w:val="none"/>
        </w:rPr>
        <w:fldChar w:fldCharType="end"/>
      </w:r>
    </w:p>
    <w:p w14:paraId="49766170">
      <w:pPr>
        <w:pStyle w:val="26"/>
        <w:keepNext w:val="0"/>
        <w:keepLines w:val="0"/>
        <w:pageBreakBefore w:val="0"/>
        <w:widowControl w:val="0"/>
        <w:tabs>
          <w:tab w:val="right" w:leader="dot" w:pos="8300"/>
        </w:tabs>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color w:val="auto"/>
          <w:kern w:val="2"/>
          <w:szCs w:val="22"/>
          <w:highlight w:val="none"/>
        </w:rPr>
        <w:fldChar w:fldCharType="begin"/>
      </w:r>
      <w:r>
        <w:rPr>
          <w:rFonts w:hint="eastAsia" w:ascii="微软雅黑" w:hAnsi="微软雅黑" w:eastAsia="微软雅黑" w:cs="微软雅黑"/>
          <w:kern w:val="2"/>
          <w:szCs w:val="22"/>
          <w:highlight w:val="none"/>
        </w:rPr>
        <w:instrText xml:space="preserve"> HYPERLINK \l _Toc15373 </w:instrText>
      </w:r>
      <w:r>
        <w:rPr>
          <w:rFonts w:hint="eastAsia" w:ascii="微软雅黑" w:hAnsi="微软雅黑" w:eastAsia="微软雅黑" w:cs="微软雅黑"/>
          <w:kern w:val="2"/>
          <w:szCs w:val="22"/>
          <w:highlight w:val="none"/>
        </w:rPr>
        <w:fldChar w:fldCharType="separate"/>
      </w:r>
      <w:r>
        <w:rPr>
          <w:rFonts w:hint="eastAsia" w:ascii="微软雅黑" w:hAnsi="微软雅黑" w:eastAsia="微软雅黑" w:cs="微软雅黑"/>
          <w:szCs w:val="18"/>
          <w:highlight w:val="none"/>
        </w:rPr>
        <w:t>二   招标文件</w:t>
      </w:r>
      <w:r>
        <w:tab/>
      </w:r>
      <w:r>
        <w:fldChar w:fldCharType="begin"/>
      </w:r>
      <w:r>
        <w:instrText xml:space="preserve"> PAGEREF _Toc15373 \h </w:instrText>
      </w:r>
      <w:r>
        <w:fldChar w:fldCharType="separate"/>
      </w:r>
      <w:r>
        <w:t>5</w:t>
      </w:r>
      <w:r>
        <w:fldChar w:fldCharType="end"/>
      </w:r>
      <w:r>
        <w:rPr>
          <w:rFonts w:hint="eastAsia" w:ascii="微软雅黑" w:hAnsi="微软雅黑" w:eastAsia="微软雅黑" w:cs="微软雅黑"/>
          <w:color w:val="auto"/>
          <w:kern w:val="2"/>
          <w:szCs w:val="22"/>
          <w:highlight w:val="none"/>
        </w:rPr>
        <w:fldChar w:fldCharType="end"/>
      </w:r>
    </w:p>
    <w:p w14:paraId="58D7F17F">
      <w:pPr>
        <w:pStyle w:val="26"/>
        <w:keepNext w:val="0"/>
        <w:keepLines w:val="0"/>
        <w:pageBreakBefore w:val="0"/>
        <w:widowControl w:val="0"/>
        <w:tabs>
          <w:tab w:val="right" w:leader="dot" w:pos="8300"/>
        </w:tabs>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color w:val="auto"/>
          <w:kern w:val="2"/>
          <w:szCs w:val="22"/>
          <w:highlight w:val="none"/>
        </w:rPr>
        <w:fldChar w:fldCharType="begin"/>
      </w:r>
      <w:r>
        <w:rPr>
          <w:rFonts w:hint="eastAsia" w:ascii="微软雅黑" w:hAnsi="微软雅黑" w:eastAsia="微软雅黑" w:cs="微软雅黑"/>
          <w:kern w:val="2"/>
          <w:szCs w:val="22"/>
          <w:highlight w:val="none"/>
        </w:rPr>
        <w:instrText xml:space="preserve"> HYPERLINK \l _Toc12845 </w:instrText>
      </w:r>
      <w:r>
        <w:rPr>
          <w:rFonts w:hint="eastAsia" w:ascii="微软雅黑" w:hAnsi="微软雅黑" w:eastAsia="微软雅黑" w:cs="微软雅黑"/>
          <w:kern w:val="2"/>
          <w:szCs w:val="22"/>
          <w:highlight w:val="none"/>
        </w:rPr>
        <w:fldChar w:fldCharType="separate"/>
      </w:r>
      <w:r>
        <w:rPr>
          <w:rFonts w:hint="eastAsia" w:ascii="微软雅黑" w:hAnsi="微软雅黑" w:eastAsia="微软雅黑" w:cs="微软雅黑"/>
          <w:szCs w:val="18"/>
          <w:highlight w:val="none"/>
        </w:rPr>
        <w:t>三   投标文件的编制</w:t>
      </w:r>
      <w:r>
        <w:tab/>
      </w:r>
      <w:r>
        <w:fldChar w:fldCharType="begin"/>
      </w:r>
      <w:r>
        <w:instrText xml:space="preserve"> PAGEREF _Toc12845 \h </w:instrText>
      </w:r>
      <w:r>
        <w:fldChar w:fldCharType="separate"/>
      </w:r>
      <w:r>
        <w:t>6</w:t>
      </w:r>
      <w:r>
        <w:fldChar w:fldCharType="end"/>
      </w:r>
      <w:r>
        <w:rPr>
          <w:rFonts w:hint="eastAsia" w:ascii="微软雅黑" w:hAnsi="微软雅黑" w:eastAsia="微软雅黑" w:cs="微软雅黑"/>
          <w:color w:val="auto"/>
          <w:kern w:val="2"/>
          <w:szCs w:val="22"/>
          <w:highlight w:val="none"/>
        </w:rPr>
        <w:fldChar w:fldCharType="end"/>
      </w:r>
    </w:p>
    <w:p w14:paraId="5C107A56">
      <w:pPr>
        <w:pStyle w:val="26"/>
        <w:keepNext w:val="0"/>
        <w:keepLines w:val="0"/>
        <w:pageBreakBefore w:val="0"/>
        <w:widowControl w:val="0"/>
        <w:tabs>
          <w:tab w:val="right" w:leader="dot" w:pos="8300"/>
        </w:tabs>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color w:val="auto"/>
          <w:kern w:val="2"/>
          <w:szCs w:val="22"/>
          <w:highlight w:val="none"/>
        </w:rPr>
        <w:fldChar w:fldCharType="begin"/>
      </w:r>
      <w:r>
        <w:rPr>
          <w:rFonts w:hint="eastAsia" w:ascii="微软雅黑" w:hAnsi="微软雅黑" w:eastAsia="微软雅黑" w:cs="微软雅黑"/>
          <w:kern w:val="2"/>
          <w:szCs w:val="22"/>
          <w:highlight w:val="none"/>
        </w:rPr>
        <w:instrText xml:space="preserve"> HYPERLINK \l _Toc32411 </w:instrText>
      </w:r>
      <w:r>
        <w:rPr>
          <w:rFonts w:hint="eastAsia" w:ascii="微软雅黑" w:hAnsi="微软雅黑" w:eastAsia="微软雅黑" w:cs="微软雅黑"/>
          <w:kern w:val="2"/>
          <w:szCs w:val="22"/>
          <w:highlight w:val="none"/>
        </w:rPr>
        <w:fldChar w:fldCharType="separate"/>
      </w:r>
      <w:r>
        <w:rPr>
          <w:rFonts w:hint="eastAsia" w:ascii="微软雅黑" w:hAnsi="微软雅黑" w:eastAsia="微软雅黑" w:cs="微软雅黑"/>
          <w:szCs w:val="18"/>
          <w:highlight w:val="none"/>
        </w:rPr>
        <w:t>四   投标文件的递交</w:t>
      </w:r>
      <w:r>
        <w:tab/>
      </w:r>
      <w:r>
        <w:fldChar w:fldCharType="begin"/>
      </w:r>
      <w:r>
        <w:instrText xml:space="preserve"> PAGEREF _Toc32411 \h </w:instrText>
      </w:r>
      <w:r>
        <w:fldChar w:fldCharType="separate"/>
      </w:r>
      <w:r>
        <w:t>8</w:t>
      </w:r>
      <w:r>
        <w:fldChar w:fldCharType="end"/>
      </w:r>
      <w:r>
        <w:rPr>
          <w:rFonts w:hint="eastAsia" w:ascii="微软雅黑" w:hAnsi="微软雅黑" w:eastAsia="微软雅黑" w:cs="微软雅黑"/>
          <w:color w:val="auto"/>
          <w:kern w:val="2"/>
          <w:szCs w:val="22"/>
          <w:highlight w:val="none"/>
        </w:rPr>
        <w:fldChar w:fldCharType="end"/>
      </w:r>
    </w:p>
    <w:p w14:paraId="069CB8BC">
      <w:pPr>
        <w:pStyle w:val="26"/>
        <w:keepNext w:val="0"/>
        <w:keepLines w:val="0"/>
        <w:pageBreakBefore w:val="0"/>
        <w:widowControl w:val="0"/>
        <w:tabs>
          <w:tab w:val="right" w:leader="dot" w:pos="8300"/>
        </w:tabs>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color w:val="auto"/>
          <w:kern w:val="2"/>
          <w:szCs w:val="22"/>
          <w:highlight w:val="none"/>
        </w:rPr>
        <w:fldChar w:fldCharType="begin"/>
      </w:r>
      <w:r>
        <w:rPr>
          <w:rFonts w:hint="eastAsia" w:ascii="微软雅黑" w:hAnsi="微软雅黑" w:eastAsia="微软雅黑" w:cs="微软雅黑"/>
          <w:kern w:val="2"/>
          <w:szCs w:val="22"/>
          <w:highlight w:val="none"/>
        </w:rPr>
        <w:instrText xml:space="preserve"> HYPERLINK \l _Toc28679 </w:instrText>
      </w:r>
      <w:r>
        <w:rPr>
          <w:rFonts w:hint="eastAsia" w:ascii="微软雅黑" w:hAnsi="微软雅黑" w:eastAsia="微软雅黑" w:cs="微软雅黑"/>
          <w:kern w:val="2"/>
          <w:szCs w:val="22"/>
          <w:highlight w:val="none"/>
        </w:rPr>
        <w:fldChar w:fldCharType="separate"/>
      </w:r>
      <w:r>
        <w:rPr>
          <w:rFonts w:hint="eastAsia" w:ascii="微软雅黑" w:hAnsi="微软雅黑" w:eastAsia="微软雅黑" w:cs="微软雅黑"/>
          <w:szCs w:val="18"/>
          <w:highlight w:val="none"/>
        </w:rPr>
        <w:t>五   开标及评标</w:t>
      </w:r>
      <w:r>
        <w:tab/>
      </w:r>
      <w:r>
        <w:fldChar w:fldCharType="begin"/>
      </w:r>
      <w:r>
        <w:instrText xml:space="preserve"> PAGEREF _Toc28679 \h </w:instrText>
      </w:r>
      <w:r>
        <w:fldChar w:fldCharType="separate"/>
      </w:r>
      <w:r>
        <w:t>9</w:t>
      </w:r>
      <w:r>
        <w:fldChar w:fldCharType="end"/>
      </w:r>
      <w:r>
        <w:rPr>
          <w:rFonts w:hint="eastAsia" w:ascii="微软雅黑" w:hAnsi="微软雅黑" w:eastAsia="微软雅黑" w:cs="微软雅黑"/>
          <w:color w:val="auto"/>
          <w:kern w:val="2"/>
          <w:szCs w:val="22"/>
          <w:highlight w:val="none"/>
        </w:rPr>
        <w:fldChar w:fldCharType="end"/>
      </w:r>
    </w:p>
    <w:p w14:paraId="49A222CD">
      <w:pPr>
        <w:pStyle w:val="26"/>
        <w:keepNext w:val="0"/>
        <w:keepLines w:val="0"/>
        <w:pageBreakBefore w:val="0"/>
        <w:widowControl w:val="0"/>
        <w:tabs>
          <w:tab w:val="right" w:leader="dot" w:pos="8300"/>
        </w:tabs>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color w:val="auto"/>
          <w:kern w:val="2"/>
          <w:szCs w:val="22"/>
          <w:highlight w:val="none"/>
        </w:rPr>
        <w:fldChar w:fldCharType="begin"/>
      </w:r>
      <w:r>
        <w:rPr>
          <w:rFonts w:hint="eastAsia" w:ascii="微软雅黑" w:hAnsi="微软雅黑" w:eastAsia="微软雅黑" w:cs="微软雅黑"/>
          <w:kern w:val="2"/>
          <w:szCs w:val="22"/>
          <w:highlight w:val="none"/>
        </w:rPr>
        <w:instrText xml:space="preserve"> HYPERLINK \l _Toc14608 </w:instrText>
      </w:r>
      <w:r>
        <w:rPr>
          <w:rFonts w:hint="eastAsia" w:ascii="微软雅黑" w:hAnsi="微软雅黑" w:eastAsia="微软雅黑" w:cs="微软雅黑"/>
          <w:kern w:val="2"/>
          <w:szCs w:val="22"/>
          <w:highlight w:val="none"/>
        </w:rPr>
        <w:fldChar w:fldCharType="separate"/>
      </w:r>
      <w:r>
        <w:rPr>
          <w:rFonts w:hint="eastAsia" w:ascii="微软雅黑" w:hAnsi="微软雅黑" w:eastAsia="微软雅黑" w:cs="微软雅黑"/>
          <w:szCs w:val="18"/>
          <w:highlight w:val="none"/>
        </w:rPr>
        <w:t>六   确定中标</w:t>
      </w:r>
      <w:r>
        <w:tab/>
      </w:r>
      <w:r>
        <w:fldChar w:fldCharType="begin"/>
      </w:r>
      <w:r>
        <w:instrText xml:space="preserve"> PAGEREF _Toc14608 \h </w:instrText>
      </w:r>
      <w:r>
        <w:fldChar w:fldCharType="separate"/>
      </w:r>
      <w:r>
        <w:t>13</w:t>
      </w:r>
      <w:r>
        <w:fldChar w:fldCharType="end"/>
      </w:r>
      <w:r>
        <w:rPr>
          <w:rFonts w:hint="eastAsia" w:ascii="微软雅黑" w:hAnsi="微软雅黑" w:eastAsia="微软雅黑" w:cs="微软雅黑"/>
          <w:color w:val="auto"/>
          <w:kern w:val="2"/>
          <w:szCs w:val="22"/>
          <w:highlight w:val="none"/>
        </w:rPr>
        <w:fldChar w:fldCharType="end"/>
      </w:r>
    </w:p>
    <w:p w14:paraId="3FCB14BB">
      <w:pPr>
        <w:pStyle w:val="24"/>
        <w:keepNext w:val="0"/>
        <w:keepLines w:val="0"/>
        <w:pageBreakBefore w:val="0"/>
        <w:widowControl w:val="0"/>
        <w:tabs>
          <w:tab w:val="right" w:leader="dot" w:pos="8300"/>
        </w:tabs>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color w:val="auto"/>
          <w:kern w:val="2"/>
          <w:szCs w:val="22"/>
          <w:highlight w:val="none"/>
        </w:rPr>
        <w:fldChar w:fldCharType="begin"/>
      </w:r>
      <w:r>
        <w:rPr>
          <w:rFonts w:hint="eastAsia" w:ascii="微软雅黑" w:hAnsi="微软雅黑" w:eastAsia="微软雅黑" w:cs="微软雅黑"/>
          <w:kern w:val="2"/>
          <w:szCs w:val="22"/>
          <w:highlight w:val="none"/>
        </w:rPr>
        <w:instrText xml:space="preserve"> HYPERLINK \l _Toc8124 </w:instrText>
      </w:r>
      <w:r>
        <w:rPr>
          <w:rFonts w:hint="eastAsia" w:ascii="微软雅黑" w:hAnsi="微软雅黑" w:eastAsia="微软雅黑" w:cs="微软雅黑"/>
          <w:kern w:val="2"/>
          <w:szCs w:val="22"/>
          <w:highlight w:val="none"/>
        </w:rPr>
        <w:fldChar w:fldCharType="separate"/>
      </w:r>
      <w:r>
        <w:rPr>
          <w:rFonts w:hint="eastAsia" w:ascii="微软雅黑" w:hAnsi="微软雅黑" w:eastAsia="微软雅黑" w:cs="微软雅黑"/>
          <w:bCs/>
          <w:szCs w:val="28"/>
          <w:highlight w:val="none"/>
        </w:rPr>
        <w:t>第2章   投标文件格式</w:t>
      </w:r>
      <w:r>
        <w:tab/>
      </w:r>
      <w:r>
        <w:fldChar w:fldCharType="begin"/>
      </w:r>
      <w:r>
        <w:instrText xml:space="preserve"> PAGEREF _Toc8124 \h </w:instrText>
      </w:r>
      <w:r>
        <w:fldChar w:fldCharType="separate"/>
      </w:r>
      <w:r>
        <w:t>19</w:t>
      </w:r>
      <w:r>
        <w:fldChar w:fldCharType="end"/>
      </w:r>
      <w:r>
        <w:rPr>
          <w:rFonts w:hint="eastAsia" w:ascii="微软雅黑" w:hAnsi="微软雅黑" w:eastAsia="微软雅黑" w:cs="微软雅黑"/>
          <w:color w:val="auto"/>
          <w:kern w:val="2"/>
          <w:szCs w:val="22"/>
          <w:highlight w:val="none"/>
        </w:rPr>
        <w:fldChar w:fldCharType="end"/>
      </w:r>
    </w:p>
    <w:p w14:paraId="349653FD">
      <w:pPr>
        <w:pStyle w:val="26"/>
        <w:keepNext w:val="0"/>
        <w:keepLines w:val="0"/>
        <w:pageBreakBefore w:val="0"/>
        <w:widowControl w:val="0"/>
        <w:tabs>
          <w:tab w:val="right" w:leader="dot" w:pos="8300"/>
        </w:tabs>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color w:val="auto"/>
          <w:kern w:val="2"/>
          <w:szCs w:val="22"/>
          <w:highlight w:val="none"/>
        </w:rPr>
        <w:fldChar w:fldCharType="begin"/>
      </w:r>
      <w:r>
        <w:rPr>
          <w:rFonts w:hint="eastAsia" w:ascii="微软雅黑" w:hAnsi="微软雅黑" w:eastAsia="微软雅黑" w:cs="微软雅黑"/>
          <w:kern w:val="2"/>
          <w:szCs w:val="22"/>
          <w:highlight w:val="none"/>
        </w:rPr>
        <w:instrText xml:space="preserve"> HYPERLINK \l _Toc30894 </w:instrText>
      </w:r>
      <w:r>
        <w:rPr>
          <w:rFonts w:hint="eastAsia" w:ascii="微软雅黑" w:hAnsi="微软雅黑" w:eastAsia="微软雅黑" w:cs="微软雅黑"/>
          <w:kern w:val="2"/>
          <w:szCs w:val="22"/>
          <w:highlight w:val="none"/>
        </w:rPr>
        <w:fldChar w:fldCharType="separate"/>
      </w:r>
      <w:r>
        <w:rPr>
          <w:rFonts w:hint="eastAsia" w:ascii="微软雅黑" w:hAnsi="微软雅黑" w:eastAsia="微软雅黑" w:cs="微软雅黑"/>
          <w:szCs w:val="24"/>
          <w:highlight w:val="none"/>
        </w:rPr>
        <w:t>第一部分 开标一览表及资格证明文件</w:t>
      </w:r>
      <w:r>
        <w:tab/>
      </w:r>
      <w:r>
        <w:fldChar w:fldCharType="begin"/>
      </w:r>
      <w:r>
        <w:instrText xml:space="preserve"> PAGEREF _Toc30894 \h </w:instrText>
      </w:r>
      <w:r>
        <w:fldChar w:fldCharType="separate"/>
      </w:r>
      <w:r>
        <w:t>19</w:t>
      </w:r>
      <w:r>
        <w:fldChar w:fldCharType="end"/>
      </w:r>
      <w:r>
        <w:rPr>
          <w:rFonts w:hint="eastAsia" w:ascii="微软雅黑" w:hAnsi="微软雅黑" w:eastAsia="微软雅黑" w:cs="微软雅黑"/>
          <w:color w:val="auto"/>
          <w:kern w:val="2"/>
          <w:szCs w:val="22"/>
          <w:highlight w:val="none"/>
        </w:rPr>
        <w:fldChar w:fldCharType="end"/>
      </w:r>
    </w:p>
    <w:p w14:paraId="01FB3555">
      <w:pPr>
        <w:pStyle w:val="26"/>
        <w:keepNext w:val="0"/>
        <w:keepLines w:val="0"/>
        <w:pageBreakBefore w:val="0"/>
        <w:widowControl w:val="0"/>
        <w:tabs>
          <w:tab w:val="right" w:leader="dot" w:pos="8300"/>
        </w:tabs>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color w:val="auto"/>
          <w:kern w:val="2"/>
          <w:szCs w:val="22"/>
          <w:highlight w:val="none"/>
        </w:rPr>
        <w:fldChar w:fldCharType="begin"/>
      </w:r>
      <w:r>
        <w:rPr>
          <w:rFonts w:hint="eastAsia" w:ascii="微软雅黑" w:hAnsi="微软雅黑" w:eastAsia="微软雅黑" w:cs="微软雅黑"/>
          <w:kern w:val="2"/>
          <w:szCs w:val="22"/>
          <w:highlight w:val="none"/>
        </w:rPr>
        <w:instrText xml:space="preserve"> HYPERLINK \l _Toc23704 </w:instrText>
      </w:r>
      <w:r>
        <w:rPr>
          <w:rFonts w:hint="eastAsia" w:ascii="微软雅黑" w:hAnsi="微软雅黑" w:eastAsia="微软雅黑" w:cs="微软雅黑"/>
          <w:kern w:val="2"/>
          <w:szCs w:val="22"/>
          <w:highlight w:val="none"/>
        </w:rPr>
        <w:fldChar w:fldCharType="separate"/>
      </w:r>
      <w:r>
        <w:rPr>
          <w:rFonts w:hint="eastAsia" w:ascii="微软雅黑" w:hAnsi="微软雅黑" w:eastAsia="微软雅黑" w:cs="微软雅黑"/>
          <w:szCs w:val="22"/>
          <w:highlight w:val="none"/>
        </w:rPr>
        <w:t>第二部分  商务及技术文件</w:t>
      </w:r>
      <w:r>
        <w:tab/>
      </w:r>
      <w:r>
        <w:fldChar w:fldCharType="begin"/>
      </w:r>
      <w:r>
        <w:instrText xml:space="preserve"> PAGEREF _Toc23704 \h </w:instrText>
      </w:r>
      <w:r>
        <w:fldChar w:fldCharType="separate"/>
      </w:r>
      <w:r>
        <w:t>25</w:t>
      </w:r>
      <w:r>
        <w:fldChar w:fldCharType="end"/>
      </w:r>
      <w:r>
        <w:rPr>
          <w:rFonts w:hint="eastAsia" w:ascii="微软雅黑" w:hAnsi="微软雅黑" w:eastAsia="微软雅黑" w:cs="微软雅黑"/>
          <w:color w:val="auto"/>
          <w:kern w:val="2"/>
          <w:szCs w:val="22"/>
          <w:highlight w:val="none"/>
        </w:rPr>
        <w:fldChar w:fldCharType="end"/>
      </w:r>
    </w:p>
    <w:p w14:paraId="2167C04D">
      <w:pPr>
        <w:pStyle w:val="24"/>
        <w:keepNext w:val="0"/>
        <w:keepLines w:val="0"/>
        <w:pageBreakBefore w:val="0"/>
        <w:widowControl w:val="0"/>
        <w:tabs>
          <w:tab w:val="right" w:leader="dot" w:pos="8300"/>
        </w:tabs>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color w:val="auto"/>
          <w:kern w:val="2"/>
          <w:szCs w:val="22"/>
          <w:highlight w:val="none"/>
        </w:rPr>
        <w:fldChar w:fldCharType="begin"/>
      </w:r>
      <w:r>
        <w:rPr>
          <w:rFonts w:hint="eastAsia" w:ascii="微软雅黑" w:hAnsi="微软雅黑" w:eastAsia="微软雅黑" w:cs="微软雅黑"/>
          <w:kern w:val="2"/>
          <w:szCs w:val="22"/>
          <w:highlight w:val="none"/>
        </w:rPr>
        <w:instrText xml:space="preserve"> HYPERLINK \l _Toc27830 </w:instrText>
      </w:r>
      <w:r>
        <w:rPr>
          <w:rFonts w:hint="eastAsia" w:ascii="微软雅黑" w:hAnsi="微软雅黑" w:eastAsia="微软雅黑" w:cs="微软雅黑"/>
          <w:kern w:val="2"/>
          <w:szCs w:val="22"/>
          <w:highlight w:val="none"/>
        </w:rPr>
        <w:fldChar w:fldCharType="separate"/>
      </w:r>
      <w:r>
        <w:rPr>
          <w:rFonts w:hint="eastAsia" w:ascii="微软雅黑" w:hAnsi="微软雅黑" w:eastAsia="微软雅黑" w:cs="微软雅黑"/>
          <w:szCs w:val="18"/>
          <w:highlight w:val="none"/>
        </w:rPr>
        <w:t>第3章  投标邀请</w:t>
      </w:r>
      <w:r>
        <w:tab/>
      </w:r>
      <w:r>
        <w:fldChar w:fldCharType="begin"/>
      </w:r>
      <w:r>
        <w:instrText xml:space="preserve"> PAGEREF _Toc27830 \h </w:instrText>
      </w:r>
      <w:r>
        <w:fldChar w:fldCharType="separate"/>
      </w:r>
      <w:r>
        <w:t>41</w:t>
      </w:r>
      <w:r>
        <w:fldChar w:fldCharType="end"/>
      </w:r>
      <w:r>
        <w:rPr>
          <w:rFonts w:hint="eastAsia" w:ascii="微软雅黑" w:hAnsi="微软雅黑" w:eastAsia="微软雅黑" w:cs="微软雅黑"/>
          <w:color w:val="auto"/>
          <w:kern w:val="2"/>
          <w:szCs w:val="22"/>
          <w:highlight w:val="none"/>
        </w:rPr>
        <w:fldChar w:fldCharType="end"/>
      </w:r>
    </w:p>
    <w:p w14:paraId="2DA3863A">
      <w:pPr>
        <w:pStyle w:val="24"/>
        <w:keepNext w:val="0"/>
        <w:keepLines w:val="0"/>
        <w:pageBreakBefore w:val="0"/>
        <w:widowControl w:val="0"/>
        <w:tabs>
          <w:tab w:val="right" w:leader="dot" w:pos="8300"/>
        </w:tabs>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color w:val="auto"/>
          <w:kern w:val="2"/>
          <w:szCs w:val="22"/>
          <w:highlight w:val="none"/>
        </w:rPr>
        <w:fldChar w:fldCharType="begin"/>
      </w:r>
      <w:r>
        <w:rPr>
          <w:rFonts w:hint="eastAsia" w:ascii="微软雅黑" w:hAnsi="微软雅黑" w:eastAsia="微软雅黑" w:cs="微软雅黑"/>
          <w:kern w:val="2"/>
          <w:szCs w:val="22"/>
          <w:highlight w:val="none"/>
        </w:rPr>
        <w:instrText xml:space="preserve"> HYPERLINK \l _Toc8397 </w:instrText>
      </w:r>
      <w:r>
        <w:rPr>
          <w:rFonts w:hint="eastAsia" w:ascii="微软雅黑" w:hAnsi="微软雅黑" w:eastAsia="微软雅黑" w:cs="微软雅黑"/>
          <w:kern w:val="2"/>
          <w:szCs w:val="22"/>
          <w:highlight w:val="none"/>
        </w:rPr>
        <w:fldChar w:fldCharType="separate"/>
      </w:r>
      <w:r>
        <w:rPr>
          <w:rFonts w:hint="eastAsia" w:ascii="微软雅黑" w:hAnsi="微软雅黑" w:eastAsia="微软雅黑" w:cs="微软雅黑"/>
          <w:bCs/>
          <w:szCs w:val="18"/>
          <w:highlight w:val="none"/>
          <w:lang w:val="en-US" w:eastAsia="zh-CN"/>
        </w:rPr>
        <w:t>第4章</w:t>
      </w:r>
      <w:r>
        <w:rPr>
          <w:rFonts w:hint="eastAsia" w:ascii="微软雅黑" w:hAnsi="微软雅黑" w:eastAsia="微软雅黑" w:cs="微软雅黑"/>
          <w:bCs/>
          <w:szCs w:val="18"/>
          <w:highlight w:val="none"/>
        </w:rPr>
        <w:t xml:space="preserve">  供应商须知资料表</w:t>
      </w:r>
      <w:r>
        <w:tab/>
      </w:r>
      <w:r>
        <w:fldChar w:fldCharType="begin"/>
      </w:r>
      <w:r>
        <w:instrText xml:space="preserve"> PAGEREF _Toc8397 \h </w:instrText>
      </w:r>
      <w:r>
        <w:fldChar w:fldCharType="separate"/>
      </w:r>
      <w:r>
        <w:t>45</w:t>
      </w:r>
      <w:r>
        <w:fldChar w:fldCharType="end"/>
      </w:r>
      <w:r>
        <w:rPr>
          <w:rFonts w:hint="eastAsia" w:ascii="微软雅黑" w:hAnsi="微软雅黑" w:eastAsia="微软雅黑" w:cs="微软雅黑"/>
          <w:color w:val="auto"/>
          <w:kern w:val="2"/>
          <w:szCs w:val="22"/>
          <w:highlight w:val="none"/>
        </w:rPr>
        <w:fldChar w:fldCharType="end"/>
      </w:r>
    </w:p>
    <w:p w14:paraId="592D57DD">
      <w:pPr>
        <w:pStyle w:val="24"/>
        <w:keepNext w:val="0"/>
        <w:keepLines w:val="0"/>
        <w:pageBreakBefore w:val="0"/>
        <w:widowControl w:val="0"/>
        <w:tabs>
          <w:tab w:val="right" w:leader="dot" w:pos="8300"/>
        </w:tabs>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color w:val="auto"/>
          <w:kern w:val="2"/>
          <w:szCs w:val="22"/>
          <w:highlight w:val="none"/>
        </w:rPr>
        <w:fldChar w:fldCharType="begin"/>
      </w:r>
      <w:r>
        <w:rPr>
          <w:rFonts w:hint="eastAsia" w:ascii="微软雅黑" w:hAnsi="微软雅黑" w:eastAsia="微软雅黑" w:cs="微软雅黑"/>
          <w:kern w:val="2"/>
          <w:szCs w:val="22"/>
          <w:highlight w:val="none"/>
        </w:rPr>
        <w:instrText xml:space="preserve"> HYPERLINK \l _Toc30727 </w:instrText>
      </w:r>
      <w:r>
        <w:rPr>
          <w:rFonts w:hint="eastAsia" w:ascii="微软雅黑" w:hAnsi="微软雅黑" w:eastAsia="微软雅黑" w:cs="微软雅黑"/>
          <w:kern w:val="2"/>
          <w:szCs w:val="22"/>
          <w:highlight w:val="none"/>
        </w:rPr>
        <w:fldChar w:fldCharType="separate"/>
      </w:r>
      <w:r>
        <w:rPr>
          <w:rFonts w:hint="eastAsia" w:ascii="微软雅黑" w:hAnsi="微软雅黑" w:eastAsia="微软雅黑" w:cs="微软雅黑"/>
          <w:szCs w:val="28"/>
        </w:rPr>
        <w:t xml:space="preserve">第5章 </w:t>
      </w:r>
      <w:r>
        <w:rPr>
          <w:rFonts w:hint="eastAsia" w:ascii="微软雅黑" w:hAnsi="微软雅黑" w:eastAsia="微软雅黑" w:cs="微软雅黑"/>
          <w:szCs w:val="28"/>
          <w:highlight w:val="none"/>
          <w:lang w:val="en-US" w:eastAsia="zh-CN"/>
        </w:rPr>
        <w:t>货物要求</w:t>
      </w:r>
      <w:r>
        <w:rPr>
          <w:rFonts w:hint="eastAsia" w:ascii="微软雅黑" w:hAnsi="微软雅黑" w:eastAsia="微软雅黑" w:cs="微软雅黑"/>
          <w:szCs w:val="28"/>
          <w:highlight w:val="none"/>
        </w:rPr>
        <w:t>及项目要求</w:t>
      </w:r>
      <w:r>
        <w:tab/>
      </w:r>
      <w:r>
        <w:fldChar w:fldCharType="begin"/>
      </w:r>
      <w:r>
        <w:instrText xml:space="preserve"> PAGEREF _Toc30727 \h </w:instrText>
      </w:r>
      <w:r>
        <w:fldChar w:fldCharType="separate"/>
      </w:r>
      <w:r>
        <w:t>51</w:t>
      </w:r>
      <w:r>
        <w:fldChar w:fldCharType="end"/>
      </w:r>
      <w:r>
        <w:rPr>
          <w:rFonts w:hint="eastAsia" w:ascii="微软雅黑" w:hAnsi="微软雅黑" w:eastAsia="微软雅黑" w:cs="微软雅黑"/>
          <w:color w:val="auto"/>
          <w:kern w:val="2"/>
          <w:szCs w:val="22"/>
          <w:highlight w:val="none"/>
        </w:rPr>
        <w:fldChar w:fldCharType="end"/>
      </w:r>
    </w:p>
    <w:p w14:paraId="20039187">
      <w:pPr>
        <w:pStyle w:val="26"/>
        <w:keepNext w:val="0"/>
        <w:keepLines w:val="0"/>
        <w:pageBreakBefore w:val="0"/>
        <w:widowControl w:val="0"/>
        <w:tabs>
          <w:tab w:val="right" w:leader="dot" w:pos="8300"/>
        </w:tabs>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color w:val="auto"/>
          <w:kern w:val="2"/>
          <w:szCs w:val="22"/>
          <w:highlight w:val="none"/>
        </w:rPr>
        <w:fldChar w:fldCharType="begin"/>
      </w:r>
      <w:r>
        <w:rPr>
          <w:rFonts w:hint="eastAsia" w:ascii="微软雅黑" w:hAnsi="微软雅黑" w:eastAsia="微软雅黑" w:cs="微软雅黑"/>
          <w:kern w:val="2"/>
          <w:szCs w:val="22"/>
          <w:highlight w:val="none"/>
        </w:rPr>
        <w:instrText xml:space="preserve"> HYPERLINK \l _Toc10372 </w:instrText>
      </w:r>
      <w:r>
        <w:rPr>
          <w:rFonts w:hint="eastAsia" w:ascii="微软雅黑" w:hAnsi="微软雅黑" w:eastAsia="微软雅黑" w:cs="微软雅黑"/>
          <w:kern w:val="2"/>
          <w:szCs w:val="22"/>
          <w:highlight w:val="none"/>
        </w:rPr>
        <w:fldChar w:fldCharType="separate"/>
      </w:r>
      <w:r>
        <w:rPr>
          <w:rFonts w:hint="eastAsia" w:ascii="微软雅黑" w:hAnsi="微软雅黑" w:eastAsia="微软雅黑" w:cs="微软雅黑"/>
          <w:szCs w:val="28"/>
          <w:lang w:eastAsia="zh-CN"/>
        </w:rPr>
        <w:t>一、</w:t>
      </w:r>
      <w:r>
        <w:rPr>
          <w:rFonts w:hint="eastAsia" w:ascii="微软雅黑" w:hAnsi="微软雅黑" w:eastAsia="微软雅黑" w:cs="微软雅黑"/>
          <w:szCs w:val="28"/>
          <w:highlight w:val="none"/>
          <w:lang w:eastAsia="zh-CN"/>
        </w:rPr>
        <w:t>货物要求</w:t>
      </w:r>
      <w:r>
        <w:tab/>
      </w:r>
      <w:r>
        <w:fldChar w:fldCharType="begin"/>
      </w:r>
      <w:r>
        <w:instrText xml:space="preserve"> PAGEREF _Toc10372 \h </w:instrText>
      </w:r>
      <w:r>
        <w:fldChar w:fldCharType="separate"/>
      </w:r>
      <w:r>
        <w:t>51</w:t>
      </w:r>
      <w:r>
        <w:fldChar w:fldCharType="end"/>
      </w:r>
      <w:r>
        <w:rPr>
          <w:rFonts w:hint="eastAsia" w:ascii="微软雅黑" w:hAnsi="微软雅黑" w:eastAsia="微软雅黑" w:cs="微软雅黑"/>
          <w:color w:val="auto"/>
          <w:kern w:val="2"/>
          <w:szCs w:val="22"/>
          <w:highlight w:val="none"/>
        </w:rPr>
        <w:fldChar w:fldCharType="end"/>
      </w:r>
    </w:p>
    <w:p w14:paraId="53C56100">
      <w:pPr>
        <w:pStyle w:val="26"/>
        <w:keepNext w:val="0"/>
        <w:keepLines w:val="0"/>
        <w:pageBreakBefore w:val="0"/>
        <w:widowControl w:val="0"/>
        <w:tabs>
          <w:tab w:val="right" w:leader="dot" w:pos="8300"/>
        </w:tabs>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color w:val="auto"/>
          <w:kern w:val="2"/>
          <w:szCs w:val="22"/>
          <w:highlight w:val="none"/>
        </w:rPr>
        <w:fldChar w:fldCharType="begin"/>
      </w:r>
      <w:r>
        <w:rPr>
          <w:rFonts w:hint="eastAsia" w:ascii="微软雅黑" w:hAnsi="微软雅黑" w:eastAsia="微软雅黑" w:cs="微软雅黑"/>
          <w:kern w:val="2"/>
          <w:szCs w:val="22"/>
          <w:highlight w:val="none"/>
        </w:rPr>
        <w:instrText xml:space="preserve"> HYPERLINK \l _Toc5354 </w:instrText>
      </w:r>
      <w:r>
        <w:rPr>
          <w:rFonts w:hint="eastAsia" w:ascii="微软雅黑" w:hAnsi="微软雅黑" w:eastAsia="微软雅黑" w:cs="微软雅黑"/>
          <w:kern w:val="2"/>
          <w:szCs w:val="22"/>
          <w:highlight w:val="none"/>
        </w:rPr>
        <w:fldChar w:fldCharType="separate"/>
      </w:r>
      <w:r>
        <w:rPr>
          <w:rFonts w:hint="eastAsia" w:ascii="微软雅黑" w:hAnsi="微软雅黑" w:eastAsia="微软雅黑" w:cs="微软雅黑"/>
          <w:szCs w:val="28"/>
          <w:highlight w:val="none"/>
          <w:lang w:eastAsia="zh-CN"/>
        </w:rPr>
        <w:t>二、项目要求（标项一至标项四）</w:t>
      </w:r>
      <w:r>
        <w:tab/>
      </w:r>
      <w:r>
        <w:fldChar w:fldCharType="begin"/>
      </w:r>
      <w:r>
        <w:instrText xml:space="preserve"> PAGEREF _Toc5354 \h </w:instrText>
      </w:r>
      <w:r>
        <w:fldChar w:fldCharType="separate"/>
      </w:r>
      <w:r>
        <w:t>99</w:t>
      </w:r>
      <w:r>
        <w:fldChar w:fldCharType="end"/>
      </w:r>
      <w:r>
        <w:rPr>
          <w:rFonts w:hint="eastAsia" w:ascii="微软雅黑" w:hAnsi="微软雅黑" w:eastAsia="微软雅黑" w:cs="微软雅黑"/>
          <w:color w:val="auto"/>
          <w:kern w:val="2"/>
          <w:szCs w:val="22"/>
          <w:highlight w:val="none"/>
        </w:rPr>
        <w:fldChar w:fldCharType="end"/>
      </w:r>
    </w:p>
    <w:p w14:paraId="783EF3DC">
      <w:pPr>
        <w:pStyle w:val="24"/>
        <w:keepNext w:val="0"/>
        <w:keepLines w:val="0"/>
        <w:pageBreakBefore w:val="0"/>
        <w:widowControl w:val="0"/>
        <w:tabs>
          <w:tab w:val="right" w:leader="dot" w:pos="8300"/>
        </w:tabs>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color w:val="auto"/>
          <w:kern w:val="2"/>
          <w:szCs w:val="22"/>
          <w:highlight w:val="none"/>
        </w:rPr>
        <w:fldChar w:fldCharType="begin"/>
      </w:r>
      <w:r>
        <w:rPr>
          <w:rFonts w:hint="eastAsia" w:ascii="微软雅黑" w:hAnsi="微软雅黑" w:eastAsia="微软雅黑" w:cs="微软雅黑"/>
          <w:kern w:val="2"/>
          <w:szCs w:val="22"/>
          <w:highlight w:val="none"/>
        </w:rPr>
        <w:instrText xml:space="preserve"> HYPERLINK \l _Toc18710 </w:instrText>
      </w:r>
      <w:r>
        <w:rPr>
          <w:rFonts w:hint="eastAsia" w:ascii="微软雅黑" w:hAnsi="微软雅黑" w:eastAsia="微软雅黑" w:cs="微软雅黑"/>
          <w:kern w:val="2"/>
          <w:szCs w:val="22"/>
          <w:highlight w:val="none"/>
        </w:rPr>
        <w:fldChar w:fldCharType="separate"/>
      </w:r>
      <w:r>
        <w:rPr>
          <w:rFonts w:hint="eastAsia" w:ascii="微软雅黑" w:hAnsi="微软雅黑" w:eastAsia="微软雅黑" w:cs="微软雅黑"/>
          <w:szCs w:val="28"/>
          <w:highlight w:val="none"/>
        </w:rPr>
        <w:t>第6章  评标方法和标准</w:t>
      </w:r>
      <w:r>
        <w:tab/>
      </w:r>
      <w:r>
        <w:fldChar w:fldCharType="begin"/>
      </w:r>
      <w:r>
        <w:instrText xml:space="preserve"> PAGEREF _Toc18710 \h </w:instrText>
      </w:r>
      <w:r>
        <w:fldChar w:fldCharType="separate"/>
      </w:r>
      <w:r>
        <w:t>105</w:t>
      </w:r>
      <w:r>
        <w:fldChar w:fldCharType="end"/>
      </w:r>
      <w:r>
        <w:rPr>
          <w:rFonts w:hint="eastAsia" w:ascii="微软雅黑" w:hAnsi="微软雅黑" w:eastAsia="微软雅黑" w:cs="微软雅黑"/>
          <w:color w:val="auto"/>
          <w:kern w:val="2"/>
          <w:szCs w:val="22"/>
          <w:highlight w:val="none"/>
        </w:rPr>
        <w:fldChar w:fldCharType="end"/>
      </w:r>
    </w:p>
    <w:p w14:paraId="556BA1AB">
      <w:pPr>
        <w:pStyle w:val="26"/>
        <w:keepNext w:val="0"/>
        <w:keepLines w:val="0"/>
        <w:pageBreakBefore w:val="0"/>
        <w:widowControl w:val="0"/>
        <w:tabs>
          <w:tab w:val="right" w:leader="dot" w:pos="8300"/>
        </w:tabs>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color w:val="auto"/>
          <w:kern w:val="2"/>
          <w:szCs w:val="22"/>
          <w:highlight w:val="none"/>
        </w:rPr>
        <w:fldChar w:fldCharType="begin"/>
      </w:r>
      <w:r>
        <w:rPr>
          <w:rFonts w:hint="eastAsia" w:ascii="微软雅黑" w:hAnsi="微软雅黑" w:eastAsia="微软雅黑" w:cs="微软雅黑"/>
          <w:kern w:val="2"/>
          <w:szCs w:val="22"/>
          <w:highlight w:val="none"/>
        </w:rPr>
        <w:instrText xml:space="preserve"> HYPERLINK \l _Toc17457 </w:instrText>
      </w:r>
      <w:r>
        <w:rPr>
          <w:rFonts w:hint="eastAsia" w:ascii="微软雅黑" w:hAnsi="微软雅黑" w:eastAsia="微软雅黑" w:cs="微软雅黑"/>
          <w:kern w:val="2"/>
          <w:szCs w:val="22"/>
          <w:highlight w:val="none"/>
        </w:rPr>
        <w:fldChar w:fldCharType="separate"/>
      </w:r>
      <w:r>
        <w:rPr>
          <w:rFonts w:hint="eastAsia" w:ascii="微软雅黑" w:hAnsi="微软雅黑" w:eastAsia="微软雅黑" w:cs="微软雅黑"/>
          <w:szCs w:val="18"/>
          <w:highlight w:val="none"/>
        </w:rPr>
        <w:t>初步评审—资格性审查表</w:t>
      </w:r>
      <w:r>
        <w:tab/>
      </w:r>
      <w:r>
        <w:fldChar w:fldCharType="begin"/>
      </w:r>
      <w:r>
        <w:instrText xml:space="preserve"> PAGEREF _Toc17457 \h </w:instrText>
      </w:r>
      <w:r>
        <w:fldChar w:fldCharType="separate"/>
      </w:r>
      <w:r>
        <w:t>110</w:t>
      </w:r>
      <w:r>
        <w:fldChar w:fldCharType="end"/>
      </w:r>
      <w:r>
        <w:rPr>
          <w:rFonts w:hint="eastAsia" w:ascii="微软雅黑" w:hAnsi="微软雅黑" w:eastAsia="微软雅黑" w:cs="微软雅黑"/>
          <w:color w:val="auto"/>
          <w:kern w:val="2"/>
          <w:szCs w:val="22"/>
          <w:highlight w:val="none"/>
        </w:rPr>
        <w:fldChar w:fldCharType="end"/>
      </w:r>
    </w:p>
    <w:p w14:paraId="673D6316">
      <w:pPr>
        <w:pStyle w:val="26"/>
        <w:keepNext w:val="0"/>
        <w:keepLines w:val="0"/>
        <w:pageBreakBefore w:val="0"/>
        <w:widowControl w:val="0"/>
        <w:tabs>
          <w:tab w:val="right" w:leader="dot" w:pos="8300"/>
        </w:tabs>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color w:val="auto"/>
          <w:kern w:val="2"/>
          <w:szCs w:val="22"/>
          <w:highlight w:val="none"/>
        </w:rPr>
        <w:fldChar w:fldCharType="begin"/>
      </w:r>
      <w:r>
        <w:rPr>
          <w:rFonts w:hint="eastAsia" w:ascii="微软雅黑" w:hAnsi="微软雅黑" w:eastAsia="微软雅黑" w:cs="微软雅黑"/>
          <w:kern w:val="2"/>
          <w:szCs w:val="22"/>
          <w:highlight w:val="none"/>
        </w:rPr>
        <w:instrText xml:space="preserve"> HYPERLINK \l _Toc13320 </w:instrText>
      </w:r>
      <w:r>
        <w:rPr>
          <w:rFonts w:hint="eastAsia" w:ascii="微软雅黑" w:hAnsi="微软雅黑" w:eastAsia="微软雅黑" w:cs="微软雅黑"/>
          <w:kern w:val="2"/>
          <w:szCs w:val="22"/>
          <w:highlight w:val="none"/>
        </w:rPr>
        <w:fldChar w:fldCharType="separate"/>
      </w:r>
      <w:r>
        <w:rPr>
          <w:rFonts w:hint="eastAsia" w:ascii="微软雅黑" w:hAnsi="微软雅黑" w:eastAsia="微软雅黑" w:cs="微软雅黑"/>
          <w:szCs w:val="18"/>
          <w:highlight w:val="none"/>
        </w:rPr>
        <w:t>初步评审—符合性审查表</w:t>
      </w:r>
      <w:r>
        <w:tab/>
      </w:r>
      <w:r>
        <w:fldChar w:fldCharType="begin"/>
      </w:r>
      <w:r>
        <w:instrText xml:space="preserve"> PAGEREF _Toc13320 \h </w:instrText>
      </w:r>
      <w:r>
        <w:fldChar w:fldCharType="separate"/>
      </w:r>
      <w:r>
        <w:t>112</w:t>
      </w:r>
      <w:r>
        <w:fldChar w:fldCharType="end"/>
      </w:r>
      <w:r>
        <w:rPr>
          <w:rFonts w:hint="eastAsia" w:ascii="微软雅黑" w:hAnsi="微软雅黑" w:eastAsia="微软雅黑" w:cs="微软雅黑"/>
          <w:color w:val="auto"/>
          <w:kern w:val="2"/>
          <w:szCs w:val="22"/>
          <w:highlight w:val="none"/>
        </w:rPr>
        <w:fldChar w:fldCharType="end"/>
      </w:r>
    </w:p>
    <w:p w14:paraId="1F5BE2B5">
      <w:pPr>
        <w:pStyle w:val="26"/>
        <w:keepNext w:val="0"/>
        <w:keepLines w:val="0"/>
        <w:pageBreakBefore w:val="0"/>
        <w:widowControl w:val="0"/>
        <w:tabs>
          <w:tab w:val="right" w:leader="dot" w:pos="8300"/>
        </w:tabs>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color w:val="auto"/>
          <w:kern w:val="2"/>
          <w:szCs w:val="22"/>
          <w:highlight w:val="none"/>
        </w:rPr>
        <w:fldChar w:fldCharType="begin"/>
      </w:r>
      <w:r>
        <w:rPr>
          <w:rFonts w:hint="eastAsia" w:ascii="微软雅黑" w:hAnsi="微软雅黑" w:eastAsia="微软雅黑" w:cs="微软雅黑"/>
          <w:kern w:val="2"/>
          <w:szCs w:val="22"/>
          <w:highlight w:val="none"/>
        </w:rPr>
        <w:instrText xml:space="preserve"> HYPERLINK \l _Toc27516 </w:instrText>
      </w:r>
      <w:r>
        <w:rPr>
          <w:rFonts w:hint="eastAsia" w:ascii="微软雅黑" w:hAnsi="微软雅黑" w:eastAsia="微软雅黑" w:cs="微软雅黑"/>
          <w:kern w:val="2"/>
          <w:szCs w:val="22"/>
          <w:highlight w:val="none"/>
        </w:rPr>
        <w:fldChar w:fldCharType="separate"/>
      </w:r>
      <w:r>
        <w:rPr>
          <w:rFonts w:hint="eastAsia" w:ascii="微软雅黑" w:hAnsi="微软雅黑" w:eastAsia="微软雅黑" w:cs="微软雅黑"/>
          <w:bCs/>
          <w:szCs w:val="24"/>
          <w:highlight w:val="none"/>
        </w:rPr>
        <w:t>综合评分表</w:t>
      </w:r>
      <w:r>
        <w:tab/>
      </w:r>
      <w:r>
        <w:fldChar w:fldCharType="begin"/>
      </w:r>
      <w:r>
        <w:instrText xml:space="preserve"> PAGEREF _Toc27516 \h </w:instrText>
      </w:r>
      <w:r>
        <w:fldChar w:fldCharType="separate"/>
      </w:r>
      <w:r>
        <w:t>113</w:t>
      </w:r>
      <w:r>
        <w:fldChar w:fldCharType="end"/>
      </w:r>
      <w:r>
        <w:rPr>
          <w:rFonts w:hint="eastAsia" w:ascii="微软雅黑" w:hAnsi="微软雅黑" w:eastAsia="微软雅黑" w:cs="微软雅黑"/>
          <w:color w:val="auto"/>
          <w:kern w:val="2"/>
          <w:szCs w:val="22"/>
          <w:highlight w:val="none"/>
        </w:rPr>
        <w:fldChar w:fldCharType="end"/>
      </w:r>
    </w:p>
    <w:p w14:paraId="447C7F83">
      <w:pPr>
        <w:pStyle w:val="24"/>
        <w:keepNext w:val="0"/>
        <w:keepLines w:val="0"/>
        <w:pageBreakBefore w:val="0"/>
        <w:widowControl w:val="0"/>
        <w:tabs>
          <w:tab w:val="right" w:leader="dot" w:pos="8300"/>
        </w:tabs>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color w:val="auto"/>
          <w:kern w:val="2"/>
          <w:szCs w:val="22"/>
          <w:highlight w:val="none"/>
        </w:rPr>
        <w:fldChar w:fldCharType="begin"/>
      </w:r>
      <w:r>
        <w:rPr>
          <w:rFonts w:hint="eastAsia" w:ascii="微软雅黑" w:hAnsi="微软雅黑" w:eastAsia="微软雅黑" w:cs="微软雅黑"/>
          <w:kern w:val="2"/>
          <w:szCs w:val="22"/>
          <w:highlight w:val="none"/>
        </w:rPr>
        <w:instrText xml:space="preserve"> HYPERLINK \l _Toc28902 </w:instrText>
      </w:r>
      <w:r>
        <w:rPr>
          <w:rFonts w:hint="eastAsia" w:ascii="微软雅黑" w:hAnsi="微软雅黑" w:eastAsia="微软雅黑" w:cs="微软雅黑"/>
          <w:kern w:val="2"/>
          <w:szCs w:val="22"/>
          <w:highlight w:val="none"/>
        </w:rPr>
        <w:fldChar w:fldCharType="separate"/>
      </w:r>
      <w:r>
        <w:rPr>
          <w:rFonts w:hint="eastAsia" w:ascii="微软雅黑" w:hAnsi="微软雅黑" w:eastAsia="微软雅黑" w:cs="微软雅黑"/>
          <w:bCs/>
          <w:szCs w:val="28"/>
          <w:highlight w:val="none"/>
        </w:rPr>
        <w:t>第7章 政府采购合同</w:t>
      </w:r>
      <w:r>
        <w:tab/>
      </w:r>
      <w:r>
        <w:fldChar w:fldCharType="begin"/>
      </w:r>
      <w:r>
        <w:instrText xml:space="preserve"> PAGEREF _Toc28902 \h </w:instrText>
      </w:r>
      <w:r>
        <w:fldChar w:fldCharType="separate"/>
      </w:r>
      <w:r>
        <w:t>126</w:t>
      </w:r>
      <w:r>
        <w:fldChar w:fldCharType="end"/>
      </w:r>
      <w:r>
        <w:rPr>
          <w:rFonts w:hint="eastAsia" w:ascii="微软雅黑" w:hAnsi="微软雅黑" w:eastAsia="微软雅黑" w:cs="微软雅黑"/>
          <w:color w:val="auto"/>
          <w:kern w:val="2"/>
          <w:szCs w:val="22"/>
          <w:highlight w:val="none"/>
        </w:rPr>
        <w:fldChar w:fldCharType="end"/>
      </w:r>
    </w:p>
    <w:p w14:paraId="5AFC388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sz w:val="28"/>
          <w:szCs w:val="28"/>
          <w:highlight w:val="none"/>
        </w:rPr>
      </w:pPr>
      <w:r>
        <w:rPr>
          <w:rFonts w:hint="eastAsia" w:ascii="微软雅黑" w:hAnsi="微软雅黑" w:eastAsia="微软雅黑" w:cs="微软雅黑"/>
          <w:color w:val="auto"/>
          <w:kern w:val="2"/>
          <w:szCs w:val="22"/>
          <w:highlight w:val="none"/>
        </w:rPr>
        <w:fldChar w:fldCharType="end"/>
      </w:r>
      <w:bookmarkStart w:id="21" w:name="_Toc25253"/>
      <w:bookmarkStart w:id="22" w:name="_Toc515647798"/>
      <w:bookmarkStart w:id="23" w:name="_Toc16548"/>
      <w:bookmarkStart w:id="24" w:name="_Toc11115"/>
      <w:bookmarkStart w:id="25" w:name="_Toc1148"/>
    </w:p>
    <w:p w14:paraId="3949C91B">
      <w:pPr>
        <w:rPr>
          <w:rFonts w:hint="eastAsia" w:ascii="微软雅黑" w:hAnsi="微软雅黑" w:eastAsia="微软雅黑" w:cs="微软雅黑"/>
          <w:color w:val="auto"/>
          <w:sz w:val="28"/>
          <w:szCs w:val="28"/>
          <w:highlight w:val="none"/>
        </w:rPr>
      </w:pPr>
    </w:p>
    <w:p w14:paraId="7BFC99B9">
      <w:pPr>
        <w:rPr>
          <w:rFonts w:hint="eastAsia" w:ascii="微软雅黑" w:hAnsi="微软雅黑" w:eastAsia="微软雅黑" w:cs="微软雅黑"/>
          <w:color w:val="auto"/>
          <w:sz w:val="28"/>
          <w:szCs w:val="28"/>
          <w:highlight w:val="none"/>
        </w:rPr>
      </w:pPr>
    </w:p>
    <w:p w14:paraId="10D5B99C">
      <w:pPr>
        <w:rPr>
          <w:rFonts w:hint="eastAsia" w:ascii="微软雅黑" w:hAnsi="微软雅黑" w:eastAsia="微软雅黑" w:cs="微软雅黑"/>
          <w:color w:val="auto"/>
          <w:sz w:val="28"/>
          <w:szCs w:val="28"/>
          <w:highlight w:val="none"/>
        </w:rPr>
      </w:pPr>
    </w:p>
    <w:p w14:paraId="7FED2568">
      <w:pPr>
        <w:rPr>
          <w:rFonts w:hint="eastAsia" w:ascii="微软雅黑" w:hAnsi="微软雅黑" w:eastAsia="微软雅黑" w:cs="微软雅黑"/>
          <w:color w:val="auto"/>
          <w:sz w:val="28"/>
          <w:szCs w:val="28"/>
          <w:highlight w:val="none"/>
        </w:rPr>
      </w:pPr>
    </w:p>
    <w:p w14:paraId="1A501118">
      <w:pPr>
        <w:rPr>
          <w:rFonts w:hint="eastAsia" w:ascii="微软雅黑" w:hAnsi="微软雅黑" w:eastAsia="微软雅黑" w:cs="微软雅黑"/>
          <w:color w:val="auto"/>
          <w:sz w:val="28"/>
          <w:szCs w:val="28"/>
          <w:highlight w:val="none"/>
        </w:rPr>
      </w:pPr>
    </w:p>
    <w:p w14:paraId="4F64C462">
      <w:pPr>
        <w:outlineLvl w:val="9"/>
        <w:rPr>
          <w:rFonts w:hint="eastAsia" w:ascii="微软雅黑" w:hAnsi="微软雅黑" w:eastAsia="微软雅黑" w:cs="微软雅黑"/>
          <w:color w:val="auto"/>
          <w:sz w:val="20"/>
          <w:szCs w:val="22"/>
          <w:highlight w:val="none"/>
        </w:rPr>
      </w:pPr>
    </w:p>
    <w:p w14:paraId="245087C0">
      <w:pPr>
        <w:pStyle w:val="25"/>
        <w:rPr>
          <w:rFonts w:hint="eastAsia" w:ascii="微软雅黑" w:hAnsi="微软雅黑" w:eastAsia="微软雅黑" w:cs="微软雅黑"/>
          <w:color w:val="auto"/>
          <w:sz w:val="36"/>
          <w:szCs w:val="36"/>
          <w:highlight w:val="none"/>
        </w:rPr>
      </w:pPr>
    </w:p>
    <w:p w14:paraId="66653673">
      <w:pPr>
        <w:rPr>
          <w:rFonts w:hint="eastAsia" w:ascii="微软雅黑" w:hAnsi="微软雅黑" w:eastAsia="微软雅黑" w:cs="微软雅黑"/>
          <w:b/>
          <w:color w:val="auto"/>
          <w:sz w:val="36"/>
          <w:szCs w:val="36"/>
          <w:highlight w:val="none"/>
        </w:rPr>
      </w:pPr>
      <w:r>
        <w:rPr>
          <w:rFonts w:hint="eastAsia" w:ascii="微软雅黑" w:hAnsi="微软雅黑" w:eastAsia="微软雅黑" w:cs="微软雅黑"/>
          <w:b/>
          <w:color w:val="auto"/>
          <w:sz w:val="36"/>
          <w:szCs w:val="36"/>
          <w:highlight w:val="none"/>
        </w:rPr>
        <w:br w:type="page"/>
      </w:r>
    </w:p>
    <w:p w14:paraId="3332EAB5">
      <w:pPr>
        <w:spacing w:line="240" w:lineRule="atLeast"/>
        <w:jc w:val="center"/>
        <w:rPr>
          <w:rFonts w:hint="eastAsia" w:ascii="微软雅黑" w:hAnsi="微软雅黑" w:eastAsia="微软雅黑" w:cs="微软雅黑"/>
          <w:b/>
          <w:color w:val="auto"/>
          <w:sz w:val="36"/>
          <w:szCs w:val="36"/>
          <w:highlight w:val="none"/>
        </w:rPr>
      </w:pPr>
    </w:p>
    <w:p w14:paraId="78E989B2">
      <w:pPr>
        <w:spacing w:line="240" w:lineRule="atLeast"/>
        <w:jc w:val="center"/>
        <w:rPr>
          <w:rFonts w:hint="eastAsia" w:ascii="微软雅黑" w:hAnsi="微软雅黑" w:eastAsia="微软雅黑" w:cs="微软雅黑"/>
          <w:b/>
          <w:color w:val="auto"/>
          <w:sz w:val="36"/>
          <w:szCs w:val="36"/>
          <w:highlight w:val="none"/>
        </w:rPr>
      </w:pPr>
    </w:p>
    <w:p w14:paraId="5A0820B4">
      <w:pPr>
        <w:spacing w:line="240" w:lineRule="atLeast"/>
        <w:jc w:val="center"/>
        <w:rPr>
          <w:rFonts w:hint="eastAsia" w:ascii="微软雅黑" w:hAnsi="微软雅黑" w:eastAsia="微软雅黑" w:cs="微软雅黑"/>
          <w:b/>
          <w:color w:val="auto"/>
          <w:sz w:val="36"/>
          <w:szCs w:val="36"/>
          <w:highlight w:val="none"/>
        </w:rPr>
      </w:pPr>
    </w:p>
    <w:p w14:paraId="378BBE0D">
      <w:pPr>
        <w:spacing w:line="240" w:lineRule="atLeast"/>
        <w:jc w:val="center"/>
        <w:rPr>
          <w:rFonts w:hint="eastAsia" w:ascii="微软雅黑" w:hAnsi="微软雅黑" w:eastAsia="微软雅黑" w:cs="微软雅黑"/>
          <w:b/>
          <w:color w:val="auto"/>
          <w:sz w:val="36"/>
          <w:szCs w:val="36"/>
          <w:highlight w:val="none"/>
        </w:rPr>
      </w:pPr>
    </w:p>
    <w:p w14:paraId="25299DF6">
      <w:pPr>
        <w:spacing w:line="240" w:lineRule="atLeast"/>
        <w:jc w:val="center"/>
        <w:rPr>
          <w:rFonts w:hint="eastAsia" w:ascii="微软雅黑" w:hAnsi="微软雅黑" w:eastAsia="微软雅黑" w:cs="微软雅黑"/>
          <w:b/>
          <w:color w:val="auto"/>
          <w:sz w:val="36"/>
          <w:szCs w:val="36"/>
          <w:highlight w:val="none"/>
        </w:rPr>
      </w:pPr>
    </w:p>
    <w:p w14:paraId="517C89E6">
      <w:pPr>
        <w:spacing w:line="240" w:lineRule="atLeast"/>
        <w:jc w:val="center"/>
        <w:rPr>
          <w:rFonts w:hint="eastAsia" w:ascii="微软雅黑" w:hAnsi="微软雅黑" w:eastAsia="微软雅黑" w:cs="微软雅黑"/>
          <w:b/>
          <w:color w:val="auto"/>
          <w:sz w:val="36"/>
          <w:szCs w:val="36"/>
          <w:highlight w:val="none"/>
        </w:rPr>
      </w:pPr>
    </w:p>
    <w:p w14:paraId="0D99BFE8">
      <w:pPr>
        <w:spacing w:line="240" w:lineRule="atLeast"/>
        <w:jc w:val="center"/>
        <w:rPr>
          <w:rFonts w:hint="eastAsia" w:ascii="微软雅黑" w:hAnsi="微软雅黑" w:eastAsia="微软雅黑" w:cs="微软雅黑"/>
          <w:b/>
          <w:color w:val="auto"/>
          <w:sz w:val="36"/>
          <w:szCs w:val="36"/>
          <w:highlight w:val="none"/>
        </w:rPr>
      </w:pPr>
      <w:r>
        <w:rPr>
          <w:rFonts w:hint="eastAsia" w:ascii="微软雅黑" w:hAnsi="微软雅黑" w:eastAsia="微软雅黑" w:cs="微软雅黑"/>
          <w:b/>
          <w:color w:val="auto"/>
          <w:sz w:val="36"/>
          <w:szCs w:val="36"/>
          <w:highlight w:val="none"/>
        </w:rPr>
        <w:t>招 标 文 件</w:t>
      </w:r>
    </w:p>
    <w:p w14:paraId="0E0ACD53">
      <w:pPr>
        <w:spacing w:line="360" w:lineRule="auto"/>
        <w:rPr>
          <w:rFonts w:hint="eastAsia" w:ascii="微软雅黑" w:hAnsi="微软雅黑" w:eastAsia="微软雅黑" w:cs="微软雅黑"/>
          <w:b/>
          <w:color w:val="auto"/>
          <w:sz w:val="36"/>
          <w:szCs w:val="36"/>
          <w:highlight w:val="none"/>
        </w:rPr>
      </w:pPr>
    </w:p>
    <w:p w14:paraId="34ACC9E4">
      <w:pPr>
        <w:spacing w:line="360" w:lineRule="auto"/>
        <w:jc w:val="center"/>
        <w:outlineLvl w:val="9"/>
        <w:rPr>
          <w:rFonts w:hint="eastAsia" w:ascii="微软雅黑" w:hAnsi="微软雅黑" w:eastAsia="微软雅黑" w:cs="微软雅黑"/>
          <w:b/>
          <w:color w:val="auto"/>
          <w:sz w:val="36"/>
          <w:szCs w:val="36"/>
          <w:highlight w:val="none"/>
          <w:lang w:eastAsia="zh-CN"/>
        </w:rPr>
      </w:pPr>
      <w:r>
        <w:rPr>
          <w:rFonts w:hint="eastAsia" w:ascii="微软雅黑" w:hAnsi="微软雅黑" w:eastAsia="微软雅黑" w:cs="微软雅黑"/>
          <w:b/>
          <w:color w:val="auto"/>
          <w:sz w:val="36"/>
          <w:szCs w:val="36"/>
          <w:highlight w:val="none"/>
        </w:rPr>
        <w:t>项目编号：ZPDL(202</w:t>
      </w:r>
      <w:r>
        <w:rPr>
          <w:rFonts w:hint="eastAsia" w:ascii="微软雅黑" w:hAnsi="微软雅黑" w:eastAsia="微软雅黑" w:cs="微软雅黑"/>
          <w:b/>
          <w:color w:val="auto"/>
          <w:sz w:val="36"/>
          <w:szCs w:val="36"/>
          <w:highlight w:val="none"/>
          <w:lang w:val="en-US" w:eastAsia="zh-CN"/>
        </w:rPr>
        <w:t>6</w:t>
      </w:r>
      <w:r>
        <w:rPr>
          <w:rFonts w:hint="eastAsia" w:ascii="微软雅黑" w:hAnsi="微软雅黑" w:eastAsia="微软雅黑" w:cs="微软雅黑"/>
          <w:b/>
          <w:color w:val="auto"/>
          <w:sz w:val="36"/>
          <w:szCs w:val="36"/>
          <w:highlight w:val="none"/>
        </w:rPr>
        <w:t>)0</w:t>
      </w:r>
      <w:r>
        <w:rPr>
          <w:rFonts w:hint="eastAsia" w:ascii="微软雅黑" w:hAnsi="微软雅黑" w:eastAsia="微软雅黑" w:cs="微软雅黑"/>
          <w:b/>
          <w:color w:val="auto"/>
          <w:sz w:val="36"/>
          <w:szCs w:val="36"/>
          <w:highlight w:val="none"/>
          <w:lang w:val="en-US" w:eastAsia="zh-CN"/>
        </w:rPr>
        <w:t>18</w:t>
      </w:r>
      <w:r>
        <w:rPr>
          <w:rFonts w:hint="eastAsia" w:ascii="微软雅黑" w:hAnsi="微软雅黑" w:eastAsia="微软雅黑" w:cs="微软雅黑"/>
          <w:b/>
          <w:color w:val="auto"/>
          <w:sz w:val="36"/>
          <w:szCs w:val="36"/>
          <w:highlight w:val="none"/>
          <w:lang w:eastAsia="zh-CN"/>
        </w:rPr>
        <w:t xml:space="preserve"> </w:t>
      </w:r>
    </w:p>
    <w:p w14:paraId="5E77672E">
      <w:pPr>
        <w:spacing w:line="240" w:lineRule="atLeast"/>
        <w:jc w:val="center"/>
        <w:rPr>
          <w:rFonts w:hint="eastAsia" w:ascii="微软雅黑" w:hAnsi="微软雅黑" w:eastAsia="微软雅黑" w:cs="微软雅黑"/>
          <w:b/>
          <w:color w:val="auto"/>
          <w:sz w:val="36"/>
          <w:szCs w:val="36"/>
          <w:highlight w:val="none"/>
        </w:rPr>
      </w:pPr>
    </w:p>
    <w:p w14:paraId="72AC3951">
      <w:pPr>
        <w:spacing w:line="240" w:lineRule="atLeast"/>
        <w:jc w:val="center"/>
        <w:rPr>
          <w:rFonts w:hint="eastAsia" w:ascii="微软雅黑" w:hAnsi="微软雅黑" w:eastAsia="微软雅黑" w:cs="微软雅黑"/>
          <w:b/>
          <w:color w:val="auto"/>
          <w:sz w:val="36"/>
          <w:szCs w:val="36"/>
          <w:highlight w:val="none"/>
        </w:rPr>
      </w:pPr>
      <w:r>
        <w:rPr>
          <w:rFonts w:hint="eastAsia" w:ascii="微软雅黑" w:hAnsi="微软雅黑" w:eastAsia="微软雅黑" w:cs="微软雅黑"/>
          <w:b/>
          <w:color w:val="auto"/>
          <w:sz w:val="36"/>
          <w:szCs w:val="36"/>
          <w:highlight w:val="none"/>
        </w:rPr>
        <w:t xml:space="preserve">第 </w:t>
      </w:r>
      <w:r>
        <w:rPr>
          <w:rFonts w:hint="eastAsia" w:ascii="微软雅黑" w:hAnsi="微软雅黑" w:eastAsia="微软雅黑" w:cs="微软雅黑"/>
          <w:b/>
          <w:color w:val="auto"/>
          <w:sz w:val="36"/>
          <w:szCs w:val="36"/>
          <w:highlight w:val="none"/>
          <w:lang w:val="en-US" w:eastAsia="zh-CN"/>
        </w:rPr>
        <w:t>一</w:t>
      </w:r>
      <w:r>
        <w:rPr>
          <w:rFonts w:hint="eastAsia" w:ascii="微软雅黑" w:hAnsi="微软雅黑" w:eastAsia="微软雅黑" w:cs="微软雅黑"/>
          <w:b/>
          <w:color w:val="auto"/>
          <w:sz w:val="36"/>
          <w:szCs w:val="36"/>
          <w:highlight w:val="none"/>
        </w:rPr>
        <w:t xml:space="preserve"> 册</w:t>
      </w:r>
    </w:p>
    <w:p w14:paraId="79455E57">
      <w:pPr>
        <w:rPr>
          <w:rFonts w:hint="eastAsia" w:ascii="微软雅黑" w:hAnsi="微软雅黑" w:eastAsia="微软雅黑" w:cs="微软雅黑"/>
          <w:color w:val="auto"/>
          <w:sz w:val="22"/>
          <w:szCs w:val="22"/>
          <w:highlight w:val="none"/>
        </w:rPr>
      </w:pPr>
    </w:p>
    <w:p w14:paraId="5D90F056">
      <w:pPr>
        <w:rPr>
          <w:rFonts w:hint="eastAsia" w:ascii="微软雅黑" w:hAnsi="微软雅黑" w:eastAsia="微软雅黑" w:cs="微软雅黑"/>
          <w:color w:val="auto"/>
          <w:sz w:val="40"/>
          <w:szCs w:val="32"/>
          <w:highlight w:val="none"/>
        </w:rPr>
      </w:pPr>
    </w:p>
    <w:p w14:paraId="33180471">
      <w:pPr>
        <w:rPr>
          <w:rFonts w:hint="eastAsia" w:ascii="微软雅黑" w:hAnsi="微软雅黑" w:eastAsia="微软雅黑" w:cs="微软雅黑"/>
          <w:color w:val="auto"/>
          <w:sz w:val="28"/>
          <w:szCs w:val="28"/>
          <w:highlight w:val="none"/>
        </w:rPr>
      </w:pPr>
      <w:r>
        <w:rPr>
          <w:rFonts w:hint="eastAsia" w:ascii="微软雅黑" w:hAnsi="微软雅黑" w:eastAsia="微软雅黑" w:cs="微软雅黑"/>
          <w:color w:val="auto"/>
          <w:sz w:val="28"/>
          <w:szCs w:val="28"/>
          <w:highlight w:val="none"/>
        </w:rPr>
        <w:br w:type="page"/>
      </w:r>
    </w:p>
    <w:p w14:paraId="27AFE52D">
      <w:pPr>
        <w:pStyle w:val="5"/>
        <w:ind w:firstLine="0"/>
        <w:jc w:val="center"/>
        <w:outlineLvl w:val="0"/>
        <w:rPr>
          <w:rFonts w:hint="eastAsia" w:ascii="微软雅黑" w:hAnsi="微软雅黑" w:eastAsia="微软雅黑" w:cs="微软雅黑"/>
          <w:color w:val="auto"/>
          <w:sz w:val="28"/>
          <w:szCs w:val="28"/>
          <w:highlight w:val="none"/>
        </w:rPr>
      </w:pPr>
      <w:r>
        <w:rPr>
          <w:rFonts w:hint="eastAsia" w:ascii="微软雅黑" w:hAnsi="微软雅黑" w:eastAsia="微软雅黑" w:cs="微软雅黑"/>
          <w:color w:val="auto"/>
          <w:sz w:val="28"/>
          <w:szCs w:val="28"/>
          <w:highlight w:val="none"/>
        </w:rPr>
        <w:t xml:space="preserve"> </w:t>
      </w:r>
      <w:bookmarkStart w:id="26" w:name="_Toc4139"/>
      <w:bookmarkStart w:id="27" w:name="_Toc18196"/>
      <w:r>
        <w:rPr>
          <w:rFonts w:hint="eastAsia" w:ascii="微软雅黑" w:hAnsi="微软雅黑" w:eastAsia="微软雅黑" w:cs="微软雅黑"/>
          <w:b/>
          <w:bCs/>
          <w:color w:val="auto"/>
          <w:sz w:val="28"/>
          <w:szCs w:val="28"/>
          <w:highlight w:val="none"/>
        </w:rPr>
        <w:t xml:space="preserve">第1章  </w:t>
      </w:r>
      <w:bookmarkStart w:id="28" w:name="_Toc515647756"/>
      <w:r>
        <w:rPr>
          <w:rFonts w:hint="eastAsia" w:ascii="微软雅黑" w:hAnsi="微软雅黑" w:eastAsia="微软雅黑" w:cs="微软雅黑"/>
          <w:b/>
          <w:bCs/>
          <w:color w:val="auto"/>
          <w:sz w:val="28"/>
          <w:szCs w:val="28"/>
          <w:highlight w:val="none"/>
          <w:lang w:eastAsia="zh-CN"/>
        </w:rPr>
        <w:t>供应商</w:t>
      </w:r>
      <w:r>
        <w:rPr>
          <w:rFonts w:hint="eastAsia" w:ascii="微软雅黑" w:hAnsi="微软雅黑" w:eastAsia="微软雅黑" w:cs="微软雅黑"/>
          <w:b/>
          <w:bCs/>
          <w:color w:val="auto"/>
          <w:sz w:val="28"/>
          <w:szCs w:val="28"/>
          <w:highlight w:val="none"/>
        </w:rPr>
        <w:t>须知</w:t>
      </w:r>
      <w:bookmarkEnd w:id="26"/>
      <w:bookmarkEnd w:id="27"/>
      <w:bookmarkEnd w:id="28"/>
    </w:p>
    <w:p w14:paraId="15D194A1">
      <w:pPr>
        <w:pStyle w:val="3"/>
        <w:spacing w:before="0" w:line="240" w:lineRule="atLeast"/>
        <w:ind w:left="1080" w:leftChars="257" w:hanging="540"/>
        <w:rPr>
          <w:rFonts w:hint="eastAsia" w:ascii="微软雅黑" w:hAnsi="微软雅黑" w:eastAsia="微软雅黑" w:cs="微软雅黑"/>
          <w:color w:val="auto"/>
          <w:sz w:val="28"/>
          <w:szCs w:val="18"/>
          <w:highlight w:val="none"/>
        </w:rPr>
      </w:pPr>
      <w:bookmarkStart w:id="29" w:name="_Toc520356143"/>
      <w:bookmarkStart w:id="30" w:name="_Toc216582805"/>
      <w:bookmarkStart w:id="31" w:name="_Toc515647757"/>
      <w:bookmarkStart w:id="32" w:name="_Toc21015"/>
      <w:bookmarkStart w:id="33" w:name="_Toc21215"/>
      <w:bookmarkStart w:id="34" w:name="_Toc2244"/>
      <w:bookmarkStart w:id="35" w:name="_Toc11227"/>
      <w:bookmarkStart w:id="36" w:name="_Toc24746"/>
      <w:r>
        <w:rPr>
          <w:rFonts w:hint="eastAsia" w:ascii="微软雅黑" w:hAnsi="微软雅黑" w:eastAsia="微软雅黑" w:cs="微软雅黑"/>
          <w:color w:val="auto"/>
          <w:sz w:val="24"/>
          <w:szCs w:val="18"/>
          <w:highlight w:val="none"/>
        </w:rPr>
        <w:t xml:space="preserve">一   </w:t>
      </w:r>
      <w:bookmarkEnd w:id="29"/>
      <w:bookmarkEnd w:id="30"/>
      <w:bookmarkEnd w:id="31"/>
      <w:r>
        <w:rPr>
          <w:rFonts w:hint="eastAsia" w:ascii="微软雅黑" w:hAnsi="微软雅黑" w:eastAsia="微软雅黑" w:cs="微软雅黑"/>
          <w:color w:val="auto"/>
          <w:sz w:val="24"/>
          <w:szCs w:val="18"/>
          <w:highlight w:val="none"/>
        </w:rPr>
        <w:t>总 则</w:t>
      </w:r>
      <w:bookmarkEnd w:id="32"/>
      <w:bookmarkEnd w:id="33"/>
      <w:bookmarkEnd w:id="34"/>
      <w:bookmarkEnd w:id="35"/>
      <w:bookmarkEnd w:id="36"/>
    </w:p>
    <w:p w14:paraId="12D1B1AC">
      <w:pPr>
        <w:pStyle w:val="4"/>
        <w:pageBreakBefore w:val="0"/>
        <w:widowControl w:val="0"/>
        <w:numPr>
          <w:ilvl w:val="0"/>
          <w:numId w:val="0"/>
        </w:numPr>
        <w:kinsoku/>
        <w:wordWrap/>
        <w:overflowPunct/>
        <w:topLinePunct w:val="0"/>
        <w:bidi w:val="0"/>
        <w:spacing w:before="0" w:after="0" w:line="360" w:lineRule="exact"/>
        <w:ind w:left="0" w:leftChars="0"/>
        <w:textAlignment w:val="auto"/>
        <w:rPr>
          <w:rFonts w:hint="eastAsia" w:ascii="微软雅黑" w:hAnsi="微软雅黑" w:eastAsia="微软雅黑" w:cs="微软雅黑"/>
          <w:b/>
          <w:bCs/>
          <w:color w:val="auto"/>
          <w:sz w:val="22"/>
          <w:szCs w:val="22"/>
          <w:highlight w:val="none"/>
          <w:u w:val="none"/>
        </w:rPr>
      </w:pPr>
      <w:bookmarkStart w:id="37" w:name="_Toc333"/>
      <w:bookmarkStart w:id="38" w:name="_Toc4880"/>
      <w:bookmarkStart w:id="39" w:name="_Toc12861"/>
      <w:bookmarkStart w:id="40" w:name="_Toc28967"/>
      <w:bookmarkStart w:id="41" w:name="_Toc11808"/>
      <w:bookmarkStart w:id="42" w:name="_Toc32623"/>
      <w:bookmarkStart w:id="43" w:name="_Toc515647758"/>
      <w:bookmarkStart w:id="44" w:name="_Toc32189"/>
      <w:bookmarkStart w:id="45" w:name="_Toc520356144"/>
      <w:bookmarkStart w:id="46" w:name="_Toc31685"/>
      <w:bookmarkStart w:id="47" w:name="_Toc23985"/>
      <w:bookmarkStart w:id="48" w:name="_Toc29554"/>
      <w:bookmarkStart w:id="49" w:name="_Toc10231"/>
      <w:bookmarkStart w:id="50" w:name="_Toc15400"/>
      <w:bookmarkStart w:id="51" w:name="_Toc21344"/>
      <w:bookmarkStart w:id="52" w:name="_Toc23980"/>
      <w:bookmarkStart w:id="53" w:name="_Toc9506"/>
      <w:bookmarkStart w:id="54" w:name="_Toc32742"/>
      <w:bookmarkStart w:id="55" w:name="_Toc9457"/>
      <w:bookmarkStart w:id="56" w:name="_Toc30233"/>
      <w:bookmarkStart w:id="57" w:name="_Toc11610"/>
      <w:bookmarkStart w:id="58" w:name="_Toc16090"/>
      <w:bookmarkStart w:id="59" w:name="_Toc16017"/>
      <w:bookmarkStart w:id="60" w:name="_Toc32450"/>
      <w:bookmarkStart w:id="61" w:name="_Toc15005"/>
      <w:bookmarkStart w:id="62" w:name="_Toc31200"/>
      <w:bookmarkStart w:id="63" w:name="_Toc12038"/>
      <w:bookmarkStart w:id="64" w:name="_Toc15895"/>
      <w:bookmarkStart w:id="65" w:name="_Toc18135"/>
      <w:bookmarkStart w:id="66" w:name="_Toc15043"/>
      <w:bookmarkStart w:id="67" w:name="_Toc32697"/>
      <w:bookmarkStart w:id="68" w:name="_Toc13166"/>
      <w:bookmarkStart w:id="69" w:name="_Toc15966"/>
      <w:bookmarkStart w:id="70" w:name="_Toc25922"/>
      <w:bookmarkStart w:id="71" w:name="_Toc19039"/>
      <w:bookmarkStart w:id="72" w:name="_Toc6161"/>
      <w:bookmarkStart w:id="73" w:name="_Toc18945"/>
      <w:bookmarkStart w:id="74" w:name="_Toc32192"/>
      <w:r>
        <w:rPr>
          <w:rFonts w:hint="eastAsia" w:ascii="微软雅黑" w:hAnsi="微软雅黑" w:eastAsia="微软雅黑" w:cs="微软雅黑"/>
          <w:b/>
          <w:bCs/>
          <w:color w:val="auto"/>
          <w:kern w:val="2"/>
          <w:sz w:val="22"/>
          <w:szCs w:val="22"/>
          <w:lang w:val="en-US" w:eastAsia="zh-CN" w:bidi="ar-SA"/>
        </w:rPr>
        <w:t>1.</w:t>
      </w:r>
      <w:r>
        <w:rPr>
          <w:rFonts w:hint="eastAsia" w:ascii="微软雅黑" w:hAnsi="微软雅黑" w:eastAsia="微软雅黑" w:cs="微软雅黑"/>
          <w:b/>
          <w:bCs/>
          <w:color w:val="auto"/>
          <w:sz w:val="22"/>
          <w:szCs w:val="22"/>
          <w:highlight w:val="none"/>
          <w:u w:val="none"/>
        </w:rPr>
        <w:t>采购人、采购代理机构及</w:t>
      </w:r>
      <w:bookmarkEnd w:id="37"/>
      <w:bookmarkEnd w:id="38"/>
      <w:bookmarkEnd w:id="39"/>
      <w:bookmarkEnd w:id="40"/>
      <w:bookmarkEnd w:id="41"/>
      <w:bookmarkEnd w:id="42"/>
      <w:bookmarkEnd w:id="43"/>
      <w:bookmarkEnd w:id="44"/>
      <w:bookmarkEnd w:id="45"/>
      <w:bookmarkEnd w:id="46"/>
      <w:bookmarkEnd w:id="47"/>
      <w:bookmarkEnd w:id="48"/>
      <w:r>
        <w:rPr>
          <w:rFonts w:hint="eastAsia" w:ascii="微软雅黑" w:hAnsi="微软雅黑" w:eastAsia="微软雅黑" w:cs="微软雅黑"/>
          <w:b/>
          <w:bCs/>
          <w:color w:val="auto"/>
          <w:sz w:val="22"/>
          <w:szCs w:val="22"/>
          <w:highlight w:val="none"/>
          <w:u w:val="none"/>
          <w:lang w:eastAsia="zh-CN"/>
        </w:rPr>
        <w:t>供应商</w:t>
      </w:r>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14:paraId="2A6E7412">
      <w:pPr>
        <w:pageBreakBefore w:val="0"/>
        <w:widowControl w:val="0"/>
        <w:numPr>
          <w:ilvl w:val="0"/>
          <w:numId w:val="0"/>
        </w:numPr>
        <w:tabs>
          <w:tab w:val="left" w:pos="0"/>
        </w:tabs>
        <w:kinsoku/>
        <w:wordWrap/>
        <w:overflowPunct/>
        <w:topLinePunct w:val="0"/>
        <w:bidi w:val="0"/>
        <w:spacing w:line="360" w:lineRule="exac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lang w:val="en-US" w:eastAsia="zh-CN"/>
        </w:rPr>
        <w:t xml:space="preserve">1.1  </w:t>
      </w:r>
      <w:r>
        <w:rPr>
          <w:rFonts w:hint="eastAsia" w:ascii="微软雅黑" w:hAnsi="微软雅黑" w:eastAsia="微软雅黑" w:cs="微软雅黑"/>
          <w:color w:val="auto"/>
          <w:sz w:val="22"/>
          <w:szCs w:val="22"/>
          <w:highlight w:val="none"/>
        </w:rPr>
        <w:t>采购人：是指依法开展政府采购活动的国家机关、事业单位、团体组织。</w:t>
      </w:r>
    </w:p>
    <w:p w14:paraId="2BAAFA02">
      <w:pPr>
        <w:pageBreakBefore w:val="0"/>
        <w:widowControl w:val="0"/>
        <w:tabs>
          <w:tab w:val="left" w:pos="0"/>
        </w:tabs>
        <w:kinsoku/>
        <w:wordWrap/>
        <w:overflowPunct/>
        <w:topLinePunct w:val="0"/>
        <w:bidi w:val="0"/>
        <w:spacing w:line="360" w:lineRule="exact"/>
        <w:ind w:firstLine="660" w:firstLineChars="30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本项目的采购人见</w:t>
      </w:r>
      <w:r>
        <w:rPr>
          <w:rFonts w:hint="eastAsia" w:ascii="微软雅黑" w:hAnsi="微软雅黑" w:eastAsia="微软雅黑" w:cs="微软雅黑"/>
          <w:color w:val="auto"/>
          <w:sz w:val="22"/>
          <w:szCs w:val="22"/>
          <w:highlight w:val="none"/>
          <w:u w:val="single"/>
          <w:lang w:eastAsia="zh-CN"/>
        </w:rPr>
        <w:t>供应商</w:t>
      </w:r>
      <w:r>
        <w:rPr>
          <w:rFonts w:hint="eastAsia" w:ascii="微软雅黑" w:hAnsi="微软雅黑" w:eastAsia="微软雅黑" w:cs="微软雅黑"/>
          <w:color w:val="auto"/>
          <w:sz w:val="22"/>
          <w:szCs w:val="22"/>
          <w:highlight w:val="none"/>
          <w:u w:val="single"/>
        </w:rPr>
        <w:t>须知资料表</w:t>
      </w:r>
      <w:r>
        <w:rPr>
          <w:rFonts w:hint="eastAsia" w:ascii="微软雅黑" w:hAnsi="微软雅黑" w:eastAsia="微软雅黑" w:cs="微软雅黑"/>
          <w:color w:val="auto"/>
          <w:sz w:val="22"/>
          <w:szCs w:val="22"/>
          <w:highlight w:val="none"/>
        </w:rPr>
        <w:t>。</w:t>
      </w:r>
    </w:p>
    <w:p w14:paraId="30F1888F">
      <w:pPr>
        <w:pageBreakBefore w:val="0"/>
        <w:widowControl w:val="0"/>
        <w:numPr>
          <w:ilvl w:val="0"/>
          <w:numId w:val="0"/>
        </w:numPr>
        <w:tabs>
          <w:tab w:val="left" w:pos="0"/>
        </w:tabs>
        <w:kinsoku/>
        <w:wordWrap/>
        <w:overflowPunct/>
        <w:topLinePunct w:val="0"/>
        <w:bidi w:val="0"/>
        <w:spacing w:line="360" w:lineRule="exact"/>
        <w:ind w:left="720" w:hanging="660" w:hangingChars="30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lang w:val="en-US" w:eastAsia="zh-CN"/>
        </w:rPr>
        <w:t xml:space="preserve">1.2   </w:t>
      </w:r>
      <w:r>
        <w:rPr>
          <w:rFonts w:hint="eastAsia" w:ascii="微软雅黑" w:hAnsi="微软雅黑" w:eastAsia="微软雅黑" w:cs="微软雅黑"/>
          <w:color w:val="auto"/>
          <w:sz w:val="22"/>
          <w:szCs w:val="22"/>
          <w:highlight w:val="none"/>
        </w:rPr>
        <w:t>采购代理机构：是指在集中采购机构或从事采购代理业务的社会中介机构。本项目的采购代理机构见</w:t>
      </w:r>
      <w:r>
        <w:rPr>
          <w:rFonts w:hint="eastAsia" w:ascii="微软雅黑" w:hAnsi="微软雅黑" w:eastAsia="微软雅黑" w:cs="微软雅黑"/>
          <w:color w:val="auto"/>
          <w:sz w:val="22"/>
          <w:szCs w:val="22"/>
          <w:highlight w:val="none"/>
          <w:u w:val="single"/>
          <w:lang w:eastAsia="zh-CN"/>
        </w:rPr>
        <w:t>供应商</w:t>
      </w:r>
      <w:r>
        <w:rPr>
          <w:rFonts w:hint="eastAsia" w:ascii="微软雅黑" w:hAnsi="微软雅黑" w:eastAsia="微软雅黑" w:cs="微软雅黑"/>
          <w:color w:val="auto"/>
          <w:sz w:val="22"/>
          <w:szCs w:val="22"/>
          <w:highlight w:val="none"/>
          <w:u w:val="single"/>
        </w:rPr>
        <w:t>须知资料表</w:t>
      </w:r>
      <w:r>
        <w:rPr>
          <w:rFonts w:hint="eastAsia" w:ascii="微软雅黑" w:hAnsi="微软雅黑" w:eastAsia="微软雅黑" w:cs="微软雅黑"/>
          <w:color w:val="auto"/>
          <w:sz w:val="22"/>
          <w:szCs w:val="22"/>
          <w:highlight w:val="none"/>
        </w:rPr>
        <w:t>。</w:t>
      </w:r>
    </w:p>
    <w:p w14:paraId="01A372D8">
      <w:pPr>
        <w:pageBreakBefore w:val="0"/>
        <w:widowControl w:val="0"/>
        <w:numPr>
          <w:ilvl w:val="0"/>
          <w:numId w:val="0"/>
        </w:numPr>
        <w:kinsoku/>
        <w:wordWrap/>
        <w:overflowPunct/>
        <w:topLinePunct w:val="0"/>
        <w:bidi w:val="0"/>
        <w:spacing w:line="360" w:lineRule="exact"/>
        <w:ind w:left="960" w:hanging="880" w:hangingChars="40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lang w:val="en-US" w:eastAsia="zh-CN"/>
        </w:rPr>
        <w:t xml:space="preserve">1.3    </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：是指向采购人提供货物、工程或者服务的法人、非法人组织或者自然人。本项目的</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及其投标货物须满足以下条件：</w:t>
      </w:r>
    </w:p>
    <w:p w14:paraId="187047DB">
      <w:pPr>
        <w:pageBreakBefore w:val="0"/>
        <w:widowControl w:val="0"/>
        <w:kinsoku/>
        <w:wordWrap/>
        <w:overflowPunct/>
        <w:topLinePunct w:val="0"/>
        <w:bidi w:val="0"/>
        <w:spacing w:line="360" w:lineRule="exact"/>
        <w:ind w:left="778" w:leftChars="0" w:hanging="778" w:hangingChars="354"/>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1.3.1</w:t>
      </w: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color w:val="auto"/>
          <w:sz w:val="22"/>
          <w:szCs w:val="22"/>
          <w:highlight w:val="none"/>
        </w:rPr>
        <w:t>在中华人民共和国境内注册，能够独立承担民事责任，有生产或供应能力的本国供应商。</w:t>
      </w:r>
    </w:p>
    <w:p w14:paraId="04596826">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1.3.2  具备《中华人民共和国政府采购法》第二十二条关于供应商条件的规定，遵守本项目采购人本级和上级财政部门政府采购的有关规定。</w:t>
      </w:r>
    </w:p>
    <w:p w14:paraId="25439645">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1.3.3   以采购代理机构认可的方式获得了本项目的招标文件。</w:t>
      </w:r>
    </w:p>
    <w:p w14:paraId="1E37D391">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1.3.4   符合</w:t>
      </w:r>
      <w:r>
        <w:rPr>
          <w:rFonts w:hint="eastAsia" w:ascii="微软雅黑" w:hAnsi="微软雅黑" w:eastAsia="微软雅黑" w:cs="微软雅黑"/>
          <w:color w:val="auto"/>
          <w:sz w:val="22"/>
          <w:szCs w:val="22"/>
          <w:highlight w:val="none"/>
          <w:u w:val="single"/>
          <w:lang w:eastAsia="zh-CN"/>
        </w:rPr>
        <w:t>供应商</w:t>
      </w:r>
      <w:r>
        <w:rPr>
          <w:rFonts w:hint="eastAsia" w:ascii="微软雅黑" w:hAnsi="微软雅黑" w:eastAsia="微软雅黑" w:cs="微软雅黑"/>
          <w:color w:val="auto"/>
          <w:sz w:val="22"/>
          <w:szCs w:val="22"/>
          <w:highlight w:val="none"/>
          <w:u w:val="single"/>
        </w:rPr>
        <w:t>须知资料表</w:t>
      </w:r>
      <w:r>
        <w:rPr>
          <w:rFonts w:hint="eastAsia" w:ascii="微软雅黑" w:hAnsi="微软雅黑" w:eastAsia="微软雅黑" w:cs="微软雅黑"/>
          <w:color w:val="auto"/>
          <w:sz w:val="22"/>
          <w:szCs w:val="22"/>
          <w:highlight w:val="none"/>
        </w:rPr>
        <w:t>中规定的其他要求。</w:t>
      </w:r>
    </w:p>
    <w:p w14:paraId="54919A82">
      <w:pPr>
        <w:pageBreakBefore w:val="0"/>
        <w:widowControl w:val="0"/>
        <w:kinsoku/>
        <w:wordWrap/>
        <w:overflowPunct/>
        <w:topLinePunct w:val="0"/>
        <w:bidi w:val="0"/>
        <w:spacing w:line="360" w:lineRule="exact"/>
        <w:ind w:left="770" w:leftChars="0" w:hanging="770" w:hangingChars="35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1.3.5   若</w:t>
      </w:r>
      <w:r>
        <w:rPr>
          <w:rFonts w:hint="eastAsia" w:ascii="微软雅黑" w:hAnsi="微软雅黑" w:eastAsia="微软雅黑" w:cs="微软雅黑"/>
          <w:color w:val="auto"/>
          <w:sz w:val="22"/>
          <w:szCs w:val="22"/>
          <w:highlight w:val="none"/>
          <w:u w:val="single"/>
          <w:lang w:eastAsia="zh-CN"/>
        </w:rPr>
        <w:t>供应商</w:t>
      </w:r>
      <w:r>
        <w:rPr>
          <w:rFonts w:hint="eastAsia" w:ascii="微软雅黑" w:hAnsi="微软雅黑" w:eastAsia="微软雅黑" w:cs="微软雅黑"/>
          <w:color w:val="auto"/>
          <w:sz w:val="22"/>
          <w:szCs w:val="22"/>
          <w:highlight w:val="none"/>
          <w:u w:val="single"/>
        </w:rPr>
        <w:t>须知资料表</w:t>
      </w:r>
      <w:r>
        <w:rPr>
          <w:rFonts w:hint="eastAsia" w:ascii="微软雅黑" w:hAnsi="微软雅黑" w:eastAsia="微软雅黑" w:cs="微软雅黑"/>
          <w:color w:val="auto"/>
          <w:sz w:val="22"/>
          <w:szCs w:val="22"/>
          <w:highlight w:val="none"/>
        </w:rPr>
        <w:t>中写明专门面向中小企业采购的，如</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为非中小企业且所投产品为非中小企业产品，其投标将被认定为</w:t>
      </w:r>
      <w:r>
        <w:rPr>
          <w:rFonts w:hint="eastAsia" w:ascii="微软雅黑" w:hAnsi="微软雅黑" w:eastAsia="微软雅黑" w:cs="微软雅黑"/>
          <w:b/>
          <w:bCs/>
          <w:color w:val="auto"/>
          <w:sz w:val="22"/>
          <w:szCs w:val="22"/>
          <w:highlight w:val="none"/>
        </w:rPr>
        <w:t>投标无效</w:t>
      </w:r>
      <w:r>
        <w:rPr>
          <w:rFonts w:hint="eastAsia" w:ascii="微软雅黑" w:hAnsi="微软雅黑" w:eastAsia="微软雅黑" w:cs="微软雅黑"/>
          <w:color w:val="auto"/>
          <w:sz w:val="22"/>
          <w:szCs w:val="22"/>
          <w:highlight w:val="none"/>
        </w:rPr>
        <w:t>。</w:t>
      </w:r>
    </w:p>
    <w:p w14:paraId="6358F68B">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1.4    如</w:t>
      </w:r>
      <w:r>
        <w:rPr>
          <w:rFonts w:hint="eastAsia" w:ascii="微软雅黑" w:hAnsi="微软雅黑" w:eastAsia="微软雅黑" w:cs="微软雅黑"/>
          <w:color w:val="auto"/>
          <w:sz w:val="22"/>
          <w:szCs w:val="22"/>
          <w:highlight w:val="none"/>
          <w:u w:val="single"/>
          <w:lang w:eastAsia="zh-CN"/>
        </w:rPr>
        <w:t>供应商</w:t>
      </w:r>
      <w:r>
        <w:rPr>
          <w:rFonts w:hint="eastAsia" w:ascii="微软雅黑" w:hAnsi="微软雅黑" w:eastAsia="微软雅黑" w:cs="微软雅黑"/>
          <w:color w:val="auto"/>
          <w:sz w:val="22"/>
          <w:szCs w:val="22"/>
          <w:highlight w:val="none"/>
          <w:u w:val="single"/>
        </w:rPr>
        <w:t>须知资料表</w:t>
      </w:r>
      <w:r>
        <w:rPr>
          <w:rFonts w:hint="eastAsia" w:ascii="微软雅黑" w:hAnsi="微软雅黑" w:eastAsia="微软雅黑" w:cs="微软雅黑"/>
          <w:color w:val="auto"/>
          <w:sz w:val="22"/>
          <w:szCs w:val="22"/>
          <w:highlight w:val="none"/>
        </w:rPr>
        <w:t>中允许联合体投标，对联合体规定如下：</w:t>
      </w:r>
    </w:p>
    <w:p w14:paraId="3F568532">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1.4.1   两个以上供应商可以组成一个投标联合体，以一个</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的身份投标。</w:t>
      </w:r>
    </w:p>
    <w:p w14:paraId="3425EC13">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1.4.2   联合体各方均应符合《中华人民共和国政府采购法》第二十二条规定的条件。</w:t>
      </w:r>
    </w:p>
    <w:p w14:paraId="4352F195">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1.4.3   采购人根据采购项目对</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的特殊要求，联合体中至少应当有一方符合相关规定。</w:t>
      </w:r>
    </w:p>
    <w:p w14:paraId="0F9AC464">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1.4.4   联合体各方应签订共同投标协议，明确约定联合体各方承担的工作和相应的责任，并将共同投标协议连同作为投标文件第一部分的内容提交。</w:t>
      </w:r>
    </w:p>
    <w:p w14:paraId="02B8A6A2">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1.4.5   大中型企业、其他自然人、法人或者非法人组织与小型、微型企业组成联合体共同参加投标，共同投标协议中应写明小型、微型企业的协议合同金额占到共同投标协议投标总金额的比例。</w:t>
      </w:r>
    </w:p>
    <w:p w14:paraId="37C5FC03">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1.4.6  联合体中有同类资质的供应商按照联合体分工承担相同工作的，按照较低的资质等级确定联合体的资质等级。</w:t>
      </w:r>
    </w:p>
    <w:p w14:paraId="3935BC0D">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1.4.7  以联合体形式参加政府采购活动的，联合体各方不得再单独参加或者与其他供应商另外组成联合体参加本项目投标，否则相关投标将被认定为</w:t>
      </w:r>
      <w:r>
        <w:rPr>
          <w:rFonts w:hint="eastAsia" w:ascii="微软雅黑" w:hAnsi="微软雅黑" w:eastAsia="微软雅黑" w:cs="微软雅黑"/>
          <w:b/>
          <w:bCs/>
          <w:color w:val="auto"/>
          <w:sz w:val="22"/>
          <w:szCs w:val="22"/>
          <w:highlight w:val="none"/>
        </w:rPr>
        <w:t>投标无效</w:t>
      </w:r>
      <w:r>
        <w:rPr>
          <w:rFonts w:hint="eastAsia" w:ascii="微软雅黑" w:hAnsi="微软雅黑" w:eastAsia="微软雅黑" w:cs="微软雅黑"/>
          <w:color w:val="auto"/>
          <w:sz w:val="22"/>
          <w:szCs w:val="22"/>
          <w:highlight w:val="none"/>
        </w:rPr>
        <w:t>。</w:t>
      </w:r>
    </w:p>
    <w:p w14:paraId="7A0AC03A">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1.4.8   对联合体投标的其他资格要求见</w:t>
      </w:r>
      <w:r>
        <w:rPr>
          <w:rFonts w:hint="eastAsia" w:ascii="微软雅黑" w:hAnsi="微软雅黑" w:eastAsia="微软雅黑" w:cs="微软雅黑"/>
          <w:color w:val="auto"/>
          <w:sz w:val="22"/>
          <w:szCs w:val="22"/>
          <w:highlight w:val="none"/>
          <w:u w:val="single"/>
          <w:lang w:eastAsia="zh-CN"/>
        </w:rPr>
        <w:t>供应商</w:t>
      </w:r>
      <w:r>
        <w:rPr>
          <w:rFonts w:hint="eastAsia" w:ascii="微软雅黑" w:hAnsi="微软雅黑" w:eastAsia="微软雅黑" w:cs="微软雅黑"/>
          <w:color w:val="auto"/>
          <w:sz w:val="22"/>
          <w:szCs w:val="22"/>
          <w:highlight w:val="none"/>
          <w:u w:val="single"/>
        </w:rPr>
        <w:t>须知资料表</w:t>
      </w:r>
      <w:r>
        <w:rPr>
          <w:rFonts w:hint="eastAsia" w:ascii="微软雅黑" w:hAnsi="微软雅黑" w:eastAsia="微软雅黑" w:cs="微软雅黑"/>
          <w:color w:val="auto"/>
          <w:sz w:val="22"/>
          <w:szCs w:val="22"/>
          <w:highlight w:val="none"/>
        </w:rPr>
        <w:t>。</w:t>
      </w:r>
    </w:p>
    <w:p w14:paraId="419C8878">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1.5    单位负责人为同一人或者存在直接控股、管理关系的不同供应商，其相关投标将被认定为</w:t>
      </w:r>
      <w:r>
        <w:rPr>
          <w:rFonts w:hint="eastAsia" w:ascii="微软雅黑" w:hAnsi="微软雅黑" w:eastAsia="微软雅黑" w:cs="微软雅黑"/>
          <w:b/>
          <w:bCs/>
          <w:color w:val="auto"/>
          <w:sz w:val="22"/>
          <w:szCs w:val="22"/>
          <w:highlight w:val="none"/>
        </w:rPr>
        <w:t>投标无效</w:t>
      </w:r>
      <w:r>
        <w:rPr>
          <w:rFonts w:hint="eastAsia" w:ascii="微软雅黑" w:hAnsi="微软雅黑" w:eastAsia="微软雅黑" w:cs="微软雅黑"/>
          <w:color w:val="auto"/>
          <w:sz w:val="22"/>
          <w:szCs w:val="22"/>
          <w:highlight w:val="none"/>
        </w:rPr>
        <w:t>。</w:t>
      </w:r>
    </w:p>
    <w:p w14:paraId="0606326D">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 xml:space="preserve">1.6    </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在投标过程中不得向采购人提供、给予任何有价值的物品，影响其正常决策行为。一经发现，其将被认定为</w:t>
      </w:r>
      <w:r>
        <w:rPr>
          <w:rFonts w:hint="eastAsia" w:ascii="微软雅黑" w:hAnsi="微软雅黑" w:eastAsia="微软雅黑" w:cs="微软雅黑"/>
          <w:b/>
          <w:bCs/>
          <w:color w:val="auto"/>
          <w:sz w:val="22"/>
          <w:szCs w:val="22"/>
          <w:highlight w:val="none"/>
        </w:rPr>
        <w:t>投标无效</w:t>
      </w:r>
      <w:r>
        <w:rPr>
          <w:rFonts w:hint="eastAsia" w:ascii="微软雅黑" w:hAnsi="微软雅黑" w:eastAsia="微软雅黑" w:cs="微软雅黑"/>
          <w:color w:val="auto"/>
          <w:sz w:val="22"/>
          <w:szCs w:val="22"/>
          <w:highlight w:val="none"/>
        </w:rPr>
        <w:t>。</w:t>
      </w:r>
    </w:p>
    <w:p w14:paraId="70555831">
      <w:pPr>
        <w:pStyle w:val="4"/>
        <w:pageBreakBefore w:val="0"/>
        <w:widowControl w:val="0"/>
        <w:kinsoku/>
        <w:wordWrap/>
        <w:overflowPunct/>
        <w:topLinePunct w:val="0"/>
        <w:bidi w:val="0"/>
        <w:spacing w:before="0" w:after="0" w:line="360" w:lineRule="exact"/>
        <w:ind w:left="0" w:leftChars="0"/>
        <w:textAlignment w:val="auto"/>
        <w:rPr>
          <w:rFonts w:hint="eastAsia" w:ascii="微软雅黑" w:hAnsi="微软雅黑" w:eastAsia="微软雅黑" w:cs="微软雅黑"/>
          <w:b/>
          <w:bCs/>
          <w:color w:val="auto"/>
          <w:sz w:val="22"/>
          <w:szCs w:val="22"/>
          <w:highlight w:val="none"/>
          <w:u w:val="none"/>
        </w:rPr>
      </w:pPr>
      <w:bookmarkStart w:id="75" w:name="_Toc8897"/>
      <w:bookmarkStart w:id="76" w:name="_Toc25558"/>
      <w:bookmarkStart w:id="77" w:name="_Toc26154"/>
      <w:bookmarkStart w:id="78" w:name="_Toc14116"/>
      <w:bookmarkStart w:id="79" w:name="_Toc12139"/>
      <w:bookmarkStart w:id="80" w:name="_Toc1403"/>
      <w:bookmarkStart w:id="81" w:name="_Toc12150"/>
      <w:bookmarkStart w:id="82" w:name="_Toc4311"/>
      <w:bookmarkStart w:id="83" w:name="_Toc30940"/>
      <w:bookmarkStart w:id="84" w:name="_Toc8902"/>
      <w:bookmarkStart w:id="85" w:name="_Toc29758"/>
      <w:bookmarkStart w:id="86" w:name="_Toc10699"/>
      <w:bookmarkStart w:id="87" w:name="_Toc25723"/>
      <w:bookmarkStart w:id="88" w:name="_Toc29854"/>
      <w:bookmarkStart w:id="89" w:name="_Toc5897"/>
      <w:bookmarkStart w:id="90" w:name="_Toc22971"/>
      <w:bookmarkStart w:id="91" w:name="_Toc30033"/>
      <w:bookmarkStart w:id="92" w:name="_Toc28511"/>
      <w:bookmarkStart w:id="93" w:name="_Toc4366"/>
      <w:bookmarkStart w:id="94" w:name="_Toc32436"/>
      <w:bookmarkStart w:id="95" w:name="_Toc23554"/>
      <w:bookmarkStart w:id="96" w:name="_Toc16384"/>
      <w:bookmarkStart w:id="97" w:name="_Toc13272"/>
      <w:bookmarkStart w:id="98" w:name="_Toc18780"/>
      <w:bookmarkStart w:id="99" w:name="_Toc1760"/>
      <w:bookmarkStart w:id="100" w:name="_Toc4816"/>
      <w:bookmarkStart w:id="101" w:name="_Toc27814"/>
      <w:bookmarkStart w:id="102" w:name="_Toc2406"/>
      <w:bookmarkStart w:id="103" w:name="_Toc7800"/>
      <w:bookmarkStart w:id="104" w:name="_Toc5286"/>
      <w:bookmarkStart w:id="105" w:name="_Toc20848"/>
      <w:bookmarkStart w:id="106" w:name="_Toc11068"/>
      <w:bookmarkStart w:id="107" w:name="_Toc19970"/>
      <w:bookmarkStart w:id="108" w:name="_Toc515647759"/>
      <w:bookmarkStart w:id="109" w:name="_Toc1735"/>
      <w:bookmarkStart w:id="110" w:name="_Toc10189"/>
      <w:bookmarkStart w:id="111" w:name="_Toc21286"/>
      <w:r>
        <w:rPr>
          <w:rFonts w:hint="eastAsia" w:ascii="微软雅黑" w:hAnsi="微软雅黑" w:eastAsia="微软雅黑" w:cs="微软雅黑"/>
          <w:b/>
          <w:bCs/>
          <w:color w:val="auto"/>
          <w:sz w:val="22"/>
          <w:szCs w:val="22"/>
          <w:highlight w:val="none"/>
          <w:u w:val="none"/>
        </w:rPr>
        <w:t>2.资金来源</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p w14:paraId="36699CA2">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2.1</w:t>
      </w: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color w:val="auto"/>
          <w:sz w:val="22"/>
          <w:szCs w:val="22"/>
          <w:highlight w:val="none"/>
        </w:rPr>
        <w:t>本项目的采购人已获得足以支付本次招标后所签订的合同项下的资金（包括财政性资金和本项目采购中无法与财政性资金分割的非财政性资金）。</w:t>
      </w:r>
    </w:p>
    <w:p w14:paraId="3AC6DA34">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2.2    项目预算金额和分项或分包最高限价</w:t>
      </w:r>
      <w:r>
        <w:rPr>
          <w:rFonts w:hint="eastAsia" w:ascii="微软雅黑" w:hAnsi="微软雅黑" w:eastAsia="微软雅黑" w:cs="微软雅黑"/>
          <w:color w:val="auto"/>
          <w:sz w:val="22"/>
          <w:szCs w:val="22"/>
          <w:highlight w:val="none"/>
          <w:u w:val="single"/>
        </w:rPr>
        <w:t>见</w:t>
      </w:r>
      <w:r>
        <w:rPr>
          <w:rFonts w:hint="eastAsia" w:ascii="微软雅黑" w:hAnsi="微软雅黑" w:eastAsia="微软雅黑" w:cs="微软雅黑"/>
          <w:color w:val="auto"/>
          <w:sz w:val="22"/>
          <w:szCs w:val="22"/>
          <w:highlight w:val="none"/>
          <w:u w:val="single"/>
          <w:lang w:eastAsia="zh-CN"/>
        </w:rPr>
        <w:t>供应商</w:t>
      </w:r>
      <w:r>
        <w:rPr>
          <w:rFonts w:hint="eastAsia" w:ascii="微软雅黑" w:hAnsi="微软雅黑" w:eastAsia="微软雅黑" w:cs="微软雅黑"/>
          <w:color w:val="auto"/>
          <w:sz w:val="22"/>
          <w:szCs w:val="22"/>
          <w:highlight w:val="none"/>
          <w:u w:val="single"/>
        </w:rPr>
        <w:t>须知资料表</w:t>
      </w:r>
      <w:r>
        <w:rPr>
          <w:rFonts w:hint="eastAsia" w:ascii="微软雅黑" w:hAnsi="微软雅黑" w:eastAsia="微软雅黑" w:cs="微软雅黑"/>
          <w:color w:val="auto"/>
          <w:sz w:val="22"/>
          <w:szCs w:val="22"/>
          <w:highlight w:val="none"/>
        </w:rPr>
        <w:t>。</w:t>
      </w:r>
    </w:p>
    <w:p w14:paraId="5ABC55DF">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 xml:space="preserve">2.3    </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报价超过招标文件规定的预算金额或者分项、分包最高限价的，其投标将被认定为</w:t>
      </w:r>
      <w:r>
        <w:rPr>
          <w:rFonts w:hint="eastAsia" w:ascii="微软雅黑" w:hAnsi="微软雅黑" w:eastAsia="微软雅黑" w:cs="微软雅黑"/>
          <w:b/>
          <w:bCs/>
          <w:color w:val="auto"/>
          <w:sz w:val="22"/>
          <w:szCs w:val="22"/>
          <w:highlight w:val="none"/>
        </w:rPr>
        <w:t>投标无效</w:t>
      </w:r>
      <w:r>
        <w:rPr>
          <w:rFonts w:hint="eastAsia" w:ascii="微软雅黑" w:hAnsi="微软雅黑" w:eastAsia="微软雅黑" w:cs="微软雅黑"/>
          <w:color w:val="auto"/>
          <w:sz w:val="22"/>
          <w:szCs w:val="22"/>
          <w:highlight w:val="none"/>
        </w:rPr>
        <w:t>。</w:t>
      </w:r>
    </w:p>
    <w:p w14:paraId="4052C8E1">
      <w:pPr>
        <w:pStyle w:val="4"/>
        <w:pageBreakBefore w:val="0"/>
        <w:widowControl w:val="0"/>
        <w:kinsoku/>
        <w:wordWrap/>
        <w:overflowPunct/>
        <w:topLinePunct w:val="0"/>
        <w:bidi w:val="0"/>
        <w:spacing w:before="0" w:after="0" w:line="360" w:lineRule="exact"/>
        <w:ind w:left="0" w:leftChars="0"/>
        <w:textAlignment w:val="auto"/>
        <w:rPr>
          <w:rFonts w:hint="eastAsia" w:ascii="微软雅黑" w:hAnsi="微软雅黑" w:eastAsia="微软雅黑" w:cs="微软雅黑"/>
          <w:color w:val="auto"/>
          <w:sz w:val="22"/>
          <w:szCs w:val="22"/>
          <w:highlight w:val="none"/>
          <w:u w:val="none"/>
        </w:rPr>
      </w:pPr>
      <w:bookmarkStart w:id="112" w:name="_Toc19676"/>
      <w:bookmarkStart w:id="113" w:name="_Toc25239"/>
      <w:bookmarkStart w:id="114" w:name="_Toc20799"/>
      <w:bookmarkStart w:id="115" w:name="_Toc30650"/>
      <w:bookmarkStart w:id="116" w:name="_Toc30157"/>
      <w:bookmarkStart w:id="117" w:name="_Toc15518"/>
      <w:bookmarkStart w:id="118" w:name="_Toc17010"/>
      <w:bookmarkStart w:id="119" w:name="_Toc22731"/>
      <w:bookmarkStart w:id="120" w:name="_Toc13239"/>
      <w:bookmarkStart w:id="121" w:name="_Toc20444"/>
      <w:bookmarkStart w:id="122" w:name="_Toc30708"/>
      <w:bookmarkStart w:id="123" w:name="_Toc235"/>
      <w:bookmarkStart w:id="124" w:name="_Toc16588"/>
      <w:bookmarkStart w:id="125" w:name="_Toc20044"/>
      <w:bookmarkStart w:id="126" w:name="_Toc10963"/>
      <w:bookmarkStart w:id="127" w:name="_Toc20526"/>
      <w:bookmarkStart w:id="128" w:name="_Toc25359"/>
      <w:bookmarkStart w:id="129" w:name="_Toc2156"/>
      <w:bookmarkStart w:id="130" w:name="_Toc26446"/>
      <w:bookmarkStart w:id="131" w:name="_Toc14612"/>
      <w:bookmarkStart w:id="132" w:name="_Toc6415"/>
      <w:bookmarkStart w:id="133" w:name="_Toc6389"/>
      <w:bookmarkStart w:id="134" w:name="_Toc5065"/>
      <w:bookmarkStart w:id="135" w:name="_Toc4011"/>
      <w:bookmarkStart w:id="136" w:name="_Toc25947"/>
      <w:bookmarkStart w:id="137" w:name="_Toc29504"/>
      <w:bookmarkStart w:id="138" w:name="_Toc22043"/>
      <w:bookmarkStart w:id="139" w:name="_Toc12503"/>
      <w:bookmarkStart w:id="140" w:name="_Toc13116"/>
      <w:bookmarkStart w:id="141" w:name="_Toc5207"/>
      <w:bookmarkStart w:id="142" w:name="_Toc515647760"/>
      <w:bookmarkStart w:id="143" w:name="_Toc15936"/>
      <w:bookmarkStart w:id="144" w:name="_Toc144"/>
      <w:bookmarkStart w:id="145" w:name="_Toc29481"/>
      <w:bookmarkStart w:id="146" w:name="_Toc10634"/>
      <w:bookmarkStart w:id="147" w:name="_Toc11215"/>
      <w:bookmarkStart w:id="148" w:name="_Toc520356145"/>
      <w:bookmarkStart w:id="149" w:name="_Toc20271"/>
      <w:r>
        <w:rPr>
          <w:rFonts w:hint="eastAsia" w:ascii="微软雅黑" w:hAnsi="微软雅黑" w:eastAsia="微软雅黑" w:cs="微软雅黑"/>
          <w:b/>
          <w:bCs/>
          <w:color w:val="auto"/>
          <w:sz w:val="22"/>
          <w:szCs w:val="22"/>
          <w:highlight w:val="none"/>
          <w:u w:val="none"/>
        </w:rPr>
        <w:t>3.投标费用</w:t>
      </w:r>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p w14:paraId="7D0EF0B1">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color w:val="auto"/>
          <w:sz w:val="22"/>
          <w:szCs w:val="22"/>
          <w:highlight w:val="none"/>
        </w:rPr>
        <w:t>不论投标的结果如何，</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应承担所有与准备和参加投标有关的费用。</w:t>
      </w:r>
    </w:p>
    <w:p w14:paraId="412C60BF">
      <w:pPr>
        <w:pStyle w:val="4"/>
        <w:pageBreakBefore w:val="0"/>
        <w:widowControl w:val="0"/>
        <w:kinsoku/>
        <w:wordWrap/>
        <w:overflowPunct/>
        <w:topLinePunct w:val="0"/>
        <w:bidi w:val="0"/>
        <w:spacing w:before="0" w:after="0" w:line="360" w:lineRule="exact"/>
        <w:ind w:left="0" w:leftChars="0"/>
        <w:textAlignment w:val="auto"/>
        <w:rPr>
          <w:rFonts w:hint="eastAsia" w:ascii="微软雅黑" w:hAnsi="微软雅黑" w:eastAsia="微软雅黑" w:cs="微软雅黑"/>
          <w:color w:val="auto"/>
          <w:sz w:val="22"/>
          <w:szCs w:val="22"/>
          <w:highlight w:val="none"/>
          <w:u w:val="none"/>
        </w:rPr>
      </w:pPr>
      <w:bookmarkStart w:id="150" w:name="_Toc17308"/>
      <w:bookmarkStart w:id="151" w:name="_Toc30146"/>
      <w:bookmarkStart w:id="152" w:name="_Toc5853"/>
      <w:bookmarkStart w:id="153" w:name="_Toc6917"/>
      <w:bookmarkStart w:id="154" w:name="_Toc27687"/>
      <w:bookmarkStart w:id="155" w:name="_Toc3724"/>
      <w:bookmarkStart w:id="156" w:name="_Toc18098"/>
      <w:bookmarkStart w:id="157" w:name="_Toc16328"/>
      <w:bookmarkStart w:id="158" w:name="_Toc7511"/>
      <w:bookmarkStart w:id="159" w:name="_Toc6759"/>
      <w:bookmarkStart w:id="160" w:name="_Toc515647761"/>
      <w:bookmarkStart w:id="161" w:name="_Toc18172"/>
      <w:bookmarkStart w:id="162" w:name="_Toc16751"/>
      <w:bookmarkStart w:id="163" w:name="_Toc12920"/>
      <w:bookmarkStart w:id="164" w:name="_Toc4463"/>
      <w:bookmarkStart w:id="165" w:name="_Toc10427"/>
      <w:bookmarkStart w:id="166" w:name="_Toc15600"/>
      <w:bookmarkStart w:id="167" w:name="_Toc29011"/>
      <w:bookmarkStart w:id="168" w:name="_Toc25508"/>
      <w:bookmarkStart w:id="169" w:name="_Toc11355"/>
      <w:bookmarkStart w:id="170" w:name="_Toc19833"/>
      <w:bookmarkStart w:id="171" w:name="_Toc14210"/>
      <w:bookmarkStart w:id="172" w:name="_Toc11621"/>
      <w:bookmarkStart w:id="173" w:name="_Toc486"/>
      <w:bookmarkStart w:id="174" w:name="_Toc16418"/>
      <w:bookmarkStart w:id="175" w:name="_Toc21641"/>
      <w:bookmarkStart w:id="176" w:name="_Toc29722"/>
      <w:bookmarkStart w:id="177" w:name="_Toc20080"/>
      <w:bookmarkStart w:id="178" w:name="_Toc14174"/>
      <w:bookmarkStart w:id="179" w:name="_Toc8918"/>
      <w:bookmarkStart w:id="180" w:name="_Toc28958"/>
      <w:bookmarkStart w:id="181" w:name="_Toc17332"/>
      <w:bookmarkStart w:id="182" w:name="_Toc6116"/>
      <w:bookmarkStart w:id="183" w:name="_Toc24881"/>
      <w:bookmarkStart w:id="184" w:name="_Toc17713"/>
      <w:bookmarkStart w:id="185" w:name="_Toc1198"/>
      <w:bookmarkStart w:id="186" w:name="_Toc19313"/>
      <w:r>
        <w:rPr>
          <w:rFonts w:hint="eastAsia" w:ascii="微软雅黑" w:hAnsi="微软雅黑" w:eastAsia="微软雅黑" w:cs="微软雅黑"/>
          <w:b/>
          <w:bCs/>
          <w:color w:val="auto"/>
          <w:sz w:val="22"/>
          <w:szCs w:val="22"/>
          <w:highlight w:val="none"/>
          <w:u w:val="none"/>
        </w:rPr>
        <w:t>4.适用法律</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p>
    <w:p w14:paraId="57076A71">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 xml:space="preserve">       本项目采购人、采购代理机构、</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、评标委员会的相关行为均受《中华人民共和国政府采购法》、《中华人民共和国政府采购法实施条例》</w:t>
      </w:r>
      <w:r>
        <w:rPr>
          <w:rFonts w:hint="eastAsia" w:ascii="微软雅黑" w:hAnsi="微软雅黑" w:eastAsia="微软雅黑" w:cs="微软雅黑"/>
          <w:color w:val="auto"/>
          <w:sz w:val="22"/>
          <w:szCs w:val="22"/>
          <w:highlight w:val="none"/>
          <w:lang w:eastAsia="zh-CN"/>
        </w:rPr>
        <w:t>、中华人民共和国财政部令第87号--</w:t>
      </w:r>
      <w:r>
        <w:rPr>
          <w:rFonts w:hint="eastAsia" w:ascii="微软雅黑" w:hAnsi="微软雅黑" w:eastAsia="微软雅黑" w:cs="微软雅黑"/>
          <w:color w:val="auto"/>
          <w:sz w:val="22"/>
          <w:szCs w:val="22"/>
          <w:highlight w:val="none"/>
        </w:rPr>
        <w:t>《</w:t>
      </w:r>
      <w:r>
        <w:rPr>
          <w:rFonts w:hint="eastAsia" w:ascii="微软雅黑" w:hAnsi="微软雅黑" w:eastAsia="微软雅黑" w:cs="微软雅黑"/>
          <w:color w:val="auto"/>
          <w:sz w:val="22"/>
          <w:szCs w:val="22"/>
          <w:highlight w:val="none"/>
          <w:lang w:eastAsia="zh-CN"/>
        </w:rPr>
        <w:t>政府采购货物和</w:t>
      </w:r>
      <w:r>
        <w:rPr>
          <w:rFonts w:hint="eastAsia" w:ascii="微软雅黑" w:hAnsi="微软雅黑" w:eastAsia="微软雅黑" w:cs="微软雅黑"/>
          <w:color w:val="auto"/>
          <w:sz w:val="22"/>
          <w:szCs w:val="22"/>
          <w:highlight w:val="none"/>
          <w:lang w:val="en-US" w:eastAsia="zh-CN"/>
        </w:rPr>
        <w:t>服务</w:t>
      </w:r>
      <w:r>
        <w:rPr>
          <w:rFonts w:hint="eastAsia" w:ascii="微软雅黑" w:hAnsi="微软雅黑" w:eastAsia="微软雅黑" w:cs="微软雅黑"/>
          <w:color w:val="auto"/>
          <w:sz w:val="22"/>
          <w:szCs w:val="22"/>
          <w:highlight w:val="none"/>
          <w:lang w:eastAsia="zh-CN"/>
        </w:rPr>
        <w:t>招标投标管理办法</w:t>
      </w:r>
      <w:r>
        <w:rPr>
          <w:rFonts w:hint="eastAsia" w:ascii="微软雅黑" w:hAnsi="微软雅黑" w:eastAsia="微软雅黑" w:cs="微软雅黑"/>
          <w:color w:val="auto"/>
          <w:sz w:val="22"/>
          <w:szCs w:val="22"/>
          <w:highlight w:val="none"/>
        </w:rPr>
        <w:t>》及本项目本级和上级财政部门政府采购有关规定的约束，其权利受到上述法律法规的保护。</w:t>
      </w:r>
    </w:p>
    <w:p w14:paraId="05BB15EF">
      <w:pPr>
        <w:pageBreakBefore w:val="0"/>
        <w:widowControl w:val="0"/>
        <w:kinsoku/>
        <w:wordWrap/>
        <w:overflowPunct/>
        <w:topLinePunct w:val="0"/>
        <w:bidi w:val="0"/>
        <w:spacing w:line="360" w:lineRule="exact"/>
        <w:ind w:left="0" w:leftChars="0"/>
        <w:textAlignment w:val="auto"/>
        <w:rPr>
          <w:rFonts w:hint="eastAsia" w:ascii="微软雅黑" w:hAnsi="微软雅黑" w:eastAsia="微软雅黑" w:cs="微软雅黑"/>
          <w:color w:val="auto"/>
          <w:sz w:val="22"/>
          <w:szCs w:val="22"/>
          <w:highlight w:val="none"/>
        </w:rPr>
      </w:pPr>
    </w:p>
    <w:p w14:paraId="1FD047FB">
      <w:pPr>
        <w:pStyle w:val="3"/>
        <w:pageBreakBefore w:val="0"/>
        <w:widowControl w:val="0"/>
        <w:kinsoku/>
        <w:wordWrap/>
        <w:overflowPunct/>
        <w:topLinePunct w:val="0"/>
        <w:bidi w:val="0"/>
        <w:spacing w:before="0" w:line="360" w:lineRule="exact"/>
        <w:ind w:left="0" w:leftChars="0"/>
        <w:textAlignment w:val="auto"/>
        <w:rPr>
          <w:rFonts w:hint="eastAsia" w:ascii="微软雅黑" w:hAnsi="微软雅黑" w:eastAsia="微软雅黑" w:cs="微软雅黑"/>
          <w:color w:val="auto"/>
          <w:sz w:val="28"/>
          <w:szCs w:val="18"/>
          <w:highlight w:val="none"/>
        </w:rPr>
      </w:pPr>
      <w:bookmarkStart w:id="187" w:name="_Toc15373"/>
      <w:bookmarkStart w:id="188" w:name="_Toc6385"/>
      <w:bookmarkStart w:id="189" w:name="_Toc515647762"/>
      <w:bookmarkStart w:id="190" w:name="_Toc520356146"/>
      <w:bookmarkStart w:id="191" w:name="_Toc216582806"/>
      <w:bookmarkStart w:id="192" w:name="_Toc8437"/>
      <w:bookmarkStart w:id="193" w:name="_Toc4365"/>
      <w:bookmarkStart w:id="194" w:name="_Toc21566"/>
      <w:r>
        <w:rPr>
          <w:rFonts w:hint="eastAsia" w:ascii="微软雅黑" w:hAnsi="微软雅黑" w:eastAsia="微软雅黑" w:cs="微软雅黑"/>
          <w:color w:val="auto"/>
          <w:sz w:val="24"/>
          <w:szCs w:val="18"/>
          <w:highlight w:val="none"/>
        </w:rPr>
        <w:t>二   招标文件</w:t>
      </w:r>
      <w:bookmarkEnd w:id="187"/>
      <w:bookmarkEnd w:id="188"/>
      <w:bookmarkEnd w:id="189"/>
      <w:bookmarkEnd w:id="190"/>
      <w:bookmarkEnd w:id="191"/>
      <w:bookmarkEnd w:id="192"/>
      <w:bookmarkEnd w:id="193"/>
      <w:bookmarkEnd w:id="194"/>
    </w:p>
    <w:p w14:paraId="28D8D445">
      <w:pPr>
        <w:pStyle w:val="4"/>
        <w:pageBreakBefore w:val="0"/>
        <w:widowControl w:val="0"/>
        <w:kinsoku/>
        <w:wordWrap/>
        <w:overflowPunct/>
        <w:topLinePunct w:val="0"/>
        <w:bidi w:val="0"/>
        <w:spacing w:before="0" w:after="0" w:line="360" w:lineRule="exact"/>
        <w:ind w:left="0" w:leftChars="0"/>
        <w:textAlignment w:val="auto"/>
        <w:rPr>
          <w:rFonts w:hint="eastAsia" w:ascii="微软雅黑" w:hAnsi="微软雅黑" w:eastAsia="微软雅黑" w:cs="微软雅黑"/>
          <w:b/>
          <w:bCs/>
          <w:color w:val="auto"/>
          <w:sz w:val="22"/>
          <w:szCs w:val="22"/>
          <w:highlight w:val="none"/>
          <w:u w:val="none"/>
        </w:rPr>
      </w:pPr>
      <w:bookmarkStart w:id="195" w:name="_Toc17611"/>
      <w:bookmarkStart w:id="196" w:name="_Toc14084"/>
      <w:bookmarkStart w:id="197" w:name="_Toc10939"/>
      <w:bookmarkStart w:id="198" w:name="_Toc5875"/>
      <w:bookmarkStart w:id="199" w:name="_Toc21275"/>
      <w:bookmarkStart w:id="200" w:name="_Toc18714"/>
      <w:bookmarkStart w:id="201" w:name="_Toc14734"/>
      <w:bookmarkStart w:id="202" w:name="_Toc30891"/>
      <w:bookmarkStart w:id="203" w:name="_Toc12831"/>
      <w:bookmarkStart w:id="204" w:name="_Toc29550"/>
      <w:bookmarkStart w:id="205" w:name="_Toc7068"/>
      <w:bookmarkStart w:id="206" w:name="_Toc27186"/>
      <w:bookmarkStart w:id="207" w:name="_Toc19654"/>
      <w:bookmarkStart w:id="208" w:name="_Toc10881"/>
      <w:bookmarkStart w:id="209" w:name="_Toc13683"/>
      <w:bookmarkStart w:id="210" w:name="_Toc21734"/>
      <w:bookmarkStart w:id="211" w:name="_Toc18213"/>
      <w:bookmarkStart w:id="212" w:name="_Toc25638"/>
      <w:bookmarkStart w:id="213" w:name="_Toc31365"/>
      <w:bookmarkStart w:id="214" w:name="_Toc1044"/>
      <w:bookmarkStart w:id="215" w:name="_Toc31526"/>
      <w:bookmarkStart w:id="216" w:name="_Toc30280"/>
      <w:bookmarkStart w:id="217" w:name="_Toc520356147"/>
      <w:bookmarkStart w:id="218" w:name="_Toc16192"/>
      <w:bookmarkStart w:id="219" w:name="_Toc25743"/>
      <w:bookmarkStart w:id="220" w:name="_Toc22881"/>
      <w:bookmarkStart w:id="221" w:name="_Toc30207"/>
      <w:bookmarkStart w:id="222" w:name="_Toc19515"/>
      <w:bookmarkStart w:id="223" w:name="_Toc24971"/>
      <w:bookmarkStart w:id="224" w:name="_Toc9146"/>
      <w:bookmarkStart w:id="225" w:name="_Toc15836"/>
      <w:bookmarkStart w:id="226" w:name="_Toc15203"/>
      <w:bookmarkStart w:id="227" w:name="_Toc515647763"/>
      <w:bookmarkStart w:id="228" w:name="_Toc31428"/>
      <w:bookmarkStart w:id="229" w:name="_Toc14656"/>
      <w:bookmarkStart w:id="230" w:name="_Toc7465"/>
      <w:bookmarkStart w:id="231" w:name="_Toc18235"/>
      <w:bookmarkStart w:id="232" w:name="_Toc26987"/>
      <w:r>
        <w:rPr>
          <w:rFonts w:hint="eastAsia" w:ascii="微软雅黑" w:hAnsi="微软雅黑" w:eastAsia="微软雅黑" w:cs="微软雅黑"/>
          <w:b/>
          <w:bCs/>
          <w:color w:val="auto"/>
          <w:sz w:val="22"/>
          <w:szCs w:val="22"/>
          <w:highlight w:val="none"/>
          <w:u w:val="none"/>
        </w:rPr>
        <w:t>5.招标文件构成</w:t>
      </w:r>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p>
    <w:p w14:paraId="320362C3">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5.1</w:t>
      </w: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color w:val="auto"/>
          <w:sz w:val="22"/>
          <w:szCs w:val="22"/>
          <w:highlight w:val="none"/>
        </w:rPr>
        <w:t>招标文件分为三册共7章，内容如下：</w:t>
      </w:r>
    </w:p>
    <w:p w14:paraId="597D2F85">
      <w:pPr>
        <w:pageBreakBefore w:val="0"/>
        <w:widowControl w:val="0"/>
        <w:kinsoku/>
        <w:wordWrap/>
        <w:overflowPunct/>
        <w:topLinePunct w:val="0"/>
        <w:bidi w:val="0"/>
        <w:spacing w:line="360" w:lineRule="exact"/>
        <w:ind w:left="0" w:leftChars="0" w:firstLine="55" w:firstLineChars="2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第一册</w:t>
      </w:r>
    </w:p>
    <w:p w14:paraId="5CD907A2">
      <w:pPr>
        <w:pageBreakBefore w:val="0"/>
        <w:widowControl w:val="0"/>
        <w:tabs>
          <w:tab w:val="left" w:pos="0"/>
        </w:tabs>
        <w:kinsoku/>
        <w:wordWrap/>
        <w:overflowPunct/>
        <w:topLinePunct w:val="0"/>
        <w:bidi w:val="0"/>
        <w:spacing w:line="360" w:lineRule="exact"/>
        <w:ind w:left="0" w:leftChars="0" w:firstLine="220" w:firstLineChars="10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 xml:space="preserve">1 </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须知</w:t>
      </w:r>
    </w:p>
    <w:p w14:paraId="36391543">
      <w:pPr>
        <w:pageBreakBefore w:val="0"/>
        <w:widowControl w:val="0"/>
        <w:kinsoku/>
        <w:wordWrap/>
        <w:overflowPunct/>
        <w:topLinePunct w:val="0"/>
        <w:bidi w:val="0"/>
        <w:spacing w:line="360" w:lineRule="exact"/>
        <w:ind w:left="0" w:leftChars="0" w:firstLine="220" w:firstLineChars="10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2投标文件格式</w:t>
      </w:r>
    </w:p>
    <w:p w14:paraId="2AB384A0">
      <w:pPr>
        <w:pageBreakBefore w:val="0"/>
        <w:widowControl w:val="0"/>
        <w:kinsoku/>
        <w:wordWrap/>
        <w:overflowPunct/>
        <w:topLinePunct w:val="0"/>
        <w:bidi w:val="0"/>
        <w:spacing w:line="360" w:lineRule="exact"/>
        <w:ind w:left="0" w:leftChars="0" w:firstLine="30" w:firstLineChars="14"/>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第二册</w:t>
      </w:r>
    </w:p>
    <w:p w14:paraId="60B10C4F">
      <w:pPr>
        <w:pageBreakBefore w:val="0"/>
        <w:widowControl w:val="0"/>
        <w:kinsoku/>
        <w:wordWrap/>
        <w:overflowPunct/>
        <w:topLinePunct w:val="0"/>
        <w:bidi w:val="0"/>
        <w:spacing w:line="360" w:lineRule="exact"/>
        <w:ind w:left="0" w:leftChars="0" w:firstLine="220" w:firstLineChars="10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3 投标邀请</w:t>
      </w:r>
    </w:p>
    <w:p w14:paraId="76CD6E18">
      <w:pPr>
        <w:pageBreakBefore w:val="0"/>
        <w:widowControl w:val="0"/>
        <w:kinsoku/>
        <w:wordWrap/>
        <w:overflowPunct/>
        <w:topLinePunct w:val="0"/>
        <w:bidi w:val="0"/>
        <w:spacing w:line="360" w:lineRule="exact"/>
        <w:ind w:left="0" w:leftChars="0" w:firstLine="220" w:firstLineChars="10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 xml:space="preserve">4 </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须知资料表</w:t>
      </w:r>
    </w:p>
    <w:p w14:paraId="542B9326">
      <w:pPr>
        <w:pageBreakBefore w:val="0"/>
        <w:widowControl w:val="0"/>
        <w:kinsoku/>
        <w:wordWrap/>
        <w:overflowPunct/>
        <w:topLinePunct w:val="0"/>
        <w:bidi w:val="0"/>
        <w:spacing w:line="360" w:lineRule="exact"/>
        <w:ind w:left="0" w:leftChars="0" w:firstLine="220" w:firstLineChars="10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 xml:space="preserve">5 </w:t>
      </w:r>
      <w:r>
        <w:rPr>
          <w:rFonts w:hint="eastAsia" w:ascii="微软雅黑" w:hAnsi="微软雅黑" w:eastAsia="微软雅黑" w:cs="微软雅黑"/>
          <w:color w:val="auto"/>
          <w:sz w:val="22"/>
          <w:szCs w:val="22"/>
          <w:highlight w:val="none"/>
          <w:lang w:val="en-US" w:eastAsia="zh-CN"/>
        </w:rPr>
        <w:t>货物</w:t>
      </w:r>
      <w:r>
        <w:rPr>
          <w:rFonts w:hint="eastAsia" w:ascii="微软雅黑" w:hAnsi="微软雅黑" w:eastAsia="微软雅黑" w:cs="微软雅黑"/>
          <w:color w:val="auto"/>
          <w:sz w:val="22"/>
          <w:szCs w:val="22"/>
          <w:highlight w:val="none"/>
        </w:rPr>
        <w:t xml:space="preserve">内容及项目要求 </w:t>
      </w:r>
    </w:p>
    <w:p w14:paraId="6A16735D">
      <w:pPr>
        <w:pageBreakBefore w:val="0"/>
        <w:widowControl w:val="0"/>
        <w:kinsoku/>
        <w:wordWrap/>
        <w:overflowPunct/>
        <w:topLinePunct w:val="0"/>
        <w:bidi w:val="0"/>
        <w:spacing w:line="360" w:lineRule="exact"/>
        <w:ind w:left="0" w:leftChars="0" w:firstLine="220" w:firstLineChars="10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6 评标方法和标准</w:t>
      </w:r>
    </w:p>
    <w:p w14:paraId="1C5DEA79">
      <w:pPr>
        <w:pageBreakBefore w:val="0"/>
        <w:widowControl w:val="0"/>
        <w:kinsoku/>
        <w:wordWrap/>
        <w:overflowPunct/>
        <w:topLinePunct w:val="0"/>
        <w:bidi w:val="0"/>
        <w:spacing w:line="360" w:lineRule="exact"/>
        <w:ind w:left="0" w:leftChars="0" w:firstLine="220" w:firstLineChars="10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第三册</w:t>
      </w:r>
    </w:p>
    <w:p w14:paraId="5EB95167">
      <w:pPr>
        <w:pageBreakBefore w:val="0"/>
        <w:widowControl w:val="0"/>
        <w:kinsoku/>
        <w:wordWrap/>
        <w:overflowPunct/>
        <w:topLinePunct w:val="0"/>
        <w:bidi w:val="0"/>
        <w:spacing w:line="360" w:lineRule="exact"/>
        <w:ind w:left="0" w:leftChars="0" w:firstLine="220" w:firstLineChars="10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7政府采购合同格式</w:t>
      </w:r>
    </w:p>
    <w:p w14:paraId="569D93D5">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5.2</w:t>
      </w:r>
      <w:r>
        <w:rPr>
          <w:rFonts w:hint="eastAsia" w:ascii="微软雅黑" w:hAnsi="微软雅黑" w:eastAsia="微软雅黑" w:cs="微软雅黑"/>
          <w:color w:val="auto"/>
          <w:sz w:val="22"/>
          <w:szCs w:val="22"/>
          <w:highlight w:val="none"/>
          <w:lang w:val="en-US" w:eastAsia="zh-CN"/>
        </w:rPr>
        <w:t xml:space="preserve">    </w:t>
      </w:r>
      <w:r>
        <w:rPr>
          <w:rFonts w:hint="eastAsia" w:ascii="微软雅黑" w:hAnsi="微软雅黑" w:eastAsia="微软雅黑" w:cs="微软雅黑"/>
          <w:color w:val="auto"/>
          <w:sz w:val="22"/>
          <w:szCs w:val="22"/>
          <w:highlight w:val="none"/>
        </w:rPr>
        <w:t>如本文件的前后内容不一致，以最后描述为准。</w:t>
      </w:r>
    </w:p>
    <w:p w14:paraId="71E855B3">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 xml:space="preserve">5.3    </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应认真阅读招标文件所有的事项、格式、条款和技术规范等。如</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没有按照招标文件要求提交全部资料，或者投标文件没有对招标文件在各方面都做出实质性响应，可能导致其投标将被认定为</w:t>
      </w:r>
      <w:r>
        <w:rPr>
          <w:rFonts w:hint="eastAsia" w:ascii="微软雅黑" w:hAnsi="微软雅黑" w:eastAsia="微软雅黑" w:cs="微软雅黑"/>
          <w:b/>
          <w:bCs/>
          <w:color w:val="auto"/>
          <w:sz w:val="22"/>
          <w:szCs w:val="22"/>
          <w:highlight w:val="none"/>
        </w:rPr>
        <w:t>投标无效</w:t>
      </w:r>
      <w:r>
        <w:rPr>
          <w:rFonts w:hint="eastAsia" w:ascii="微软雅黑" w:hAnsi="微软雅黑" w:eastAsia="微软雅黑" w:cs="微软雅黑"/>
          <w:color w:val="auto"/>
          <w:sz w:val="22"/>
          <w:szCs w:val="22"/>
          <w:highlight w:val="none"/>
        </w:rPr>
        <w:t>。</w:t>
      </w:r>
    </w:p>
    <w:p w14:paraId="1DC86540">
      <w:pPr>
        <w:pStyle w:val="4"/>
        <w:pageBreakBefore w:val="0"/>
        <w:widowControl w:val="0"/>
        <w:kinsoku/>
        <w:wordWrap/>
        <w:overflowPunct/>
        <w:topLinePunct w:val="0"/>
        <w:bidi w:val="0"/>
        <w:spacing w:before="0" w:after="0" w:line="360" w:lineRule="exact"/>
        <w:ind w:left="0" w:leftChars="0"/>
        <w:textAlignment w:val="auto"/>
        <w:rPr>
          <w:rFonts w:hint="eastAsia" w:ascii="微软雅黑" w:hAnsi="微软雅黑" w:eastAsia="微软雅黑" w:cs="微软雅黑"/>
          <w:b/>
          <w:bCs/>
          <w:color w:val="auto"/>
          <w:sz w:val="22"/>
          <w:szCs w:val="22"/>
          <w:highlight w:val="none"/>
          <w:u w:val="none"/>
        </w:rPr>
      </w:pPr>
      <w:bookmarkStart w:id="233" w:name="_Toc520356148"/>
      <w:bookmarkStart w:id="234" w:name="_Toc515904805"/>
      <w:bookmarkStart w:id="235" w:name="_Toc19275"/>
      <w:bookmarkStart w:id="236" w:name="_Toc29186"/>
      <w:bookmarkStart w:id="237" w:name="_Toc20604"/>
      <w:bookmarkStart w:id="238" w:name="_Toc29776"/>
      <w:bookmarkStart w:id="239" w:name="_Toc5991"/>
      <w:bookmarkStart w:id="240" w:name="_Toc25426"/>
      <w:bookmarkStart w:id="241" w:name="_Toc26044"/>
      <w:bookmarkStart w:id="242" w:name="_Toc2443"/>
      <w:bookmarkStart w:id="243" w:name="_Toc21165"/>
      <w:bookmarkStart w:id="244" w:name="_Toc2569"/>
      <w:bookmarkStart w:id="245" w:name="_Toc20556"/>
      <w:bookmarkStart w:id="246" w:name="_Toc16167"/>
      <w:bookmarkStart w:id="247" w:name="_Toc24450"/>
      <w:bookmarkStart w:id="248" w:name="_Toc16444"/>
      <w:bookmarkStart w:id="249" w:name="_Toc20202"/>
      <w:bookmarkStart w:id="250" w:name="_Toc8479"/>
      <w:bookmarkStart w:id="251" w:name="_Toc32213"/>
      <w:bookmarkStart w:id="252" w:name="_Toc7059"/>
      <w:bookmarkStart w:id="253" w:name="_Toc20908"/>
      <w:bookmarkStart w:id="254" w:name="_Toc1117"/>
      <w:bookmarkStart w:id="255" w:name="_Toc8643"/>
      <w:bookmarkStart w:id="256" w:name="_Toc25866"/>
      <w:bookmarkStart w:id="257" w:name="_Toc9232"/>
      <w:bookmarkStart w:id="258" w:name="_Toc20626"/>
      <w:bookmarkStart w:id="259" w:name="_Toc27781"/>
      <w:bookmarkStart w:id="260" w:name="_Toc28731"/>
      <w:bookmarkStart w:id="261" w:name="_Toc10213"/>
      <w:bookmarkStart w:id="262" w:name="_Toc10034"/>
      <w:bookmarkStart w:id="263" w:name="_Toc12813"/>
      <w:bookmarkStart w:id="264" w:name="_Toc24879"/>
      <w:bookmarkStart w:id="265" w:name="_Toc21856"/>
      <w:bookmarkStart w:id="266" w:name="_Toc23475"/>
      <w:bookmarkStart w:id="267" w:name="_Toc5041"/>
      <w:bookmarkStart w:id="268" w:name="_Toc21098"/>
      <w:bookmarkStart w:id="269" w:name="_Toc7433"/>
      <w:bookmarkStart w:id="270" w:name="_Toc12536"/>
      <w:r>
        <w:rPr>
          <w:rFonts w:hint="eastAsia" w:ascii="微软雅黑" w:hAnsi="微软雅黑" w:eastAsia="微软雅黑" w:cs="微软雅黑"/>
          <w:b/>
          <w:bCs/>
          <w:color w:val="auto"/>
          <w:sz w:val="22"/>
          <w:szCs w:val="22"/>
          <w:highlight w:val="none"/>
          <w:u w:val="none"/>
        </w:rPr>
        <w:t>6.招标文件的澄清</w:t>
      </w:r>
      <w:bookmarkEnd w:id="233"/>
      <w:bookmarkEnd w:id="234"/>
      <w:r>
        <w:rPr>
          <w:rFonts w:hint="eastAsia" w:ascii="微软雅黑" w:hAnsi="微软雅黑" w:eastAsia="微软雅黑" w:cs="微软雅黑"/>
          <w:b/>
          <w:bCs/>
          <w:color w:val="auto"/>
          <w:sz w:val="22"/>
          <w:szCs w:val="22"/>
          <w:highlight w:val="none"/>
          <w:u w:val="none"/>
        </w:rPr>
        <w:t>与修改</w:t>
      </w:r>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p>
    <w:p w14:paraId="7ABB9FE7">
      <w:pPr>
        <w:pStyle w:val="5"/>
        <w:pageBreakBefore w:val="0"/>
        <w:widowControl w:val="0"/>
        <w:kinsoku/>
        <w:wordWrap/>
        <w:overflowPunct/>
        <w:topLinePunct w:val="0"/>
        <w:bidi w:val="0"/>
        <w:spacing w:line="360" w:lineRule="exact"/>
        <w:ind w:left="770" w:leftChars="0" w:hanging="770" w:hangingChars="35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6.1    为了保证对招标文件的澄清和修改满足法律的时限要求，任何要求对招标文件进行澄清的</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，均应在投标截止期十五日前，以书面形式将澄清要求通知采购人或采购代理机构。</w:t>
      </w:r>
    </w:p>
    <w:p w14:paraId="1405AF78">
      <w:pPr>
        <w:pStyle w:val="5"/>
        <w:pageBreakBefore w:val="0"/>
        <w:widowControl w:val="0"/>
        <w:kinsoku/>
        <w:wordWrap/>
        <w:overflowPunct/>
        <w:topLinePunct w:val="0"/>
        <w:bidi w:val="0"/>
        <w:spacing w:line="360" w:lineRule="exact"/>
        <w:ind w:left="770" w:leftChars="0" w:hanging="770" w:hangingChars="350"/>
        <w:textAlignment w:val="auto"/>
        <w:rPr>
          <w:rFonts w:hint="eastAsia" w:ascii="微软雅黑" w:hAnsi="微软雅黑" w:eastAsia="微软雅黑" w:cs="微软雅黑"/>
          <w:color w:val="auto"/>
          <w:sz w:val="22"/>
          <w:szCs w:val="22"/>
          <w:highlight w:val="none"/>
        </w:rPr>
      </w:pPr>
      <w:bookmarkStart w:id="271" w:name="_Toc515904806"/>
      <w:bookmarkStart w:id="272" w:name="_Ref467378678"/>
      <w:bookmarkStart w:id="273" w:name="_Toc520356149"/>
      <w:r>
        <w:rPr>
          <w:rFonts w:hint="eastAsia" w:ascii="微软雅黑" w:hAnsi="微软雅黑" w:eastAsia="微软雅黑" w:cs="微软雅黑"/>
          <w:color w:val="auto"/>
          <w:sz w:val="22"/>
          <w:szCs w:val="22"/>
          <w:highlight w:val="none"/>
        </w:rPr>
        <w:t>6.2</w:t>
      </w: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color w:val="auto"/>
          <w:sz w:val="22"/>
          <w:szCs w:val="22"/>
          <w:highlight w:val="none"/>
        </w:rPr>
        <w:t>采购人可主动地或在解答</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提出的澄清问题时对招标文件进行澄清或修改。采购代理机构将以发布澄清（更正）公告的方式，澄清或修改招标文件，澄清或修改内容作为招标文件的组成部分。</w:t>
      </w:r>
    </w:p>
    <w:p w14:paraId="5129E6C1">
      <w:pPr>
        <w:pStyle w:val="5"/>
        <w:pageBreakBefore w:val="0"/>
        <w:widowControl w:val="0"/>
        <w:kinsoku/>
        <w:wordWrap/>
        <w:overflowPunct/>
        <w:topLinePunct w:val="0"/>
        <w:bidi w:val="0"/>
        <w:spacing w:line="360" w:lineRule="exact"/>
        <w:ind w:left="770" w:leftChars="0" w:hanging="770" w:hangingChars="35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6.3</w:t>
      </w: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color w:val="auto"/>
          <w:sz w:val="22"/>
          <w:szCs w:val="22"/>
          <w:highlight w:val="none"/>
        </w:rPr>
        <w:t>澄清或者修改的内容可能影响投标文件编制的，采购代理机构将以书面形式通知所有购买招标文件的潜在</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，并对其具有约束力。</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在收到上述通知后，应及时向采购代理机构回函确认。</w:t>
      </w:r>
    </w:p>
    <w:bookmarkEnd w:id="271"/>
    <w:bookmarkEnd w:id="272"/>
    <w:bookmarkEnd w:id="273"/>
    <w:p w14:paraId="2B38CA50">
      <w:pPr>
        <w:pStyle w:val="4"/>
        <w:pageBreakBefore w:val="0"/>
        <w:widowControl w:val="0"/>
        <w:tabs>
          <w:tab w:val="left" w:pos="900"/>
        </w:tabs>
        <w:kinsoku/>
        <w:wordWrap/>
        <w:overflowPunct/>
        <w:topLinePunct w:val="0"/>
        <w:bidi w:val="0"/>
        <w:spacing w:before="0" w:after="0" w:line="360" w:lineRule="exact"/>
        <w:ind w:left="0" w:leftChars="0"/>
        <w:textAlignment w:val="auto"/>
        <w:rPr>
          <w:rFonts w:hint="eastAsia" w:ascii="微软雅黑" w:hAnsi="微软雅黑" w:eastAsia="微软雅黑" w:cs="微软雅黑"/>
          <w:b/>
          <w:bCs/>
          <w:color w:val="auto"/>
          <w:sz w:val="22"/>
          <w:szCs w:val="22"/>
          <w:highlight w:val="none"/>
          <w:u w:val="none"/>
        </w:rPr>
      </w:pPr>
      <w:bookmarkStart w:id="274" w:name="_Toc6105"/>
      <w:bookmarkStart w:id="275" w:name="_Toc5103"/>
      <w:bookmarkStart w:id="276" w:name="_Toc17427"/>
      <w:bookmarkStart w:id="277" w:name="_Toc28059"/>
      <w:bookmarkStart w:id="278" w:name="_Toc9080"/>
      <w:bookmarkStart w:id="279" w:name="_Toc11082"/>
      <w:bookmarkStart w:id="280" w:name="_Toc978"/>
      <w:bookmarkStart w:id="281" w:name="_Toc14901"/>
      <w:bookmarkStart w:id="282" w:name="_Toc27811"/>
      <w:bookmarkStart w:id="283" w:name="_Toc14856"/>
      <w:bookmarkStart w:id="284" w:name="_Toc25635"/>
      <w:bookmarkStart w:id="285" w:name="_Toc517"/>
      <w:bookmarkStart w:id="286" w:name="_Toc21187"/>
      <w:bookmarkStart w:id="287" w:name="_Toc11020"/>
      <w:bookmarkStart w:id="288" w:name="_Toc14569"/>
      <w:bookmarkStart w:id="289" w:name="_Toc12443"/>
      <w:bookmarkStart w:id="290" w:name="_Toc18504"/>
      <w:bookmarkStart w:id="291" w:name="_Toc15292"/>
      <w:bookmarkStart w:id="292" w:name="_Toc24028"/>
      <w:bookmarkStart w:id="293" w:name="_Toc10823"/>
      <w:bookmarkStart w:id="294" w:name="_Toc32714"/>
      <w:bookmarkStart w:id="295" w:name="_Toc10609"/>
      <w:bookmarkStart w:id="296" w:name="_Toc7919"/>
      <w:bookmarkStart w:id="297" w:name="_Toc1073"/>
      <w:bookmarkStart w:id="298" w:name="_Toc4047"/>
      <w:bookmarkStart w:id="299" w:name="_Toc30306"/>
      <w:bookmarkStart w:id="300" w:name="_Toc14412"/>
      <w:bookmarkStart w:id="301" w:name="_Toc19489"/>
      <w:bookmarkStart w:id="302" w:name="_Toc13079"/>
      <w:bookmarkStart w:id="303" w:name="_Toc22107"/>
      <w:bookmarkStart w:id="304" w:name="_Toc16783"/>
      <w:bookmarkStart w:id="305" w:name="_Toc23315"/>
      <w:bookmarkStart w:id="306" w:name="_Toc30494"/>
      <w:bookmarkStart w:id="307" w:name="_Toc1706"/>
      <w:bookmarkStart w:id="308" w:name="_Toc22843"/>
      <w:bookmarkStart w:id="309" w:name="_Toc20538"/>
      <w:bookmarkStart w:id="310" w:name="_Toc516367020"/>
      <w:bookmarkStart w:id="311" w:name="_Toc21912"/>
      <w:bookmarkStart w:id="312" w:name="_Toc216582807"/>
      <w:bookmarkStart w:id="313" w:name="_Toc7636"/>
      <w:bookmarkStart w:id="314" w:name="_Toc520356150"/>
      <w:bookmarkStart w:id="315" w:name="_Toc515647766"/>
      <w:bookmarkStart w:id="316" w:name="_Toc30808"/>
      <w:bookmarkStart w:id="317" w:name="_Toc29522"/>
      <w:r>
        <w:rPr>
          <w:rFonts w:hint="eastAsia" w:ascii="微软雅黑" w:hAnsi="微软雅黑" w:eastAsia="微软雅黑" w:cs="微软雅黑"/>
          <w:b/>
          <w:bCs/>
          <w:color w:val="auto"/>
          <w:sz w:val="22"/>
          <w:szCs w:val="22"/>
          <w:highlight w:val="none"/>
          <w:u w:val="none"/>
        </w:rPr>
        <w:t>7.投标截止时间的顺延</w:t>
      </w:r>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p>
    <w:p w14:paraId="46DBB9C2">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4"/>
          <w:szCs w:val="22"/>
          <w:highlight w:val="none"/>
        </w:rPr>
      </w:pP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color w:val="auto"/>
          <w:sz w:val="22"/>
          <w:szCs w:val="22"/>
          <w:highlight w:val="none"/>
        </w:rPr>
        <w:t>为使</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准备投标时有足够的时间对招标文件的澄清或者修改部分进行研究，采购人将依法决定是否顺延投标截止时间。</w:t>
      </w:r>
    </w:p>
    <w:p w14:paraId="416D8278">
      <w:pPr>
        <w:pageBreakBefore w:val="0"/>
        <w:widowControl w:val="0"/>
        <w:tabs>
          <w:tab w:val="left" w:pos="900"/>
        </w:tabs>
        <w:kinsoku/>
        <w:wordWrap/>
        <w:overflowPunct/>
        <w:topLinePunct w:val="0"/>
        <w:bidi w:val="0"/>
        <w:spacing w:line="360" w:lineRule="exact"/>
        <w:ind w:left="0" w:leftChars="0" w:hanging="540"/>
        <w:textAlignment w:val="auto"/>
        <w:rPr>
          <w:rFonts w:hint="eastAsia" w:ascii="微软雅黑" w:hAnsi="微软雅黑" w:eastAsia="微软雅黑" w:cs="微软雅黑"/>
          <w:color w:val="auto"/>
          <w:sz w:val="24"/>
          <w:szCs w:val="22"/>
          <w:highlight w:val="none"/>
        </w:rPr>
      </w:pPr>
    </w:p>
    <w:p w14:paraId="2C2E02FE">
      <w:pPr>
        <w:pStyle w:val="3"/>
        <w:pageBreakBefore w:val="0"/>
        <w:widowControl w:val="0"/>
        <w:tabs>
          <w:tab w:val="left" w:pos="900"/>
        </w:tabs>
        <w:kinsoku/>
        <w:wordWrap/>
        <w:overflowPunct/>
        <w:topLinePunct w:val="0"/>
        <w:bidi w:val="0"/>
        <w:spacing w:before="0" w:line="360" w:lineRule="exact"/>
        <w:ind w:left="0" w:leftChars="0" w:hanging="540"/>
        <w:textAlignment w:val="auto"/>
        <w:rPr>
          <w:rFonts w:hint="eastAsia" w:ascii="微软雅黑" w:hAnsi="微软雅黑" w:eastAsia="微软雅黑" w:cs="微软雅黑"/>
          <w:color w:val="auto"/>
          <w:sz w:val="28"/>
          <w:szCs w:val="18"/>
          <w:highlight w:val="none"/>
        </w:rPr>
      </w:pPr>
      <w:bookmarkStart w:id="318" w:name="_Toc12845"/>
      <w:r>
        <w:rPr>
          <w:rFonts w:hint="eastAsia" w:ascii="微软雅黑" w:hAnsi="微软雅黑" w:eastAsia="微软雅黑" w:cs="微软雅黑"/>
          <w:color w:val="auto"/>
          <w:sz w:val="24"/>
          <w:szCs w:val="18"/>
          <w:highlight w:val="none"/>
        </w:rPr>
        <w:t>三   投标文件</w:t>
      </w:r>
      <w:bookmarkEnd w:id="310"/>
      <w:r>
        <w:rPr>
          <w:rFonts w:hint="eastAsia" w:ascii="微软雅黑" w:hAnsi="微软雅黑" w:eastAsia="微软雅黑" w:cs="微软雅黑"/>
          <w:color w:val="auto"/>
          <w:sz w:val="24"/>
          <w:szCs w:val="18"/>
          <w:highlight w:val="none"/>
        </w:rPr>
        <w:t>的编制</w:t>
      </w:r>
      <w:bookmarkEnd w:id="311"/>
      <w:bookmarkEnd w:id="312"/>
      <w:bookmarkEnd w:id="313"/>
      <w:bookmarkEnd w:id="314"/>
      <w:bookmarkEnd w:id="315"/>
      <w:bookmarkEnd w:id="316"/>
      <w:bookmarkEnd w:id="317"/>
      <w:bookmarkEnd w:id="318"/>
    </w:p>
    <w:p w14:paraId="045E786D">
      <w:pPr>
        <w:pStyle w:val="4"/>
        <w:pageBreakBefore w:val="0"/>
        <w:widowControl w:val="0"/>
        <w:tabs>
          <w:tab w:val="left" w:pos="900"/>
        </w:tabs>
        <w:kinsoku/>
        <w:wordWrap/>
        <w:overflowPunct/>
        <w:topLinePunct w:val="0"/>
        <w:bidi w:val="0"/>
        <w:spacing w:before="0" w:after="0" w:line="360" w:lineRule="exact"/>
        <w:ind w:left="0" w:leftChars="0"/>
        <w:textAlignment w:val="auto"/>
        <w:rPr>
          <w:rFonts w:hint="eastAsia" w:ascii="微软雅黑" w:hAnsi="微软雅黑" w:eastAsia="微软雅黑" w:cs="微软雅黑"/>
          <w:b/>
          <w:bCs/>
          <w:color w:val="auto"/>
          <w:sz w:val="22"/>
          <w:szCs w:val="22"/>
          <w:highlight w:val="none"/>
          <w:u w:val="none"/>
        </w:rPr>
      </w:pPr>
      <w:bookmarkStart w:id="319" w:name="_Toc21019"/>
      <w:bookmarkStart w:id="320" w:name="_Toc32487"/>
      <w:bookmarkStart w:id="321" w:name="_Toc3553"/>
      <w:bookmarkStart w:id="322" w:name="_Toc15642"/>
      <w:bookmarkStart w:id="323" w:name="_Toc14602"/>
      <w:bookmarkStart w:id="324" w:name="_Toc7120"/>
      <w:bookmarkStart w:id="325" w:name="_Toc5937"/>
      <w:bookmarkStart w:id="326" w:name="_Toc5995"/>
      <w:bookmarkStart w:id="327" w:name="_Toc592"/>
      <w:bookmarkStart w:id="328" w:name="_Toc25601"/>
      <w:bookmarkStart w:id="329" w:name="_Toc24558"/>
      <w:bookmarkStart w:id="330" w:name="_Toc515647767"/>
      <w:bookmarkStart w:id="331" w:name="_Toc1632"/>
      <w:bookmarkStart w:id="332" w:name="_Toc10810"/>
      <w:bookmarkStart w:id="333" w:name="_Toc10315"/>
      <w:bookmarkStart w:id="334" w:name="_Toc7668"/>
      <w:bookmarkStart w:id="335" w:name="_Toc18230"/>
      <w:bookmarkStart w:id="336" w:name="_Toc30352"/>
      <w:bookmarkStart w:id="337" w:name="_Toc20486"/>
      <w:bookmarkStart w:id="338" w:name="_Toc2539"/>
      <w:bookmarkStart w:id="339" w:name="_Toc22149"/>
      <w:bookmarkStart w:id="340" w:name="_Toc14086"/>
      <w:bookmarkStart w:id="341" w:name="_Toc26"/>
      <w:bookmarkStart w:id="342" w:name="_Toc10748"/>
      <w:bookmarkStart w:id="343" w:name="_Toc11687"/>
      <w:bookmarkStart w:id="344" w:name="_Toc9220"/>
      <w:bookmarkStart w:id="345" w:name="_Toc15145"/>
      <w:bookmarkStart w:id="346" w:name="_Toc30945"/>
      <w:bookmarkStart w:id="347" w:name="_Toc2129"/>
      <w:bookmarkStart w:id="348" w:name="_Toc27776"/>
      <w:bookmarkStart w:id="349" w:name="_Toc28821"/>
      <w:bookmarkStart w:id="350" w:name="_Toc5025"/>
      <w:bookmarkStart w:id="351" w:name="_Toc14739"/>
      <w:bookmarkStart w:id="352" w:name="_Toc516367021"/>
      <w:bookmarkStart w:id="353" w:name="_Toc13375"/>
      <w:bookmarkStart w:id="354" w:name="_Toc4890"/>
      <w:bookmarkStart w:id="355" w:name="_Toc28980"/>
      <w:bookmarkStart w:id="356" w:name="_Toc7786"/>
      <w:bookmarkStart w:id="357" w:name="_Toc520356151"/>
      <w:r>
        <w:rPr>
          <w:rFonts w:hint="eastAsia" w:ascii="微软雅黑" w:hAnsi="微软雅黑" w:eastAsia="微软雅黑" w:cs="微软雅黑"/>
          <w:b/>
          <w:bCs/>
          <w:color w:val="auto"/>
          <w:sz w:val="22"/>
          <w:szCs w:val="22"/>
          <w:highlight w:val="none"/>
          <w:u w:val="none"/>
        </w:rPr>
        <w:t>8.投标范围及投标文件中标准和计量单位的使用</w:t>
      </w:r>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p>
    <w:p w14:paraId="1A1E0E53">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8.1</w:t>
      </w: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color w:val="auto"/>
          <w:sz w:val="22"/>
          <w:szCs w:val="22"/>
          <w:highlight w:val="none"/>
        </w:rPr>
        <w:t>项目有分包的，</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可对招标文件其中某一个或几个分包服务进行投标，除非在</w:t>
      </w:r>
      <w:r>
        <w:rPr>
          <w:rFonts w:hint="eastAsia" w:ascii="微软雅黑" w:hAnsi="微软雅黑" w:eastAsia="微软雅黑" w:cs="微软雅黑"/>
          <w:color w:val="auto"/>
          <w:sz w:val="22"/>
          <w:szCs w:val="22"/>
          <w:highlight w:val="none"/>
          <w:u w:val="single"/>
          <w:lang w:eastAsia="zh-CN"/>
        </w:rPr>
        <w:t>供应商</w:t>
      </w:r>
      <w:r>
        <w:rPr>
          <w:rFonts w:hint="eastAsia" w:ascii="微软雅黑" w:hAnsi="微软雅黑" w:eastAsia="微软雅黑" w:cs="微软雅黑"/>
          <w:color w:val="auto"/>
          <w:sz w:val="22"/>
          <w:szCs w:val="22"/>
          <w:highlight w:val="none"/>
          <w:u w:val="single"/>
        </w:rPr>
        <w:t>须知资料表</w:t>
      </w:r>
      <w:r>
        <w:rPr>
          <w:rFonts w:hint="eastAsia" w:ascii="微软雅黑" w:hAnsi="微软雅黑" w:eastAsia="微软雅黑" w:cs="微软雅黑"/>
          <w:color w:val="auto"/>
          <w:sz w:val="22"/>
          <w:szCs w:val="22"/>
          <w:highlight w:val="none"/>
        </w:rPr>
        <w:t>中另有规定。</w:t>
      </w:r>
    </w:p>
    <w:p w14:paraId="00E1CF1D">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 xml:space="preserve">8.2     </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应当对所投分包招标文件中“</w:t>
      </w:r>
      <w:r>
        <w:rPr>
          <w:rFonts w:hint="eastAsia" w:ascii="微软雅黑" w:hAnsi="微软雅黑" w:eastAsia="微软雅黑" w:cs="微软雅黑"/>
          <w:color w:val="auto"/>
          <w:sz w:val="22"/>
          <w:szCs w:val="22"/>
          <w:highlight w:val="none"/>
          <w:lang w:val="en-US" w:eastAsia="zh-CN"/>
        </w:rPr>
        <w:t>货物</w:t>
      </w:r>
      <w:r>
        <w:rPr>
          <w:rFonts w:hint="eastAsia" w:ascii="微软雅黑" w:hAnsi="微软雅黑" w:eastAsia="微软雅黑" w:cs="微软雅黑"/>
          <w:color w:val="auto"/>
          <w:sz w:val="22"/>
          <w:szCs w:val="22"/>
          <w:highlight w:val="none"/>
        </w:rPr>
        <w:t>内容及项目要求”所列的所有内容进行投标，如仅响应某一包中的部分内容，其该包投标将被认定为</w:t>
      </w:r>
      <w:r>
        <w:rPr>
          <w:rFonts w:hint="eastAsia" w:ascii="微软雅黑" w:hAnsi="微软雅黑" w:eastAsia="微软雅黑" w:cs="微软雅黑"/>
          <w:b/>
          <w:bCs/>
          <w:color w:val="auto"/>
          <w:sz w:val="22"/>
          <w:szCs w:val="22"/>
          <w:highlight w:val="none"/>
        </w:rPr>
        <w:t>投标无效</w:t>
      </w:r>
      <w:r>
        <w:rPr>
          <w:rFonts w:hint="eastAsia" w:ascii="微软雅黑" w:hAnsi="微软雅黑" w:eastAsia="微软雅黑" w:cs="微软雅黑"/>
          <w:color w:val="auto"/>
          <w:sz w:val="22"/>
          <w:szCs w:val="22"/>
          <w:highlight w:val="none"/>
        </w:rPr>
        <w:t>。</w:t>
      </w:r>
    </w:p>
    <w:p w14:paraId="45E3E371">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8.3     除招标文件中有特殊要求外，投标文件中所使用的计量单位，应采用中华人民共和国法定计量单位。</w:t>
      </w:r>
    </w:p>
    <w:p w14:paraId="108715F8">
      <w:pPr>
        <w:pStyle w:val="4"/>
        <w:pageBreakBefore w:val="0"/>
        <w:widowControl w:val="0"/>
        <w:tabs>
          <w:tab w:val="left" w:pos="900"/>
        </w:tabs>
        <w:kinsoku/>
        <w:wordWrap/>
        <w:overflowPunct/>
        <w:topLinePunct w:val="0"/>
        <w:bidi w:val="0"/>
        <w:spacing w:before="0" w:after="0" w:line="360" w:lineRule="exact"/>
        <w:ind w:left="0" w:leftChars="0"/>
        <w:textAlignment w:val="auto"/>
        <w:rPr>
          <w:rFonts w:hint="eastAsia" w:ascii="微软雅黑" w:hAnsi="微软雅黑" w:eastAsia="微软雅黑" w:cs="微软雅黑"/>
          <w:b/>
          <w:bCs/>
          <w:color w:val="auto"/>
          <w:sz w:val="22"/>
          <w:szCs w:val="22"/>
          <w:highlight w:val="none"/>
          <w:u w:val="none"/>
        </w:rPr>
      </w:pPr>
      <w:bookmarkStart w:id="358" w:name="_Ref467306676"/>
      <w:bookmarkStart w:id="359" w:name="_Toc516367022"/>
      <w:bookmarkStart w:id="360" w:name="_Ref467306195"/>
      <w:bookmarkStart w:id="361" w:name="_Toc9418"/>
      <w:bookmarkStart w:id="362" w:name="_Toc11144"/>
      <w:bookmarkStart w:id="363" w:name="_Toc13845"/>
      <w:bookmarkStart w:id="364" w:name="_Toc8051"/>
      <w:bookmarkStart w:id="365" w:name="_Toc22958"/>
      <w:bookmarkStart w:id="366" w:name="_Toc520356152"/>
      <w:bookmarkStart w:id="367" w:name="_Toc22897"/>
      <w:bookmarkStart w:id="368" w:name="_Toc11539"/>
      <w:bookmarkStart w:id="369" w:name="_Toc258"/>
      <w:bookmarkStart w:id="370" w:name="_Toc12220"/>
      <w:bookmarkStart w:id="371" w:name="_Toc10573"/>
      <w:bookmarkStart w:id="372" w:name="_Toc23291"/>
      <w:bookmarkStart w:id="373" w:name="_Toc9281"/>
      <w:bookmarkStart w:id="374" w:name="_Toc7051"/>
      <w:bookmarkStart w:id="375" w:name="_Toc32080"/>
      <w:bookmarkStart w:id="376" w:name="_Toc31911"/>
      <w:bookmarkStart w:id="377" w:name="_Toc25596"/>
      <w:bookmarkStart w:id="378" w:name="_Toc17835"/>
      <w:bookmarkStart w:id="379" w:name="_Toc10787"/>
      <w:bookmarkStart w:id="380" w:name="_Toc9397"/>
      <w:bookmarkStart w:id="381" w:name="_Toc20101"/>
      <w:bookmarkStart w:id="382" w:name="_Toc15740"/>
      <w:bookmarkStart w:id="383" w:name="_Toc28307"/>
      <w:bookmarkStart w:id="384" w:name="_Toc18673"/>
      <w:bookmarkStart w:id="385" w:name="_Toc22417"/>
      <w:bookmarkStart w:id="386" w:name="_Toc32253"/>
      <w:bookmarkStart w:id="387" w:name="_Toc11888"/>
      <w:bookmarkStart w:id="388" w:name="_Toc16016"/>
      <w:bookmarkStart w:id="389" w:name="_Toc27002"/>
      <w:bookmarkStart w:id="390" w:name="_Toc7658"/>
      <w:bookmarkStart w:id="391" w:name="_Toc6152"/>
      <w:bookmarkStart w:id="392" w:name="_Toc13577"/>
      <w:bookmarkStart w:id="393" w:name="_Toc4852"/>
      <w:bookmarkStart w:id="394" w:name="_Toc10782"/>
      <w:bookmarkStart w:id="395" w:name="_Toc10364"/>
      <w:bookmarkStart w:id="396" w:name="_Toc24584"/>
      <w:bookmarkStart w:id="397" w:name="_Toc8854"/>
      <w:bookmarkStart w:id="398" w:name="_Toc515647768"/>
      <w:r>
        <w:rPr>
          <w:rFonts w:hint="eastAsia" w:ascii="微软雅黑" w:hAnsi="微软雅黑" w:eastAsia="微软雅黑" w:cs="微软雅黑"/>
          <w:b/>
          <w:bCs/>
          <w:color w:val="auto"/>
          <w:sz w:val="22"/>
          <w:szCs w:val="22"/>
          <w:highlight w:val="none"/>
          <w:u w:val="none"/>
        </w:rPr>
        <w:t>9.投标文件</w:t>
      </w:r>
      <w:bookmarkEnd w:id="358"/>
      <w:bookmarkEnd w:id="359"/>
      <w:bookmarkEnd w:id="360"/>
      <w:r>
        <w:rPr>
          <w:rFonts w:hint="eastAsia" w:ascii="微软雅黑" w:hAnsi="微软雅黑" w:eastAsia="微软雅黑" w:cs="微软雅黑"/>
          <w:b/>
          <w:bCs/>
          <w:color w:val="auto"/>
          <w:sz w:val="22"/>
          <w:szCs w:val="22"/>
          <w:highlight w:val="none"/>
          <w:u w:val="none"/>
        </w:rPr>
        <w:t>构成</w:t>
      </w:r>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p>
    <w:p w14:paraId="73FC5151">
      <w:pPr>
        <w:pageBreakBefore w:val="0"/>
        <w:widowControl w:val="0"/>
        <w:tabs>
          <w:tab w:val="left" w:pos="900"/>
          <w:tab w:val="left" w:pos="5580"/>
        </w:tabs>
        <w:kinsoku/>
        <w:wordWrap/>
        <w:overflowPunct/>
        <w:topLinePunct w:val="0"/>
        <w:bidi w:val="0"/>
        <w:spacing w:line="360" w:lineRule="exact"/>
        <w:ind w:left="880" w:leftChars="0" w:hanging="880" w:hangingChars="400"/>
        <w:jc w:val="left"/>
        <w:textAlignment w:val="auto"/>
        <w:rPr>
          <w:rFonts w:hint="eastAsia" w:ascii="微软雅黑" w:hAnsi="微软雅黑" w:eastAsia="微软雅黑" w:cs="微软雅黑"/>
          <w:b/>
          <w:bCs/>
          <w:color w:val="auto"/>
          <w:sz w:val="22"/>
          <w:szCs w:val="22"/>
          <w:highlight w:val="none"/>
          <w:u w:val="single"/>
          <w:lang w:eastAsia="zh-CN"/>
        </w:rPr>
      </w:pPr>
      <w:bookmarkStart w:id="399" w:name="_Ref467052588"/>
      <w:r>
        <w:rPr>
          <w:rFonts w:hint="eastAsia" w:ascii="微软雅黑" w:hAnsi="微软雅黑" w:eastAsia="微软雅黑" w:cs="微软雅黑"/>
          <w:color w:val="auto"/>
          <w:sz w:val="22"/>
          <w:szCs w:val="22"/>
          <w:highlight w:val="none"/>
        </w:rPr>
        <w:t xml:space="preserve">9.1    </w:t>
      </w:r>
      <w:r>
        <w:rPr>
          <w:rFonts w:hint="eastAsia" w:ascii="微软雅黑" w:hAnsi="微软雅黑" w:eastAsia="微软雅黑" w:cs="微软雅黑"/>
          <w:color w:val="auto"/>
          <w:sz w:val="22"/>
          <w:szCs w:val="22"/>
          <w:highlight w:val="none"/>
          <w:u w:val="single"/>
        </w:rPr>
        <w:t xml:space="preserve"> </w:t>
      </w:r>
      <w:r>
        <w:rPr>
          <w:rFonts w:hint="eastAsia" w:ascii="微软雅黑" w:hAnsi="微软雅黑" w:eastAsia="微软雅黑" w:cs="微软雅黑"/>
          <w:b/>
          <w:bCs/>
          <w:color w:val="auto"/>
          <w:sz w:val="22"/>
          <w:szCs w:val="22"/>
          <w:highlight w:val="none"/>
          <w:u w:val="single"/>
          <w:lang w:eastAsia="zh-CN"/>
        </w:rPr>
        <w:t>各供应商应完整地按招标文件提供的投标文件格式及要求编写投标文件，根据平台关联点上传对应佐证资料，商务技术文件模块应上传包括“开标一览表及资格证明文件”和“商务及技术文件”两部分。供应商应承担上传失误产生的任何后果。</w:t>
      </w:r>
    </w:p>
    <w:p w14:paraId="1977DD2E">
      <w:pPr>
        <w:pageBreakBefore w:val="0"/>
        <w:widowControl w:val="0"/>
        <w:tabs>
          <w:tab w:val="left" w:pos="900"/>
          <w:tab w:val="left" w:pos="5580"/>
        </w:tabs>
        <w:kinsoku/>
        <w:wordWrap/>
        <w:overflowPunct/>
        <w:topLinePunct w:val="0"/>
        <w:bidi w:val="0"/>
        <w:spacing w:line="360" w:lineRule="exact"/>
        <w:ind w:left="880" w:leftChars="0" w:hanging="880" w:hangingChars="400"/>
        <w:jc w:val="left"/>
        <w:textAlignment w:val="auto"/>
        <w:rPr>
          <w:rFonts w:hint="eastAsia" w:ascii="微软雅黑" w:hAnsi="微软雅黑" w:eastAsia="微软雅黑" w:cs="微软雅黑"/>
          <w:b/>
          <w:bCs/>
          <w:color w:val="auto"/>
          <w:sz w:val="22"/>
          <w:szCs w:val="22"/>
          <w:highlight w:val="none"/>
          <w:u w:val="none"/>
          <w:lang w:eastAsia="zh-CN"/>
        </w:rPr>
      </w:pPr>
      <w:r>
        <w:rPr>
          <w:rFonts w:hint="eastAsia" w:ascii="微软雅黑" w:hAnsi="微软雅黑" w:eastAsia="微软雅黑" w:cs="微软雅黑"/>
          <w:b/>
          <w:bCs/>
          <w:color w:val="auto"/>
          <w:sz w:val="22"/>
          <w:szCs w:val="22"/>
          <w:highlight w:val="none"/>
          <w:u w:val="none"/>
          <w:lang w:eastAsia="zh-CN"/>
        </w:rPr>
        <w:t>（提示：供应商在政采云投标客户端中制作上传投标文件时，须将完整版投标文件.pdf上传至该系统中的“商务及技术文件”模块。）</w:t>
      </w:r>
    </w:p>
    <w:p w14:paraId="7A15E1E9">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9.2    上述文件应按照招标文件规定的格式填写、签署和盖章。</w:t>
      </w:r>
      <w:bookmarkEnd w:id="399"/>
    </w:p>
    <w:p w14:paraId="0CF365FF">
      <w:pPr>
        <w:pStyle w:val="4"/>
        <w:pageBreakBefore w:val="0"/>
        <w:widowControl w:val="0"/>
        <w:tabs>
          <w:tab w:val="left" w:pos="900"/>
        </w:tabs>
        <w:kinsoku/>
        <w:wordWrap/>
        <w:overflowPunct/>
        <w:topLinePunct w:val="0"/>
        <w:bidi w:val="0"/>
        <w:spacing w:before="0" w:after="0" w:line="360" w:lineRule="exact"/>
        <w:ind w:left="0" w:leftChars="0"/>
        <w:textAlignment w:val="auto"/>
        <w:rPr>
          <w:rFonts w:hint="eastAsia" w:ascii="微软雅黑" w:hAnsi="微软雅黑" w:eastAsia="微软雅黑" w:cs="微软雅黑"/>
          <w:color w:val="auto"/>
          <w:sz w:val="22"/>
          <w:szCs w:val="22"/>
          <w:highlight w:val="none"/>
          <w:u w:val="none"/>
          <w:lang w:eastAsia="zh-CN"/>
        </w:rPr>
      </w:pPr>
      <w:bookmarkStart w:id="400" w:name="_Toc14035"/>
      <w:bookmarkStart w:id="401" w:name="_Toc2056"/>
      <w:bookmarkStart w:id="402" w:name="_Toc516367023"/>
      <w:bookmarkStart w:id="403" w:name="_Toc30354"/>
      <w:bookmarkStart w:id="404" w:name="_Toc6978"/>
      <w:bookmarkStart w:id="405" w:name="_Toc10584"/>
      <w:bookmarkStart w:id="406" w:name="_Toc17150"/>
      <w:bookmarkStart w:id="407" w:name="_Toc12338"/>
      <w:bookmarkStart w:id="408" w:name="_Toc520356153"/>
      <w:bookmarkStart w:id="409" w:name="_Toc15151"/>
      <w:bookmarkStart w:id="410" w:name="_Toc12121"/>
      <w:bookmarkStart w:id="411" w:name="_Toc4601"/>
      <w:bookmarkStart w:id="412" w:name="_Toc17715"/>
      <w:bookmarkStart w:id="413" w:name="_Toc515647769"/>
      <w:bookmarkStart w:id="414" w:name="_Toc10379"/>
      <w:bookmarkStart w:id="415" w:name="_Toc22195"/>
      <w:bookmarkStart w:id="416" w:name="_Toc8301"/>
      <w:bookmarkStart w:id="417" w:name="_Toc8705"/>
      <w:bookmarkStart w:id="418" w:name="_Toc32499"/>
      <w:bookmarkStart w:id="419" w:name="_Toc5660"/>
      <w:bookmarkStart w:id="420" w:name="_Toc18045"/>
      <w:bookmarkStart w:id="421" w:name="_Toc21131"/>
      <w:bookmarkStart w:id="422" w:name="_Toc365"/>
      <w:bookmarkStart w:id="423" w:name="_Toc1112"/>
      <w:bookmarkStart w:id="424" w:name="_Toc345"/>
      <w:bookmarkStart w:id="425" w:name="_Toc1879"/>
      <w:bookmarkStart w:id="426" w:name="_Toc25543"/>
      <w:bookmarkStart w:id="427" w:name="_Toc31928"/>
      <w:bookmarkStart w:id="428" w:name="_Toc769"/>
      <w:bookmarkStart w:id="429" w:name="_Toc6734"/>
      <w:bookmarkStart w:id="430" w:name="_Toc11121"/>
      <w:bookmarkStart w:id="431" w:name="_Toc23028"/>
      <w:bookmarkStart w:id="432" w:name="_Toc14699"/>
      <w:bookmarkStart w:id="433" w:name="_Toc17541"/>
      <w:bookmarkStart w:id="434" w:name="_Toc23702"/>
      <w:bookmarkStart w:id="435" w:name="_Toc11413"/>
      <w:bookmarkStart w:id="436" w:name="_Toc30579"/>
      <w:bookmarkStart w:id="437" w:name="_Toc14407"/>
      <w:bookmarkStart w:id="438" w:name="_Toc31216"/>
      <w:r>
        <w:rPr>
          <w:rFonts w:hint="eastAsia" w:ascii="微软雅黑" w:hAnsi="微软雅黑" w:eastAsia="微软雅黑" w:cs="微软雅黑"/>
          <w:b/>
          <w:bCs/>
          <w:color w:val="auto"/>
          <w:sz w:val="22"/>
          <w:szCs w:val="22"/>
          <w:highlight w:val="none"/>
          <w:u w:val="none"/>
        </w:rPr>
        <w:t>10.证明投标的的合格性和符合招标文件规定的技术文件</w:t>
      </w:r>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r>
        <w:rPr>
          <w:rFonts w:hint="eastAsia" w:ascii="微软雅黑" w:hAnsi="微软雅黑" w:eastAsia="微软雅黑" w:cs="微软雅黑"/>
          <w:b/>
          <w:bCs/>
          <w:color w:val="auto"/>
          <w:sz w:val="22"/>
          <w:szCs w:val="22"/>
          <w:highlight w:val="none"/>
          <w:u w:val="none"/>
          <w:lang w:eastAsia="zh-CN"/>
        </w:rPr>
        <w:t>。</w:t>
      </w:r>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p>
    <w:p w14:paraId="417139BF">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10.1</w:t>
      </w: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应提交证明文件，证明其投标内容符合招标文件规定。该证明文件是投标文件的一部分。</w:t>
      </w:r>
    </w:p>
    <w:p w14:paraId="14046853">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bookmarkStart w:id="439" w:name="_Ref467306244"/>
      <w:r>
        <w:rPr>
          <w:rFonts w:hint="eastAsia" w:ascii="微软雅黑" w:hAnsi="微软雅黑" w:eastAsia="微软雅黑" w:cs="微软雅黑"/>
          <w:color w:val="auto"/>
          <w:sz w:val="22"/>
          <w:szCs w:val="22"/>
          <w:highlight w:val="none"/>
        </w:rPr>
        <w:t>10.2</w:t>
      </w: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color w:val="auto"/>
          <w:sz w:val="22"/>
          <w:szCs w:val="22"/>
          <w:highlight w:val="none"/>
        </w:rPr>
        <w:t>上款所述的证明文件，可以是文字资料、图纸和数据，</w:t>
      </w:r>
      <w:bookmarkEnd w:id="439"/>
      <w:r>
        <w:rPr>
          <w:rFonts w:hint="eastAsia" w:ascii="微软雅黑" w:hAnsi="微软雅黑" w:eastAsia="微软雅黑" w:cs="微软雅黑"/>
          <w:color w:val="auto"/>
          <w:sz w:val="22"/>
          <w:szCs w:val="22"/>
          <w:highlight w:val="none"/>
        </w:rPr>
        <w:t>它包括：</w:t>
      </w:r>
    </w:p>
    <w:p w14:paraId="025E426F">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10.2.1</w:t>
      </w: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color w:val="auto"/>
          <w:sz w:val="22"/>
          <w:szCs w:val="22"/>
          <w:highlight w:val="none"/>
        </w:rPr>
        <w:t>设备主要技术指标的详细说明；</w:t>
      </w:r>
    </w:p>
    <w:p w14:paraId="39081B70">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10.2.2</w:t>
      </w: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color w:val="auto"/>
          <w:sz w:val="22"/>
          <w:szCs w:val="22"/>
          <w:highlight w:val="none"/>
        </w:rPr>
        <w:t>货物从买方开始使用至谈判文件规定的保质期内正常、连续地使用所必须的备件和专用工具清单，包括备件和专用工具的货源及现行价格；</w:t>
      </w:r>
    </w:p>
    <w:p w14:paraId="4FACAE02">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10.2.3</w:t>
      </w: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color w:val="auto"/>
          <w:sz w:val="22"/>
          <w:szCs w:val="22"/>
          <w:highlight w:val="none"/>
        </w:rPr>
        <w:t>对照招标文件技术规格，逐条说明所提供</w:t>
      </w:r>
      <w:r>
        <w:rPr>
          <w:rFonts w:hint="eastAsia" w:ascii="微软雅黑" w:hAnsi="微软雅黑" w:eastAsia="微软雅黑" w:cs="微软雅黑"/>
          <w:color w:val="auto"/>
          <w:sz w:val="22"/>
          <w:szCs w:val="22"/>
          <w:highlight w:val="none"/>
          <w:lang w:val="en-US" w:eastAsia="zh-CN"/>
        </w:rPr>
        <w:t>货物</w:t>
      </w:r>
      <w:r>
        <w:rPr>
          <w:rFonts w:hint="eastAsia" w:ascii="微软雅黑" w:hAnsi="微软雅黑" w:eastAsia="微软雅黑" w:cs="微软雅黑"/>
          <w:color w:val="auto"/>
          <w:sz w:val="22"/>
          <w:szCs w:val="22"/>
          <w:highlight w:val="none"/>
        </w:rPr>
        <w:t>及伴随的工程和</w:t>
      </w:r>
      <w:r>
        <w:rPr>
          <w:rFonts w:hint="eastAsia" w:ascii="微软雅黑" w:hAnsi="微软雅黑" w:eastAsia="微软雅黑" w:cs="微软雅黑"/>
          <w:color w:val="auto"/>
          <w:sz w:val="22"/>
          <w:szCs w:val="22"/>
          <w:highlight w:val="none"/>
          <w:lang w:val="en-US" w:eastAsia="zh-CN"/>
        </w:rPr>
        <w:t>服务</w:t>
      </w:r>
      <w:r>
        <w:rPr>
          <w:rFonts w:hint="eastAsia" w:ascii="微软雅黑" w:hAnsi="微软雅黑" w:eastAsia="微软雅黑" w:cs="微软雅黑"/>
          <w:color w:val="auto"/>
          <w:sz w:val="22"/>
          <w:szCs w:val="22"/>
          <w:highlight w:val="none"/>
        </w:rPr>
        <w:t>已对招标文件的技术规格做出了实质性的响应，或申明与技术规格条文的偏差和例外。</w:t>
      </w:r>
    </w:p>
    <w:p w14:paraId="7717D884">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10.3</w:t>
      </w: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在投标中可以选用替代牌号或分类号，但这些替代要实质上相当于技术规格的要求。采购人、采购代理机构承诺不以上述参照品牌型号或分类号作为评标时判定其投标是否有效的标准。</w:t>
      </w:r>
    </w:p>
    <w:p w14:paraId="08F7D32F">
      <w:pPr>
        <w:pStyle w:val="4"/>
        <w:pageBreakBefore w:val="0"/>
        <w:widowControl w:val="0"/>
        <w:kinsoku/>
        <w:wordWrap/>
        <w:overflowPunct/>
        <w:topLinePunct w:val="0"/>
        <w:bidi w:val="0"/>
        <w:spacing w:before="0" w:after="0" w:line="360" w:lineRule="exact"/>
        <w:ind w:left="0" w:leftChars="0"/>
        <w:textAlignment w:val="auto"/>
        <w:rPr>
          <w:rFonts w:hint="eastAsia" w:ascii="微软雅黑" w:hAnsi="微软雅黑" w:eastAsia="微软雅黑" w:cs="微软雅黑"/>
          <w:color w:val="auto"/>
          <w:sz w:val="22"/>
          <w:szCs w:val="22"/>
          <w:highlight w:val="none"/>
          <w:u w:val="none"/>
        </w:rPr>
      </w:pPr>
      <w:bookmarkStart w:id="440" w:name="_Toc16481"/>
      <w:bookmarkStart w:id="441" w:name="_Toc9578"/>
      <w:bookmarkStart w:id="442" w:name="_Toc24468"/>
      <w:bookmarkStart w:id="443" w:name="_Toc21291"/>
      <w:bookmarkStart w:id="444" w:name="_Toc21396"/>
      <w:bookmarkStart w:id="445" w:name="_Toc30467"/>
      <w:bookmarkStart w:id="446" w:name="_Toc31579"/>
      <w:bookmarkStart w:id="447" w:name="_Toc25118"/>
      <w:bookmarkStart w:id="448" w:name="_Toc23096"/>
      <w:bookmarkStart w:id="449" w:name="_Toc2471"/>
      <w:bookmarkStart w:id="450" w:name="_Toc6338"/>
      <w:bookmarkStart w:id="451" w:name="_Toc29204"/>
      <w:bookmarkStart w:id="452" w:name="_Toc4583"/>
      <w:bookmarkStart w:id="453" w:name="_Toc26145"/>
      <w:bookmarkStart w:id="454" w:name="_Toc29220"/>
      <w:bookmarkStart w:id="455" w:name="_Toc3868"/>
      <w:bookmarkStart w:id="456" w:name="_Toc28396"/>
      <w:bookmarkStart w:id="457" w:name="_Toc4381"/>
      <w:bookmarkStart w:id="458" w:name="_Toc8614"/>
      <w:bookmarkStart w:id="459" w:name="_Toc14799"/>
      <w:bookmarkStart w:id="460" w:name="_Toc16104"/>
      <w:bookmarkStart w:id="461" w:name="_Toc26441"/>
      <w:bookmarkStart w:id="462" w:name="_Toc28480"/>
      <w:bookmarkStart w:id="463" w:name="_Toc2248"/>
      <w:bookmarkStart w:id="464" w:name="_Toc5144"/>
      <w:bookmarkStart w:id="465" w:name="_Toc20991"/>
      <w:bookmarkStart w:id="466" w:name="_Toc24053"/>
      <w:bookmarkStart w:id="467" w:name="_Toc515647770"/>
      <w:bookmarkStart w:id="468" w:name="_Toc9374"/>
      <w:bookmarkStart w:id="469" w:name="_Toc520356155"/>
      <w:bookmarkStart w:id="470" w:name="_Toc11160"/>
      <w:bookmarkStart w:id="471" w:name="_Toc23231"/>
      <w:bookmarkStart w:id="472" w:name="_Toc19854"/>
      <w:bookmarkStart w:id="473" w:name="_Toc301"/>
      <w:bookmarkStart w:id="474" w:name="_Toc25641"/>
      <w:bookmarkStart w:id="475" w:name="_Toc17724"/>
      <w:bookmarkStart w:id="476" w:name="_Toc30792"/>
      <w:bookmarkStart w:id="477" w:name="_Toc31445"/>
      <w:r>
        <w:rPr>
          <w:rFonts w:hint="eastAsia" w:ascii="微软雅黑" w:hAnsi="微软雅黑" w:eastAsia="微软雅黑" w:cs="微软雅黑"/>
          <w:b/>
          <w:bCs/>
          <w:color w:val="auto"/>
          <w:sz w:val="22"/>
          <w:szCs w:val="22"/>
          <w:highlight w:val="none"/>
          <w:u w:val="none"/>
        </w:rPr>
        <w:t>11.投标报价</w:t>
      </w:r>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p>
    <w:p w14:paraId="0BD4CD06">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11.1</w:t>
      </w: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color w:val="auto"/>
          <w:sz w:val="22"/>
          <w:szCs w:val="22"/>
          <w:highlight w:val="none"/>
        </w:rPr>
        <w:t>所有投标均以人民币报价。</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的投标报价应遵守《中华人民共和国价格法》。同时，根据《中华人民共和国政府采购法》第二条的规定，为保证公平竞争，如有主体部分的赠与行为，其投标将被认定为</w:t>
      </w:r>
      <w:r>
        <w:rPr>
          <w:rFonts w:hint="eastAsia" w:ascii="微软雅黑" w:hAnsi="微软雅黑" w:eastAsia="微软雅黑" w:cs="微软雅黑"/>
          <w:b/>
          <w:bCs/>
          <w:color w:val="auto"/>
          <w:sz w:val="22"/>
          <w:szCs w:val="22"/>
          <w:highlight w:val="none"/>
        </w:rPr>
        <w:t>投标无效</w:t>
      </w:r>
      <w:r>
        <w:rPr>
          <w:rFonts w:hint="eastAsia" w:ascii="微软雅黑" w:hAnsi="微软雅黑" w:eastAsia="微软雅黑" w:cs="微软雅黑"/>
          <w:color w:val="auto"/>
          <w:sz w:val="22"/>
          <w:szCs w:val="22"/>
          <w:highlight w:val="none"/>
        </w:rPr>
        <w:t>。</w:t>
      </w:r>
    </w:p>
    <w:p w14:paraId="1D9A73B4">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11.2</w:t>
      </w: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应在投标分项报价表上标明投标相关</w:t>
      </w:r>
      <w:r>
        <w:rPr>
          <w:rFonts w:hint="eastAsia" w:ascii="微软雅黑" w:hAnsi="微软雅黑" w:eastAsia="微软雅黑" w:cs="微软雅黑"/>
          <w:color w:val="auto"/>
          <w:sz w:val="22"/>
          <w:szCs w:val="22"/>
          <w:highlight w:val="none"/>
          <w:lang w:val="en-US" w:eastAsia="zh-CN"/>
        </w:rPr>
        <w:t>货物</w:t>
      </w:r>
      <w:r>
        <w:rPr>
          <w:rFonts w:hint="eastAsia" w:ascii="微软雅黑" w:hAnsi="微软雅黑" w:eastAsia="微软雅黑" w:cs="微软雅黑"/>
          <w:color w:val="auto"/>
          <w:sz w:val="22"/>
          <w:szCs w:val="22"/>
          <w:highlight w:val="none"/>
        </w:rPr>
        <w:t>的单价（如适用）和总价，并由法定代表人签署。</w:t>
      </w:r>
    </w:p>
    <w:p w14:paraId="7767432B">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11.3</w:t>
      </w: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color w:val="auto"/>
          <w:sz w:val="22"/>
          <w:szCs w:val="22"/>
          <w:highlight w:val="none"/>
        </w:rPr>
        <w:t>投标分项报价表上的价格应按下列方式填写；</w:t>
      </w:r>
    </w:p>
    <w:p w14:paraId="07E94437">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11.4</w:t>
      </w: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所报的各分项投标单价在合同履行过程中是固定不变的，不得以任何理由予以变更。任何包含价格调整要求的投标，其投标将被认定为</w:t>
      </w:r>
      <w:r>
        <w:rPr>
          <w:rFonts w:hint="eastAsia" w:ascii="微软雅黑" w:hAnsi="微软雅黑" w:eastAsia="微软雅黑" w:cs="微软雅黑"/>
          <w:b/>
          <w:bCs/>
          <w:color w:val="auto"/>
          <w:sz w:val="22"/>
          <w:szCs w:val="22"/>
          <w:highlight w:val="none"/>
        </w:rPr>
        <w:t>投标无效</w:t>
      </w:r>
      <w:r>
        <w:rPr>
          <w:rFonts w:hint="eastAsia" w:ascii="微软雅黑" w:hAnsi="微软雅黑" w:eastAsia="微软雅黑" w:cs="微软雅黑"/>
          <w:color w:val="auto"/>
          <w:sz w:val="22"/>
          <w:szCs w:val="22"/>
          <w:highlight w:val="none"/>
        </w:rPr>
        <w:t>。</w:t>
      </w:r>
    </w:p>
    <w:p w14:paraId="76076978">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11.5</w:t>
      </w: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color w:val="auto"/>
          <w:sz w:val="22"/>
          <w:szCs w:val="22"/>
          <w:highlight w:val="none"/>
        </w:rPr>
        <w:t>每种</w:t>
      </w:r>
      <w:r>
        <w:rPr>
          <w:rFonts w:hint="eastAsia" w:ascii="微软雅黑" w:hAnsi="微软雅黑" w:eastAsia="微软雅黑" w:cs="微软雅黑"/>
          <w:color w:val="auto"/>
          <w:sz w:val="22"/>
          <w:szCs w:val="22"/>
          <w:highlight w:val="none"/>
          <w:lang w:val="en-US" w:eastAsia="zh-CN"/>
        </w:rPr>
        <w:t>货物</w:t>
      </w:r>
      <w:r>
        <w:rPr>
          <w:rFonts w:hint="eastAsia" w:ascii="微软雅黑" w:hAnsi="微软雅黑" w:eastAsia="微软雅黑" w:cs="微软雅黑"/>
          <w:color w:val="auto"/>
          <w:sz w:val="22"/>
          <w:szCs w:val="22"/>
          <w:highlight w:val="none"/>
        </w:rPr>
        <w:t>只能有一个投标报价。采购人不接受具有附加条件的报价。</w:t>
      </w:r>
    </w:p>
    <w:p w14:paraId="4929B5C7">
      <w:pPr>
        <w:pStyle w:val="4"/>
        <w:pageBreakBefore w:val="0"/>
        <w:widowControl w:val="0"/>
        <w:kinsoku/>
        <w:wordWrap/>
        <w:overflowPunct/>
        <w:topLinePunct w:val="0"/>
        <w:bidi w:val="0"/>
        <w:spacing w:before="0" w:after="0" w:line="360" w:lineRule="exact"/>
        <w:ind w:left="0" w:leftChars="0"/>
        <w:textAlignment w:val="auto"/>
        <w:rPr>
          <w:rFonts w:hint="eastAsia" w:ascii="微软雅黑" w:hAnsi="微软雅黑" w:eastAsia="微软雅黑" w:cs="微软雅黑"/>
          <w:b/>
          <w:bCs/>
          <w:color w:val="auto"/>
          <w:sz w:val="22"/>
          <w:szCs w:val="22"/>
          <w:highlight w:val="none"/>
          <w:u w:val="none"/>
        </w:rPr>
      </w:pPr>
      <w:bookmarkStart w:id="478" w:name="_Toc12332"/>
      <w:bookmarkStart w:id="479" w:name="_Toc5648"/>
      <w:bookmarkStart w:id="480" w:name="_Toc4369"/>
      <w:bookmarkStart w:id="481" w:name="_Toc11514"/>
      <w:bookmarkStart w:id="482" w:name="_Toc19603"/>
      <w:bookmarkStart w:id="483" w:name="_Toc3670"/>
      <w:bookmarkStart w:id="484" w:name="_Toc22551"/>
      <w:bookmarkStart w:id="485" w:name="_Toc1916"/>
      <w:bookmarkStart w:id="486" w:name="_Toc7289"/>
      <w:bookmarkStart w:id="487" w:name="_Toc26186"/>
      <w:bookmarkStart w:id="488" w:name="_Toc25927"/>
      <w:bookmarkStart w:id="489" w:name="_Toc401"/>
      <w:bookmarkStart w:id="490" w:name="_Toc11825"/>
      <w:bookmarkStart w:id="491" w:name="_Toc30752"/>
      <w:bookmarkStart w:id="492" w:name="_Toc25003"/>
      <w:bookmarkStart w:id="493" w:name="_Toc1683"/>
      <w:bookmarkStart w:id="494" w:name="_Toc515647771"/>
      <w:bookmarkStart w:id="495" w:name="_Toc15349"/>
      <w:bookmarkStart w:id="496" w:name="_Toc18556"/>
      <w:bookmarkStart w:id="497" w:name="_Toc21719"/>
      <w:bookmarkStart w:id="498" w:name="_Toc28149"/>
      <w:bookmarkStart w:id="499" w:name="_Toc28776"/>
      <w:bookmarkStart w:id="500" w:name="_Toc4192"/>
      <w:bookmarkStart w:id="501" w:name="_Toc26535"/>
      <w:bookmarkStart w:id="502" w:name="_Toc10329"/>
      <w:bookmarkStart w:id="503" w:name="_Toc18450"/>
      <w:bookmarkStart w:id="504" w:name="_Toc2895"/>
      <w:bookmarkStart w:id="505" w:name="_Toc24283"/>
      <w:bookmarkStart w:id="506" w:name="_Toc22722"/>
      <w:bookmarkStart w:id="507" w:name="_Toc21242"/>
      <w:bookmarkStart w:id="508" w:name="_Toc28730"/>
      <w:bookmarkStart w:id="509" w:name="_Toc520356156"/>
      <w:bookmarkStart w:id="510" w:name="_Ref467306513"/>
      <w:bookmarkStart w:id="511" w:name="_Toc23784"/>
      <w:bookmarkStart w:id="512" w:name="_Toc9261"/>
      <w:bookmarkStart w:id="513" w:name="_Toc30245"/>
      <w:bookmarkStart w:id="514" w:name="_Toc11773"/>
      <w:bookmarkStart w:id="515" w:name="_Toc17788"/>
      <w:bookmarkStart w:id="516" w:name="_Toc23666"/>
      <w:r>
        <w:rPr>
          <w:rFonts w:hint="eastAsia" w:ascii="微软雅黑" w:hAnsi="微软雅黑" w:eastAsia="微软雅黑" w:cs="微软雅黑"/>
          <w:b/>
          <w:bCs/>
          <w:color w:val="auto"/>
          <w:sz w:val="22"/>
          <w:szCs w:val="22"/>
          <w:highlight w:val="none"/>
          <w:u w:val="none"/>
        </w:rPr>
        <w:t>12.投标保证金</w:t>
      </w:r>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p>
    <w:p w14:paraId="3932A446">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bookmarkStart w:id="517" w:name="_Ref467306302"/>
      <w:r>
        <w:rPr>
          <w:rFonts w:hint="eastAsia" w:ascii="微软雅黑" w:hAnsi="微软雅黑" w:eastAsia="微软雅黑" w:cs="微软雅黑"/>
          <w:color w:val="auto"/>
          <w:sz w:val="22"/>
          <w:szCs w:val="22"/>
          <w:highlight w:val="none"/>
        </w:rPr>
        <w:t>12.1</w:t>
      </w: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应提交</w:t>
      </w:r>
      <w:r>
        <w:rPr>
          <w:rFonts w:hint="eastAsia" w:ascii="微软雅黑" w:hAnsi="微软雅黑" w:eastAsia="微软雅黑" w:cs="微软雅黑"/>
          <w:color w:val="auto"/>
          <w:sz w:val="22"/>
          <w:szCs w:val="22"/>
          <w:highlight w:val="none"/>
          <w:u w:val="single"/>
          <w:lang w:eastAsia="zh-CN"/>
        </w:rPr>
        <w:t>供应商</w:t>
      </w:r>
      <w:r>
        <w:rPr>
          <w:rFonts w:hint="eastAsia" w:ascii="微软雅黑" w:hAnsi="微软雅黑" w:eastAsia="微软雅黑" w:cs="微软雅黑"/>
          <w:color w:val="auto"/>
          <w:sz w:val="22"/>
          <w:szCs w:val="22"/>
          <w:highlight w:val="none"/>
          <w:u w:val="single"/>
        </w:rPr>
        <w:t>须知资料表</w:t>
      </w:r>
      <w:r>
        <w:rPr>
          <w:rFonts w:hint="eastAsia" w:ascii="微软雅黑" w:hAnsi="微软雅黑" w:eastAsia="微软雅黑" w:cs="微软雅黑"/>
          <w:color w:val="auto"/>
          <w:sz w:val="22"/>
          <w:szCs w:val="22"/>
          <w:highlight w:val="none"/>
        </w:rPr>
        <w:t>中规定的投标保证金</w:t>
      </w:r>
      <w:bookmarkEnd w:id="517"/>
      <w:r>
        <w:rPr>
          <w:rFonts w:hint="eastAsia" w:ascii="微软雅黑" w:hAnsi="微软雅黑" w:eastAsia="微软雅黑" w:cs="微软雅黑"/>
          <w:color w:val="auto"/>
          <w:sz w:val="22"/>
          <w:szCs w:val="22"/>
          <w:highlight w:val="none"/>
        </w:rPr>
        <w:t>，并作为其投标的一部分。</w:t>
      </w:r>
    </w:p>
    <w:p w14:paraId="11C109A2">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12.2</w:t>
      </w: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存在下列情形的，投标保证金不予退还：</w:t>
      </w:r>
    </w:p>
    <w:p w14:paraId="7CABD7AF">
      <w:pPr>
        <w:pStyle w:val="15"/>
        <w:pageBreakBefore w:val="0"/>
        <w:widowControl w:val="0"/>
        <w:tabs>
          <w:tab w:val="left" w:pos="2240"/>
        </w:tabs>
        <w:kinsoku/>
        <w:wordWrap/>
        <w:overflowPunct/>
        <w:topLinePunct w:val="0"/>
        <w:bidi w:val="0"/>
        <w:spacing w:line="360" w:lineRule="exact"/>
        <w:ind w:left="275" w:leftChars="0" w:hanging="275" w:hangingChars="125"/>
        <w:textAlignment w:val="auto"/>
        <w:rPr>
          <w:rFonts w:hint="eastAsia" w:ascii="微软雅黑" w:hAnsi="微软雅黑" w:eastAsia="微软雅黑" w:cs="微软雅黑"/>
          <w:color w:val="auto"/>
          <w:sz w:val="22"/>
          <w:szCs w:val="18"/>
          <w:highlight w:val="none"/>
        </w:rPr>
      </w:pPr>
      <w:r>
        <w:rPr>
          <w:rFonts w:hint="eastAsia" w:ascii="微软雅黑" w:hAnsi="微软雅黑" w:eastAsia="微软雅黑" w:cs="微软雅黑"/>
          <w:color w:val="auto"/>
          <w:sz w:val="22"/>
          <w:szCs w:val="18"/>
          <w:highlight w:val="none"/>
        </w:rPr>
        <w:t>（1）在投标有效期内，撤销投标的；</w:t>
      </w:r>
    </w:p>
    <w:p w14:paraId="05DCE619">
      <w:pPr>
        <w:pStyle w:val="15"/>
        <w:pageBreakBefore w:val="0"/>
        <w:widowControl w:val="0"/>
        <w:tabs>
          <w:tab w:val="left" w:pos="2240"/>
        </w:tabs>
        <w:kinsoku/>
        <w:wordWrap/>
        <w:overflowPunct/>
        <w:topLinePunct w:val="0"/>
        <w:bidi w:val="0"/>
        <w:spacing w:line="360" w:lineRule="exact"/>
        <w:ind w:left="275" w:leftChars="0" w:hanging="275" w:hangingChars="125"/>
        <w:textAlignment w:val="auto"/>
        <w:rPr>
          <w:rFonts w:hint="eastAsia" w:ascii="微软雅黑" w:hAnsi="微软雅黑" w:eastAsia="微软雅黑" w:cs="微软雅黑"/>
          <w:color w:val="auto"/>
          <w:sz w:val="22"/>
          <w:szCs w:val="18"/>
          <w:highlight w:val="none"/>
        </w:rPr>
      </w:pPr>
      <w:r>
        <w:rPr>
          <w:rFonts w:hint="eastAsia" w:ascii="微软雅黑" w:hAnsi="微软雅黑" w:eastAsia="微软雅黑" w:cs="微软雅黑"/>
          <w:color w:val="auto"/>
          <w:sz w:val="22"/>
          <w:szCs w:val="18"/>
          <w:highlight w:val="none"/>
        </w:rPr>
        <w:t>（2）中标后不按本须知第30条的规定与采购人签订合同的；</w:t>
      </w:r>
    </w:p>
    <w:p w14:paraId="07ED57EC">
      <w:pPr>
        <w:pStyle w:val="15"/>
        <w:pageBreakBefore w:val="0"/>
        <w:widowControl w:val="0"/>
        <w:tabs>
          <w:tab w:val="left" w:pos="2240"/>
        </w:tabs>
        <w:kinsoku/>
        <w:wordWrap/>
        <w:overflowPunct/>
        <w:topLinePunct w:val="0"/>
        <w:bidi w:val="0"/>
        <w:spacing w:line="360" w:lineRule="exact"/>
        <w:ind w:left="275" w:leftChars="0" w:hanging="275" w:hangingChars="125"/>
        <w:textAlignment w:val="auto"/>
        <w:rPr>
          <w:rFonts w:hint="eastAsia" w:ascii="微软雅黑" w:hAnsi="微软雅黑" w:eastAsia="微软雅黑" w:cs="微软雅黑"/>
          <w:color w:val="auto"/>
          <w:sz w:val="22"/>
          <w:szCs w:val="18"/>
          <w:highlight w:val="none"/>
        </w:rPr>
      </w:pPr>
      <w:r>
        <w:rPr>
          <w:rFonts w:hint="eastAsia" w:ascii="微软雅黑" w:hAnsi="微软雅黑" w:eastAsia="微软雅黑" w:cs="微软雅黑"/>
          <w:color w:val="auto"/>
          <w:sz w:val="22"/>
          <w:szCs w:val="18"/>
          <w:highlight w:val="none"/>
        </w:rPr>
        <w:t>（3）中标后不按本须知第31条的规定提交履约保证金的；</w:t>
      </w:r>
    </w:p>
    <w:p w14:paraId="7483C329">
      <w:pPr>
        <w:pStyle w:val="15"/>
        <w:pageBreakBefore w:val="0"/>
        <w:widowControl w:val="0"/>
        <w:tabs>
          <w:tab w:val="left" w:pos="2240"/>
        </w:tabs>
        <w:kinsoku/>
        <w:wordWrap/>
        <w:overflowPunct/>
        <w:topLinePunct w:val="0"/>
        <w:bidi w:val="0"/>
        <w:spacing w:line="360" w:lineRule="exact"/>
        <w:ind w:left="275" w:leftChars="0" w:hanging="275" w:hangingChars="125"/>
        <w:textAlignment w:val="auto"/>
        <w:rPr>
          <w:rFonts w:hint="eastAsia" w:ascii="微软雅黑" w:hAnsi="微软雅黑" w:eastAsia="微软雅黑" w:cs="微软雅黑"/>
          <w:color w:val="auto"/>
          <w:sz w:val="22"/>
          <w:szCs w:val="18"/>
          <w:highlight w:val="none"/>
        </w:rPr>
      </w:pPr>
      <w:r>
        <w:rPr>
          <w:rFonts w:hint="eastAsia" w:ascii="微软雅黑" w:hAnsi="微软雅黑" w:eastAsia="微软雅黑" w:cs="微软雅黑"/>
          <w:color w:val="auto"/>
          <w:sz w:val="22"/>
          <w:szCs w:val="18"/>
          <w:highlight w:val="none"/>
        </w:rPr>
        <w:t>（4）中标后不按本须知第32条的规定缴纳中标服务费的；</w:t>
      </w:r>
    </w:p>
    <w:p w14:paraId="0E9C6900">
      <w:pPr>
        <w:pStyle w:val="15"/>
        <w:pageBreakBefore w:val="0"/>
        <w:widowControl w:val="0"/>
        <w:tabs>
          <w:tab w:val="left" w:pos="2240"/>
        </w:tabs>
        <w:kinsoku/>
        <w:wordWrap/>
        <w:overflowPunct/>
        <w:topLinePunct w:val="0"/>
        <w:bidi w:val="0"/>
        <w:spacing w:line="360" w:lineRule="exact"/>
        <w:ind w:left="275" w:leftChars="0" w:hanging="275" w:hangingChars="125"/>
        <w:textAlignment w:val="auto"/>
        <w:rPr>
          <w:rFonts w:hint="eastAsia" w:ascii="微软雅黑" w:hAnsi="微软雅黑" w:eastAsia="微软雅黑" w:cs="微软雅黑"/>
          <w:color w:val="auto"/>
          <w:sz w:val="22"/>
          <w:szCs w:val="18"/>
          <w:highlight w:val="none"/>
        </w:rPr>
      </w:pPr>
      <w:r>
        <w:rPr>
          <w:rFonts w:hint="eastAsia" w:ascii="微软雅黑" w:hAnsi="微软雅黑" w:eastAsia="微软雅黑" w:cs="微软雅黑"/>
          <w:color w:val="auto"/>
          <w:sz w:val="22"/>
          <w:szCs w:val="18"/>
          <w:highlight w:val="none"/>
        </w:rPr>
        <w:t>（5）存在其他违法违规行为的。</w:t>
      </w:r>
    </w:p>
    <w:p w14:paraId="55A137F1">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bookmarkStart w:id="518" w:name="_Ref467306336"/>
      <w:r>
        <w:rPr>
          <w:rFonts w:hint="eastAsia" w:ascii="微软雅黑" w:hAnsi="微软雅黑" w:eastAsia="微软雅黑" w:cs="微软雅黑"/>
          <w:color w:val="auto"/>
          <w:sz w:val="22"/>
          <w:szCs w:val="22"/>
          <w:highlight w:val="none"/>
        </w:rPr>
        <w:t>12.3</w:t>
      </w:r>
      <w:r>
        <w:rPr>
          <w:rFonts w:hint="eastAsia" w:ascii="微软雅黑" w:hAnsi="微软雅黑" w:eastAsia="微软雅黑" w:cs="微软雅黑"/>
          <w:color w:val="auto"/>
          <w:sz w:val="22"/>
          <w:szCs w:val="22"/>
          <w:highlight w:val="none"/>
        </w:rPr>
        <w:tab/>
      </w:r>
      <w:bookmarkEnd w:id="518"/>
      <w:r>
        <w:rPr>
          <w:rFonts w:hint="eastAsia" w:ascii="微软雅黑" w:hAnsi="微软雅黑" w:eastAsia="微软雅黑" w:cs="微软雅黑"/>
          <w:color w:val="auto"/>
          <w:sz w:val="22"/>
          <w:szCs w:val="22"/>
          <w:highlight w:val="none"/>
        </w:rPr>
        <w:t>政府采购信用担保试点范围内的项目，接受符合财政部门规定的政府采购投标担</w:t>
      </w:r>
      <w:r>
        <w:rPr>
          <w:rFonts w:hint="eastAsia" w:ascii="微软雅黑" w:hAnsi="微软雅黑" w:eastAsia="微软雅黑" w:cs="微软雅黑"/>
          <w:color w:val="auto"/>
          <w:sz w:val="22"/>
          <w:szCs w:val="22"/>
          <w:highlight w:val="none"/>
          <w:lang w:eastAsia="zh-CN"/>
        </w:rPr>
        <w:t>保函</w:t>
      </w:r>
      <w:r>
        <w:rPr>
          <w:rFonts w:hint="eastAsia" w:ascii="微软雅黑" w:hAnsi="微软雅黑" w:eastAsia="微软雅黑" w:cs="微软雅黑"/>
          <w:color w:val="auto"/>
          <w:sz w:val="22"/>
          <w:szCs w:val="22"/>
          <w:highlight w:val="none"/>
        </w:rPr>
        <w:t>原件。</w:t>
      </w:r>
    </w:p>
    <w:p w14:paraId="4D66CCD7">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12.4</w:t>
      </w: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未按本须知第12.1和12.3条规定提交投标保证金的，其投标将被认定为</w:t>
      </w:r>
      <w:r>
        <w:rPr>
          <w:rFonts w:hint="eastAsia" w:ascii="微软雅黑" w:hAnsi="微软雅黑" w:eastAsia="微软雅黑" w:cs="微软雅黑"/>
          <w:b/>
          <w:bCs/>
          <w:color w:val="auto"/>
          <w:sz w:val="22"/>
          <w:szCs w:val="22"/>
          <w:highlight w:val="none"/>
        </w:rPr>
        <w:t>投标无效</w:t>
      </w:r>
      <w:r>
        <w:rPr>
          <w:rFonts w:hint="eastAsia" w:ascii="微软雅黑" w:hAnsi="微软雅黑" w:eastAsia="微软雅黑" w:cs="微软雅黑"/>
          <w:color w:val="auto"/>
          <w:sz w:val="22"/>
          <w:szCs w:val="22"/>
          <w:highlight w:val="none"/>
        </w:rPr>
        <w:t>。</w:t>
      </w:r>
    </w:p>
    <w:p w14:paraId="275709CA">
      <w:pPr>
        <w:pageBreakBefore w:val="0"/>
        <w:widowControl w:val="0"/>
        <w:kinsoku/>
        <w:wordWrap/>
        <w:overflowPunct/>
        <w:topLinePunct w:val="0"/>
        <w:bidi w:val="0"/>
        <w:spacing w:line="360" w:lineRule="exact"/>
        <w:ind w:left="0" w:leftChars="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12.4.1  采用电汇形式的，一般可以实时入账。</w:t>
      </w:r>
    </w:p>
    <w:p w14:paraId="7EA279F3">
      <w:pPr>
        <w:pageBreakBefore w:val="0"/>
        <w:widowControl w:val="0"/>
        <w:kinsoku/>
        <w:wordWrap/>
        <w:overflowPunct/>
        <w:topLinePunct w:val="0"/>
        <w:bidi w:val="0"/>
        <w:spacing w:line="360" w:lineRule="exact"/>
        <w:ind w:left="880" w:leftChars="0" w:hanging="880" w:hangingChars="40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12.4.2  采用支票形式的，</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则应充分考虑支票入账时间，以确保投标保证金能按时进入指定账户。根据银行信息交换和付款时间，支票从递交至实际入账一般需要4-5个工作日。如</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未及时提交支票或支票不符合银行委托收款要求（如污损、折叠、胶装等），导致投标保证金不能按时进入指定账户的，将按照招标文件的第22.2条相关规定处理。</w:t>
      </w:r>
    </w:p>
    <w:p w14:paraId="100C5018">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12.5   联合体投标的，可以由联合体中的一方或者共同提交投标保证金。以一方名义提交投标保证金的，对联合体各方均具有约束力。</w:t>
      </w:r>
    </w:p>
    <w:p w14:paraId="59FF2336">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12.6</w:t>
      </w: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color w:val="auto"/>
          <w:sz w:val="22"/>
          <w:szCs w:val="22"/>
          <w:highlight w:val="none"/>
        </w:rPr>
        <w:t>投标保证金的退还</w:t>
      </w:r>
    </w:p>
    <w:p w14:paraId="268CEF43">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12.6.1  中标人应在与采购人签订合同之日起5个工作日内，及时联系保证金收受机构办理投标保证金无息退还手续。</w:t>
      </w:r>
    </w:p>
    <w:p w14:paraId="73CFDE2A">
      <w:pPr>
        <w:pageBreakBefore w:val="0"/>
        <w:widowControl w:val="0"/>
        <w:kinsoku/>
        <w:wordWrap/>
        <w:overflowPunct/>
        <w:topLinePunct w:val="0"/>
        <w:bidi w:val="0"/>
        <w:spacing w:line="360" w:lineRule="exact"/>
        <w:ind w:left="880" w:leftChars="0" w:hanging="880" w:hangingChars="40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12.6.2  未中标</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的投标保证金将在中标通知书发出之日暨中标结果公告公布之日起5个工作日内无息退还。</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应及时联系保证金收受机构办理退还投标保证金手续。</w:t>
      </w:r>
    </w:p>
    <w:p w14:paraId="0157A737">
      <w:pPr>
        <w:pageBreakBefore w:val="0"/>
        <w:widowControl w:val="0"/>
        <w:kinsoku/>
        <w:wordWrap/>
        <w:overflowPunct/>
        <w:topLinePunct w:val="0"/>
        <w:bidi w:val="0"/>
        <w:spacing w:line="360" w:lineRule="exact"/>
        <w:ind w:left="0" w:leftChars="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12.6.3  政府采购投标担</w:t>
      </w:r>
      <w:r>
        <w:rPr>
          <w:rFonts w:hint="eastAsia" w:ascii="微软雅黑" w:hAnsi="微软雅黑" w:eastAsia="微软雅黑" w:cs="微软雅黑"/>
          <w:color w:val="auto"/>
          <w:sz w:val="22"/>
          <w:szCs w:val="22"/>
          <w:highlight w:val="none"/>
          <w:lang w:eastAsia="zh-CN"/>
        </w:rPr>
        <w:t>保函</w:t>
      </w:r>
      <w:r>
        <w:rPr>
          <w:rFonts w:hint="eastAsia" w:ascii="微软雅黑" w:hAnsi="微软雅黑" w:eastAsia="微软雅黑" w:cs="微软雅黑"/>
          <w:color w:val="auto"/>
          <w:sz w:val="22"/>
          <w:szCs w:val="22"/>
          <w:highlight w:val="none"/>
        </w:rPr>
        <w:t>不予退回。</w:t>
      </w:r>
    </w:p>
    <w:p w14:paraId="26BA4786">
      <w:pPr>
        <w:pageBreakBefore w:val="0"/>
        <w:widowControl w:val="0"/>
        <w:kinsoku/>
        <w:wordWrap/>
        <w:overflowPunct/>
        <w:topLinePunct w:val="0"/>
        <w:bidi w:val="0"/>
        <w:spacing w:line="360" w:lineRule="exact"/>
        <w:ind w:left="880" w:leftChars="0" w:hanging="880" w:hangingChars="40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12.7    因</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自身原因导致无法及时退还的，采购人或采购代理机构将不承担相应责任。</w:t>
      </w:r>
    </w:p>
    <w:p w14:paraId="1549A66B">
      <w:pPr>
        <w:pStyle w:val="4"/>
        <w:pageBreakBefore w:val="0"/>
        <w:widowControl w:val="0"/>
        <w:kinsoku/>
        <w:wordWrap/>
        <w:overflowPunct/>
        <w:topLinePunct w:val="0"/>
        <w:bidi w:val="0"/>
        <w:spacing w:before="0" w:after="0" w:line="360" w:lineRule="exact"/>
        <w:ind w:left="0" w:leftChars="0"/>
        <w:textAlignment w:val="auto"/>
        <w:rPr>
          <w:rFonts w:hint="eastAsia" w:ascii="微软雅黑" w:hAnsi="微软雅黑" w:eastAsia="微软雅黑" w:cs="微软雅黑"/>
          <w:b/>
          <w:bCs/>
          <w:color w:val="auto"/>
          <w:sz w:val="22"/>
          <w:szCs w:val="22"/>
          <w:highlight w:val="none"/>
          <w:u w:val="none"/>
        </w:rPr>
      </w:pPr>
      <w:bookmarkStart w:id="519" w:name="_Toc6189"/>
      <w:bookmarkStart w:id="520" w:name="_Toc12947"/>
      <w:bookmarkStart w:id="521" w:name="_Toc23590"/>
      <w:bookmarkStart w:id="522" w:name="_Toc19152"/>
      <w:bookmarkStart w:id="523" w:name="_Toc30090"/>
      <w:bookmarkStart w:id="524" w:name="_Toc32569"/>
      <w:bookmarkStart w:id="525" w:name="_Toc11132"/>
      <w:bookmarkStart w:id="526" w:name="_Toc13589"/>
      <w:bookmarkStart w:id="527" w:name="_Toc515647772"/>
      <w:bookmarkStart w:id="528" w:name="_Toc17521"/>
      <w:bookmarkStart w:id="529" w:name="_Toc11097"/>
      <w:bookmarkStart w:id="530" w:name="_Toc1255"/>
      <w:bookmarkStart w:id="531" w:name="_Toc31338"/>
      <w:bookmarkStart w:id="532" w:name="_Toc27999"/>
      <w:bookmarkStart w:id="533" w:name="_Toc3538"/>
      <w:bookmarkStart w:id="534" w:name="_Toc1977"/>
      <w:bookmarkStart w:id="535" w:name="_Toc12852"/>
      <w:bookmarkStart w:id="536" w:name="_Toc24866"/>
      <w:bookmarkStart w:id="537" w:name="_Toc13999"/>
      <w:bookmarkStart w:id="538" w:name="_Toc18864"/>
      <w:bookmarkStart w:id="539" w:name="_Toc1719"/>
      <w:bookmarkStart w:id="540" w:name="_Toc10221"/>
      <w:bookmarkStart w:id="541" w:name="_Toc520356157"/>
      <w:bookmarkStart w:id="542" w:name="_Toc7349"/>
      <w:bookmarkStart w:id="543" w:name="_Toc2233"/>
      <w:bookmarkStart w:id="544" w:name="_Toc17927"/>
      <w:bookmarkStart w:id="545" w:name="_Toc30519"/>
      <w:bookmarkStart w:id="546" w:name="_Toc3714"/>
      <w:bookmarkStart w:id="547" w:name="_Toc28650"/>
      <w:bookmarkStart w:id="548" w:name="_Toc23657"/>
      <w:bookmarkStart w:id="549" w:name="_Toc13712"/>
      <w:bookmarkStart w:id="550" w:name="_Toc31260"/>
      <w:bookmarkStart w:id="551" w:name="_Toc9113"/>
      <w:bookmarkStart w:id="552" w:name="_Toc19790"/>
      <w:bookmarkStart w:id="553" w:name="_Toc31306"/>
      <w:bookmarkStart w:id="554" w:name="_Toc3015"/>
      <w:bookmarkStart w:id="555" w:name="_Toc13507"/>
      <w:bookmarkStart w:id="556" w:name="_Toc11969"/>
      <w:r>
        <w:rPr>
          <w:rFonts w:hint="eastAsia" w:ascii="微软雅黑" w:hAnsi="微软雅黑" w:eastAsia="微软雅黑" w:cs="微软雅黑"/>
          <w:b/>
          <w:bCs/>
          <w:color w:val="auto"/>
          <w:sz w:val="22"/>
          <w:szCs w:val="22"/>
          <w:highlight w:val="none"/>
          <w:u w:val="none"/>
        </w:rPr>
        <w:t>13.投标有效期</w:t>
      </w:r>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p>
    <w:p w14:paraId="52FBD5FE">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13.1</w:t>
      </w: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color w:val="auto"/>
          <w:sz w:val="22"/>
          <w:szCs w:val="22"/>
          <w:highlight w:val="none"/>
        </w:rPr>
        <w:t>投标应在</w:t>
      </w:r>
      <w:r>
        <w:rPr>
          <w:rFonts w:hint="eastAsia" w:ascii="微软雅黑" w:hAnsi="微软雅黑" w:eastAsia="微软雅黑" w:cs="微软雅黑"/>
          <w:color w:val="auto"/>
          <w:sz w:val="22"/>
          <w:szCs w:val="22"/>
          <w:highlight w:val="none"/>
          <w:u w:val="single"/>
          <w:lang w:eastAsia="zh-CN"/>
        </w:rPr>
        <w:t>供应商</w:t>
      </w:r>
      <w:r>
        <w:rPr>
          <w:rFonts w:hint="eastAsia" w:ascii="微软雅黑" w:hAnsi="微软雅黑" w:eastAsia="微软雅黑" w:cs="微软雅黑"/>
          <w:color w:val="auto"/>
          <w:sz w:val="22"/>
          <w:szCs w:val="22"/>
          <w:highlight w:val="none"/>
          <w:u w:val="single"/>
        </w:rPr>
        <w:t>须知资料表</w:t>
      </w:r>
      <w:r>
        <w:rPr>
          <w:rFonts w:hint="eastAsia" w:ascii="微软雅黑" w:hAnsi="微软雅黑" w:eastAsia="微软雅黑" w:cs="微软雅黑"/>
          <w:color w:val="auto"/>
          <w:sz w:val="22"/>
          <w:szCs w:val="22"/>
          <w:highlight w:val="none"/>
        </w:rPr>
        <w:t>中规定时间内保持有效。投标有效期不满足要求的投标，其投标将被认定为</w:t>
      </w:r>
      <w:r>
        <w:rPr>
          <w:rFonts w:hint="eastAsia" w:ascii="微软雅黑" w:hAnsi="微软雅黑" w:eastAsia="微软雅黑" w:cs="微软雅黑"/>
          <w:b/>
          <w:bCs/>
          <w:color w:val="auto"/>
          <w:sz w:val="22"/>
          <w:szCs w:val="22"/>
          <w:highlight w:val="none"/>
        </w:rPr>
        <w:t>投标无效</w:t>
      </w:r>
      <w:r>
        <w:rPr>
          <w:rFonts w:hint="eastAsia" w:ascii="微软雅黑" w:hAnsi="微软雅黑" w:eastAsia="微软雅黑" w:cs="微软雅黑"/>
          <w:color w:val="auto"/>
          <w:sz w:val="22"/>
          <w:szCs w:val="22"/>
          <w:highlight w:val="none"/>
        </w:rPr>
        <w:t>。</w:t>
      </w:r>
    </w:p>
    <w:p w14:paraId="1D1BF40F">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13.2</w:t>
      </w: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color w:val="auto"/>
          <w:sz w:val="22"/>
          <w:szCs w:val="22"/>
          <w:highlight w:val="none"/>
        </w:rPr>
        <w:t>为保证有充分时间签订合同，采购人或采购代理机构可根据实际情况，在原投标有效期截止之前，要求</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延长投标文件的有效期。接受该要求的</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将不会被要求和允许修正其投标，且本须知中有关投标保证金的要求须在延长的有效期内继续有效。</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可以拒绝延长投标有效期的要求，其投标保证金将及时无息退还。上述要求和答复都应以书面形式提交。</w:t>
      </w:r>
    </w:p>
    <w:p w14:paraId="76F3F7D6">
      <w:pPr>
        <w:pStyle w:val="4"/>
        <w:shd w:val="clear"/>
        <w:spacing w:before="0" w:after="0" w:line="360" w:lineRule="exact"/>
        <w:rPr>
          <w:rFonts w:hint="eastAsia" w:ascii="微软雅黑" w:hAnsi="微软雅黑" w:eastAsia="微软雅黑" w:cs="微软雅黑"/>
          <w:b/>
          <w:bCs/>
          <w:i w:val="0"/>
          <w:caps w:val="0"/>
          <w:color w:val="auto"/>
          <w:spacing w:val="0"/>
          <w:w w:val="100"/>
          <w:sz w:val="22"/>
          <w:szCs w:val="22"/>
          <w:highlight w:val="none"/>
          <w:u w:val="single" w:color="000000"/>
          <w:lang w:eastAsia="zh-CN"/>
        </w:rPr>
      </w:pPr>
      <w:bookmarkStart w:id="557" w:name="_Toc520356158"/>
      <w:bookmarkStart w:id="558" w:name="_Toc6887"/>
      <w:bookmarkStart w:id="559" w:name="_Toc11669"/>
      <w:bookmarkStart w:id="560" w:name="_Toc29619"/>
      <w:bookmarkStart w:id="561" w:name="_Toc10391"/>
      <w:bookmarkStart w:id="562" w:name="_Toc24787"/>
      <w:bookmarkStart w:id="563" w:name="_Toc6286"/>
      <w:bookmarkStart w:id="564" w:name="_Toc11337"/>
      <w:bookmarkStart w:id="565" w:name="_Toc493"/>
      <w:bookmarkStart w:id="566" w:name="_Toc5619"/>
      <w:bookmarkStart w:id="567" w:name="_Toc28964"/>
      <w:bookmarkStart w:id="568" w:name="_Toc3558"/>
      <w:bookmarkStart w:id="569" w:name="_Toc30127"/>
      <w:bookmarkStart w:id="570" w:name="_Toc87"/>
      <w:bookmarkStart w:id="571" w:name="_Toc18280"/>
      <w:bookmarkStart w:id="572" w:name="_Toc14675"/>
      <w:bookmarkStart w:id="573" w:name="_Toc21800"/>
      <w:bookmarkStart w:id="574" w:name="_Toc27307"/>
      <w:bookmarkStart w:id="575" w:name="_Toc19386"/>
      <w:bookmarkStart w:id="576" w:name="_Toc9672"/>
      <w:bookmarkStart w:id="577" w:name="_Toc13792"/>
      <w:bookmarkStart w:id="578" w:name="_Toc6938"/>
      <w:bookmarkStart w:id="579" w:name="_Toc16503"/>
      <w:bookmarkStart w:id="580" w:name="_Toc21599"/>
      <w:bookmarkStart w:id="581" w:name="_Toc515647773"/>
      <w:bookmarkStart w:id="582" w:name="_Toc23911"/>
      <w:bookmarkStart w:id="583" w:name="_Toc18908"/>
      <w:bookmarkStart w:id="584" w:name="_Toc6302"/>
      <w:bookmarkStart w:id="585" w:name="_Toc698"/>
      <w:bookmarkStart w:id="586" w:name="_Toc2914"/>
      <w:bookmarkStart w:id="587" w:name="_Toc4425"/>
      <w:bookmarkStart w:id="588" w:name="_Toc23785"/>
      <w:bookmarkStart w:id="589" w:name="_Toc17074"/>
      <w:bookmarkStart w:id="590" w:name="_Toc26473"/>
      <w:r>
        <w:rPr>
          <w:rFonts w:hint="eastAsia" w:ascii="微软雅黑" w:hAnsi="微软雅黑" w:eastAsia="微软雅黑" w:cs="微软雅黑"/>
          <w:b/>
          <w:bCs/>
          <w:color w:val="auto"/>
          <w:sz w:val="22"/>
          <w:szCs w:val="22"/>
          <w:highlight w:val="none"/>
          <w:u w:val="none"/>
        </w:rPr>
        <w:t>14.</w:t>
      </w:r>
      <w:r>
        <w:rPr>
          <w:rFonts w:hint="eastAsia" w:ascii="微软雅黑" w:hAnsi="微软雅黑" w:eastAsia="微软雅黑" w:cs="微软雅黑"/>
          <w:b/>
          <w:bCs/>
          <w:color w:val="auto"/>
          <w:sz w:val="22"/>
          <w:szCs w:val="22"/>
          <w:highlight w:val="none"/>
          <w:u w:val="none"/>
          <w:lang w:val="en-US" w:eastAsia="zh-CN"/>
        </w:rPr>
        <w:t xml:space="preserve"> </w:t>
      </w:r>
      <w:r>
        <w:rPr>
          <w:rFonts w:hint="eastAsia" w:ascii="微软雅黑" w:hAnsi="微软雅黑" w:eastAsia="微软雅黑" w:cs="微软雅黑"/>
          <w:b/>
          <w:bCs/>
          <w:color w:val="auto"/>
          <w:sz w:val="22"/>
          <w:szCs w:val="22"/>
          <w:highlight w:val="none"/>
          <w:u w:val="none"/>
        </w:rPr>
        <w:t>投标文件的签署</w:t>
      </w:r>
      <w:bookmarkEnd w:id="557"/>
      <w:r>
        <w:rPr>
          <w:rFonts w:hint="eastAsia" w:ascii="微软雅黑" w:hAnsi="微软雅黑" w:eastAsia="微软雅黑" w:cs="微软雅黑"/>
          <w:b/>
          <w:bCs/>
          <w:color w:val="auto"/>
          <w:sz w:val="22"/>
          <w:szCs w:val="22"/>
          <w:highlight w:val="none"/>
          <w:u w:val="none"/>
        </w:rPr>
        <w:t>及规定</w:t>
      </w:r>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p>
    <w:p w14:paraId="531413FC">
      <w:pPr>
        <w:shd w:val="clear"/>
        <w:spacing w:line="360" w:lineRule="exact"/>
        <w:ind w:left="900" w:hanging="825" w:hangingChars="375"/>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14.1</w:t>
      </w: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color w:val="auto"/>
          <w:sz w:val="22"/>
          <w:szCs w:val="22"/>
          <w:highlight w:val="none"/>
        </w:rPr>
        <w:t>供应商应按供应商须知资料表中的规定，准备和递交</w:t>
      </w:r>
      <w:r>
        <w:rPr>
          <w:rFonts w:hint="eastAsia" w:ascii="微软雅黑" w:hAnsi="微软雅黑" w:eastAsia="微软雅黑" w:cs="微软雅黑"/>
          <w:color w:val="auto"/>
          <w:sz w:val="22"/>
          <w:szCs w:val="22"/>
          <w:highlight w:val="none"/>
          <w:lang w:eastAsia="zh-CN"/>
        </w:rPr>
        <w:t>投标文件</w:t>
      </w:r>
      <w:r>
        <w:rPr>
          <w:rFonts w:hint="eastAsia" w:ascii="微软雅黑" w:hAnsi="微软雅黑" w:eastAsia="微软雅黑" w:cs="微软雅黑"/>
          <w:color w:val="auto"/>
          <w:sz w:val="22"/>
          <w:szCs w:val="22"/>
          <w:highlight w:val="none"/>
        </w:rPr>
        <w:t>。</w:t>
      </w:r>
    </w:p>
    <w:p w14:paraId="74BFA177">
      <w:pPr>
        <w:shd w:val="clear"/>
        <w:spacing w:line="360" w:lineRule="exact"/>
        <w:ind w:left="900" w:hanging="825" w:hangingChars="375"/>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14.2</w:t>
      </w: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color w:val="auto"/>
          <w:sz w:val="22"/>
          <w:szCs w:val="22"/>
          <w:highlight w:val="none"/>
          <w:lang w:eastAsia="zh-CN"/>
        </w:rPr>
        <w:t>投标文件</w:t>
      </w:r>
      <w:r>
        <w:rPr>
          <w:rFonts w:hint="eastAsia" w:ascii="微软雅黑" w:hAnsi="微软雅黑" w:eastAsia="微软雅黑" w:cs="微软雅黑"/>
          <w:color w:val="auto"/>
          <w:sz w:val="22"/>
          <w:szCs w:val="22"/>
          <w:highlight w:val="none"/>
        </w:rPr>
        <w:t>由供应商的法定代表人或经其正式委托代理人按</w:t>
      </w:r>
      <w:r>
        <w:rPr>
          <w:rFonts w:hint="eastAsia" w:ascii="微软雅黑" w:hAnsi="微软雅黑" w:eastAsia="微软雅黑" w:cs="微软雅黑"/>
          <w:color w:val="auto"/>
          <w:sz w:val="22"/>
          <w:szCs w:val="22"/>
          <w:highlight w:val="none"/>
          <w:lang w:eastAsia="zh-CN"/>
        </w:rPr>
        <w:t>招标文件</w:t>
      </w:r>
      <w:r>
        <w:rPr>
          <w:rFonts w:hint="eastAsia" w:ascii="微软雅黑" w:hAnsi="微软雅黑" w:eastAsia="微软雅黑" w:cs="微软雅黑"/>
          <w:color w:val="auto"/>
          <w:sz w:val="22"/>
          <w:szCs w:val="22"/>
          <w:highlight w:val="none"/>
        </w:rPr>
        <w:t>规定在</w:t>
      </w:r>
      <w:r>
        <w:rPr>
          <w:rFonts w:hint="eastAsia" w:ascii="微软雅黑" w:hAnsi="微软雅黑" w:eastAsia="微软雅黑" w:cs="微软雅黑"/>
          <w:color w:val="auto"/>
          <w:sz w:val="22"/>
          <w:szCs w:val="22"/>
          <w:highlight w:val="none"/>
          <w:lang w:eastAsia="zh-CN"/>
        </w:rPr>
        <w:t>投标文件</w:t>
      </w:r>
      <w:r>
        <w:rPr>
          <w:rFonts w:hint="eastAsia" w:ascii="微软雅黑" w:hAnsi="微软雅黑" w:eastAsia="微软雅黑" w:cs="微软雅黑"/>
          <w:color w:val="auto"/>
          <w:sz w:val="22"/>
          <w:szCs w:val="22"/>
          <w:highlight w:val="none"/>
        </w:rPr>
        <w:t>上签字或盖章并加盖单位印章。</w:t>
      </w:r>
    </w:p>
    <w:p w14:paraId="5C54339D">
      <w:pPr>
        <w:pStyle w:val="25"/>
        <w:rPr>
          <w:rFonts w:hint="eastAsia" w:ascii="微软雅黑" w:hAnsi="微软雅黑" w:eastAsia="微软雅黑" w:cs="微软雅黑"/>
          <w:color w:val="auto"/>
          <w:sz w:val="22"/>
          <w:szCs w:val="22"/>
          <w:highlight w:val="none"/>
        </w:rPr>
      </w:pPr>
      <w:bookmarkStart w:id="591" w:name="_Toc515647774"/>
      <w:bookmarkStart w:id="592" w:name="_Toc11179"/>
      <w:bookmarkStart w:id="593" w:name="_Toc216582808"/>
      <w:bookmarkStart w:id="594" w:name="_Toc16865"/>
      <w:bookmarkStart w:id="595" w:name="_Toc520356159"/>
    </w:p>
    <w:p w14:paraId="1F2A3E9C">
      <w:pPr>
        <w:pStyle w:val="3"/>
        <w:shd w:val="clear"/>
        <w:spacing w:before="0" w:line="360" w:lineRule="exact"/>
        <w:ind w:hanging="540"/>
        <w:rPr>
          <w:rFonts w:hint="eastAsia" w:ascii="微软雅黑" w:hAnsi="微软雅黑" w:eastAsia="微软雅黑" w:cs="微软雅黑"/>
          <w:color w:val="auto"/>
          <w:sz w:val="28"/>
          <w:szCs w:val="18"/>
          <w:highlight w:val="none"/>
        </w:rPr>
      </w:pPr>
      <w:bookmarkStart w:id="596" w:name="_Toc30935"/>
      <w:bookmarkStart w:id="597" w:name="_Toc32411"/>
      <w:bookmarkStart w:id="598" w:name="_Toc25125"/>
      <w:r>
        <w:rPr>
          <w:rFonts w:hint="eastAsia" w:ascii="微软雅黑" w:hAnsi="微软雅黑" w:eastAsia="微软雅黑" w:cs="微软雅黑"/>
          <w:color w:val="auto"/>
          <w:sz w:val="22"/>
          <w:szCs w:val="18"/>
          <w:highlight w:val="none"/>
        </w:rPr>
        <w:t>四   投标文件的递交</w:t>
      </w:r>
      <w:bookmarkEnd w:id="591"/>
      <w:bookmarkEnd w:id="592"/>
      <w:bookmarkEnd w:id="593"/>
      <w:bookmarkEnd w:id="594"/>
      <w:bookmarkEnd w:id="595"/>
      <w:bookmarkEnd w:id="596"/>
      <w:bookmarkEnd w:id="597"/>
      <w:bookmarkEnd w:id="598"/>
    </w:p>
    <w:p w14:paraId="15221EE7">
      <w:pPr>
        <w:numPr>
          <w:ilvl w:val="0"/>
          <w:numId w:val="4"/>
        </w:numPr>
        <w:shd w:val="clear"/>
        <w:spacing w:line="360" w:lineRule="exact"/>
        <w:outlineLvl w:val="2"/>
        <w:rPr>
          <w:rFonts w:hint="eastAsia" w:ascii="微软雅黑" w:hAnsi="微软雅黑" w:eastAsia="微软雅黑" w:cs="微软雅黑"/>
          <w:b/>
          <w:bCs/>
          <w:color w:val="auto"/>
          <w:sz w:val="22"/>
          <w:szCs w:val="22"/>
          <w:highlight w:val="none"/>
        </w:rPr>
      </w:pPr>
      <w:bookmarkStart w:id="599" w:name="_Toc8503"/>
      <w:bookmarkStart w:id="600" w:name="_Toc8129"/>
      <w:bookmarkStart w:id="601" w:name="_Toc21938"/>
      <w:bookmarkStart w:id="602" w:name="_Toc1558"/>
      <w:bookmarkStart w:id="603" w:name="_Toc6730"/>
      <w:bookmarkStart w:id="604" w:name="_Toc27008"/>
      <w:bookmarkStart w:id="605" w:name="_Toc28823"/>
      <w:bookmarkStart w:id="606" w:name="_Toc15412"/>
      <w:bookmarkStart w:id="607" w:name="_Toc26050"/>
      <w:bookmarkStart w:id="608" w:name="_Toc28911"/>
      <w:bookmarkStart w:id="609" w:name="_Toc13291"/>
      <w:bookmarkStart w:id="610" w:name="_Toc2920"/>
      <w:bookmarkStart w:id="611" w:name="_Toc6563"/>
      <w:bookmarkStart w:id="612" w:name="_Toc12432"/>
      <w:bookmarkStart w:id="613" w:name="_Toc15527"/>
      <w:bookmarkStart w:id="614" w:name="_Toc7933"/>
      <w:bookmarkStart w:id="615" w:name="_Toc8183"/>
      <w:bookmarkStart w:id="616" w:name="_Toc15590"/>
      <w:bookmarkStart w:id="617" w:name="_Toc11766"/>
      <w:bookmarkStart w:id="618" w:name="_Toc14401"/>
      <w:r>
        <w:rPr>
          <w:rFonts w:hint="eastAsia" w:ascii="微软雅黑" w:hAnsi="微软雅黑" w:eastAsia="微软雅黑" w:cs="微软雅黑"/>
          <w:b/>
          <w:bCs/>
          <w:color w:val="auto"/>
          <w:sz w:val="22"/>
          <w:szCs w:val="22"/>
          <w:highlight w:val="none"/>
          <w:lang w:eastAsia="zh-CN"/>
        </w:rPr>
        <w:t>投标文件</w:t>
      </w:r>
      <w:r>
        <w:rPr>
          <w:rFonts w:hint="eastAsia" w:ascii="微软雅黑" w:hAnsi="微软雅黑" w:eastAsia="微软雅黑" w:cs="微软雅黑"/>
          <w:b/>
          <w:bCs/>
          <w:color w:val="auto"/>
          <w:sz w:val="22"/>
          <w:szCs w:val="22"/>
          <w:highlight w:val="none"/>
        </w:rPr>
        <w:t>的密封和标记</w:t>
      </w:r>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p>
    <w:p w14:paraId="79B053D7">
      <w:pPr>
        <w:shd w:val="clear"/>
        <w:spacing w:line="360" w:lineRule="exact"/>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15.1</w:t>
      </w: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color w:val="auto"/>
          <w:sz w:val="22"/>
          <w:szCs w:val="22"/>
          <w:highlight w:val="none"/>
        </w:rPr>
        <w:t>为方便评审及进行资格审查，投标单位应完整地按招标文件提供的投标文件格式及要求编写投标文件， 投标单位须在投标截止时间前完成在系统上递交电子投标文件。投标单位的电子投标文件是经过CA证书加密后上传提交的，任何单位或个人均无法在投标截止时间(即投标时间)之前查看或篡改，不存在泄密风险。（严格按照政采云电子投标流程制作并上传电子投标文件）</w:t>
      </w:r>
    </w:p>
    <w:p w14:paraId="74F011ED">
      <w:pPr>
        <w:shd w:val="clear"/>
        <w:spacing w:line="360" w:lineRule="exact"/>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15.2</w:t>
      </w: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color w:val="auto"/>
          <w:sz w:val="22"/>
          <w:szCs w:val="22"/>
          <w:highlight w:val="none"/>
        </w:rPr>
        <w:t>供应商因自身原因导致电子投标文件无法导入电子评标系统的，该响应文件视为无效文件。</w:t>
      </w:r>
    </w:p>
    <w:p w14:paraId="04815175">
      <w:pPr>
        <w:shd w:val="clear"/>
        <w:spacing w:line="360" w:lineRule="exact"/>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15.3</w:t>
      </w: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color w:val="auto"/>
          <w:sz w:val="22"/>
          <w:szCs w:val="22"/>
          <w:highlight w:val="none"/>
        </w:rPr>
        <w:t>电子投标文件具有法律效力,与其他形式的响应文件在内容和格式上等同，若投标文件与招标文件要求不一致，其内容影响中标结果时，责任由供应商自行承担。</w:t>
      </w:r>
    </w:p>
    <w:p w14:paraId="48604B06">
      <w:pPr>
        <w:shd w:val="clear"/>
        <w:spacing w:line="360" w:lineRule="exact"/>
        <w:outlineLvl w:val="2"/>
        <w:rPr>
          <w:rFonts w:hint="eastAsia" w:ascii="微软雅黑" w:hAnsi="微软雅黑" w:eastAsia="微软雅黑" w:cs="微软雅黑"/>
          <w:b/>
          <w:bCs/>
          <w:color w:val="auto"/>
          <w:sz w:val="22"/>
          <w:szCs w:val="22"/>
          <w:highlight w:val="none"/>
        </w:rPr>
      </w:pPr>
      <w:bookmarkStart w:id="619" w:name="_Toc8719"/>
      <w:bookmarkStart w:id="620" w:name="_Toc9186"/>
      <w:bookmarkStart w:id="621" w:name="_Toc15797"/>
      <w:bookmarkStart w:id="622" w:name="_Toc16859"/>
      <w:bookmarkStart w:id="623" w:name="_Toc17998"/>
      <w:bookmarkStart w:id="624" w:name="_Toc3689"/>
      <w:bookmarkStart w:id="625" w:name="_Toc1555"/>
      <w:bookmarkStart w:id="626" w:name="_Toc7943"/>
      <w:bookmarkStart w:id="627" w:name="_Toc9893"/>
      <w:bookmarkStart w:id="628" w:name="_Toc28884"/>
      <w:bookmarkStart w:id="629" w:name="_Toc14473"/>
      <w:bookmarkStart w:id="630" w:name="_Toc7904"/>
      <w:bookmarkStart w:id="631" w:name="_Toc16065"/>
      <w:bookmarkStart w:id="632" w:name="_Toc7925"/>
      <w:bookmarkStart w:id="633" w:name="_Toc14771"/>
      <w:bookmarkStart w:id="634" w:name="_Toc29217"/>
      <w:bookmarkStart w:id="635" w:name="_Toc19680"/>
      <w:bookmarkStart w:id="636" w:name="_Toc30321"/>
      <w:bookmarkStart w:id="637" w:name="_Toc23034"/>
      <w:bookmarkStart w:id="638" w:name="_Toc21983"/>
      <w:r>
        <w:rPr>
          <w:rFonts w:hint="eastAsia" w:ascii="微软雅黑" w:hAnsi="微软雅黑" w:eastAsia="微软雅黑" w:cs="微软雅黑"/>
          <w:b/>
          <w:bCs/>
          <w:color w:val="auto"/>
          <w:sz w:val="22"/>
          <w:szCs w:val="22"/>
          <w:highlight w:val="none"/>
        </w:rPr>
        <w:t>16.</w:t>
      </w:r>
      <w:r>
        <w:rPr>
          <w:rFonts w:hint="eastAsia" w:ascii="微软雅黑" w:hAnsi="微软雅黑" w:eastAsia="微软雅黑" w:cs="微软雅黑"/>
          <w:b/>
          <w:bCs/>
          <w:color w:val="auto"/>
          <w:sz w:val="22"/>
          <w:szCs w:val="22"/>
          <w:highlight w:val="none"/>
          <w:lang w:val="en-US" w:eastAsia="zh-CN"/>
        </w:rPr>
        <w:t>投标</w:t>
      </w:r>
      <w:r>
        <w:rPr>
          <w:rFonts w:hint="eastAsia" w:ascii="微软雅黑" w:hAnsi="微软雅黑" w:eastAsia="微软雅黑" w:cs="微软雅黑"/>
          <w:b/>
          <w:bCs/>
          <w:color w:val="auto"/>
          <w:sz w:val="22"/>
          <w:szCs w:val="22"/>
          <w:highlight w:val="none"/>
        </w:rPr>
        <w:t>截止</w:t>
      </w:r>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p>
    <w:p w14:paraId="31CE054F">
      <w:pPr>
        <w:shd w:val="clear"/>
        <w:spacing w:line="360" w:lineRule="exact"/>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16.1</w:t>
      </w: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color w:val="auto"/>
          <w:sz w:val="22"/>
          <w:szCs w:val="22"/>
          <w:highlight w:val="none"/>
        </w:rPr>
        <w:t>供应商应在供应商须知资料表中规定的</w:t>
      </w:r>
      <w:r>
        <w:rPr>
          <w:rFonts w:hint="eastAsia" w:ascii="微软雅黑" w:hAnsi="微软雅黑" w:eastAsia="微软雅黑" w:cs="微软雅黑"/>
          <w:color w:val="auto"/>
          <w:sz w:val="22"/>
          <w:szCs w:val="22"/>
          <w:highlight w:val="none"/>
          <w:lang w:val="en-US" w:eastAsia="zh-CN"/>
        </w:rPr>
        <w:t>投标</w:t>
      </w:r>
      <w:r>
        <w:rPr>
          <w:rFonts w:hint="eastAsia" w:ascii="微软雅黑" w:hAnsi="微软雅黑" w:eastAsia="微软雅黑" w:cs="微软雅黑"/>
          <w:color w:val="auto"/>
          <w:sz w:val="22"/>
          <w:szCs w:val="22"/>
          <w:highlight w:val="none"/>
        </w:rPr>
        <w:t>截止时间前，将</w:t>
      </w:r>
      <w:r>
        <w:rPr>
          <w:rFonts w:hint="eastAsia" w:ascii="微软雅黑" w:hAnsi="微软雅黑" w:eastAsia="微软雅黑" w:cs="微软雅黑"/>
          <w:color w:val="auto"/>
          <w:sz w:val="22"/>
          <w:szCs w:val="22"/>
          <w:highlight w:val="none"/>
          <w:lang w:eastAsia="zh-CN"/>
        </w:rPr>
        <w:t>投标文件</w:t>
      </w:r>
      <w:r>
        <w:rPr>
          <w:rFonts w:hint="eastAsia" w:ascii="微软雅黑" w:hAnsi="微软雅黑" w:eastAsia="微软雅黑" w:cs="微软雅黑"/>
          <w:color w:val="auto"/>
          <w:sz w:val="22"/>
          <w:szCs w:val="22"/>
          <w:highlight w:val="none"/>
        </w:rPr>
        <w:t>上传到</w:t>
      </w:r>
      <w:r>
        <w:rPr>
          <w:rFonts w:hint="eastAsia" w:ascii="微软雅黑" w:hAnsi="微软雅黑" w:eastAsia="微软雅黑" w:cs="微软雅黑"/>
          <w:color w:val="auto"/>
          <w:sz w:val="22"/>
          <w:szCs w:val="22"/>
          <w:highlight w:val="none"/>
          <w:lang w:val="en-US" w:eastAsia="zh-CN"/>
        </w:rPr>
        <w:t>公开招标</w:t>
      </w:r>
      <w:r>
        <w:rPr>
          <w:rFonts w:hint="eastAsia" w:ascii="微软雅黑" w:hAnsi="微软雅黑" w:eastAsia="微软雅黑" w:cs="微软雅黑"/>
          <w:color w:val="auto"/>
          <w:sz w:val="22"/>
          <w:szCs w:val="22"/>
          <w:highlight w:val="none"/>
        </w:rPr>
        <w:t>公告中规定的地点。</w:t>
      </w:r>
    </w:p>
    <w:p w14:paraId="72FC4D80">
      <w:pPr>
        <w:shd w:val="clear"/>
        <w:spacing w:line="360" w:lineRule="exact"/>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16.2</w:t>
      </w: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color w:val="auto"/>
          <w:sz w:val="22"/>
          <w:szCs w:val="22"/>
          <w:highlight w:val="none"/>
        </w:rPr>
        <w:t>采购人和采购代理机构有权按本须知的规定，延迟</w:t>
      </w:r>
      <w:r>
        <w:rPr>
          <w:rFonts w:hint="eastAsia" w:ascii="微软雅黑" w:hAnsi="微软雅黑" w:eastAsia="微软雅黑" w:cs="微软雅黑"/>
          <w:color w:val="auto"/>
          <w:sz w:val="22"/>
          <w:szCs w:val="22"/>
          <w:highlight w:val="none"/>
          <w:lang w:val="en-US" w:eastAsia="zh-CN"/>
        </w:rPr>
        <w:t>投标</w:t>
      </w:r>
      <w:r>
        <w:rPr>
          <w:rFonts w:hint="eastAsia" w:ascii="微软雅黑" w:hAnsi="微软雅黑" w:eastAsia="微软雅黑" w:cs="微软雅黑"/>
          <w:color w:val="auto"/>
          <w:sz w:val="22"/>
          <w:szCs w:val="22"/>
          <w:highlight w:val="none"/>
        </w:rPr>
        <w:t>截止时间。在此情况下，采购人、采购代理机构和供应商受</w:t>
      </w:r>
      <w:r>
        <w:rPr>
          <w:rFonts w:hint="eastAsia" w:ascii="微软雅黑" w:hAnsi="微软雅黑" w:eastAsia="微软雅黑" w:cs="微软雅黑"/>
          <w:color w:val="auto"/>
          <w:sz w:val="22"/>
          <w:szCs w:val="22"/>
          <w:highlight w:val="none"/>
          <w:lang w:val="en-US" w:eastAsia="zh-CN"/>
        </w:rPr>
        <w:t>投标</w:t>
      </w:r>
      <w:r>
        <w:rPr>
          <w:rFonts w:hint="eastAsia" w:ascii="微软雅黑" w:hAnsi="微软雅黑" w:eastAsia="微软雅黑" w:cs="微软雅黑"/>
          <w:color w:val="auto"/>
          <w:sz w:val="22"/>
          <w:szCs w:val="22"/>
          <w:highlight w:val="none"/>
        </w:rPr>
        <w:t>截止时间制约的所有权利和义务均应延长至新的截止时间。</w:t>
      </w:r>
    </w:p>
    <w:p w14:paraId="195EE67A">
      <w:pPr>
        <w:shd w:val="clear"/>
        <w:spacing w:line="360" w:lineRule="exact"/>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16.3</w:t>
      </w: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color w:val="auto"/>
          <w:sz w:val="22"/>
          <w:szCs w:val="22"/>
          <w:highlight w:val="none"/>
        </w:rPr>
        <w:t>采购人和采购代理机构将拒绝接收在</w:t>
      </w:r>
      <w:r>
        <w:rPr>
          <w:rFonts w:hint="eastAsia" w:ascii="微软雅黑" w:hAnsi="微软雅黑" w:eastAsia="微软雅黑" w:cs="微软雅黑"/>
          <w:color w:val="auto"/>
          <w:sz w:val="22"/>
          <w:szCs w:val="22"/>
          <w:highlight w:val="none"/>
          <w:lang w:val="en-US" w:eastAsia="zh-CN"/>
        </w:rPr>
        <w:t>投标</w:t>
      </w:r>
      <w:r>
        <w:rPr>
          <w:rFonts w:hint="eastAsia" w:ascii="微软雅黑" w:hAnsi="微软雅黑" w:eastAsia="微软雅黑" w:cs="微软雅黑"/>
          <w:color w:val="auto"/>
          <w:sz w:val="22"/>
          <w:szCs w:val="22"/>
          <w:highlight w:val="none"/>
        </w:rPr>
        <w:t>截止时间后上传的</w:t>
      </w:r>
      <w:r>
        <w:rPr>
          <w:rFonts w:hint="eastAsia" w:ascii="微软雅黑" w:hAnsi="微软雅黑" w:eastAsia="微软雅黑" w:cs="微软雅黑"/>
          <w:color w:val="auto"/>
          <w:sz w:val="22"/>
          <w:szCs w:val="22"/>
          <w:highlight w:val="none"/>
          <w:lang w:eastAsia="zh-CN"/>
        </w:rPr>
        <w:t>投标文件</w:t>
      </w:r>
      <w:r>
        <w:rPr>
          <w:rFonts w:hint="eastAsia" w:ascii="微软雅黑" w:hAnsi="微软雅黑" w:eastAsia="微软雅黑" w:cs="微软雅黑"/>
          <w:color w:val="auto"/>
          <w:sz w:val="22"/>
          <w:szCs w:val="22"/>
          <w:highlight w:val="none"/>
        </w:rPr>
        <w:t>。</w:t>
      </w:r>
    </w:p>
    <w:p w14:paraId="210386C4">
      <w:pPr>
        <w:shd w:val="clear"/>
        <w:spacing w:line="360" w:lineRule="exact"/>
        <w:outlineLvl w:val="2"/>
        <w:rPr>
          <w:rFonts w:hint="eastAsia" w:ascii="微软雅黑" w:hAnsi="微软雅黑" w:eastAsia="微软雅黑" w:cs="微软雅黑"/>
          <w:b/>
          <w:bCs/>
          <w:color w:val="auto"/>
          <w:sz w:val="22"/>
          <w:szCs w:val="22"/>
          <w:highlight w:val="none"/>
        </w:rPr>
      </w:pPr>
      <w:bookmarkStart w:id="639" w:name="_Toc32057"/>
      <w:bookmarkStart w:id="640" w:name="_Toc9564"/>
      <w:bookmarkStart w:id="641" w:name="_Toc25709"/>
      <w:bookmarkStart w:id="642" w:name="_Toc79"/>
      <w:bookmarkStart w:id="643" w:name="_Toc2151"/>
      <w:bookmarkStart w:id="644" w:name="_Toc30648"/>
      <w:bookmarkStart w:id="645" w:name="_Toc23767"/>
      <w:bookmarkStart w:id="646" w:name="_Toc9747"/>
      <w:bookmarkStart w:id="647" w:name="_Toc23033"/>
      <w:bookmarkStart w:id="648" w:name="_Toc2336"/>
      <w:bookmarkStart w:id="649" w:name="_Toc29765"/>
      <w:bookmarkStart w:id="650" w:name="_Toc22638"/>
      <w:bookmarkStart w:id="651" w:name="_Toc2598"/>
      <w:bookmarkStart w:id="652" w:name="_Toc29460"/>
      <w:bookmarkStart w:id="653" w:name="_Toc23325"/>
      <w:bookmarkStart w:id="654" w:name="_Toc27778"/>
      <w:bookmarkStart w:id="655" w:name="_Toc25577"/>
      <w:bookmarkStart w:id="656" w:name="_Toc15250"/>
      <w:bookmarkStart w:id="657" w:name="_Toc9884"/>
      <w:bookmarkStart w:id="658" w:name="_Toc10091"/>
      <w:r>
        <w:rPr>
          <w:rFonts w:hint="eastAsia" w:ascii="微软雅黑" w:hAnsi="微软雅黑" w:eastAsia="微软雅黑" w:cs="微软雅黑"/>
          <w:b/>
          <w:bCs/>
          <w:color w:val="auto"/>
          <w:sz w:val="22"/>
          <w:szCs w:val="22"/>
          <w:highlight w:val="none"/>
        </w:rPr>
        <w:t>17.</w:t>
      </w:r>
      <w:r>
        <w:rPr>
          <w:rFonts w:hint="eastAsia" w:ascii="微软雅黑" w:hAnsi="微软雅黑" w:eastAsia="微软雅黑" w:cs="微软雅黑"/>
          <w:b/>
          <w:bCs/>
          <w:color w:val="auto"/>
          <w:sz w:val="22"/>
          <w:szCs w:val="22"/>
          <w:highlight w:val="none"/>
          <w:lang w:eastAsia="zh-CN"/>
        </w:rPr>
        <w:t>投标文件</w:t>
      </w:r>
      <w:r>
        <w:rPr>
          <w:rFonts w:hint="eastAsia" w:ascii="微软雅黑" w:hAnsi="微软雅黑" w:eastAsia="微软雅黑" w:cs="微软雅黑"/>
          <w:b/>
          <w:bCs/>
          <w:color w:val="auto"/>
          <w:sz w:val="22"/>
          <w:szCs w:val="22"/>
          <w:highlight w:val="none"/>
        </w:rPr>
        <w:t>的接收、修改与撤回</w:t>
      </w:r>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p>
    <w:p w14:paraId="261D0EC0">
      <w:pPr>
        <w:shd w:val="clear"/>
        <w:spacing w:line="360" w:lineRule="exact"/>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17.1</w:t>
      </w: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color w:val="auto"/>
          <w:sz w:val="22"/>
          <w:szCs w:val="22"/>
          <w:highlight w:val="none"/>
        </w:rPr>
        <w:t>在</w:t>
      </w:r>
      <w:r>
        <w:rPr>
          <w:rFonts w:hint="eastAsia" w:ascii="微软雅黑" w:hAnsi="微软雅黑" w:eastAsia="微软雅黑" w:cs="微软雅黑"/>
          <w:color w:val="auto"/>
          <w:sz w:val="22"/>
          <w:szCs w:val="22"/>
          <w:highlight w:val="none"/>
          <w:lang w:val="en-US" w:eastAsia="zh-CN"/>
        </w:rPr>
        <w:t>投标</w:t>
      </w:r>
      <w:r>
        <w:rPr>
          <w:rFonts w:hint="eastAsia" w:ascii="微软雅黑" w:hAnsi="微软雅黑" w:eastAsia="微软雅黑" w:cs="微软雅黑"/>
          <w:color w:val="auto"/>
          <w:sz w:val="22"/>
          <w:szCs w:val="22"/>
          <w:highlight w:val="none"/>
        </w:rPr>
        <w:t>截止时间后上传的</w:t>
      </w:r>
      <w:r>
        <w:rPr>
          <w:rFonts w:hint="eastAsia" w:ascii="微软雅黑" w:hAnsi="微软雅黑" w:eastAsia="微软雅黑" w:cs="微软雅黑"/>
          <w:color w:val="auto"/>
          <w:sz w:val="22"/>
          <w:szCs w:val="22"/>
          <w:highlight w:val="none"/>
          <w:lang w:eastAsia="zh-CN"/>
        </w:rPr>
        <w:t>投标文件</w:t>
      </w:r>
      <w:r>
        <w:rPr>
          <w:rFonts w:hint="eastAsia" w:ascii="微软雅黑" w:hAnsi="微软雅黑" w:eastAsia="微软雅黑" w:cs="微软雅黑"/>
          <w:color w:val="auto"/>
          <w:sz w:val="22"/>
          <w:szCs w:val="22"/>
          <w:highlight w:val="none"/>
        </w:rPr>
        <w:t>的，采购人和采购代理机构将拒绝接收。</w:t>
      </w:r>
    </w:p>
    <w:p w14:paraId="62635017">
      <w:pPr>
        <w:shd w:val="clear"/>
        <w:spacing w:line="360" w:lineRule="exact"/>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17.2</w:t>
      </w: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color w:val="auto"/>
          <w:sz w:val="22"/>
          <w:szCs w:val="22"/>
          <w:highlight w:val="none"/>
        </w:rPr>
        <w:t>上传</w:t>
      </w:r>
      <w:r>
        <w:rPr>
          <w:rFonts w:hint="eastAsia" w:ascii="微软雅黑" w:hAnsi="微软雅黑" w:eastAsia="微软雅黑" w:cs="微软雅黑"/>
          <w:color w:val="auto"/>
          <w:sz w:val="22"/>
          <w:szCs w:val="22"/>
          <w:highlight w:val="none"/>
          <w:lang w:eastAsia="zh-CN"/>
        </w:rPr>
        <w:t>投标文件</w:t>
      </w:r>
      <w:r>
        <w:rPr>
          <w:rFonts w:hint="eastAsia" w:ascii="微软雅黑" w:hAnsi="微软雅黑" w:eastAsia="微软雅黑" w:cs="微软雅黑"/>
          <w:color w:val="auto"/>
          <w:sz w:val="22"/>
          <w:szCs w:val="22"/>
          <w:highlight w:val="none"/>
        </w:rPr>
        <w:t>以后，如果供应商要进行修改或撤回</w:t>
      </w:r>
      <w:r>
        <w:rPr>
          <w:rFonts w:hint="eastAsia" w:ascii="微软雅黑" w:hAnsi="微软雅黑" w:eastAsia="微软雅黑" w:cs="微软雅黑"/>
          <w:color w:val="auto"/>
          <w:sz w:val="22"/>
          <w:szCs w:val="22"/>
          <w:highlight w:val="none"/>
          <w:lang w:val="en-US" w:eastAsia="zh-CN"/>
        </w:rPr>
        <w:t>投标</w:t>
      </w:r>
      <w:r>
        <w:rPr>
          <w:rFonts w:hint="eastAsia" w:ascii="微软雅黑" w:hAnsi="微软雅黑" w:eastAsia="微软雅黑" w:cs="微软雅黑"/>
          <w:color w:val="auto"/>
          <w:sz w:val="22"/>
          <w:szCs w:val="22"/>
          <w:highlight w:val="none"/>
        </w:rPr>
        <w:t>，供应商对</w:t>
      </w:r>
      <w:r>
        <w:rPr>
          <w:rFonts w:hint="eastAsia" w:ascii="微软雅黑" w:hAnsi="微软雅黑" w:eastAsia="微软雅黑" w:cs="微软雅黑"/>
          <w:color w:val="auto"/>
          <w:sz w:val="22"/>
          <w:szCs w:val="22"/>
          <w:highlight w:val="none"/>
          <w:lang w:eastAsia="zh-CN"/>
        </w:rPr>
        <w:t>投标文件</w:t>
      </w:r>
      <w:r>
        <w:rPr>
          <w:rFonts w:hint="eastAsia" w:ascii="微软雅黑" w:hAnsi="微软雅黑" w:eastAsia="微软雅黑" w:cs="微软雅黑"/>
          <w:color w:val="auto"/>
          <w:sz w:val="22"/>
          <w:szCs w:val="22"/>
          <w:highlight w:val="none"/>
        </w:rPr>
        <w:t>的修改或撤回通知应按本须知规定编制、标记。采购人和采购代理机构将予以接收，并视为</w:t>
      </w:r>
      <w:r>
        <w:rPr>
          <w:rFonts w:hint="eastAsia" w:ascii="微软雅黑" w:hAnsi="微软雅黑" w:eastAsia="微软雅黑" w:cs="微软雅黑"/>
          <w:color w:val="auto"/>
          <w:sz w:val="22"/>
          <w:szCs w:val="22"/>
          <w:highlight w:val="none"/>
          <w:lang w:eastAsia="zh-CN"/>
        </w:rPr>
        <w:t>投标文件</w:t>
      </w:r>
      <w:r>
        <w:rPr>
          <w:rFonts w:hint="eastAsia" w:ascii="微软雅黑" w:hAnsi="微软雅黑" w:eastAsia="微软雅黑" w:cs="微软雅黑"/>
          <w:color w:val="auto"/>
          <w:sz w:val="22"/>
          <w:szCs w:val="22"/>
          <w:highlight w:val="none"/>
        </w:rPr>
        <w:t>的组成部分。</w:t>
      </w:r>
    </w:p>
    <w:p w14:paraId="565E8449">
      <w:pPr>
        <w:shd w:val="clear"/>
        <w:spacing w:line="360" w:lineRule="exact"/>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17</w:t>
      </w:r>
      <w:r>
        <w:rPr>
          <w:rFonts w:hint="eastAsia" w:ascii="微软雅黑" w:hAnsi="微软雅黑" w:eastAsia="微软雅黑" w:cs="微软雅黑"/>
          <w:color w:val="auto"/>
          <w:sz w:val="22"/>
          <w:szCs w:val="22"/>
          <w:highlight w:val="none"/>
          <w:lang w:eastAsia="zh-CN"/>
        </w:rPr>
        <w:t>.</w:t>
      </w:r>
      <w:r>
        <w:rPr>
          <w:rFonts w:hint="eastAsia" w:ascii="微软雅黑" w:hAnsi="微软雅黑" w:eastAsia="微软雅黑" w:cs="微软雅黑"/>
          <w:color w:val="auto"/>
          <w:sz w:val="22"/>
          <w:szCs w:val="22"/>
          <w:highlight w:val="none"/>
        </w:rPr>
        <w:t>3</w:t>
      </w: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color w:val="auto"/>
          <w:sz w:val="22"/>
          <w:szCs w:val="22"/>
          <w:highlight w:val="none"/>
        </w:rPr>
        <w:t>在</w:t>
      </w:r>
      <w:r>
        <w:rPr>
          <w:rFonts w:hint="eastAsia" w:ascii="微软雅黑" w:hAnsi="微软雅黑" w:eastAsia="微软雅黑" w:cs="微软雅黑"/>
          <w:color w:val="auto"/>
          <w:sz w:val="22"/>
          <w:szCs w:val="22"/>
          <w:highlight w:val="none"/>
          <w:lang w:val="en-US" w:eastAsia="zh-CN"/>
        </w:rPr>
        <w:t>投标</w:t>
      </w:r>
      <w:r>
        <w:rPr>
          <w:rFonts w:hint="eastAsia" w:ascii="微软雅黑" w:hAnsi="微软雅黑" w:eastAsia="微软雅黑" w:cs="微软雅黑"/>
          <w:color w:val="auto"/>
          <w:sz w:val="22"/>
          <w:szCs w:val="22"/>
          <w:highlight w:val="none"/>
        </w:rPr>
        <w:t>截止期之后，采购人和采购代理机构不接受供应商主动对其</w:t>
      </w:r>
      <w:r>
        <w:rPr>
          <w:rFonts w:hint="eastAsia" w:ascii="微软雅黑" w:hAnsi="微软雅黑" w:eastAsia="微软雅黑" w:cs="微软雅黑"/>
          <w:color w:val="auto"/>
          <w:sz w:val="22"/>
          <w:szCs w:val="22"/>
          <w:highlight w:val="none"/>
          <w:lang w:eastAsia="zh-CN"/>
        </w:rPr>
        <w:t>投标文件</w:t>
      </w:r>
      <w:r>
        <w:rPr>
          <w:rFonts w:hint="eastAsia" w:ascii="微软雅黑" w:hAnsi="微软雅黑" w:eastAsia="微软雅黑" w:cs="微软雅黑"/>
          <w:color w:val="auto"/>
          <w:sz w:val="22"/>
          <w:szCs w:val="22"/>
          <w:highlight w:val="none"/>
        </w:rPr>
        <w:t>做任何修改。</w:t>
      </w:r>
    </w:p>
    <w:p w14:paraId="038EB0AB">
      <w:pPr>
        <w:shd w:val="clear"/>
        <w:spacing w:line="360" w:lineRule="exact"/>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17.4</w:t>
      </w: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color w:val="auto"/>
          <w:sz w:val="22"/>
          <w:szCs w:val="22"/>
          <w:highlight w:val="none"/>
        </w:rPr>
        <w:t>采购人和采购代理机构对所接收</w:t>
      </w:r>
      <w:r>
        <w:rPr>
          <w:rFonts w:hint="eastAsia" w:ascii="微软雅黑" w:hAnsi="微软雅黑" w:eastAsia="微软雅黑" w:cs="微软雅黑"/>
          <w:color w:val="auto"/>
          <w:sz w:val="22"/>
          <w:szCs w:val="22"/>
          <w:highlight w:val="none"/>
          <w:lang w:eastAsia="zh-CN"/>
        </w:rPr>
        <w:t>投标文件</w:t>
      </w:r>
      <w:r>
        <w:rPr>
          <w:rFonts w:hint="eastAsia" w:ascii="微软雅黑" w:hAnsi="微软雅黑" w:eastAsia="微软雅黑" w:cs="微软雅黑"/>
          <w:color w:val="auto"/>
          <w:sz w:val="22"/>
          <w:szCs w:val="22"/>
          <w:highlight w:val="none"/>
        </w:rPr>
        <w:t>概不退回。</w:t>
      </w:r>
      <w:bookmarkStart w:id="659" w:name="_Toc7470"/>
      <w:bookmarkStart w:id="660" w:name="_Toc520356163"/>
      <w:bookmarkStart w:id="661" w:name="_Toc28398"/>
      <w:bookmarkStart w:id="662" w:name="_Toc12436"/>
      <w:bookmarkStart w:id="663" w:name="_Toc15915"/>
      <w:bookmarkStart w:id="664" w:name="_Toc216582809"/>
      <w:bookmarkStart w:id="665" w:name="_Toc515647778"/>
    </w:p>
    <w:p w14:paraId="07AF4173">
      <w:pPr>
        <w:pStyle w:val="31"/>
        <w:rPr>
          <w:rFonts w:hint="eastAsia" w:ascii="微软雅黑" w:hAnsi="微软雅黑" w:eastAsia="微软雅黑" w:cs="微软雅黑"/>
          <w:sz w:val="22"/>
          <w:szCs w:val="22"/>
          <w:highlight w:val="none"/>
        </w:rPr>
      </w:pPr>
    </w:p>
    <w:p w14:paraId="5DA7D0CD">
      <w:pPr>
        <w:pStyle w:val="3"/>
        <w:pageBreakBefore w:val="0"/>
        <w:widowControl w:val="0"/>
        <w:kinsoku/>
        <w:wordWrap/>
        <w:overflowPunct/>
        <w:topLinePunct w:val="0"/>
        <w:bidi w:val="0"/>
        <w:spacing w:before="0" w:line="360" w:lineRule="exact"/>
        <w:ind w:left="0" w:leftChars="0" w:hanging="540"/>
        <w:textAlignment w:val="auto"/>
        <w:rPr>
          <w:rFonts w:hint="eastAsia" w:ascii="微软雅黑" w:hAnsi="微软雅黑" w:eastAsia="微软雅黑" w:cs="微软雅黑"/>
          <w:color w:val="auto"/>
          <w:sz w:val="28"/>
          <w:szCs w:val="18"/>
          <w:highlight w:val="none"/>
        </w:rPr>
      </w:pPr>
      <w:bookmarkStart w:id="666" w:name="_Toc28679"/>
      <w:r>
        <w:rPr>
          <w:rFonts w:hint="eastAsia" w:ascii="微软雅黑" w:hAnsi="微软雅黑" w:eastAsia="微软雅黑" w:cs="微软雅黑"/>
          <w:color w:val="auto"/>
          <w:sz w:val="22"/>
          <w:szCs w:val="18"/>
          <w:highlight w:val="none"/>
        </w:rPr>
        <w:t>五   开标及评标</w:t>
      </w:r>
      <w:bookmarkEnd w:id="659"/>
      <w:bookmarkEnd w:id="660"/>
      <w:bookmarkEnd w:id="661"/>
      <w:bookmarkEnd w:id="662"/>
      <w:bookmarkEnd w:id="663"/>
      <w:bookmarkEnd w:id="664"/>
      <w:bookmarkEnd w:id="665"/>
      <w:bookmarkEnd w:id="666"/>
    </w:p>
    <w:p w14:paraId="45C7C38C">
      <w:pPr>
        <w:pStyle w:val="4"/>
        <w:numPr>
          <w:ilvl w:val="0"/>
          <w:numId w:val="0"/>
        </w:numPr>
        <w:shd w:val="clear" w:color="auto" w:fill="auto"/>
        <w:spacing w:before="0" w:line="360" w:lineRule="exact"/>
        <w:rPr>
          <w:rFonts w:hint="eastAsia" w:ascii="微软雅黑" w:hAnsi="微软雅黑" w:eastAsia="微软雅黑" w:cs="微软雅黑"/>
          <w:b/>
          <w:bCs/>
          <w:color w:val="auto"/>
          <w:sz w:val="22"/>
          <w:szCs w:val="22"/>
          <w:highlight w:val="none"/>
        </w:rPr>
      </w:pPr>
      <w:bookmarkStart w:id="667" w:name="_Toc10716"/>
      <w:bookmarkStart w:id="668" w:name="_Toc1249"/>
      <w:bookmarkStart w:id="669" w:name="_Toc11887"/>
      <w:bookmarkStart w:id="670" w:name="_Toc19294"/>
      <w:bookmarkStart w:id="671" w:name="_Toc21418"/>
      <w:bookmarkStart w:id="672" w:name="_Toc4771"/>
      <w:bookmarkStart w:id="673" w:name="_Toc21359"/>
      <w:bookmarkStart w:id="674" w:name="_Toc23772"/>
      <w:bookmarkStart w:id="675" w:name="_Toc11726"/>
      <w:bookmarkStart w:id="676" w:name="_Toc63"/>
      <w:bookmarkStart w:id="677" w:name="_Toc18163"/>
      <w:bookmarkStart w:id="678" w:name="_Toc20923"/>
      <w:bookmarkStart w:id="679" w:name="_Toc25858"/>
      <w:bookmarkStart w:id="680" w:name="_Toc18940"/>
      <w:bookmarkStart w:id="681" w:name="_Toc23987"/>
      <w:bookmarkStart w:id="682" w:name="_Toc30961"/>
      <w:bookmarkStart w:id="683" w:name="_Toc30037"/>
      <w:bookmarkStart w:id="684" w:name="_Toc2886"/>
      <w:bookmarkStart w:id="685" w:name="_Toc17233"/>
      <w:bookmarkStart w:id="686" w:name="_Toc5825"/>
      <w:bookmarkStart w:id="687" w:name="_Toc9432"/>
      <w:bookmarkStart w:id="688" w:name="_Toc515647779"/>
      <w:bookmarkStart w:id="689" w:name="_Toc10415"/>
      <w:bookmarkStart w:id="690" w:name="_Toc29791"/>
      <w:bookmarkStart w:id="691" w:name="_Toc32409"/>
      <w:bookmarkStart w:id="692" w:name="_Toc520356164"/>
      <w:bookmarkStart w:id="693" w:name="_Toc25345"/>
      <w:bookmarkStart w:id="694" w:name="_Toc15841"/>
      <w:bookmarkStart w:id="695" w:name="_Toc4538"/>
      <w:bookmarkStart w:id="696" w:name="_Toc7741"/>
      <w:bookmarkStart w:id="697" w:name="_Toc24922"/>
      <w:bookmarkStart w:id="698" w:name="_Toc31822"/>
      <w:bookmarkStart w:id="699" w:name="_Toc7272"/>
      <w:bookmarkStart w:id="700" w:name="_Toc1738"/>
      <w:bookmarkStart w:id="701" w:name="_Toc28057"/>
      <w:bookmarkStart w:id="702" w:name="_Toc7186"/>
      <w:bookmarkStart w:id="703" w:name="_Toc1992"/>
      <w:bookmarkStart w:id="704" w:name="_Toc520356165"/>
      <w:bookmarkStart w:id="705" w:name="_Toc515647780"/>
      <w:bookmarkStart w:id="706" w:name="_Toc19296"/>
      <w:bookmarkStart w:id="707" w:name="_Toc21372"/>
      <w:bookmarkStart w:id="708" w:name="_Toc10746"/>
      <w:bookmarkStart w:id="709" w:name="_Toc4063"/>
      <w:bookmarkStart w:id="710" w:name="_Toc18233"/>
      <w:bookmarkStart w:id="711" w:name="_Toc10550"/>
      <w:bookmarkStart w:id="712" w:name="_Toc18228"/>
      <w:bookmarkStart w:id="713" w:name="_Toc2316"/>
      <w:bookmarkStart w:id="714" w:name="_Toc28586"/>
      <w:bookmarkStart w:id="715" w:name="_Toc5052"/>
      <w:bookmarkStart w:id="716" w:name="_Toc21667"/>
      <w:bookmarkStart w:id="717" w:name="_Toc22770"/>
      <w:bookmarkStart w:id="718" w:name="_Toc3080"/>
      <w:bookmarkStart w:id="719" w:name="_Toc26266"/>
      <w:bookmarkStart w:id="720" w:name="_Toc16864"/>
      <w:bookmarkStart w:id="721" w:name="_Toc22792"/>
      <w:r>
        <w:rPr>
          <w:rFonts w:hint="eastAsia" w:ascii="微软雅黑" w:hAnsi="微软雅黑" w:eastAsia="微软雅黑" w:cs="微软雅黑"/>
          <w:b/>
          <w:bCs/>
          <w:color w:val="auto"/>
          <w:sz w:val="22"/>
          <w:szCs w:val="22"/>
          <w:highlight w:val="none"/>
          <w:u w:val="none"/>
          <w:lang w:val="en-US" w:eastAsia="zh-CN"/>
        </w:rPr>
        <w:t>18.</w:t>
      </w:r>
      <w:r>
        <w:rPr>
          <w:rFonts w:hint="eastAsia" w:ascii="微软雅黑" w:hAnsi="微软雅黑" w:eastAsia="微软雅黑" w:cs="微软雅黑"/>
          <w:b/>
          <w:bCs/>
          <w:color w:val="auto"/>
          <w:sz w:val="22"/>
          <w:szCs w:val="22"/>
          <w:highlight w:val="none"/>
          <w:u w:val="none"/>
        </w:rPr>
        <w:t>开标</w:t>
      </w:r>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p>
    <w:p w14:paraId="7ADF3107">
      <w:pPr>
        <w:keepNext w:val="0"/>
        <w:keepLines w:val="0"/>
        <w:pageBreakBefore w:val="0"/>
        <w:widowControl w:val="0"/>
        <w:shd w:val="clear" w:color="auto" w:fill="auto"/>
        <w:kinsoku/>
        <w:wordWrap/>
        <w:overflowPunct/>
        <w:topLinePunct w:val="0"/>
        <w:autoSpaceDE/>
        <w:autoSpaceDN/>
        <w:bidi w:val="0"/>
        <w:adjustRightInd/>
        <w:snapToGrid w:val="0"/>
        <w:spacing w:beforeAutospacing="0" w:afterAutospacing="0" w:line="380" w:lineRule="exact"/>
        <w:ind w:left="660" w:leftChars="0" w:hanging="660" w:hangingChars="300"/>
        <w:jc w:val="both"/>
        <w:textAlignment w:val="baseline"/>
        <w:outlineLvl w:val="9"/>
        <w:rPr>
          <w:rFonts w:hint="eastAsia" w:ascii="微软雅黑" w:hAnsi="微软雅黑" w:eastAsia="微软雅黑" w:cs="微软雅黑"/>
          <w:color w:val="auto"/>
          <w:sz w:val="22"/>
          <w:szCs w:val="22"/>
          <w:highlight w:val="none"/>
          <w:lang w:eastAsia="zh-CN"/>
        </w:rPr>
      </w:pPr>
      <w:bookmarkStart w:id="722" w:name="_Toc31480"/>
      <w:bookmarkStart w:id="723" w:name="_Toc11958"/>
      <w:bookmarkStart w:id="724" w:name="_Toc27046"/>
      <w:bookmarkStart w:id="725" w:name="_Toc25205"/>
      <w:bookmarkStart w:id="726" w:name="_Toc28305"/>
      <w:bookmarkStart w:id="727" w:name="_Toc6774"/>
      <w:bookmarkStart w:id="728" w:name="_Toc25"/>
      <w:r>
        <w:rPr>
          <w:rFonts w:hint="eastAsia" w:ascii="微软雅黑" w:hAnsi="微软雅黑" w:eastAsia="微软雅黑" w:cs="微软雅黑"/>
          <w:color w:val="auto"/>
          <w:sz w:val="22"/>
          <w:szCs w:val="22"/>
          <w:highlight w:val="none"/>
          <w:lang w:val="en-US" w:eastAsia="zh-CN"/>
        </w:rPr>
        <w:t>18.1</w:t>
      </w:r>
      <w:r>
        <w:rPr>
          <w:rFonts w:hint="eastAsia" w:ascii="微软雅黑" w:hAnsi="微软雅黑" w:eastAsia="微软雅黑" w:cs="微软雅黑"/>
          <w:color w:val="auto"/>
          <w:sz w:val="22"/>
          <w:szCs w:val="22"/>
          <w:highlight w:val="none"/>
          <w:lang w:eastAsia="zh-CN"/>
        </w:rPr>
        <w:t>供应商按照须知资料表中规定的开标时间和地点，在规定时间内上传投标文件。</w:t>
      </w:r>
    </w:p>
    <w:p w14:paraId="5FF8D6D3">
      <w:pPr>
        <w:keepNext w:val="0"/>
        <w:keepLines w:val="0"/>
        <w:pageBreakBefore w:val="0"/>
        <w:widowControl w:val="0"/>
        <w:shd w:val="clear" w:color="auto" w:fill="auto"/>
        <w:kinsoku/>
        <w:wordWrap/>
        <w:overflowPunct/>
        <w:topLinePunct w:val="0"/>
        <w:autoSpaceDE/>
        <w:autoSpaceDN/>
        <w:bidi w:val="0"/>
        <w:adjustRightInd/>
        <w:snapToGrid w:val="0"/>
        <w:spacing w:beforeAutospacing="0" w:afterAutospacing="0" w:line="380" w:lineRule="exact"/>
        <w:ind w:left="660" w:leftChars="0" w:hanging="660" w:hangingChars="300"/>
        <w:jc w:val="both"/>
        <w:textAlignment w:val="baseline"/>
        <w:outlineLvl w:val="9"/>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lang w:val="en-US" w:eastAsia="zh-CN"/>
        </w:rPr>
        <w:t>18.2</w:t>
      </w:r>
      <w:r>
        <w:rPr>
          <w:rFonts w:hint="eastAsia" w:ascii="微软雅黑" w:hAnsi="微软雅黑" w:eastAsia="微软雅黑" w:cs="微软雅黑"/>
          <w:color w:val="auto"/>
          <w:sz w:val="22"/>
          <w:szCs w:val="22"/>
          <w:highlight w:val="none"/>
          <w:lang w:eastAsia="zh-CN"/>
        </w:rPr>
        <w:t>到投标截止时间，对供应商上传的投标文件进行解密，解密时长为30分钟。供应商须在规定时间内使用CA锁在政采云平台解密，解密失败或未在规定时间内解密，将无法参加下一阶段的</w:t>
      </w:r>
      <w:r>
        <w:rPr>
          <w:rFonts w:hint="eastAsia" w:ascii="微软雅黑" w:hAnsi="微软雅黑" w:eastAsia="微软雅黑" w:cs="微软雅黑"/>
          <w:color w:val="auto"/>
          <w:sz w:val="22"/>
          <w:szCs w:val="22"/>
          <w:highlight w:val="none"/>
          <w:lang w:val="en-US" w:eastAsia="zh-CN"/>
        </w:rPr>
        <w:t>投标</w:t>
      </w:r>
      <w:r>
        <w:rPr>
          <w:rFonts w:hint="eastAsia" w:ascii="微软雅黑" w:hAnsi="微软雅黑" w:eastAsia="微软雅黑" w:cs="微软雅黑"/>
          <w:color w:val="auto"/>
          <w:sz w:val="22"/>
          <w:szCs w:val="22"/>
          <w:highlight w:val="none"/>
          <w:lang w:eastAsia="zh-CN"/>
        </w:rPr>
        <w:t xml:space="preserve">，将被认定为无效投标。请供应商提前调试好CA锁，确定在操作时能正常使用。  </w:t>
      </w:r>
    </w:p>
    <w:p w14:paraId="683B8AFB">
      <w:pPr>
        <w:keepNext w:val="0"/>
        <w:keepLines w:val="0"/>
        <w:pageBreakBefore w:val="0"/>
        <w:widowControl w:val="0"/>
        <w:shd w:val="clear" w:color="auto" w:fill="auto"/>
        <w:kinsoku/>
        <w:wordWrap/>
        <w:overflowPunct/>
        <w:topLinePunct w:val="0"/>
        <w:autoSpaceDE/>
        <w:autoSpaceDN/>
        <w:bidi w:val="0"/>
        <w:adjustRightInd/>
        <w:snapToGrid w:val="0"/>
        <w:spacing w:beforeAutospacing="0" w:afterAutospacing="0" w:line="380" w:lineRule="exact"/>
        <w:ind w:left="660" w:leftChars="0" w:hanging="660" w:hangingChars="300"/>
        <w:jc w:val="both"/>
        <w:textAlignment w:val="baseline"/>
        <w:outlineLvl w:val="9"/>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lang w:val="en-US" w:eastAsia="zh-CN"/>
        </w:rPr>
        <w:t>18.3</w:t>
      </w:r>
      <w:r>
        <w:rPr>
          <w:rFonts w:hint="eastAsia" w:ascii="微软雅黑" w:hAnsi="微软雅黑" w:eastAsia="微软雅黑" w:cs="微软雅黑"/>
          <w:color w:val="auto"/>
          <w:sz w:val="22"/>
          <w:szCs w:val="22"/>
          <w:highlight w:val="none"/>
          <w:lang w:eastAsia="zh-CN"/>
        </w:rPr>
        <w:t>在开标记录时，代理机构开启签字时段，须供应商使用CA锁在政采云平台进行签字确认报价。</w:t>
      </w:r>
    </w:p>
    <w:p w14:paraId="7B4CEF34">
      <w:pPr>
        <w:keepNext w:val="0"/>
        <w:keepLines w:val="0"/>
        <w:pageBreakBefore w:val="0"/>
        <w:widowControl w:val="0"/>
        <w:shd w:val="clear" w:color="auto" w:fill="auto"/>
        <w:kinsoku/>
        <w:wordWrap/>
        <w:overflowPunct/>
        <w:topLinePunct w:val="0"/>
        <w:autoSpaceDE/>
        <w:autoSpaceDN/>
        <w:bidi w:val="0"/>
        <w:adjustRightInd/>
        <w:snapToGrid w:val="0"/>
        <w:spacing w:beforeAutospacing="0" w:afterAutospacing="0" w:line="380" w:lineRule="exact"/>
        <w:ind w:left="660" w:leftChars="0" w:hanging="660" w:hangingChars="300"/>
        <w:jc w:val="both"/>
        <w:textAlignment w:val="baseline"/>
        <w:outlineLvl w:val="9"/>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lang w:val="en-US" w:eastAsia="zh-CN"/>
        </w:rPr>
        <w:t>18.4</w:t>
      </w:r>
      <w:r>
        <w:rPr>
          <w:rFonts w:hint="eastAsia" w:ascii="微软雅黑" w:hAnsi="微软雅黑" w:eastAsia="微软雅黑" w:cs="微软雅黑"/>
          <w:color w:val="auto"/>
          <w:sz w:val="22"/>
          <w:szCs w:val="22"/>
          <w:highlight w:val="none"/>
          <w:lang w:eastAsia="zh-CN"/>
        </w:rPr>
        <w:t>采购人或采购代理机构登录政采云平台对供应商的资格证明材料进行审查。</w:t>
      </w:r>
    </w:p>
    <w:p w14:paraId="0A1208CA">
      <w:pPr>
        <w:keepNext w:val="0"/>
        <w:keepLines w:val="0"/>
        <w:pageBreakBefore w:val="0"/>
        <w:widowControl w:val="0"/>
        <w:shd w:val="clear" w:color="auto" w:fill="auto"/>
        <w:kinsoku/>
        <w:wordWrap/>
        <w:overflowPunct/>
        <w:topLinePunct w:val="0"/>
        <w:autoSpaceDE/>
        <w:autoSpaceDN/>
        <w:bidi w:val="0"/>
        <w:adjustRightInd/>
        <w:snapToGrid w:val="0"/>
        <w:spacing w:beforeAutospacing="0" w:afterAutospacing="0" w:line="380" w:lineRule="exact"/>
        <w:ind w:left="660" w:leftChars="0" w:hanging="660" w:hangingChars="300"/>
        <w:jc w:val="both"/>
        <w:textAlignment w:val="baseline"/>
        <w:outlineLvl w:val="2"/>
        <w:rPr>
          <w:rFonts w:hint="eastAsia" w:ascii="微软雅黑" w:hAnsi="微软雅黑" w:eastAsia="微软雅黑" w:cs="微软雅黑"/>
          <w:b/>
          <w:bCs/>
          <w:color w:val="auto"/>
          <w:sz w:val="22"/>
          <w:szCs w:val="22"/>
          <w:highlight w:val="none"/>
          <w:lang w:eastAsia="zh-CN"/>
        </w:rPr>
      </w:pPr>
      <w:bookmarkStart w:id="729" w:name="_Toc16084"/>
      <w:bookmarkStart w:id="730" w:name="_Toc23832"/>
      <w:bookmarkStart w:id="731" w:name="_Toc29804"/>
      <w:bookmarkStart w:id="732" w:name="_Toc29911"/>
      <w:bookmarkStart w:id="733" w:name="_Toc19464"/>
      <w:bookmarkStart w:id="734" w:name="_Toc26741"/>
      <w:bookmarkStart w:id="735" w:name="_Toc27862"/>
      <w:bookmarkStart w:id="736" w:name="_Toc25632"/>
      <w:bookmarkStart w:id="737" w:name="_Toc32363"/>
      <w:bookmarkStart w:id="738" w:name="_Toc11240"/>
      <w:bookmarkStart w:id="739" w:name="_Toc12090"/>
      <w:bookmarkStart w:id="740" w:name="_Toc18883"/>
      <w:bookmarkStart w:id="741" w:name="_Toc18306"/>
      <w:r>
        <w:rPr>
          <w:rFonts w:hint="eastAsia" w:ascii="微软雅黑" w:hAnsi="微软雅黑" w:eastAsia="微软雅黑" w:cs="微软雅黑"/>
          <w:b/>
          <w:bCs/>
          <w:color w:val="auto"/>
          <w:sz w:val="22"/>
          <w:szCs w:val="22"/>
          <w:highlight w:val="none"/>
          <w:lang w:eastAsia="zh-CN"/>
        </w:rPr>
        <w:t>19.</w:t>
      </w:r>
      <w:bookmarkEnd w:id="704"/>
      <w:r>
        <w:rPr>
          <w:rFonts w:hint="eastAsia" w:ascii="微软雅黑" w:hAnsi="微软雅黑" w:eastAsia="微软雅黑" w:cs="微软雅黑"/>
          <w:b/>
          <w:bCs/>
          <w:color w:val="auto"/>
          <w:sz w:val="22"/>
          <w:szCs w:val="22"/>
          <w:highlight w:val="none"/>
          <w:lang w:eastAsia="zh-CN"/>
        </w:rPr>
        <w:t>资格审查及组建评标委员会</w:t>
      </w:r>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p>
    <w:p w14:paraId="4ED562AC">
      <w:pPr>
        <w:keepNext w:val="0"/>
        <w:keepLines w:val="0"/>
        <w:pageBreakBefore w:val="0"/>
        <w:widowControl w:val="0"/>
        <w:shd w:val="clear" w:color="auto" w:fill="auto"/>
        <w:kinsoku/>
        <w:wordWrap/>
        <w:overflowPunct/>
        <w:topLinePunct w:val="0"/>
        <w:autoSpaceDE/>
        <w:autoSpaceDN/>
        <w:bidi w:val="0"/>
        <w:adjustRightInd/>
        <w:snapToGrid w:val="0"/>
        <w:spacing w:beforeAutospacing="0" w:afterAutospacing="0" w:line="380" w:lineRule="exact"/>
        <w:ind w:left="660" w:leftChars="0" w:hanging="660" w:hangingChars="300"/>
        <w:jc w:val="both"/>
        <w:textAlignment w:val="baseline"/>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rPr>
        <w:t>19.1</w:t>
      </w:r>
      <w:r>
        <w:rPr>
          <w:rFonts w:hint="eastAsia" w:ascii="微软雅黑" w:hAnsi="微软雅黑" w:eastAsia="微软雅黑" w:cs="微软雅黑"/>
          <w:color w:val="auto"/>
          <w:sz w:val="22"/>
          <w:szCs w:val="22"/>
          <w:highlight w:val="none"/>
          <w:lang w:eastAsia="zh-CN"/>
        </w:rPr>
        <w:t xml:space="preserve"> 采购人或采购代理机构依据法律法规和招标文件中规定的内容，对供应商及其服务的资格进行审查，本项目审查内容如下：</w:t>
      </w:r>
    </w:p>
    <w:p w14:paraId="3683F1F6">
      <w:pPr>
        <w:keepNext w:val="0"/>
        <w:keepLines w:val="0"/>
        <w:pageBreakBefore w:val="0"/>
        <w:widowControl w:val="0"/>
        <w:shd w:val="clear" w:color="auto" w:fill="auto"/>
        <w:kinsoku/>
        <w:wordWrap/>
        <w:overflowPunct/>
        <w:topLinePunct w:val="0"/>
        <w:autoSpaceDE/>
        <w:autoSpaceDN/>
        <w:bidi w:val="0"/>
        <w:adjustRightInd/>
        <w:snapToGrid w:val="0"/>
        <w:spacing w:beforeAutospacing="0" w:afterAutospacing="0" w:line="380" w:lineRule="exact"/>
        <w:ind w:left="718" w:leftChars="342" w:firstLine="0" w:firstLineChars="0"/>
        <w:jc w:val="both"/>
        <w:textAlignment w:val="baseline"/>
        <w:rPr>
          <w:rFonts w:hint="eastAsia" w:ascii="微软雅黑" w:hAnsi="微软雅黑" w:eastAsia="微软雅黑" w:cs="微软雅黑"/>
          <w:b/>
          <w:bCs/>
          <w:color w:val="auto"/>
          <w:sz w:val="22"/>
          <w:szCs w:val="22"/>
          <w:highlight w:val="none"/>
        </w:rPr>
      </w:pPr>
      <w:r>
        <w:rPr>
          <w:rFonts w:hint="eastAsia" w:ascii="微软雅黑" w:hAnsi="微软雅黑" w:eastAsia="微软雅黑" w:cs="微软雅黑"/>
          <w:b/>
          <w:bCs/>
          <w:i w:val="0"/>
          <w:caps w:val="0"/>
          <w:color w:val="auto"/>
          <w:spacing w:val="0"/>
          <w:w w:val="100"/>
          <w:sz w:val="22"/>
          <w:szCs w:val="22"/>
          <w:highlight w:val="none"/>
        </w:rPr>
        <w:t>本项目</w:t>
      </w:r>
      <w:r>
        <w:rPr>
          <w:rFonts w:hint="eastAsia" w:ascii="微软雅黑" w:hAnsi="微软雅黑" w:eastAsia="微软雅黑" w:cs="微软雅黑"/>
          <w:b/>
          <w:bCs/>
          <w:i w:val="0"/>
          <w:caps w:val="0"/>
          <w:color w:val="auto"/>
          <w:spacing w:val="0"/>
          <w:w w:val="100"/>
          <w:sz w:val="22"/>
          <w:szCs w:val="22"/>
          <w:highlight w:val="none"/>
          <w:lang w:val="en-US" w:eastAsia="zh-CN"/>
        </w:rPr>
        <w:t>资格审查资料须附在投标文件中</w:t>
      </w:r>
      <w:r>
        <w:rPr>
          <w:rFonts w:hint="eastAsia" w:ascii="微软雅黑" w:hAnsi="微软雅黑" w:eastAsia="微软雅黑" w:cs="微软雅黑"/>
          <w:b/>
          <w:bCs/>
          <w:i w:val="0"/>
          <w:caps w:val="0"/>
          <w:color w:val="auto"/>
          <w:spacing w:val="0"/>
          <w:w w:val="100"/>
          <w:sz w:val="22"/>
          <w:szCs w:val="22"/>
          <w:highlight w:val="none"/>
        </w:rPr>
        <w:t>：</w:t>
      </w:r>
    </w:p>
    <w:p w14:paraId="4ABE1650">
      <w:pPr>
        <w:pStyle w:val="25"/>
        <w:ind w:firstLine="220" w:firstLineChars="100"/>
        <w:rPr>
          <w:rFonts w:hint="eastAsia" w:ascii="微软雅黑" w:hAnsi="微软雅黑" w:eastAsia="微软雅黑" w:cs="微软雅黑"/>
          <w:b/>
          <w:bCs/>
          <w:i w:val="0"/>
          <w:caps w:val="0"/>
          <w:color w:val="auto"/>
          <w:spacing w:val="0"/>
          <w:w w:val="100"/>
          <w:sz w:val="22"/>
          <w:szCs w:val="22"/>
          <w:highlight w:val="none"/>
          <w:lang w:val="en-US" w:eastAsia="zh-CN"/>
        </w:rPr>
      </w:pPr>
      <w:r>
        <w:rPr>
          <w:rFonts w:hint="eastAsia" w:ascii="微软雅黑" w:hAnsi="微软雅黑" w:eastAsia="微软雅黑" w:cs="微软雅黑"/>
          <w:b/>
          <w:bCs/>
          <w:i w:val="0"/>
          <w:caps w:val="0"/>
          <w:color w:val="auto"/>
          <w:spacing w:val="0"/>
          <w:w w:val="100"/>
          <w:sz w:val="22"/>
          <w:szCs w:val="22"/>
          <w:highlight w:val="none"/>
          <w:lang w:val="en-US" w:eastAsia="zh-CN"/>
        </w:rPr>
        <w:t>1、具有有效的营业执照；</w:t>
      </w:r>
    </w:p>
    <w:p w14:paraId="1C0F99FC">
      <w:pPr>
        <w:pStyle w:val="25"/>
        <w:ind w:firstLine="220" w:firstLineChars="100"/>
        <w:rPr>
          <w:rFonts w:hint="eastAsia" w:ascii="微软雅黑" w:hAnsi="微软雅黑" w:eastAsia="微软雅黑" w:cs="微软雅黑"/>
          <w:b/>
          <w:bCs/>
          <w:i w:val="0"/>
          <w:caps w:val="0"/>
          <w:color w:val="auto"/>
          <w:spacing w:val="0"/>
          <w:w w:val="100"/>
          <w:sz w:val="22"/>
          <w:szCs w:val="22"/>
          <w:highlight w:val="none"/>
          <w:lang w:val="en-US" w:eastAsia="zh-CN"/>
        </w:rPr>
      </w:pPr>
      <w:r>
        <w:rPr>
          <w:rFonts w:hint="eastAsia" w:ascii="微软雅黑" w:hAnsi="微软雅黑" w:eastAsia="微软雅黑" w:cs="微软雅黑"/>
          <w:b/>
          <w:bCs/>
          <w:i w:val="0"/>
          <w:caps w:val="0"/>
          <w:color w:val="auto"/>
          <w:spacing w:val="0"/>
          <w:w w:val="100"/>
          <w:sz w:val="22"/>
          <w:szCs w:val="22"/>
          <w:highlight w:val="none"/>
          <w:lang w:val="en-US" w:eastAsia="zh-CN"/>
        </w:rPr>
        <w:t>2、法定代表人本人投标需提供法定代表人身份证及法定代表人资格证明书;授权委托人投标需提供法定代表人授权委托书、法定代表人身份证及被授权委托人身份证；</w:t>
      </w:r>
    </w:p>
    <w:p w14:paraId="1EF50669">
      <w:pPr>
        <w:pStyle w:val="25"/>
        <w:ind w:firstLine="220" w:firstLineChars="100"/>
        <w:outlineLvl w:val="1"/>
        <w:rPr>
          <w:rFonts w:hint="eastAsia" w:ascii="微软雅黑" w:hAnsi="微软雅黑" w:eastAsia="微软雅黑" w:cs="微软雅黑"/>
          <w:b/>
          <w:bCs/>
          <w:i w:val="0"/>
          <w:caps w:val="0"/>
          <w:color w:val="auto"/>
          <w:spacing w:val="0"/>
          <w:w w:val="100"/>
          <w:sz w:val="22"/>
          <w:szCs w:val="22"/>
          <w:highlight w:val="none"/>
          <w:lang w:val="en-US" w:eastAsia="zh-CN"/>
        </w:rPr>
      </w:pPr>
      <w:r>
        <w:rPr>
          <w:rFonts w:hint="eastAsia" w:ascii="微软雅黑" w:hAnsi="微软雅黑" w:eastAsia="微软雅黑" w:cs="微软雅黑"/>
          <w:b/>
          <w:bCs/>
          <w:i w:val="0"/>
          <w:caps w:val="0"/>
          <w:color w:val="auto"/>
          <w:spacing w:val="0"/>
          <w:w w:val="100"/>
          <w:sz w:val="22"/>
          <w:szCs w:val="22"/>
          <w:highlight w:val="none"/>
          <w:lang w:val="en-US" w:eastAsia="zh-CN"/>
        </w:rPr>
        <w:t>3、</w:t>
      </w:r>
      <w:r>
        <w:rPr>
          <w:rFonts w:hint="eastAsia" w:ascii="微软雅黑" w:hAnsi="微软雅黑" w:eastAsia="微软雅黑" w:cs="微软雅黑"/>
          <w:b/>
          <w:color w:val="auto"/>
          <w:kern w:val="0"/>
          <w:sz w:val="22"/>
          <w:szCs w:val="22"/>
          <w:highlight w:val="none"/>
          <w:lang w:val="en-US" w:eastAsia="zh-CN" w:bidi="ar-SA"/>
        </w:rPr>
        <w:t>【</w:t>
      </w:r>
      <w:r>
        <w:rPr>
          <w:rFonts w:hint="eastAsia" w:ascii="微软雅黑" w:hAnsi="微软雅黑" w:eastAsia="微软雅黑" w:cs="微软雅黑"/>
          <w:b/>
          <w:bCs/>
          <w:i w:val="0"/>
          <w:caps w:val="0"/>
          <w:color w:val="auto"/>
          <w:spacing w:val="0"/>
          <w:w w:val="100"/>
          <w:sz w:val="22"/>
          <w:szCs w:val="22"/>
          <w:highlight w:val="none"/>
          <w:lang w:val="en-US" w:eastAsia="zh-CN"/>
        </w:rPr>
        <w:t>标项一、二、三】：投标人是生产企业的须具备《药品生产许可证》（中药饮片）、投标人为经营企业或代理公司的须提供《药品经营许可证》（中药饮片）；所有证件均应在有效期内。所投产品中含有毒性饮片的，《药品生产许可证》内须含有医疗用毒性药品（中药饮片）；《药品经营许可证》内须含有医疗用毒性药品（中药饮片）。</w:t>
      </w:r>
    </w:p>
    <w:p w14:paraId="20332E6A">
      <w:pPr>
        <w:pStyle w:val="25"/>
        <w:ind w:firstLine="440" w:firstLineChars="200"/>
        <w:rPr>
          <w:rFonts w:hint="eastAsia" w:ascii="微软雅黑" w:hAnsi="微软雅黑" w:eastAsia="微软雅黑" w:cs="微软雅黑"/>
          <w:b/>
          <w:bCs/>
          <w:i w:val="0"/>
          <w:caps w:val="0"/>
          <w:color w:val="auto"/>
          <w:spacing w:val="0"/>
          <w:w w:val="100"/>
          <w:sz w:val="22"/>
          <w:szCs w:val="22"/>
          <w:highlight w:val="none"/>
          <w:lang w:val="en-US" w:eastAsia="zh-CN"/>
        </w:rPr>
      </w:pPr>
      <w:r>
        <w:rPr>
          <w:rFonts w:hint="eastAsia" w:ascii="微软雅黑" w:hAnsi="微软雅黑" w:eastAsia="微软雅黑" w:cs="微软雅黑"/>
          <w:b/>
          <w:bCs/>
          <w:i w:val="0"/>
          <w:caps w:val="0"/>
          <w:color w:val="auto"/>
          <w:spacing w:val="0"/>
          <w:w w:val="100"/>
          <w:sz w:val="22"/>
          <w:szCs w:val="22"/>
          <w:highlight w:val="none"/>
          <w:lang w:val="en-US" w:eastAsia="zh-CN"/>
        </w:rPr>
        <w:t>所投产品中含麻黄的，还须投标人提供有效的《麻黄草收购许可证》或相关批准文件，所有证件均应在有效期内。</w:t>
      </w:r>
    </w:p>
    <w:p w14:paraId="452F6886">
      <w:pPr>
        <w:pStyle w:val="25"/>
        <w:ind w:firstLine="220" w:firstLineChars="100"/>
        <w:rPr>
          <w:rFonts w:hint="eastAsia" w:ascii="微软雅黑" w:hAnsi="微软雅黑" w:eastAsia="微软雅黑" w:cs="微软雅黑"/>
          <w:b/>
          <w:bCs/>
          <w:i w:val="0"/>
          <w:caps w:val="0"/>
          <w:color w:val="auto"/>
          <w:spacing w:val="0"/>
          <w:w w:val="100"/>
          <w:sz w:val="22"/>
          <w:szCs w:val="22"/>
          <w:highlight w:val="none"/>
          <w:lang w:val="en-US" w:eastAsia="zh-CN"/>
        </w:rPr>
      </w:pPr>
      <w:r>
        <w:rPr>
          <w:rFonts w:hint="eastAsia" w:ascii="微软雅黑" w:hAnsi="微软雅黑" w:eastAsia="微软雅黑" w:cs="微软雅黑"/>
          <w:b/>
          <w:bCs/>
          <w:i w:val="0"/>
          <w:caps w:val="0"/>
          <w:color w:val="auto"/>
          <w:spacing w:val="0"/>
          <w:w w:val="100"/>
          <w:sz w:val="22"/>
          <w:szCs w:val="22"/>
          <w:highlight w:val="none"/>
          <w:lang w:val="en-US" w:eastAsia="zh-CN"/>
        </w:rPr>
        <w:t>【标项四】：投标人须提供符合国家药用标准且在国家药品监督管理局药品审评中心备案结果为“A”的药包材或提供《药品包装材料和容器注册证》（所有证件均应在有效期内）。</w:t>
      </w:r>
    </w:p>
    <w:p w14:paraId="783E9326">
      <w:pPr>
        <w:pStyle w:val="25"/>
        <w:ind w:firstLine="220" w:firstLineChars="100"/>
        <w:rPr>
          <w:rFonts w:hint="eastAsia" w:ascii="微软雅黑" w:hAnsi="微软雅黑" w:eastAsia="微软雅黑" w:cs="微软雅黑"/>
          <w:b/>
          <w:bCs/>
          <w:i w:val="0"/>
          <w:caps w:val="0"/>
          <w:color w:val="auto"/>
          <w:spacing w:val="0"/>
          <w:w w:val="100"/>
          <w:sz w:val="22"/>
          <w:szCs w:val="22"/>
          <w:highlight w:val="none"/>
          <w:lang w:val="en-US" w:eastAsia="zh-CN"/>
        </w:rPr>
      </w:pPr>
      <w:r>
        <w:rPr>
          <w:rFonts w:hint="eastAsia" w:ascii="微软雅黑" w:hAnsi="微软雅黑" w:eastAsia="微软雅黑" w:cs="微软雅黑"/>
          <w:b/>
          <w:bCs/>
          <w:i w:val="0"/>
          <w:caps w:val="0"/>
          <w:color w:val="auto"/>
          <w:spacing w:val="0"/>
          <w:w w:val="100"/>
          <w:sz w:val="22"/>
          <w:szCs w:val="22"/>
          <w:highlight w:val="none"/>
          <w:lang w:val="en-US" w:eastAsia="zh-CN"/>
        </w:rPr>
        <w:t>4、提供2024年或2025年任意一年的财务审计报告，成立未满12个月的新公司可提供近三个月内任意一个月的银行资信证明；</w:t>
      </w:r>
    </w:p>
    <w:p w14:paraId="05845476">
      <w:pPr>
        <w:pStyle w:val="25"/>
        <w:ind w:firstLine="220" w:firstLineChars="100"/>
        <w:rPr>
          <w:rFonts w:hint="eastAsia" w:ascii="微软雅黑" w:hAnsi="微软雅黑" w:eastAsia="微软雅黑" w:cs="微软雅黑"/>
          <w:b/>
          <w:bCs/>
          <w:i w:val="0"/>
          <w:caps w:val="0"/>
          <w:color w:val="auto"/>
          <w:spacing w:val="0"/>
          <w:w w:val="100"/>
          <w:sz w:val="22"/>
          <w:szCs w:val="22"/>
          <w:highlight w:val="none"/>
          <w:lang w:val="en-US" w:eastAsia="zh-CN"/>
        </w:rPr>
      </w:pPr>
      <w:r>
        <w:rPr>
          <w:rFonts w:hint="eastAsia" w:ascii="微软雅黑" w:hAnsi="微软雅黑" w:eastAsia="微软雅黑" w:cs="微软雅黑"/>
          <w:b/>
          <w:bCs/>
          <w:i w:val="0"/>
          <w:caps w:val="0"/>
          <w:color w:val="auto"/>
          <w:spacing w:val="0"/>
          <w:w w:val="100"/>
          <w:sz w:val="22"/>
          <w:szCs w:val="22"/>
          <w:highlight w:val="none"/>
          <w:lang w:val="en-US" w:eastAsia="zh-CN"/>
        </w:rPr>
        <w:t>5、提供依法缴纳近6个月任意1个月社会保险的证明；</w:t>
      </w:r>
    </w:p>
    <w:p w14:paraId="284AE5BA">
      <w:pPr>
        <w:pStyle w:val="25"/>
        <w:ind w:firstLine="220" w:firstLineChars="100"/>
        <w:rPr>
          <w:rFonts w:hint="eastAsia" w:ascii="微软雅黑" w:hAnsi="微软雅黑" w:eastAsia="微软雅黑" w:cs="微软雅黑"/>
          <w:b/>
          <w:bCs/>
          <w:i w:val="0"/>
          <w:caps w:val="0"/>
          <w:color w:val="auto"/>
          <w:spacing w:val="0"/>
          <w:w w:val="100"/>
          <w:sz w:val="22"/>
          <w:szCs w:val="22"/>
          <w:highlight w:val="none"/>
          <w:lang w:val="en-US" w:eastAsia="zh-CN"/>
        </w:rPr>
      </w:pPr>
      <w:r>
        <w:rPr>
          <w:rFonts w:hint="eastAsia" w:ascii="微软雅黑" w:hAnsi="微软雅黑" w:eastAsia="微软雅黑" w:cs="微软雅黑"/>
          <w:b/>
          <w:bCs/>
          <w:i w:val="0"/>
          <w:caps w:val="0"/>
          <w:color w:val="auto"/>
          <w:spacing w:val="0"/>
          <w:w w:val="100"/>
          <w:sz w:val="22"/>
          <w:szCs w:val="22"/>
          <w:highlight w:val="none"/>
          <w:lang w:val="en-US" w:eastAsia="zh-CN"/>
        </w:rPr>
        <w:t>6、提供依法缴纳近6个月任意1个月的税收证明；</w:t>
      </w:r>
    </w:p>
    <w:p w14:paraId="1C4E954F">
      <w:pPr>
        <w:keepNext w:val="0"/>
        <w:keepLines w:val="0"/>
        <w:pageBreakBefore w:val="0"/>
        <w:widowControl/>
        <w:kinsoku/>
        <w:wordWrap w:val="0"/>
        <w:overflowPunct/>
        <w:topLinePunct w:val="0"/>
        <w:autoSpaceDE/>
        <w:autoSpaceDN/>
        <w:bidi w:val="0"/>
        <w:adjustRightInd/>
        <w:snapToGrid/>
        <w:spacing w:before="0" w:beforeAutospacing="0" w:after="0" w:afterAutospacing="0" w:line="340" w:lineRule="exact"/>
        <w:ind w:left="0" w:leftChars="0"/>
        <w:jc w:val="left"/>
        <w:textAlignment w:val="auto"/>
        <w:rPr>
          <w:rFonts w:hint="eastAsia" w:ascii="微软雅黑" w:hAnsi="微软雅黑" w:eastAsia="微软雅黑" w:cs="微软雅黑"/>
          <w:b/>
          <w:bCs/>
          <w:i w:val="0"/>
          <w:caps w:val="0"/>
          <w:color w:val="auto"/>
          <w:spacing w:val="0"/>
          <w:w w:val="100"/>
          <w:sz w:val="22"/>
          <w:szCs w:val="22"/>
          <w:highlight w:val="none"/>
          <w:lang w:val="en-US" w:eastAsia="zh-CN"/>
        </w:rPr>
      </w:pPr>
      <w:r>
        <w:rPr>
          <w:rFonts w:hint="eastAsia" w:ascii="微软雅黑" w:hAnsi="微软雅黑" w:eastAsia="微软雅黑" w:cs="微软雅黑"/>
          <w:b/>
          <w:bCs/>
          <w:i w:val="0"/>
          <w:caps w:val="0"/>
          <w:color w:val="auto"/>
          <w:spacing w:val="0"/>
          <w:w w:val="100"/>
          <w:sz w:val="22"/>
          <w:szCs w:val="22"/>
          <w:highlight w:val="none"/>
          <w:lang w:val="en-US" w:eastAsia="zh-CN"/>
        </w:rPr>
        <w:t>7、根据《财政部关于在政府采购活动中查询及使用信用记录有关问题的通知》（财库﹝2016﹞125号）的要求，凡拟参加本次招标项目的供应商，如在“信用中国（https://www.creditchina.gov.cn/）”被列入严重失信主体名单、重大税收违法失信主体名单（首页-信用公示-严重失信主体名单查询/重大税收违法失信主体名单-搜索栏输入单位全称）、“中国政府采购网（https://www.ccgp.gov.cn/search/cr/）”严重违法失信行为信息记录名单（尚在处罚期内的）、“国家企业信用信息公示系统（https://www.gsxt.gov.cn/）”列入经营异常名录信息、严重违法失信名单（黑名单）信息的，将拒绝其参加本次招标活动（以代理机构或采购人查询为准）；</w:t>
      </w:r>
    </w:p>
    <w:p w14:paraId="2E99B7BB">
      <w:pPr>
        <w:pStyle w:val="25"/>
        <w:ind w:firstLine="220" w:firstLineChars="100"/>
        <w:rPr>
          <w:rFonts w:hint="eastAsia" w:ascii="微软雅黑" w:hAnsi="微软雅黑" w:eastAsia="微软雅黑" w:cs="微软雅黑"/>
          <w:b/>
          <w:bCs/>
          <w:i w:val="0"/>
          <w:caps w:val="0"/>
          <w:color w:val="auto"/>
          <w:spacing w:val="0"/>
          <w:w w:val="100"/>
          <w:sz w:val="22"/>
          <w:szCs w:val="22"/>
          <w:highlight w:val="none"/>
          <w:lang w:val="en-US" w:eastAsia="zh-CN"/>
        </w:rPr>
      </w:pPr>
      <w:r>
        <w:rPr>
          <w:rFonts w:hint="eastAsia" w:ascii="微软雅黑" w:hAnsi="微软雅黑" w:eastAsia="微软雅黑" w:cs="微软雅黑"/>
          <w:b/>
          <w:bCs/>
          <w:i w:val="0"/>
          <w:caps w:val="0"/>
          <w:color w:val="auto"/>
          <w:spacing w:val="0"/>
          <w:w w:val="100"/>
          <w:sz w:val="22"/>
          <w:szCs w:val="22"/>
          <w:highlight w:val="none"/>
          <w:lang w:val="en-US" w:eastAsia="zh-CN"/>
        </w:rPr>
        <w:t>8、提供参加政府采购活动前3年内在经营活动中没有重大违法记录的书面声明函；</w:t>
      </w:r>
    </w:p>
    <w:p w14:paraId="2C55605C">
      <w:pPr>
        <w:pStyle w:val="25"/>
        <w:keepNext w:val="0"/>
        <w:keepLines w:val="0"/>
        <w:pageBreakBefore w:val="0"/>
        <w:widowControl w:val="0"/>
        <w:kinsoku/>
        <w:wordWrap w:val="0"/>
        <w:overflowPunct/>
        <w:topLinePunct w:val="0"/>
        <w:autoSpaceDE/>
        <w:autoSpaceDN/>
        <w:bidi w:val="0"/>
        <w:adjustRightInd/>
        <w:snapToGrid w:val="0"/>
        <w:ind w:firstLine="220" w:firstLineChars="100"/>
        <w:textAlignment w:val="auto"/>
        <w:rPr>
          <w:rFonts w:hint="eastAsia" w:ascii="微软雅黑" w:hAnsi="微软雅黑" w:eastAsia="微软雅黑" w:cs="微软雅黑"/>
          <w:b/>
          <w:bCs/>
          <w:i w:val="0"/>
          <w:caps w:val="0"/>
          <w:color w:val="auto"/>
          <w:spacing w:val="0"/>
          <w:w w:val="100"/>
          <w:sz w:val="22"/>
          <w:szCs w:val="22"/>
          <w:highlight w:val="none"/>
          <w:lang w:val="en-US" w:eastAsia="zh-CN"/>
        </w:rPr>
      </w:pPr>
      <w:r>
        <w:rPr>
          <w:rFonts w:hint="eastAsia" w:ascii="微软雅黑" w:hAnsi="微软雅黑" w:eastAsia="微软雅黑" w:cs="微软雅黑"/>
          <w:b/>
          <w:bCs/>
          <w:i w:val="0"/>
          <w:caps w:val="0"/>
          <w:color w:val="auto"/>
          <w:spacing w:val="0"/>
          <w:w w:val="100"/>
          <w:sz w:val="22"/>
          <w:szCs w:val="22"/>
          <w:highlight w:val="none"/>
          <w:lang w:val="en-US" w:eastAsia="zh-CN"/>
        </w:rPr>
        <w:t>9、缴纳投标保证金有效凭证；</w:t>
      </w:r>
    </w:p>
    <w:p w14:paraId="0836B900">
      <w:pPr>
        <w:pStyle w:val="25"/>
        <w:keepNext w:val="0"/>
        <w:keepLines w:val="0"/>
        <w:pageBreakBefore w:val="0"/>
        <w:widowControl w:val="0"/>
        <w:kinsoku/>
        <w:wordWrap w:val="0"/>
        <w:overflowPunct/>
        <w:topLinePunct w:val="0"/>
        <w:autoSpaceDE/>
        <w:autoSpaceDN/>
        <w:bidi w:val="0"/>
        <w:adjustRightInd/>
        <w:snapToGrid w:val="0"/>
        <w:ind w:firstLine="220" w:firstLineChars="100"/>
        <w:textAlignment w:val="auto"/>
        <w:rPr>
          <w:rFonts w:hint="default" w:ascii="微软雅黑" w:hAnsi="微软雅黑" w:eastAsia="微软雅黑" w:cs="微软雅黑"/>
          <w:b/>
          <w:bCs/>
          <w:i w:val="0"/>
          <w:caps w:val="0"/>
          <w:color w:val="auto"/>
          <w:spacing w:val="0"/>
          <w:w w:val="100"/>
          <w:sz w:val="22"/>
          <w:szCs w:val="22"/>
          <w:highlight w:val="none"/>
          <w:lang w:val="en-US" w:eastAsia="zh-CN"/>
        </w:rPr>
      </w:pPr>
      <w:r>
        <w:rPr>
          <w:rFonts w:hint="eastAsia" w:ascii="微软雅黑" w:hAnsi="微软雅黑" w:eastAsia="微软雅黑" w:cs="微软雅黑"/>
          <w:b/>
          <w:bCs/>
          <w:i w:val="0"/>
          <w:caps w:val="0"/>
          <w:color w:val="auto"/>
          <w:spacing w:val="0"/>
          <w:w w:val="100"/>
          <w:sz w:val="22"/>
          <w:szCs w:val="22"/>
          <w:highlight w:val="none"/>
          <w:lang w:val="en-US" w:eastAsia="zh-CN"/>
        </w:rPr>
        <w:t>10、提供中小企业声明函。</w:t>
      </w:r>
    </w:p>
    <w:p w14:paraId="1491DB25">
      <w:pPr>
        <w:keepNext w:val="0"/>
        <w:keepLines w:val="0"/>
        <w:pageBreakBefore w:val="0"/>
        <w:widowControl/>
        <w:kinsoku/>
        <w:wordWrap/>
        <w:overflowPunct/>
        <w:topLinePunct w:val="0"/>
        <w:autoSpaceDE/>
        <w:autoSpaceDN/>
        <w:bidi w:val="0"/>
        <w:adjustRightInd/>
        <w:snapToGrid w:val="0"/>
        <w:spacing w:before="0" w:beforeAutospacing="0" w:after="0" w:afterAutospacing="0" w:line="380" w:lineRule="exact"/>
        <w:ind w:left="0" w:leftChars="0" w:firstLine="440" w:firstLineChars="200"/>
        <w:jc w:val="left"/>
        <w:textAlignment w:val="baseline"/>
        <w:rPr>
          <w:rFonts w:hint="eastAsia" w:ascii="微软雅黑" w:hAnsi="微软雅黑" w:eastAsia="微软雅黑" w:cs="微软雅黑"/>
          <w:b/>
          <w:bCs/>
          <w:i w:val="0"/>
          <w:caps w:val="0"/>
          <w:color w:val="auto"/>
          <w:spacing w:val="0"/>
          <w:w w:val="100"/>
          <w:sz w:val="22"/>
          <w:szCs w:val="22"/>
          <w:highlight w:val="none"/>
        </w:rPr>
      </w:pPr>
      <w:r>
        <w:rPr>
          <w:rFonts w:hint="eastAsia" w:ascii="微软雅黑" w:hAnsi="微软雅黑" w:eastAsia="微软雅黑" w:cs="微软雅黑"/>
          <w:b/>
          <w:bCs/>
          <w:i w:val="0"/>
          <w:caps w:val="0"/>
          <w:color w:val="auto"/>
          <w:spacing w:val="0"/>
          <w:w w:val="100"/>
          <w:sz w:val="22"/>
          <w:szCs w:val="22"/>
          <w:highlight w:val="none"/>
        </w:rPr>
        <w:t>注：“</w:t>
      </w:r>
      <w:r>
        <w:rPr>
          <w:rFonts w:hint="eastAsia" w:ascii="微软雅黑" w:hAnsi="微软雅黑" w:eastAsia="微软雅黑" w:cs="微软雅黑"/>
          <w:b/>
          <w:bCs/>
          <w:i w:val="0"/>
          <w:caps w:val="0"/>
          <w:color w:val="auto"/>
          <w:spacing w:val="0"/>
          <w:w w:val="100"/>
          <w:sz w:val="22"/>
          <w:szCs w:val="22"/>
          <w:highlight w:val="none"/>
          <w:lang w:eastAsia="zh-CN"/>
        </w:rPr>
        <w:t>提供依法缴纳近6个月任意1个月的税收证明</w:t>
      </w:r>
      <w:r>
        <w:rPr>
          <w:rFonts w:hint="eastAsia" w:ascii="微软雅黑" w:hAnsi="微软雅黑" w:eastAsia="微软雅黑" w:cs="微软雅黑"/>
          <w:b/>
          <w:bCs/>
          <w:i w:val="0"/>
          <w:caps w:val="0"/>
          <w:color w:val="auto"/>
          <w:spacing w:val="0"/>
          <w:w w:val="100"/>
          <w:sz w:val="22"/>
          <w:szCs w:val="22"/>
          <w:highlight w:val="none"/>
        </w:rPr>
        <w:t>”：①若供应商某月税收为零申报，须提供当月加盖税务局公章的无欠税证明或“国家税务总局电子税务局（12366.chinatax.gov.cn/bsfw/onlinetaxation/main）”的申报结果查询截图。②完税证明中“税种”非养老保险、医疗保险、失业保险、工伤保险和生育保险。请各供应商注意！</w:t>
      </w:r>
    </w:p>
    <w:p w14:paraId="0C9D435E">
      <w:pPr>
        <w:pageBreakBefore w:val="0"/>
        <w:widowControl w:val="0"/>
        <w:kinsoku/>
        <w:wordWrap/>
        <w:overflowPunct/>
        <w:topLinePunct w:val="0"/>
        <w:bidi w:val="0"/>
        <w:spacing w:line="360" w:lineRule="exact"/>
        <w:ind w:left="0" w:leftChars="0" w:firstLine="440" w:firstLineChars="20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b/>
          <w:bCs/>
          <w:color w:val="auto"/>
          <w:sz w:val="22"/>
          <w:szCs w:val="22"/>
          <w:highlight w:val="none"/>
        </w:rPr>
        <w:t>未通过资格审查的</w:t>
      </w:r>
      <w:r>
        <w:rPr>
          <w:rFonts w:hint="eastAsia" w:ascii="微软雅黑" w:hAnsi="微软雅黑" w:eastAsia="微软雅黑" w:cs="微软雅黑"/>
          <w:b/>
          <w:bCs/>
          <w:color w:val="auto"/>
          <w:sz w:val="22"/>
          <w:szCs w:val="22"/>
          <w:highlight w:val="none"/>
          <w:lang w:eastAsia="zh-CN"/>
        </w:rPr>
        <w:t>供应商</w:t>
      </w:r>
      <w:r>
        <w:rPr>
          <w:rFonts w:hint="eastAsia" w:ascii="微软雅黑" w:hAnsi="微软雅黑" w:eastAsia="微软雅黑" w:cs="微软雅黑"/>
          <w:b/>
          <w:bCs/>
          <w:color w:val="auto"/>
          <w:sz w:val="22"/>
          <w:szCs w:val="22"/>
          <w:highlight w:val="none"/>
        </w:rPr>
        <w:t>不进入评标；通过资格审查的</w:t>
      </w:r>
      <w:r>
        <w:rPr>
          <w:rFonts w:hint="eastAsia" w:ascii="微软雅黑" w:hAnsi="微软雅黑" w:eastAsia="微软雅黑" w:cs="微软雅黑"/>
          <w:b/>
          <w:bCs/>
          <w:color w:val="auto"/>
          <w:sz w:val="22"/>
          <w:szCs w:val="22"/>
          <w:highlight w:val="none"/>
          <w:lang w:eastAsia="zh-CN"/>
        </w:rPr>
        <w:t>供应商</w:t>
      </w:r>
      <w:r>
        <w:rPr>
          <w:rFonts w:hint="eastAsia" w:ascii="微软雅黑" w:hAnsi="微软雅黑" w:eastAsia="微软雅黑" w:cs="微软雅黑"/>
          <w:b/>
          <w:bCs/>
          <w:color w:val="auto"/>
          <w:sz w:val="22"/>
          <w:szCs w:val="22"/>
          <w:highlight w:val="none"/>
        </w:rPr>
        <w:t>少于不足三家的，不得评标。</w:t>
      </w:r>
    </w:p>
    <w:p w14:paraId="729B441D">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 xml:space="preserve">19.2   </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存在不良信用记录的，其投标将被认定为</w:t>
      </w:r>
      <w:r>
        <w:rPr>
          <w:rFonts w:hint="eastAsia" w:ascii="微软雅黑" w:hAnsi="微软雅黑" w:eastAsia="微软雅黑" w:cs="微软雅黑"/>
          <w:b/>
          <w:bCs/>
          <w:color w:val="auto"/>
          <w:sz w:val="22"/>
          <w:szCs w:val="22"/>
          <w:highlight w:val="none"/>
        </w:rPr>
        <w:t>投标无效</w:t>
      </w:r>
      <w:r>
        <w:rPr>
          <w:rFonts w:hint="eastAsia" w:ascii="微软雅黑" w:hAnsi="微软雅黑" w:eastAsia="微软雅黑" w:cs="微软雅黑"/>
          <w:color w:val="auto"/>
          <w:sz w:val="22"/>
          <w:szCs w:val="22"/>
          <w:highlight w:val="none"/>
        </w:rPr>
        <w:t>。</w:t>
      </w:r>
    </w:p>
    <w:p w14:paraId="1F38A838">
      <w:pPr>
        <w:keepNext w:val="0"/>
        <w:keepLines w:val="0"/>
        <w:pageBreakBefore w:val="0"/>
        <w:widowControl w:val="0"/>
        <w:kinsoku/>
        <w:wordWrap w:val="0"/>
        <w:overflowPunct/>
        <w:topLinePunct w:val="0"/>
        <w:autoSpaceDE/>
        <w:autoSpaceDN/>
        <w:bidi w:val="0"/>
        <w:adjustRightInd/>
        <w:snapToGrid/>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19.2.1 不良信用记录指：</w:t>
      </w:r>
      <w:r>
        <w:rPr>
          <w:rFonts w:hint="eastAsia" w:ascii="微软雅黑" w:hAnsi="微软雅黑" w:eastAsia="微软雅黑" w:cs="微软雅黑"/>
          <w:color w:val="auto"/>
          <w:sz w:val="22"/>
          <w:szCs w:val="22"/>
          <w:highlight w:val="none"/>
          <w:lang w:eastAsia="zh-CN"/>
        </w:rPr>
        <w:t>供应商在“信用中国（https://www.creditchina.gov.cn/）”被列入严重失信主体名单、重大税收违法失信主体名单（首页-信用公示-严重失信主体名单查询/重大税收违法失信主体名单-搜索栏输入单位全称）、“中国政府采购网（https://www.ccgp.gov.cn/search/cr/）”严重违法失信行为信息记录名单（尚在处罚期内的）、“国家企业信用信息公示系统（https://www.gsxt.gov.cn/）”列入经营异常名录信息、严重违法失信名单（黑名单）信息的</w:t>
      </w:r>
      <w:r>
        <w:rPr>
          <w:rFonts w:hint="eastAsia" w:ascii="微软雅黑" w:hAnsi="微软雅黑" w:eastAsia="微软雅黑" w:cs="微软雅黑"/>
          <w:color w:val="auto"/>
          <w:sz w:val="22"/>
          <w:szCs w:val="22"/>
          <w:highlight w:val="none"/>
          <w:lang w:val="en-US" w:eastAsia="zh-CN"/>
        </w:rPr>
        <w:t>；</w:t>
      </w:r>
    </w:p>
    <w:p w14:paraId="3EBA3334">
      <w:pPr>
        <w:pageBreakBefore w:val="0"/>
        <w:widowControl w:val="0"/>
        <w:kinsoku/>
        <w:wordWrap/>
        <w:overflowPunct/>
        <w:topLinePunct w:val="0"/>
        <w:bidi w:val="0"/>
        <w:spacing w:line="360" w:lineRule="exact"/>
        <w:ind w:left="958" w:leftChars="456" w:firstLine="55" w:firstLineChars="2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以联合体形式参加投标的，联合体任何成员存在以上不良信用记录的，联合体投标将被认定为</w:t>
      </w:r>
      <w:r>
        <w:rPr>
          <w:rFonts w:hint="eastAsia" w:ascii="微软雅黑" w:hAnsi="微软雅黑" w:eastAsia="微软雅黑" w:cs="微软雅黑"/>
          <w:b/>
          <w:bCs/>
          <w:color w:val="auto"/>
          <w:sz w:val="22"/>
          <w:szCs w:val="22"/>
          <w:highlight w:val="none"/>
        </w:rPr>
        <w:t>投标无效</w:t>
      </w:r>
      <w:r>
        <w:rPr>
          <w:rFonts w:hint="eastAsia" w:ascii="微软雅黑" w:hAnsi="微软雅黑" w:eastAsia="微软雅黑" w:cs="微软雅黑"/>
          <w:color w:val="auto"/>
          <w:sz w:val="22"/>
          <w:szCs w:val="22"/>
          <w:highlight w:val="none"/>
        </w:rPr>
        <w:t>。</w:t>
      </w:r>
    </w:p>
    <w:p w14:paraId="2212AB04">
      <w:pPr>
        <w:pStyle w:val="5"/>
        <w:pageBreakBefore w:val="0"/>
        <w:widowControl w:val="0"/>
        <w:kinsoku/>
        <w:wordWrap/>
        <w:overflowPunct/>
        <w:topLinePunct w:val="0"/>
        <w:bidi w:val="0"/>
        <w:spacing w:line="360" w:lineRule="exact"/>
        <w:ind w:left="778" w:leftChars="0" w:hanging="778" w:hangingChars="354"/>
        <w:jc w:val="both"/>
        <w:textAlignment w:val="auto"/>
        <w:rPr>
          <w:rFonts w:hint="eastAsia" w:ascii="微软雅黑" w:hAnsi="微软雅黑" w:eastAsia="微软雅黑" w:cs="微软雅黑"/>
          <w:b/>
          <w:bCs/>
          <w:color w:val="auto"/>
          <w:sz w:val="22"/>
          <w:szCs w:val="18"/>
          <w:highlight w:val="none"/>
        </w:rPr>
      </w:pPr>
      <w:r>
        <w:rPr>
          <w:rFonts w:hint="eastAsia" w:ascii="微软雅黑" w:hAnsi="微软雅黑" w:eastAsia="微软雅黑" w:cs="微软雅黑"/>
          <w:color w:val="auto"/>
          <w:sz w:val="22"/>
          <w:szCs w:val="18"/>
          <w:highlight w:val="none"/>
        </w:rPr>
        <w:t xml:space="preserve">19.2.2 </w:t>
      </w:r>
      <w:r>
        <w:rPr>
          <w:rFonts w:hint="eastAsia" w:ascii="微软雅黑" w:hAnsi="微软雅黑" w:eastAsia="微软雅黑" w:cs="微软雅黑"/>
          <w:b/>
          <w:bCs/>
          <w:color w:val="auto"/>
          <w:sz w:val="22"/>
          <w:szCs w:val="18"/>
          <w:highlight w:val="none"/>
        </w:rPr>
        <w:t>在本招标文件规定的查询时间之后，网站信息发生的任何变更均不再作为评标依据。</w:t>
      </w:r>
      <w:r>
        <w:rPr>
          <w:rFonts w:hint="eastAsia" w:ascii="微软雅黑" w:hAnsi="微软雅黑" w:eastAsia="微软雅黑" w:cs="微软雅黑"/>
          <w:b/>
          <w:bCs/>
          <w:color w:val="auto"/>
          <w:sz w:val="22"/>
          <w:szCs w:val="18"/>
          <w:highlight w:val="none"/>
          <w:lang w:eastAsia="zh-CN"/>
        </w:rPr>
        <w:t>供应商</w:t>
      </w:r>
      <w:r>
        <w:rPr>
          <w:rFonts w:hint="eastAsia" w:ascii="微软雅黑" w:hAnsi="微软雅黑" w:eastAsia="微软雅黑" w:cs="微软雅黑"/>
          <w:b/>
          <w:bCs/>
          <w:color w:val="auto"/>
          <w:sz w:val="22"/>
          <w:szCs w:val="18"/>
          <w:highlight w:val="none"/>
        </w:rPr>
        <w:t>自行提供的与网站信息不一致的其他证明材料亦不作为资格审查依据。</w:t>
      </w:r>
    </w:p>
    <w:p w14:paraId="70CE06C4">
      <w:pPr>
        <w:pageBreakBefore w:val="0"/>
        <w:widowControl w:val="0"/>
        <w:kinsoku/>
        <w:wordWrap/>
        <w:overflowPunct/>
        <w:topLinePunct w:val="0"/>
        <w:bidi w:val="0"/>
        <w:spacing w:line="360" w:lineRule="exact"/>
        <w:textAlignment w:val="auto"/>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rPr>
        <w:t xml:space="preserve">19.3  </w:t>
      </w:r>
      <w:bookmarkStart w:id="742" w:name="_Toc520356166"/>
      <w:r>
        <w:rPr>
          <w:rFonts w:hint="eastAsia" w:ascii="微软雅黑" w:hAnsi="微软雅黑" w:eastAsia="微软雅黑" w:cs="微软雅黑"/>
          <w:color w:val="auto"/>
          <w:sz w:val="22"/>
          <w:szCs w:val="22"/>
          <w:highlight w:val="none"/>
        </w:rPr>
        <w:t>按照《中华人民共和国政府采购法》、《中华人民共和国政府采购法实施条例》</w:t>
      </w:r>
      <w:r>
        <w:rPr>
          <w:rFonts w:hint="eastAsia" w:ascii="微软雅黑" w:hAnsi="微软雅黑" w:eastAsia="微软雅黑" w:cs="微软雅黑"/>
          <w:color w:val="auto"/>
          <w:sz w:val="22"/>
          <w:szCs w:val="22"/>
          <w:highlight w:val="none"/>
          <w:lang w:eastAsia="zh-CN"/>
        </w:rPr>
        <w:t>、《政府采购</w:t>
      </w:r>
      <w:r>
        <w:rPr>
          <w:rFonts w:hint="eastAsia" w:ascii="微软雅黑" w:hAnsi="微软雅黑" w:eastAsia="微软雅黑" w:cs="微软雅黑"/>
          <w:color w:val="auto"/>
          <w:sz w:val="22"/>
          <w:szCs w:val="22"/>
          <w:highlight w:val="none"/>
          <w:lang w:val="en-US" w:eastAsia="zh-CN"/>
        </w:rPr>
        <w:t>货物</w:t>
      </w:r>
      <w:r>
        <w:rPr>
          <w:rFonts w:hint="eastAsia" w:ascii="微软雅黑" w:hAnsi="微软雅黑" w:eastAsia="微软雅黑" w:cs="微软雅黑"/>
          <w:color w:val="auto"/>
          <w:sz w:val="22"/>
          <w:szCs w:val="22"/>
          <w:highlight w:val="none"/>
          <w:lang w:eastAsia="zh-CN"/>
        </w:rPr>
        <w:t>和服务招标投标管理办法》财政部令第87号</w:t>
      </w:r>
      <w:r>
        <w:rPr>
          <w:rFonts w:hint="eastAsia" w:ascii="微软雅黑" w:hAnsi="微软雅黑" w:eastAsia="微软雅黑" w:cs="微软雅黑"/>
          <w:color w:val="auto"/>
          <w:sz w:val="22"/>
          <w:szCs w:val="22"/>
          <w:highlight w:val="none"/>
        </w:rPr>
        <w:t>及本项目本级和上级财政部门的有关规定依法</w:t>
      </w:r>
      <w:r>
        <w:rPr>
          <w:rFonts w:hint="eastAsia" w:ascii="微软雅黑" w:hAnsi="微软雅黑" w:eastAsia="微软雅黑" w:cs="微软雅黑"/>
          <w:color w:val="auto"/>
          <w:sz w:val="22"/>
          <w:szCs w:val="22"/>
          <w:highlight w:val="none"/>
          <w:lang w:val="en-US" w:eastAsia="zh-CN"/>
        </w:rPr>
        <w:t>组建5</w:t>
      </w:r>
      <w:r>
        <w:rPr>
          <w:rFonts w:hint="eastAsia" w:ascii="微软雅黑" w:hAnsi="微软雅黑" w:eastAsia="微软雅黑" w:cs="微软雅黑"/>
          <w:b/>
          <w:bCs/>
          <w:color w:val="auto"/>
          <w:sz w:val="22"/>
          <w:szCs w:val="22"/>
          <w:highlight w:val="none"/>
          <w:lang w:val="en-US" w:eastAsia="zh-CN"/>
        </w:rPr>
        <w:t>名</w:t>
      </w:r>
      <w:r>
        <w:rPr>
          <w:rFonts w:hint="eastAsia" w:ascii="微软雅黑" w:hAnsi="微软雅黑" w:eastAsia="微软雅黑" w:cs="微软雅黑"/>
          <w:b/>
          <w:bCs/>
          <w:color w:val="auto"/>
          <w:sz w:val="22"/>
          <w:szCs w:val="22"/>
          <w:highlight w:val="none"/>
        </w:rPr>
        <w:t>评标委员会成员</w:t>
      </w:r>
      <w:r>
        <w:rPr>
          <w:rFonts w:hint="eastAsia" w:ascii="微软雅黑" w:hAnsi="微软雅黑" w:eastAsia="微软雅黑" w:cs="微软雅黑"/>
          <w:color w:val="auto"/>
          <w:sz w:val="22"/>
          <w:szCs w:val="22"/>
          <w:highlight w:val="none"/>
          <w:lang w:eastAsia="zh-CN"/>
        </w:rPr>
        <w:t>，</w:t>
      </w:r>
      <w:r>
        <w:rPr>
          <w:rFonts w:hint="eastAsia" w:ascii="微软雅黑" w:hAnsi="微软雅黑" w:eastAsia="微软雅黑" w:cs="微软雅黑"/>
          <w:color w:val="auto"/>
          <w:sz w:val="22"/>
          <w:szCs w:val="22"/>
          <w:highlight w:val="none"/>
        </w:rPr>
        <w:t>负责评标工作。</w:t>
      </w:r>
    </w:p>
    <w:p w14:paraId="6E64AB22">
      <w:pPr>
        <w:pStyle w:val="4"/>
        <w:pageBreakBefore w:val="0"/>
        <w:widowControl w:val="0"/>
        <w:kinsoku/>
        <w:wordWrap/>
        <w:overflowPunct/>
        <w:topLinePunct w:val="0"/>
        <w:bidi w:val="0"/>
        <w:spacing w:before="0" w:after="0" w:line="360" w:lineRule="exact"/>
        <w:ind w:left="0" w:leftChars="0"/>
        <w:textAlignment w:val="auto"/>
        <w:rPr>
          <w:rFonts w:hint="eastAsia" w:ascii="微软雅黑" w:hAnsi="微软雅黑" w:eastAsia="微软雅黑" w:cs="微软雅黑"/>
          <w:b/>
          <w:bCs/>
          <w:color w:val="auto"/>
          <w:sz w:val="22"/>
          <w:szCs w:val="22"/>
          <w:highlight w:val="none"/>
          <w:bdr w:val="single" w:color="auto" w:sz="4" w:space="0"/>
        </w:rPr>
      </w:pPr>
      <w:bookmarkStart w:id="743" w:name="_Toc827"/>
      <w:bookmarkStart w:id="744" w:name="_Toc13448"/>
      <w:bookmarkStart w:id="745" w:name="_Toc28479"/>
      <w:bookmarkStart w:id="746" w:name="_Toc13892"/>
      <w:bookmarkStart w:id="747" w:name="_Toc1502"/>
      <w:bookmarkStart w:id="748" w:name="_Toc30189"/>
      <w:bookmarkStart w:id="749" w:name="_Toc3936"/>
      <w:bookmarkStart w:id="750" w:name="_Toc19094"/>
      <w:bookmarkStart w:id="751" w:name="_Toc24623"/>
      <w:bookmarkStart w:id="752" w:name="_Toc19949"/>
      <w:bookmarkStart w:id="753" w:name="_Toc11482"/>
      <w:bookmarkStart w:id="754" w:name="_Toc22736"/>
      <w:bookmarkStart w:id="755" w:name="_Toc4062"/>
      <w:bookmarkStart w:id="756" w:name="_Toc15121"/>
      <w:bookmarkStart w:id="757" w:name="_Toc7309"/>
      <w:bookmarkStart w:id="758" w:name="_Toc13900"/>
      <w:bookmarkStart w:id="759" w:name="_Toc902"/>
      <w:bookmarkStart w:id="760" w:name="_Toc14377"/>
      <w:bookmarkStart w:id="761" w:name="_Toc14472"/>
      <w:bookmarkStart w:id="762" w:name="_Toc14028"/>
      <w:bookmarkStart w:id="763" w:name="_Toc29594"/>
      <w:bookmarkStart w:id="764" w:name="_Toc4542"/>
      <w:bookmarkStart w:id="765" w:name="_Toc21920"/>
      <w:bookmarkStart w:id="766" w:name="_Toc21876"/>
      <w:bookmarkStart w:id="767" w:name="_Toc515647781"/>
      <w:bookmarkStart w:id="768" w:name="_Toc25821"/>
      <w:bookmarkStart w:id="769" w:name="_Toc22070"/>
      <w:bookmarkStart w:id="770" w:name="_Toc4413"/>
      <w:bookmarkStart w:id="771" w:name="_Toc32378"/>
      <w:bookmarkStart w:id="772" w:name="_Toc1982"/>
      <w:bookmarkStart w:id="773" w:name="_Toc22021"/>
      <w:bookmarkStart w:id="774" w:name="_Toc4022"/>
      <w:bookmarkStart w:id="775" w:name="_Toc11776"/>
      <w:bookmarkStart w:id="776" w:name="_Toc5870"/>
      <w:bookmarkStart w:id="777" w:name="_Toc5800"/>
      <w:bookmarkStart w:id="778" w:name="_Toc831"/>
      <w:bookmarkStart w:id="779" w:name="_Toc31534"/>
      <w:bookmarkStart w:id="780" w:name="_Toc8432"/>
      <w:r>
        <w:rPr>
          <w:rFonts w:hint="eastAsia" w:ascii="微软雅黑" w:hAnsi="微软雅黑" w:eastAsia="微软雅黑" w:cs="微软雅黑"/>
          <w:b/>
          <w:bCs/>
          <w:color w:val="auto"/>
          <w:sz w:val="22"/>
          <w:szCs w:val="22"/>
          <w:highlight w:val="none"/>
          <w:u w:val="none"/>
        </w:rPr>
        <w:t>20.投标文件</w:t>
      </w:r>
      <w:bookmarkEnd w:id="742"/>
      <w:r>
        <w:rPr>
          <w:rFonts w:hint="eastAsia" w:ascii="微软雅黑" w:hAnsi="微软雅黑" w:eastAsia="微软雅黑" w:cs="微软雅黑"/>
          <w:b/>
          <w:bCs/>
          <w:color w:val="auto"/>
          <w:sz w:val="22"/>
          <w:szCs w:val="22"/>
          <w:highlight w:val="none"/>
          <w:u w:val="none"/>
        </w:rPr>
        <w:t>符合性审查与澄清</w:t>
      </w:r>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p>
    <w:p w14:paraId="72016D4D">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20.1   符合性审查是指依据招标文件的规定，从投标文件的有效性和完整性对招标文件的响应程度进行审查，以确定是否对招标文件的实质性要求做出响应。</w:t>
      </w:r>
      <w:bookmarkStart w:id="781" w:name="_Hlt522424701"/>
      <w:bookmarkEnd w:id="781"/>
      <w:bookmarkStart w:id="782" w:name="_Toc520356167"/>
    </w:p>
    <w:p w14:paraId="496952B3">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20.2</w:t>
      </w: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color w:val="auto"/>
          <w:sz w:val="22"/>
          <w:szCs w:val="22"/>
          <w:highlight w:val="none"/>
        </w:rPr>
        <w:t>投标文件的澄清</w:t>
      </w:r>
    </w:p>
    <w:p w14:paraId="0FDFF6E0">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20.2.1  在评标期间，评标委员会将以书面方式要求</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对其投标文件中含义不明确、对同类问题表述不一致或者有明显文字和计算错误的内容，以及评标委员会认为</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的报价明显低于其他通过符合性检查</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的报价，有可能影响履约的情况作必要的澄清、说明或补正。</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的澄清、说明或补正应在评标委员会规定的时间内以书面方式进行，并不得超出投标文件范围或者改变投标文件的实质性内容。</w:t>
      </w:r>
    </w:p>
    <w:p w14:paraId="7FC1D4CD">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 xml:space="preserve">20.2.2  </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的的澄清、说明或补正将作为投标文件的一部分。</w:t>
      </w:r>
    </w:p>
    <w:p w14:paraId="4999F982">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20.3  投标文件报价出现前后不一致的，按照下列规定修正：</w:t>
      </w:r>
    </w:p>
    <w:p w14:paraId="00C6324C">
      <w:pPr>
        <w:pageBreakBefore w:val="0"/>
        <w:widowControl w:val="0"/>
        <w:kinsoku/>
        <w:wordWrap/>
        <w:overflowPunct/>
        <w:topLinePunct w:val="0"/>
        <w:bidi w:val="0"/>
        <w:spacing w:line="360" w:lineRule="exact"/>
        <w:ind w:left="935" w:leftChars="0" w:hanging="935" w:hangingChars="42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　　   （一）投标文件中开标一览表（报价表）内容与投标文件中相应内容不一致的，以开标一览表（报价表）为准；</w:t>
      </w:r>
    </w:p>
    <w:p w14:paraId="5A3DC4EE">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　　   （二）大写金额和小写金额不一致的，</w:t>
      </w:r>
      <w:r>
        <w:rPr>
          <w:rFonts w:hint="eastAsia" w:ascii="微软雅黑" w:hAnsi="微软雅黑" w:eastAsia="微软雅黑" w:cs="微软雅黑"/>
          <w:b/>
          <w:bCs/>
          <w:color w:val="auto"/>
          <w:sz w:val="22"/>
          <w:szCs w:val="22"/>
          <w:highlight w:val="none"/>
        </w:rPr>
        <w:t>以大写金额为准</w:t>
      </w:r>
      <w:r>
        <w:rPr>
          <w:rFonts w:hint="eastAsia" w:ascii="微软雅黑" w:hAnsi="微软雅黑" w:eastAsia="微软雅黑" w:cs="微软雅黑"/>
          <w:color w:val="auto"/>
          <w:sz w:val="22"/>
          <w:szCs w:val="22"/>
          <w:highlight w:val="none"/>
        </w:rPr>
        <w:t>；</w:t>
      </w:r>
    </w:p>
    <w:p w14:paraId="6B537BE4">
      <w:pPr>
        <w:pageBreakBefore w:val="0"/>
        <w:widowControl w:val="0"/>
        <w:kinsoku/>
        <w:wordWrap/>
        <w:overflowPunct/>
        <w:topLinePunct w:val="0"/>
        <w:bidi w:val="0"/>
        <w:spacing w:line="360" w:lineRule="exact"/>
        <w:ind w:left="935" w:leftChars="0" w:hanging="935" w:hangingChars="42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　   　（三）单价金额小数点或者百分比有明显错位的，以开标一览表的总价为准，并修改单价；</w:t>
      </w:r>
    </w:p>
    <w:p w14:paraId="32809251">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　   　（四）总价金额与按单价汇总金额不一致的，以单价金额计算结果为准。</w:t>
      </w:r>
    </w:p>
    <w:p w14:paraId="1B398628">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　　    同时出现两种以上不一致的，按照前款规定的顺序修正。修正后的报价按照第20.2条的规定经</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确认后产生约束力，</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不确认的，其投标将被认定为</w:t>
      </w:r>
      <w:r>
        <w:rPr>
          <w:rFonts w:hint="eastAsia" w:ascii="微软雅黑" w:hAnsi="微软雅黑" w:eastAsia="微软雅黑" w:cs="微软雅黑"/>
          <w:b/>
          <w:bCs/>
          <w:color w:val="auto"/>
          <w:sz w:val="22"/>
          <w:szCs w:val="22"/>
          <w:highlight w:val="none"/>
        </w:rPr>
        <w:t>投标无效</w:t>
      </w:r>
      <w:r>
        <w:rPr>
          <w:rFonts w:hint="eastAsia" w:ascii="微软雅黑" w:hAnsi="微软雅黑" w:eastAsia="微软雅黑" w:cs="微软雅黑"/>
          <w:color w:val="auto"/>
          <w:sz w:val="22"/>
          <w:szCs w:val="22"/>
          <w:highlight w:val="none"/>
        </w:rPr>
        <w:t>。</w:t>
      </w:r>
    </w:p>
    <w:p w14:paraId="735A437E">
      <w:pPr>
        <w:pageBreakBefore w:val="0"/>
        <w:widowControl w:val="0"/>
        <w:kinsoku/>
        <w:wordWrap/>
        <w:overflowPunct/>
        <w:topLinePunct w:val="0"/>
        <w:bidi w:val="0"/>
        <w:spacing w:line="360" w:lineRule="exact"/>
        <w:ind w:left="0" w:leftChars="0" w:firstLine="110" w:firstLineChars="5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对不同文字文本投标文件的解释发生异议的，以中文文本为准。</w:t>
      </w:r>
    </w:p>
    <w:p w14:paraId="6ADB0B0C">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20.4   如一个分</w:t>
      </w:r>
      <w:r>
        <w:rPr>
          <w:rFonts w:hint="eastAsia" w:ascii="微软雅黑" w:hAnsi="微软雅黑" w:eastAsia="微软雅黑" w:cs="微软雅黑"/>
          <w:color w:val="auto"/>
          <w:sz w:val="22"/>
          <w:szCs w:val="22"/>
          <w:highlight w:val="none"/>
          <w:lang w:eastAsia="zh-CN"/>
        </w:rPr>
        <w:t>标项</w:t>
      </w:r>
      <w:r>
        <w:rPr>
          <w:rFonts w:hint="eastAsia" w:ascii="微软雅黑" w:hAnsi="微软雅黑" w:eastAsia="微软雅黑" w:cs="微软雅黑"/>
          <w:color w:val="auto"/>
          <w:sz w:val="22"/>
          <w:szCs w:val="22"/>
          <w:highlight w:val="none"/>
        </w:rPr>
        <w:t>内只有一种产品，不同</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所投产品为同一品牌的，按如下方式处理：</w:t>
      </w:r>
    </w:p>
    <w:p w14:paraId="77BBA6E0">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20.4.1  如本项目使用最低评标价法，提供相同品牌产品的不同</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以其中通过资格审查、符合性审查且报价最低的参加评标；报价相同的，由采购人或者采购人委托评标委员会按照招标文件中评标办法规定的方式确定一个参加评标的</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；未规定的采取随机抽取方式确定，其他投标将被认定为</w:t>
      </w:r>
      <w:r>
        <w:rPr>
          <w:rFonts w:hint="eastAsia" w:ascii="微软雅黑" w:hAnsi="微软雅黑" w:eastAsia="微软雅黑" w:cs="微软雅黑"/>
          <w:b/>
          <w:bCs/>
          <w:color w:val="auto"/>
          <w:sz w:val="22"/>
          <w:szCs w:val="22"/>
          <w:highlight w:val="none"/>
        </w:rPr>
        <w:t>投标无效</w:t>
      </w:r>
      <w:r>
        <w:rPr>
          <w:rFonts w:hint="eastAsia" w:ascii="微软雅黑" w:hAnsi="微软雅黑" w:eastAsia="微软雅黑" w:cs="微软雅黑"/>
          <w:color w:val="auto"/>
          <w:sz w:val="22"/>
          <w:szCs w:val="22"/>
          <w:highlight w:val="none"/>
        </w:rPr>
        <w:t>。</w:t>
      </w:r>
    </w:p>
    <w:p w14:paraId="2A40B664">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20.4.2  如本项目使用综合评分法，提供相同品牌产品且通过资格审查、符合性审查的不同</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，按一家</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计算，评审后得分最高的同品牌</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获得中标人推荐资格；评审得分相同的，由采购人或者采购人委托评标委员会按照招标文件中评标办法规定的方式确定一个</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获得中标人推荐资格；未规定的采取随机抽取方式确定，其他同品牌</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不作为中标候选人。</w:t>
      </w:r>
    </w:p>
    <w:p w14:paraId="141F5355">
      <w:pPr>
        <w:pageBreakBefore w:val="0"/>
        <w:widowControl w:val="0"/>
        <w:kinsoku/>
        <w:wordWrap/>
        <w:overflowPunct/>
        <w:topLinePunct w:val="0"/>
        <w:bidi w:val="0"/>
        <w:spacing w:line="360" w:lineRule="exact"/>
        <w:ind w:left="874" w:leftChars="416" w:firstLine="0" w:firstLineChars="0"/>
        <w:textAlignment w:val="auto"/>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rPr>
        <w:t>如一个分</w:t>
      </w:r>
      <w:r>
        <w:rPr>
          <w:rFonts w:hint="eastAsia" w:ascii="微软雅黑" w:hAnsi="微软雅黑" w:eastAsia="微软雅黑" w:cs="微软雅黑"/>
          <w:color w:val="auto"/>
          <w:sz w:val="22"/>
          <w:szCs w:val="22"/>
          <w:highlight w:val="none"/>
          <w:lang w:eastAsia="zh-CN"/>
        </w:rPr>
        <w:t>标项</w:t>
      </w:r>
      <w:r>
        <w:rPr>
          <w:rFonts w:hint="eastAsia" w:ascii="微软雅黑" w:hAnsi="微软雅黑" w:eastAsia="微软雅黑" w:cs="微软雅黑"/>
          <w:color w:val="auto"/>
          <w:sz w:val="22"/>
          <w:szCs w:val="22"/>
          <w:highlight w:val="none"/>
        </w:rPr>
        <w:t>内包含多种产品的，采购人或采购代理机构将在投标人须知资料表中载明核心产品，多家投标人提供的核心产品品牌相同的，按第 20.4条规定处理</w:t>
      </w:r>
      <w:r>
        <w:rPr>
          <w:rFonts w:hint="eastAsia" w:ascii="微软雅黑" w:hAnsi="微软雅黑" w:eastAsia="微软雅黑" w:cs="微软雅黑"/>
          <w:color w:val="auto"/>
          <w:sz w:val="22"/>
          <w:szCs w:val="22"/>
          <w:highlight w:val="none"/>
          <w:lang w:eastAsia="zh-CN"/>
        </w:rPr>
        <w:t>。</w:t>
      </w:r>
    </w:p>
    <w:p w14:paraId="3F18FD85">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 xml:space="preserve">20.5   </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所投产品如被列入财政部与国家主管部门颁发的节能产品目录或环境标志产品目录或无线局域网产品目录，应提供相关证明，在评标时予以优先采购，具体优先采购办法见第六章评标方法和标准。</w:t>
      </w:r>
    </w:p>
    <w:p w14:paraId="4C45EA4E">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 xml:space="preserve">        如采购人所采购产品为政府强制采购的节能产品，</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所投产品的品牌及型号必须为清单中有效期内产品并提供证明文件，否则其投标将被认定为</w:t>
      </w:r>
      <w:r>
        <w:rPr>
          <w:rFonts w:hint="eastAsia" w:ascii="微软雅黑" w:hAnsi="微软雅黑" w:eastAsia="微软雅黑" w:cs="微软雅黑"/>
          <w:b/>
          <w:bCs/>
          <w:color w:val="auto"/>
          <w:sz w:val="22"/>
          <w:szCs w:val="22"/>
          <w:highlight w:val="none"/>
        </w:rPr>
        <w:t>投标无效</w:t>
      </w:r>
      <w:r>
        <w:rPr>
          <w:rFonts w:hint="eastAsia" w:ascii="微软雅黑" w:hAnsi="微软雅黑" w:eastAsia="微软雅黑" w:cs="微软雅黑"/>
          <w:color w:val="auto"/>
          <w:sz w:val="22"/>
          <w:szCs w:val="22"/>
          <w:highlight w:val="none"/>
        </w:rPr>
        <w:t>。</w:t>
      </w:r>
    </w:p>
    <w:p w14:paraId="2DF9D157">
      <w:pPr>
        <w:pStyle w:val="4"/>
        <w:pageBreakBefore w:val="0"/>
        <w:widowControl w:val="0"/>
        <w:kinsoku/>
        <w:wordWrap/>
        <w:overflowPunct/>
        <w:topLinePunct w:val="0"/>
        <w:bidi w:val="0"/>
        <w:spacing w:before="0" w:after="0" w:line="360" w:lineRule="exact"/>
        <w:ind w:left="0" w:leftChars="0"/>
        <w:textAlignment w:val="auto"/>
        <w:rPr>
          <w:rFonts w:hint="eastAsia" w:ascii="微软雅黑" w:hAnsi="微软雅黑" w:eastAsia="微软雅黑" w:cs="微软雅黑"/>
          <w:b/>
          <w:bCs/>
          <w:color w:val="auto"/>
          <w:sz w:val="22"/>
          <w:szCs w:val="22"/>
          <w:highlight w:val="none"/>
          <w:u w:val="none"/>
        </w:rPr>
      </w:pPr>
      <w:bookmarkStart w:id="783" w:name="_Toc630"/>
      <w:bookmarkStart w:id="784" w:name="_Toc5363"/>
      <w:bookmarkStart w:id="785" w:name="_Toc22"/>
      <w:bookmarkStart w:id="786" w:name="_Toc21138"/>
      <w:bookmarkStart w:id="787" w:name="_Toc18062"/>
      <w:bookmarkStart w:id="788" w:name="_Toc9284"/>
      <w:bookmarkStart w:id="789" w:name="_Toc27379"/>
      <w:bookmarkStart w:id="790" w:name="_Toc18082"/>
      <w:bookmarkStart w:id="791" w:name="_Toc12161"/>
      <w:bookmarkStart w:id="792" w:name="_Toc515647782"/>
      <w:bookmarkStart w:id="793" w:name="_Toc30629"/>
      <w:bookmarkStart w:id="794" w:name="_Toc26577"/>
      <w:bookmarkStart w:id="795" w:name="_Toc26381"/>
      <w:bookmarkStart w:id="796" w:name="_Toc9469"/>
      <w:bookmarkStart w:id="797" w:name="_Toc3632"/>
      <w:bookmarkStart w:id="798" w:name="_Toc22089"/>
      <w:bookmarkStart w:id="799" w:name="_Toc13369"/>
      <w:bookmarkStart w:id="800" w:name="_Toc1633"/>
      <w:bookmarkStart w:id="801" w:name="_Toc1613"/>
      <w:bookmarkStart w:id="802" w:name="_Toc10143"/>
      <w:bookmarkStart w:id="803" w:name="_Toc4417"/>
      <w:bookmarkStart w:id="804" w:name="_Toc6538"/>
      <w:bookmarkStart w:id="805" w:name="_Toc6784"/>
      <w:bookmarkStart w:id="806" w:name="_Toc19042"/>
      <w:bookmarkStart w:id="807" w:name="_Toc24394"/>
      <w:bookmarkStart w:id="808" w:name="_Toc29292"/>
      <w:bookmarkStart w:id="809" w:name="_Toc26325"/>
      <w:bookmarkStart w:id="810" w:name="_Toc10306"/>
      <w:bookmarkStart w:id="811" w:name="_Toc31408"/>
      <w:bookmarkStart w:id="812" w:name="_Toc6364"/>
      <w:bookmarkStart w:id="813" w:name="_Toc8835"/>
      <w:bookmarkStart w:id="814" w:name="_Toc25781"/>
      <w:bookmarkStart w:id="815" w:name="_Toc10601"/>
      <w:bookmarkStart w:id="816" w:name="_Toc11608"/>
      <w:bookmarkStart w:id="817" w:name="_Toc16070"/>
      <w:bookmarkStart w:id="818" w:name="_Toc21482"/>
      <w:bookmarkStart w:id="819" w:name="_Toc7973"/>
      <w:bookmarkStart w:id="820" w:name="_Toc8228"/>
      <w:r>
        <w:rPr>
          <w:rFonts w:hint="eastAsia" w:ascii="微软雅黑" w:hAnsi="微软雅黑" w:eastAsia="微软雅黑" w:cs="微软雅黑"/>
          <w:b/>
          <w:bCs/>
          <w:color w:val="auto"/>
          <w:sz w:val="22"/>
          <w:szCs w:val="22"/>
          <w:highlight w:val="none"/>
          <w:u w:val="none"/>
        </w:rPr>
        <w:t>21.投标偏离</w:t>
      </w:r>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p>
    <w:p w14:paraId="35987E9F">
      <w:pPr>
        <w:snapToGrid w:val="0"/>
        <w:spacing w:line="360" w:lineRule="exact"/>
        <w:ind w:left="641" w:hanging="587" w:hangingChars="267"/>
        <w:textAlignment w:val="baseline"/>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 xml:space="preserve">     评标委员会可以接受投标文件中不构成实质性偏离的不正规或不一致。</w:t>
      </w:r>
      <w:bookmarkStart w:id="821" w:name="_Toc515647783"/>
      <w:bookmarkStart w:id="822" w:name="_Toc4950"/>
      <w:bookmarkStart w:id="823" w:name="_Toc6092"/>
      <w:r>
        <w:rPr>
          <w:rFonts w:hint="eastAsia" w:ascii="微软雅黑" w:hAnsi="微软雅黑" w:eastAsia="微软雅黑" w:cs="微软雅黑"/>
          <w:color w:val="auto"/>
          <w:sz w:val="22"/>
          <w:szCs w:val="22"/>
          <w:highlight w:val="none"/>
          <w:lang w:val="en-US" w:eastAsia="zh-CN"/>
        </w:rPr>
        <w:t xml:space="preserve">本 </w:t>
      </w:r>
    </w:p>
    <w:p w14:paraId="47DEE8A4">
      <w:pPr>
        <w:snapToGrid w:val="0"/>
        <w:spacing w:line="360" w:lineRule="exact"/>
        <w:ind w:left="641" w:hanging="587" w:hangingChars="267"/>
        <w:textAlignment w:val="baseline"/>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lang w:val="en-US" w:eastAsia="zh-CN"/>
        </w:rPr>
        <w:t>项目接受偏离，投标供应商提供参数中出现正偏离加分、负偏离扣分。</w:t>
      </w:r>
    </w:p>
    <w:p w14:paraId="656E8B78">
      <w:pPr>
        <w:pStyle w:val="4"/>
        <w:pageBreakBefore w:val="0"/>
        <w:widowControl w:val="0"/>
        <w:kinsoku/>
        <w:wordWrap/>
        <w:overflowPunct/>
        <w:topLinePunct w:val="0"/>
        <w:bidi w:val="0"/>
        <w:spacing w:before="0" w:after="0" w:line="360" w:lineRule="exact"/>
        <w:ind w:left="0" w:leftChars="0"/>
        <w:textAlignment w:val="auto"/>
        <w:rPr>
          <w:rFonts w:hint="eastAsia" w:ascii="微软雅黑" w:hAnsi="微软雅黑" w:eastAsia="微软雅黑" w:cs="微软雅黑"/>
          <w:b/>
          <w:bCs/>
          <w:color w:val="auto"/>
          <w:sz w:val="22"/>
          <w:szCs w:val="22"/>
          <w:highlight w:val="none"/>
          <w:u w:val="none"/>
        </w:rPr>
      </w:pPr>
      <w:bookmarkStart w:id="824" w:name="_Toc18096"/>
      <w:bookmarkStart w:id="825" w:name="_Toc23335"/>
      <w:bookmarkStart w:id="826" w:name="_Toc21395"/>
      <w:bookmarkStart w:id="827" w:name="_Toc18221"/>
      <w:bookmarkStart w:id="828" w:name="_Toc17009"/>
      <w:bookmarkStart w:id="829" w:name="_Toc28742"/>
      <w:bookmarkStart w:id="830" w:name="_Toc20572"/>
      <w:bookmarkStart w:id="831" w:name="_Toc8973"/>
      <w:bookmarkStart w:id="832" w:name="_Toc1257"/>
      <w:bookmarkStart w:id="833" w:name="_Toc29980"/>
      <w:bookmarkStart w:id="834" w:name="_Toc15784"/>
      <w:bookmarkStart w:id="835" w:name="_Toc28737"/>
      <w:bookmarkStart w:id="836" w:name="_Toc12413"/>
      <w:bookmarkStart w:id="837" w:name="_Toc3138"/>
      <w:bookmarkStart w:id="838" w:name="_Toc9643"/>
      <w:bookmarkStart w:id="839" w:name="_Toc28772"/>
      <w:bookmarkStart w:id="840" w:name="_Toc27324"/>
      <w:bookmarkStart w:id="841" w:name="_Toc12294"/>
      <w:bookmarkStart w:id="842" w:name="_Toc27806"/>
      <w:bookmarkStart w:id="843" w:name="_Toc31280"/>
      <w:bookmarkStart w:id="844" w:name="_Toc9516"/>
      <w:bookmarkStart w:id="845" w:name="_Toc3405"/>
      <w:bookmarkStart w:id="846" w:name="_Toc31472"/>
      <w:bookmarkStart w:id="847" w:name="_Toc6790"/>
      <w:bookmarkStart w:id="848" w:name="_Toc1222"/>
      <w:bookmarkStart w:id="849" w:name="_Toc550"/>
      <w:bookmarkStart w:id="850" w:name="_Toc665"/>
      <w:bookmarkStart w:id="851" w:name="_Toc12995"/>
      <w:bookmarkStart w:id="852" w:name="_Toc10232"/>
      <w:bookmarkStart w:id="853" w:name="_Toc4727"/>
      <w:bookmarkStart w:id="854" w:name="_Toc24224"/>
      <w:bookmarkStart w:id="855" w:name="_Toc21883"/>
      <w:bookmarkStart w:id="856" w:name="_Toc8254"/>
      <w:bookmarkStart w:id="857" w:name="_Toc11798"/>
      <w:bookmarkStart w:id="858" w:name="_Toc26299"/>
      <w:r>
        <w:rPr>
          <w:rFonts w:hint="eastAsia" w:ascii="微软雅黑" w:hAnsi="微软雅黑" w:eastAsia="微软雅黑" w:cs="微软雅黑"/>
          <w:b/>
          <w:bCs/>
          <w:color w:val="auto"/>
          <w:sz w:val="22"/>
          <w:szCs w:val="22"/>
          <w:highlight w:val="none"/>
          <w:u w:val="none"/>
        </w:rPr>
        <w:t>22.投标</w:t>
      </w:r>
      <w:bookmarkEnd w:id="821"/>
      <w:r>
        <w:rPr>
          <w:rFonts w:hint="eastAsia" w:ascii="微软雅黑" w:hAnsi="微软雅黑" w:eastAsia="微软雅黑" w:cs="微软雅黑"/>
          <w:b/>
          <w:bCs/>
          <w:color w:val="auto"/>
          <w:sz w:val="22"/>
          <w:szCs w:val="22"/>
          <w:highlight w:val="none"/>
          <w:u w:val="none"/>
        </w:rPr>
        <w:t>无效</w:t>
      </w:r>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p>
    <w:p w14:paraId="0D2E6725">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22.1   在比较与评价之前，根据本须知的规定，评标委员会要审查每份投标文件是否实质上响应了招标文件的要求。实质上响应的投标应该是与招标文件要求的全部条款、条件和规格相符，没有重大偏离的投标。</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不得通过修正或撤销不符合要求的偏离。</w:t>
      </w:r>
    </w:p>
    <w:p w14:paraId="06C7490A">
      <w:pPr>
        <w:pageBreakBefore w:val="0"/>
        <w:widowControl w:val="0"/>
        <w:kinsoku/>
        <w:wordWrap/>
        <w:overflowPunct/>
        <w:topLinePunct w:val="0"/>
        <w:bidi w:val="0"/>
        <w:spacing w:line="360" w:lineRule="exact"/>
        <w:ind w:left="718" w:leftChars="342" w:firstLine="0" w:firstLineChars="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评标委员会决定投标的响应性只根据招标文件要求、投标文件内容及财政主管部门指定相关信息发布媒体。</w:t>
      </w:r>
    </w:p>
    <w:p w14:paraId="5ADF2051">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22.2</w:t>
      </w: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b/>
          <w:bCs/>
          <w:color w:val="auto"/>
          <w:sz w:val="22"/>
          <w:szCs w:val="22"/>
          <w:highlight w:val="none"/>
        </w:rPr>
        <w:t>如发现下列情况之一的，其投标将被认定为投标无效</w:t>
      </w:r>
      <w:r>
        <w:rPr>
          <w:rFonts w:hint="eastAsia" w:ascii="微软雅黑" w:hAnsi="微软雅黑" w:eastAsia="微软雅黑" w:cs="微软雅黑"/>
          <w:color w:val="auto"/>
          <w:sz w:val="22"/>
          <w:szCs w:val="22"/>
          <w:highlight w:val="none"/>
        </w:rPr>
        <w:t>：</w:t>
      </w:r>
    </w:p>
    <w:p w14:paraId="47F795CB">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181" w:leftChars="0" w:firstLine="660" w:firstLineChars="300"/>
        <w:textAlignment w:val="auto"/>
        <w:rPr>
          <w:rFonts w:hint="eastAsia" w:ascii="微软雅黑" w:hAnsi="微软雅黑" w:eastAsia="微软雅黑" w:cs="微软雅黑"/>
          <w:b/>
          <w:bCs/>
          <w:color w:val="auto"/>
          <w:sz w:val="22"/>
          <w:szCs w:val="22"/>
          <w:highlight w:val="none"/>
        </w:rPr>
      </w:pPr>
      <w:r>
        <w:rPr>
          <w:rFonts w:hint="eastAsia" w:ascii="微软雅黑" w:hAnsi="微软雅黑" w:eastAsia="微软雅黑" w:cs="微软雅黑"/>
          <w:b/>
          <w:bCs/>
          <w:color w:val="auto"/>
          <w:sz w:val="22"/>
          <w:szCs w:val="22"/>
          <w:highlight w:val="none"/>
          <w:lang w:eastAsia="zh-CN"/>
        </w:rPr>
        <w:t>（</w:t>
      </w:r>
      <w:r>
        <w:rPr>
          <w:rFonts w:hint="eastAsia" w:ascii="微软雅黑" w:hAnsi="微软雅黑" w:eastAsia="微软雅黑" w:cs="微软雅黑"/>
          <w:b/>
          <w:bCs/>
          <w:color w:val="auto"/>
          <w:sz w:val="22"/>
          <w:szCs w:val="22"/>
          <w:highlight w:val="none"/>
          <w:lang w:val="en-US" w:eastAsia="zh-CN"/>
        </w:rPr>
        <w:t>1</w:t>
      </w:r>
      <w:r>
        <w:rPr>
          <w:rFonts w:hint="eastAsia" w:ascii="微软雅黑" w:hAnsi="微软雅黑" w:eastAsia="微软雅黑" w:cs="微软雅黑"/>
          <w:b/>
          <w:bCs/>
          <w:color w:val="auto"/>
          <w:sz w:val="22"/>
          <w:szCs w:val="22"/>
          <w:highlight w:val="none"/>
          <w:lang w:eastAsia="zh-CN"/>
        </w:rPr>
        <w:t>）</w:t>
      </w:r>
      <w:r>
        <w:rPr>
          <w:rFonts w:hint="eastAsia" w:ascii="微软雅黑" w:hAnsi="微软雅黑" w:eastAsia="微软雅黑" w:cs="微软雅黑"/>
          <w:b/>
          <w:bCs/>
          <w:color w:val="auto"/>
          <w:sz w:val="22"/>
          <w:szCs w:val="22"/>
          <w:highlight w:val="none"/>
        </w:rPr>
        <w:t>未按招标文件规定的形式和金额提交投标保证金的；</w:t>
      </w:r>
    </w:p>
    <w:p w14:paraId="1CB36830">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181" w:leftChars="0" w:firstLine="660" w:firstLineChars="300"/>
        <w:textAlignment w:val="auto"/>
        <w:rPr>
          <w:rFonts w:hint="eastAsia" w:ascii="微软雅黑" w:hAnsi="微软雅黑" w:eastAsia="微软雅黑" w:cs="微软雅黑"/>
          <w:b/>
          <w:bCs/>
          <w:color w:val="auto"/>
          <w:sz w:val="22"/>
          <w:szCs w:val="22"/>
          <w:highlight w:val="none"/>
        </w:rPr>
      </w:pPr>
      <w:r>
        <w:rPr>
          <w:rFonts w:hint="eastAsia" w:ascii="微软雅黑" w:hAnsi="微软雅黑" w:eastAsia="微软雅黑" w:cs="微软雅黑"/>
          <w:b/>
          <w:bCs/>
          <w:color w:val="auto"/>
          <w:sz w:val="22"/>
          <w:szCs w:val="22"/>
          <w:highlight w:val="none"/>
          <w:lang w:eastAsia="zh-CN"/>
        </w:rPr>
        <w:t>（</w:t>
      </w:r>
      <w:r>
        <w:rPr>
          <w:rFonts w:hint="eastAsia" w:ascii="微软雅黑" w:hAnsi="微软雅黑" w:eastAsia="微软雅黑" w:cs="微软雅黑"/>
          <w:b/>
          <w:bCs/>
          <w:color w:val="auto"/>
          <w:sz w:val="22"/>
          <w:szCs w:val="22"/>
          <w:highlight w:val="none"/>
          <w:lang w:val="en-US" w:eastAsia="zh-CN"/>
        </w:rPr>
        <w:t>2</w:t>
      </w:r>
      <w:r>
        <w:rPr>
          <w:rFonts w:hint="eastAsia" w:ascii="微软雅黑" w:hAnsi="微软雅黑" w:eastAsia="微软雅黑" w:cs="微软雅黑"/>
          <w:b/>
          <w:bCs/>
          <w:color w:val="auto"/>
          <w:sz w:val="22"/>
          <w:szCs w:val="22"/>
          <w:highlight w:val="none"/>
          <w:lang w:eastAsia="zh-CN"/>
        </w:rPr>
        <w:t>）</w:t>
      </w:r>
      <w:r>
        <w:rPr>
          <w:rFonts w:hint="eastAsia" w:ascii="微软雅黑" w:hAnsi="微软雅黑" w:eastAsia="微软雅黑" w:cs="微软雅黑"/>
          <w:b/>
          <w:bCs/>
          <w:color w:val="auto"/>
          <w:sz w:val="22"/>
          <w:szCs w:val="22"/>
          <w:highlight w:val="none"/>
        </w:rPr>
        <w:t>未按照招标文件规定要求签署、盖章的；</w:t>
      </w:r>
    </w:p>
    <w:p w14:paraId="4F3DF84B">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181" w:leftChars="0" w:firstLine="660" w:firstLineChars="300"/>
        <w:textAlignment w:val="auto"/>
        <w:rPr>
          <w:rFonts w:hint="eastAsia" w:ascii="微软雅黑" w:hAnsi="微软雅黑" w:eastAsia="微软雅黑" w:cs="微软雅黑"/>
          <w:b/>
          <w:bCs/>
          <w:color w:val="auto"/>
          <w:sz w:val="22"/>
          <w:szCs w:val="22"/>
          <w:highlight w:val="none"/>
          <w:lang w:val="en-US" w:eastAsia="zh-CN"/>
        </w:rPr>
      </w:pPr>
      <w:r>
        <w:rPr>
          <w:rFonts w:hint="eastAsia" w:ascii="微软雅黑" w:hAnsi="微软雅黑" w:eastAsia="微软雅黑" w:cs="微软雅黑"/>
          <w:b/>
          <w:bCs/>
          <w:color w:val="auto"/>
          <w:sz w:val="22"/>
          <w:szCs w:val="22"/>
          <w:highlight w:val="none"/>
          <w:lang w:eastAsia="zh-CN"/>
        </w:rPr>
        <w:t>（</w:t>
      </w:r>
      <w:r>
        <w:rPr>
          <w:rFonts w:hint="eastAsia" w:ascii="微软雅黑" w:hAnsi="微软雅黑" w:eastAsia="微软雅黑" w:cs="微软雅黑"/>
          <w:b/>
          <w:bCs/>
          <w:color w:val="auto"/>
          <w:sz w:val="22"/>
          <w:szCs w:val="22"/>
          <w:highlight w:val="none"/>
          <w:lang w:val="en-US" w:eastAsia="zh-CN"/>
        </w:rPr>
        <w:t>3</w:t>
      </w:r>
      <w:r>
        <w:rPr>
          <w:rFonts w:hint="eastAsia" w:ascii="微软雅黑" w:hAnsi="微软雅黑" w:eastAsia="微软雅黑" w:cs="微软雅黑"/>
          <w:b/>
          <w:bCs/>
          <w:color w:val="auto"/>
          <w:sz w:val="22"/>
          <w:szCs w:val="22"/>
          <w:highlight w:val="none"/>
          <w:lang w:eastAsia="zh-CN"/>
        </w:rPr>
        <w:t>）</w:t>
      </w:r>
      <w:r>
        <w:rPr>
          <w:rFonts w:hint="eastAsia" w:ascii="微软雅黑" w:hAnsi="微软雅黑" w:eastAsia="微软雅黑" w:cs="微软雅黑"/>
          <w:b/>
          <w:bCs/>
          <w:color w:val="auto"/>
          <w:sz w:val="22"/>
          <w:szCs w:val="22"/>
          <w:highlight w:val="none"/>
        </w:rPr>
        <w:t>与其他</w:t>
      </w:r>
      <w:r>
        <w:rPr>
          <w:rFonts w:hint="eastAsia" w:ascii="微软雅黑" w:hAnsi="微软雅黑" w:eastAsia="微软雅黑" w:cs="微软雅黑"/>
          <w:b/>
          <w:bCs/>
          <w:color w:val="auto"/>
          <w:sz w:val="22"/>
          <w:szCs w:val="22"/>
          <w:highlight w:val="none"/>
          <w:lang w:eastAsia="zh-CN"/>
        </w:rPr>
        <w:t>供应商</w:t>
      </w:r>
      <w:r>
        <w:rPr>
          <w:rFonts w:hint="eastAsia" w:ascii="微软雅黑" w:hAnsi="微软雅黑" w:eastAsia="微软雅黑" w:cs="微软雅黑"/>
          <w:b/>
          <w:bCs/>
          <w:color w:val="auto"/>
          <w:sz w:val="22"/>
          <w:szCs w:val="22"/>
          <w:highlight w:val="none"/>
        </w:rPr>
        <w:t>串通投标，或者与</w:t>
      </w:r>
      <w:r>
        <w:rPr>
          <w:rFonts w:hint="eastAsia" w:ascii="微软雅黑" w:hAnsi="微软雅黑" w:eastAsia="微软雅黑" w:cs="微软雅黑"/>
          <w:b/>
          <w:bCs/>
          <w:color w:val="auto"/>
          <w:sz w:val="22"/>
          <w:szCs w:val="22"/>
          <w:highlight w:val="none"/>
          <w:lang w:eastAsia="zh-CN"/>
        </w:rPr>
        <w:t>采购人</w:t>
      </w:r>
      <w:r>
        <w:rPr>
          <w:rFonts w:hint="eastAsia" w:ascii="微软雅黑" w:hAnsi="微软雅黑" w:eastAsia="微软雅黑" w:cs="微软雅黑"/>
          <w:b/>
          <w:bCs/>
          <w:color w:val="auto"/>
          <w:sz w:val="22"/>
          <w:szCs w:val="22"/>
          <w:highlight w:val="none"/>
        </w:rPr>
        <w:t>串通投标；</w:t>
      </w:r>
      <w:r>
        <w:rPr>
          <w:rFonts w:hint="eastAsia" w:ascii="微软雅黑" w:hAnsi="微软雅黑" w:eastAsia="微软雅黑" w:cs="微软雅黑"/>
          <w:b/>
          <w:bCs/>
          <w:color w:val="auto"/>
          <w:sz w:val="22"/>
          <w:szCs w:val="22"/>
          <w:highlight w:val="none"/>
          <w:lang w:val="en-US" w:eastAsia="zh-CN"/>
        </w:rPr>
        <w:t xml:space="preserve">    </w:t>
      </w:r>
    </w:p>
    <w:p w14:paraId="54B755B7">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181" w:leftChars="0" w:firstLine="660" w:firstLineChars="300"/>
        <w:textAlignment w:val="auto"/>
        <w:rPr>
          <w:rFonts w:hint="eastAsia" w:ascii="微软雅黑" w:hAnsi="微软雅黑" w:eastAsia="微软雅黑" w:cs="微软雅黑"/>
          <w:b/>
          <w:bCs/>
          <w:color w:val="auto"/>
          <w:sz w:val="22"/>
          <w:szCs w:val="22"/>
          <w:highlight w:val="none"/>
        </w:rPr>
      </w:pPr>
      <w:r>
        <w:rPr>
          <w:rFonts w:hint="eastAsia" w:ascii="微软雅黑" w:hAnsi="微软雅黑" w:eastAsia="微软雅黑" w:cs="微软雅黑"/>
          <w:b/>
          <w:bCs/>
          <w:color w:val="auto"/>
          <w:sz w:val="22"/>
          <w:szCs w:val="22"/>
          <w:highlight w:val="none"/>
          <w:lang w:eastAsia="zh-CN"/>
        </w:rPr>
        <w:t>（</w:t>
      </w:r>
      <w:r>
        <w:rPr>
          <w:rFonts w:hint="eastAsia" w:ascii="微软雅黑" w:hAnsi="微软雅黑" w:eastAsia="微软雅黑" w:cs="微软雅黑"/>
          <w:b/>
          <w:bCs/>
          <w:color w:val="auto"/>
          <w:sz w:val="22"/>
          <w:szCs w:val="22"/>
          <w:highlight w:val="none"/>
          <w:lang w:val="en-US" w:eastAsia="zh-CN"/>
        </w:rPr>
        <w:t>4</w:t>
      </w:r>
      <w:r>
        <w:rPr>
          <w:rFonts w:hint="eastAsia" w:ascii="微软雅黑" w:hAnsi="微软雅黑" w:eastAsia="微软雅黑" w:cs="微软雅黑"/>
          <w:b/>
          <w:bCs/>
          <w:color w:val="auto"/>
          <w:sz w:val="22"/>
          <w:szCs w:val="22"/>
          <w:highlight w:val="none"/>
          <w:lang w:eastAsia="zh-CN"/>
        </w:rPr>
        <w:t>）</w:t>
      </w:r>
      <w:r>
        <w:rPr>
          <w:rFonts w:hint="eastAsia" w:ascii="微软雅黑" w:hAnsi="微软雅黑" w:eastAsia="微软雅黑" w:cs="微软雅黑"/>
          <w:b/>
          <w:bCs/>
          <w:color w:val="auto"/>
          <w:sz w:val="22"/>
          <w:szCs w:val="22"/>
          <w:highlight w:val="none"/>
        </w:rPr>
        <w:t>属于招标文件规定的其他投标无效情形；</w:t>
      </w:r>
    </w:p>
    <w:p w14:paraId="06A502E0">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538" w:leftChars="256" w:firstLine="0" w:firstLineChars="0"/>
        <w:textAlignment w:val="auto"/>
        <w:rPr>
          <w:rFonts w:hint="eastAsia" w:ascii="微软雅黑" w:hAnsi="微软雅黑" w:eastAsia="微软雅黑" w:cs="微软雅黑"/>
          <w:b/>
          <w:bCs/>
          <w:color w:val="auto"/>
          <w:sz w:val="22"/>
          <w:szCs w:val="22"/>
          <w:highlight w:val="none"/>
        </w:rPr>
      </w:pPr>
      <w:r>
        <w:rPr>
          <w:rFonts w:hint="eastAsia" w:ascii="微软雅黑" w:hAnsi="微软雅黑" w:eastAsia="微软雅黑" w:cs="微软雅黑"/>
          <w:b/>
          <w:bCs/>
          <w:color w:val="auto"/>
          <w:sz w:val="22"/>
          <w:szCs w:val="22"/>
          <w:highlight w:val="none"/>
          <w:lang w:eastAsia="zh-CN"/>
        </w:rPr>
        <w:t>（</w:t>
      </w:r>
      <w:r>
        <w:rPr>
          <w:rFonts w:hint="eastAsia" w:ascii="微软雅黑" w:hAnsi="微软雅黑" w:eastAsia="微软雅黑" w:cs="微软雅黑"/>
          <w:b/>
          <w:bCs/>
          <w:color w:val="auto"/>
          <w:sz w:val="22"/>
          <w:szCs w:val="22"/>
          <w:highlight w:val="none"/>
          <w:lang w:val="en-US" w:eastAsia="zh-CN"/>
        </w:rPr>
        <w:t>5</w:t>
      </w:r>
      <w:r>
        <w:rPr>
          <w:rFonts w:hint="eastAsia" w:ascii="微软雅黑" w:hAnsi="微软雅黑" w:eastAsia="微软雅黑" w:cs="微软雅黑"/>
          <w:b/>
          <w:bCs/>
          <w:color w:val="auto"/>
          <w:sz w:val="22"/>
          <w:szCs w:val="22"/>
          <w:highlight w:val="none"/>
          <w:lang w:eastAsia="zh-CN"/>
        </w:rPr>
        <w:t>）</w:t>
      </w:r>
      <w:r>
        <w:rPr>
          <w:rFonts w:hint="eastAsia" w:ascii="微软雅黑" w:hAnsi="微软雅黑" w:eastAsia="微软雅黑" w:cs="微软雅黑"/>
          <w:b/>
          <w:bCs/>
          <w:color w:val="auto"/>
          <w:sz w:val="22"/>
          <w:szCs w:val="22"/>
          <w:highlight w:val="none"/>
        </w:rPr>
        <w:t>评标委员会认为</w:t>
      </w:r>
      <w:r>
        <w:rPr>
          <w:rFonts w:hint="eastAsia" w:ascii="微软雅黑" w:hAnsi="微软雅黑" w:eastAsia="微软雅黑" w:cs="微软雅黑"/>
          <w:b/>
          <w:bCs/>
          <w:color w:val="auto"/>
          <w:sz w:val="22"/>
          <w:szCs w:val="22"/>
          <w:highlight w:val="none"/>
          <w:lang w:eastAsia="zh-CN"/>
        </w:rPr>
        <w:t>供应商</w:t>
      </w:r>
      <w:r>
        <w:rPr>
          <w:rFonts w:hint="eastAsia" w:ascii="微软雅黑" w:hAnsi="微软雅黑" w:eastAsia="微软雅黑" w:cs="微软雅黑"/>
          <w:b/>
          <w:bCs/>
          <w:color w:val="auto"/>
          <w:sz w:val="22"/>
          <w:szCs w:val="22"/>
          <w:highlight w:val="none"/>
        </w:rPr>
        <w:t>的报价明显低于其他通过符合性检查</w:t>
      </w:r>
      <w:r>
        <w:rPr>
          <w:rFonts w:hint="eastAsia" w:ascii="微软雅黑" w:hAnsi="微软雅黑" w:eastAsia="微软雅黑" w:cs="微软雅黑"/>
          <w:b/>
          <w:bCs/>
          <w:color w:val="auto"/>
          <w:sz w:val="22"/>
          <w:szCs w:val="22"/>
          <w:highlight w:val="none"/>
          <w:lang w:eastAsia="zh-CN"/>
        </w:rPr>
        <w:t>供应</w:t>
      </w:r>
      <w:r>
        <w:rPr>
          <w:rFonts w:hint="eastAsia" w:ascii="微软雅黑" w:hAnsi="微软雅黑" w:eastAsia="微软雅黑" w:cs="微软雅黑"/>
          <w:b/>
          <w:bCs/>
          <w:color w:val="auto"/>
          <w:sz w:val="22"/>
          <w:szCs w:val="22"/>
          <w:highlight w:val="none"/>
          <w:lang w:val="en-US" w:eastAsia="zh-CN"/>
        </w:rPr>
        <w:t xml:space="preserve">                    </w:t>
      </w:r>
      <w:r>
        <w:rPr>
          <w:rFonts w:hint="eastAsia" w:ascii="微软雅黑" w:hAnsi="微软雅黑" w:eastAsia="微软雅黑" w:cs="微软雅黑"/>
          <w:b/>
          <w:bCs/>
          <w:color w:val="auto"/>
          <w:sz w:val="22"/>
          <w:szCs w:val="22"/>
          <w:highlight w:val="none"/>
          <w:lang w:eastAsia="zh-CN"/>
        </w:rPr>
        <w:t>商</w:t>
      </w:r>
      <w:r>
        <w:rPr>
          <w:rFonts w:hint="eastAsia" w:ascii="微软雅黑" w:hAnsi="微软雅黑" w:eastAsia="微软雅黑" w:cs="微软雅黑"/>
          <w:b/>
          <w:bCs/>
          <w:color w:val="auto"/>
          <w:sz w:val="22"/>
          <w:szCs w:val="22"/>
          <w:highlight w:val="none"/>
        </w:rPr>
        <w:t>的报价，有可能影响履约的，且</w:t>
      </w:r>
      <w:r>
        <w:rPr>
          <w:rFonts w:hint="eastAsia" w:ascii="微软雅黑" w:hAnsi="微软雅黑" w:eastAsia="微软雅黑" w:cs="微软雅黑"/>
          <w:b/>
          <w:bCs/>
          <w:color w:val="auto"/>
          <w:sz w:val="22"/>
          <w:szCs w:val="22"/>
          <w:highlight w:val="none"/>
          <w:lang w:eastAsia="zh-CN"/>
        </w:rPr>
        <w:t>供应商</w:t>
      </w:r>
      <w:r>
        <w:rPr>
          <w:rFonts w:hint="eastAsia" w:ascii="微软雅黑" w:hAnsi="微软雅黑" w:eastAsia="微软雅黑" w:cs="微软雅黑"/>
          <w:b/>
          <w:bCs/>
          <w:color w:val="auto"/>
          <w:sz w:val="22"/>
          <w:szCs w:val="22"/>
          <w:highlight w:val="none"/>
        </w:rPr>
        <w:t>未按照规定证明其报价合理性的；</w:t>
      </w:r>
    </w:p>
    <w:p w14:paraId="1D1CEEB9">
      <w:pPr>
        <w:pageBreakBefore w:val="0"/>
        <w:widowControl w:val="0"/>
        <w:numPr>
          <w:ilvl w:val="0"/>
          <w:numId w:val="0"/>
        </w:numPr>
        <w:kinsoku/>
        <w:wordWrap/>
        <w:overflowPunct/>
        <w:topLinePunct w:val="0"/>
        <w:bidi w:val="0"/>
        <w:spacing w:line="360" w:lineRule="exact"/>
        <w:ind w:left="-180" w:leftChars="0" w:firstLine="660" w:firstLineChars="300"/>
        <w:textAlignment w:val="auto"/>
        <w:rPr>
          <w:rFonts w:hint="eastAsia" w:ascii="微软雅黑" w:hAnsi="微软雅黑" w:eastAsia="微软雅黑" w:cs="微软雅黑"/>
          <w:b/>
          <w:bCs/>
          <w:color w:val="auto"/>
          <w:sz w:val="22"/>
          <w:szCs w:val="22"/>
          <w:highlight w:val="none"/>
        </w:rPr>
      </w:pPr>
      <w:r>
        <w:rPr>
          <w:rFonts w:hint="eastAsia" w:ascii="微软雅黑" w:hAnsi="微软雅黑" w:eastAsia="微软雅黑" w:cs="微软雅黑"/>
          <w:b/>
          <w:bCs/>
          <w:color w:val="auto"/>
          <w:sz w:val="22"/>
          <w:szCs w:val="22"/>
          <w:highlight w:val="none"/>
          <w:lang w:eastAsia="zh-CN"/>
        </w:rPr>
        <w:t>（</w:t>
      </w:r>
      <w:r>
        <w:rPr>
          <w:rFonts w:hint="eastAsia" w:ascii="微软雅黑" w:hAnsi="微软雅黑" w:eastAsia="微软雅黑" w:cs="微软雅黑"/>
          <w:b/>
          <w:bCs/>
          <w:color w:val="auto"/>
          <w:sz w:val="22"/>
          <w:szCs w:val="22"/>
          <w:highlight w:val="none"/>
          <w:lang w:val="en-US" w:eastAsia="zh-CN"/>
        </w:rPr>
        <w:t>6</w:t>
      </w:r>
      <w:r>
        <w:rPr>
          <w:rFonts w:hint="eastAsia" w:ascii="微软雅黑" w:hAnsi="微软雅黑" w:eastAsia="微软雅黑" w:cs="微软雅黑"/>
          <w:b/>
          <w:bCs/>
          <w:color w:val="auto"/>
          <w:sz w:val="22"/>
          <w:szCs w:val="22"/>
          <w:highlight w:val="none"/>
          <w:lang w:eastAsia="zh-CN"/>
        </w:rPr>
        <w:t>）</w:t>
      </w:r>
      <w:r>
        <w:rPr>
          <w:rFonts w:hint="eastAsia" w:ascii="微软雅黑" w:hAnsi="微软雅黑" w:eastAsia="微软雅黑" w:cs="微软雅黑"/>
          <w:b/>
          <w:bCs/>
          <w:color w:val="auto"/>
          <w:sz w:val="22"/>
          <w:szCs w:val="22"/>
          <w:highlight w:val="none"/>
        </w:rPr>
        <w:t>投标文件含有采购人不能接受的附加条件的；</w:t>
      </w:r>
    </w:p>
    <w:p w14:paraId="622D5FE3">
      <w:pPr>
        <w:pageBreakBefore w:val="0"/>
        <w:widowControl w:val="0"/>
        <w:numPr>
          <w:ilvl w:val="0"/>
          <w:numId w:val="0"/>
        </w:numPr>
        <w:tabs>
          <w:tab w:val="left" w:pos="0"/>
        </w:tabs>
        <w:kinsoku/>
        <w:wordWrap/>
        <w:overflowPunct/>
        <w:topLinePunct w:val="0"/>
        <w:bidi w:val="0"/>
        <w:spacing w:line="360" w:lineRule="exact"/>
        <w:ind w:left="-180" w:leftChars="0" w:firstLine="660" w:firstLineChars="300"/>
        <w:textAlignment w:val="auto"/>
        <w:rPr>
          <w:rFonts w:hint="eastAsia" w:ascii="微软雅黑" w:hAnsi="微软雅黑" w:eastAsia="微软雅黑" w:cs="微软雅黑"/>
          <w:b/>
          <w:bCs/>
          <w:color w:val="auto"/>
          <w:sz w:val="22"/>
          <w:szCs w:val="22"/>
          <w:highlight w:val="none"/>
        </w:rPr>
      </w:pPr>
      <w:r>
        <w:rPr>
          <w:rFonts w:hint="eastAsia" w:ascii="微软雅黑" w:hAnsi="微软雅黑" w:eastAsia="微软雅黑" w:cs="微软雅黑"/>
          <w:b/>
          <w:bCs/>
          <w:color w:val="auto"/>
          <w:sz w:val="22"/>
          <w:szCs w:val="22"/>
          <w:highlight w:val="none"/>
          <w:lang w:eastAsia="zh-CN"/>
        </w:rPr>
        <w:t>（</w:t>
      </w:r>
      <w:r>
        <w:rPr>
          <w:rFonts w:hint="eastAsia" w:ascii="微软雅黑" w:hAnsi="微软雅黑" w:eastAsia="微软雅黑" w:cs="微软雅黑"/>
          <w:b/>
          <w:bCs/>
          <w:color w:val="auto"/>
          <w:sz w:val="22"/>
          <w:szCs w:val="22"/>
          <w:highlight w:val="none"/>
          <w:lang w:val="en-US" w:eastAsia="zh-CN"/>
        </w:rPr>
        <w:t>7</w:t>
      </w:r>
      <w:r>
        <w:rPr>
          <w:rFonts w:hint="eastAsia" w:ascii="微软雅黑" w:hAnsi="微软雅黑" w:eastAsia="微软雅黑" w:cs="微软雅黑"/>
          <w:b/>
          <w:bCs/>
          <w:color w:val="auto"/>
          <w:sz w:val="22"/>
          <w:szCs w:val="22"/>
          <w:highlight w:val="none"/>
          <w:lang w:eastAsia="zh-CN"/>
        </w:rPr>
        <w:t>）</w:t>
      </w:r>
      <w:r>
        <w:rPr>
          <w:rFonts w:hint="eastAsia" w:ascii="微软雅黑" w:hAnsi="微软雅黑" w:eastAsia="微软雅黑" w:cs="微软雅黑"/>
          <w:b/>
          <w:bCs/>
          <w:color w:val="auto"/>
          <w:sz w:val="22"/>
          <w:szCs w:val="22"/>
          <w:highlight w:val="none"/>
        </w:rPr>
        <w:t>不符合法规和招标文件中规定的其他实质性要求的。</w:t>
      </w:r>
    </w:p>
    <w:p w14:paraId="19BF2E7E">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lang w:val="en-US" w:eastAsia="zh-CN"/>
        </w:rPr>
        <w:t>22.3   有下列情形之一的，属于恶意串通，对供应商依照政府采购法第七十七条第一款的规定追究法律责任，对采购人、采购代理机构及其工作人员依照政府采购法第七十二条的规定追究法律责任：</w:t>
      </w:r>
    </w:p>
    <w:p w14:paraId="6FC0D476">
      <w:pPr>
        <w:pageBreakBefore w:val="0"/>
        <w:widowControl w:val="0"/>
        <w:kinsoku/>
        <w:wordWrap/>
        <w:overflowPunct/>
        <w:topLinePunct w:val="0"/>
        <w:bidi w:val="0"/>
        <w:spacing w:line="360" w:lineRule="exact"/>
        <w:ind w:left="825" w:leftChars="0" w:hanging="825" w:hangingChars="375"/>
        <w:jc w:val="both"/>
        <w:textAlignment w:val="auto"/>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lang w:val="en-US" w:eastAsia="zh-CN"/>
        </w:rPr>
        <w:t>　　 （1）供应商直接或者间接从采购人或者采购代理机构处获得其他供应商的相关情况并修改其投标文件或者投标文件；</w:t>
      </w:r>
    </w:p>
    <w:p w14:paraId="05D7D8D0">
      <w:pPr>
        <w:pageBreakBefore w:val="0"/>
        <w:widowControl w:val="0"/>
        <w:kinsoku/>
        <w:wordWrap/>
        <w:overflowPunct/>
        <w:topLinePunct w:val="0"/>
        <w:bidi w:val="0"/>
        <w:spacing w:line="360" w:lineRule="exact"/>
        <w:ind w:left="825" w:leftChars="0" w:hanging="825" w:hangingChars="375"/>
        <w:jc w:val="both"/>
        <w:textAlignment w:val="auto"/>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lang w:val="en-US" w:eastAsia="zh-CN"/>
        </w:rPr>
        <w:t>　　 （2）供应商按照采购人或者采购代理机构的授意撤换、修改投标文件或者投标文件；</w:t>
      </w:r>
    </w:p>
    <w:p w14:paraId="117B727F">
      <w:pPr>
        <w:pageBreakBefore w:val="0"/>
        <w:widowControl w:val="0"/>
        <w:kinsoku/>
        <w:wordWrap/>
        <w:overflowPunct/>
        <w:topLinePunct w:val="0"/>
        <w:bidi w:val="0"/>
        <w:spacing w:line="360" w:lineRule="exact"/>
        <w:ind w:left="825" w:leftChars="0" w:hanging="825" w:hangingChars="375"/>
        <w:jc w:val="both"/>
        <w:textAlignment w:val="auto"/>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lang w:val="en-US" w:eastAsia="zh-CN"/>
        </w:rPr>
        <w:t>　　 （3）供应商之间协商报价、技术方案等投标文件或者投标文件的实质性内容；</w:t>
      </w:r>
    </w:p>
    <w:p w14:paraId="29563F74">
      <w:pPr>
        <w:pageBreakBefore w:val="0"/>
        <w:widowControl w:val="0"/>
        <w:kinsoku/>
        <w:wordWrap/>
        <w:overflowPunct/>
        <w:topLinePunct w:val="0"/>
        <w:bidi w:val="0"/>
        <w:spacing w:line="360" w:lineRule="exact"/>
        <w:ind w:left="825" w:leftChars="0" w:hanging="825" w:hangingChars="375"/>
        <w:jc w:val="both"/>
        <w:textAlignment w:val="auto"/>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lang w:val="en-US" w:eastAsia="zh-CN"/>
        </w:rPr>
        <w:t>　　 （4）属于同一集团、协会、商会等组织成员的供应商按照该组织要求协同参加政府采购活动；</w:t>
      </w:r>
    </w:p>
    <w:p w14:paraId="05CB3B73">
      <w:pPr>
        <w:pageBreakBefore w:val="0"/>
        <w:widowControl w:val="0"/>
        <w:kinsoku/>
        <w:wordWrap/>
        <w:overflowPunct/>
        <w:topLinePunct w:val="0"/>
        <w:bidi w:val="0"/>
        <w:spacing w:line="360" w:lineRule="exact"/>
        <w:ind w:left="825" w:leftChars="0" w:hanging="825" w:hangingChars="375"/>
        <w:jc w:val="both"/>
        <w:textAlignment w:val="auto"/>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lang w:val="en-US" w:eastAsia="zh-CN"/>
        </w:rPr>
        <w:t>　　 （5）供应商之间事先约定由某一特定供应商中标、成交；</w:t>
      </w:r>
    </w:p>
    <w:p w14:paraId="340FE945">
      <w:pPr>
        <w:pageBreakBefore w:val="0"/>
        <w:widowControl w:val="0"/>
        <w:kinsoku/>
        <w:wordWrap/>
        <w:overflowPunct/>
        <w:topLinePunct w:val="0"/>
        <w:bidi w:val="0"/>
        <w:spacing w:line="360" w:lineRule="exact"/>
        <w:ind w:left="825" w:leftChars="0" w:hanging="825" w:hangingChars="375"/>
        <w:jc w:val="both"/>
        <w:textAlignment w:val="auto"/>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lang w:val="en-US" w:eastAsia="zh-CN"/>
        </w:rPr>
        <w:t>　　 （6）供应商之间商定部分供应商放弃参加政府采购活动或者放弃中标、成交；</w:t>
      </w:r>
    </w:p>
    <w:p w14:paraId="274C4C3F">
      <w:pPr>
        <w:pageBreakBefore w:val="0"/>
        <w:widowControl w:val="0"/>
        <w:kinsoku/>
        <w:wordWrap/>
        <w:overflowPunct/>
        <w:topLinePunct w:val="0"/>
        <w:bidi w:val="0"/>
        <w:spacing w:line="360" w:lineRule="exact"/>
        <w:ind w:left="825" w:leftChars="0" w:hanging="825" w:hangingChars="375"/>
        <w:jc w:val="both"/>
        <w:textAlignment w:val="auto"/>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lang w:val="en-US" w:eastAsia="zh-CN"/>
        </w:rPr>
        <w:t>　　 （7）供应商与采购人或者采购代理机构之间、供应商相互之间，为谋求特定供应商中标、成交或者排斥其他供应商的其他串通行为。</w:t>
      </w:r>
    </w:p>
    <w:p w14:paraId="6302B6C9">
      <w:pPr>
        <w:pStyle w:val="4"/>
        <w:pageBreakBefore w:val="0"/>
        <w:widowControl w:val="0"/>
        <w:kinsoku/>
        <w:wordWrap/>
        <w:overflowPunct/>
        <w:topLinePunct w:val="0"/>
        <w:bidi w:val="0"/>
        <w:spacing w:before="0" w:after="0" w:line="360" w:lineRule="exact"/>
        <w:ind w:left="0" w:leftChars="0"/>
        <w:textAlignment w:val="auto"/>
        <w:rPr>
          <w:rFonts w:hint="eastAsia" w:ascii="微软雅黑" w:hAnsi="微软雅黑" w:eastAsia="微软雅黑" w:cs="微软雅黑"/>
          <w:b/>
          <w:bCs/>
          <w:color w:val="auto"/>
          <w:sz w:val="22"/>
          <w:szCs w:val="22"/>
          <w:highlight w:val="none"/>
          <w:u w:val="none"/>
        </w:rPr>
      </w:pPr>
      <w:bookmarkStart w:id="859" w:name="_Toc24896"/>
      <w:bookmarkStart w:id="860" w:name="_Toc31181"/>
      <w:bookmarkStart w:id="861" w:name="_Toc9523"/>
      <w:bookmarkStart w:id="862" w:name="_Toc27209"/>
      <w:bookmarkStart w:id="863" w:name="_Toc22941"/>
      <w:bookmarkStart w:id="864" w:name="_Toc1180"/>
      <w:bookmarkStart w:id="865" w:name="_Toc3056"/>
      <w:bookmarkStart w:id="866" w:name="_Toc16915"/>
      <w:bookmarkStart w:id="867" w:name="_Toc515647784"/>
      <w:bookmarkStart w:id="868" w:name="_Toc20938"/>
      <w:bookmarkStart w:id="869" w:name="_Toc31489"/>
      <w:bookmarkStart w:id="870" w:name="_Toc13922"/>
      <w:bookmarkStart w:id="871" w:name="_Toc4328"/>
      <w:bookmarkStart w:id="872" w:name="_Toc25837"/>
      <w:bookmarkStart w:id="873" w:name="_Toc3877"/>
      <w:bookmarkStart w:id="874" w:name="_Toc20498"/>
      <w:bookmarkStart w:id="875" w:name="_Toc14425"/>
      <w:bookmarkStart w:id="876" w:name="_Toc10460"/>
      <w:bookmarkStart w:id="877" w:name="_Toc20639"/>
      <w:bookmarkStart w:id="878" w:name="_Toc2833"/>
      <w:bookmarkStart w:id="879" w:name="_Toc13566"/>
      <w:bookmarkStart w:id="880" w:name="_Toc6292"/>
      <w:bookmarkStart w:id="881" w:name="_Toc10590"/>
      <w:bookmarkStart w:id="882" w:name="_Toc25462"/>
      <w:bookmarkStart w:id="883" w:name="_Toc32250"/>
      <w:bookmarkStart w:id="884" w:name="_Toc7075"/>
      <w:bookmarkStart w:id="885" w:name="_Toc30252"/>
      <w:bookmarkStart w:id="886" w:name="_Toc13652"/>
      <w:bookmarkStart w:id="887" w:name="_Toc5015"/>
      <w:bookmarkStart w:id="888" w:name="_Toc22160"/>
      <w:bookmarkStart w:id="889" w:name="_Toc20984"/>
      <w:bookmarkStart w:id="890" w:name="_Toc17418"/>
      <w:bookmarkStart w:id="891" w:name="_Toc28951"/>
      <w:bookmarkStart w:id="892" w:name="_Toc22981"/>
      <w:bookmarkStart w:id="893" w:name="_Toc24694"/>
      <w:r>
        <w:rPr>
          <w:rFonts w:hint="eastAsia" w:ascii="微软雅黑" w:hAnsi="微软雅黑" w:eastAsia="微软雅黑" w:cs="微软雅黑"/>
          <w:b/>
          <w:bCs/>
          <w:color w:val="auto"/>
          <w:sz w:val="22"/>
          <w:szCs w:val="22"/>
          <w:highlight w:val="none"/>
          <w:u w:val="none"/>
        </w:rPr>
        <w:t>23.</w:t>
      </w:r>
      <w:bookmarkEnd w:id="782"/>
      <w:r>
        <w:rPr>
          <w:rFonts w:hint="eastAsia" w:ascii="微软雅黑" w:hAnsi="微软雅黑" w:eastAsia="微软雅黑" w:cs="微软雅黑"/>
          <w:b/>
          <w:bCs/>
          <w:color w:val="auto"/>
          <w:sz w:val="22"/>
          <w:szCs w:val="22"/>
          <w:highlight w:val="none"/>
          <w:u w:val="none"/>
        </w:rPr>
        <w:t>比较与评价</w:t>
      </w:r>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p>
    <w:p w14:paraId="43A760EC">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23.1</w:t>
      </w: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color w:val="auto"/>
          <w:sz w:val="22"/>
          <w:szCs w:val="22"/>
          <w:highlight w:val="none"/>
        </w:rPr>
        <w:t>经符合性审查合格的投标文件，评标委员会将根据招标文件确定的评标方法和标准，对其技术部分和商务部分作进一步的比较和评价。</w:t>
      </w:r>
    </w:p>
    <w:p w14:paraId="48101AE2">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 xml:space="preserve">23.2  </w:t>
      </w: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color w:val="auto"/>
          <w:sz w:val="22"/>
          <w:szCs w:val="22"/>
          <w:highlight w:val="none"/>
        </w:rPr>
        <w:t>评标严格按照招标文件的要求和条件进行。根据实际情况，在</w:t>
      </w:r>
      <w:r>
        <w:rPr>
          <w:rFonts w:hint="eastAsia" w:ascii="微软雅黑" w:hAnsi="微软雅黑" w:eastAsia="微软雅黑" w:cs="微软雅黑"/>
          <w:color w:val="auto"/>
          <w:sz w:val="22"/>
          <w:szCs w:val="22"/>
          <w:highlight w:val="none"/>
          <w:u w:val="single"/>
          <w:lang w:eastAsia="zh-CN"/>
        </w:rPr>
        <w:t>供应商</w:t>
      </w:r>
      <w:r>
        <w:rPr>
          <w:rFonts w:hint="eastAsia" w:ascii="微软雅黑" w:hAnsi="微软雅黑" w:eastAsia="微软雅黑" w:cs="微软雅黑"/>
          <w:color w:val="auto"/>
          <w:sz w:val="22"/>
          <w:szCs w:val="22"/>
          <w:highlight w:val="none"/>
          <w:u w:val="single"/>
        </w:rPr>
        <w:t>须知资料表</w:t>
      </w:r>
      <w:r>
        <w:rPr>
          <w:rFonts w:hint="eastAsia" w:ascii="微软雅黑" w:hAnsi="微软雅黑" w:eastAsia="微软雅黑" w:cs="微软雅黑"/>
          <w:color w:val="auto"/>
          <w:sz w:val="22"/>
          <w:szCs w:val="22"/>
          <w:highlight w:val="none"/>
        </w:rPr>
        <w:t>中规定采用下列一种评标方法，详细评标标准见招标文件第六章：</w:t>
      </w:r>
    </w:p>
    <w:p w14:paraId="69D2D02F">
      <w:pPr>
        <w:pStyle w:val="15"/>
        <w:pageBreakBefore w:val="0"/>
        <w:widowControl w:val="0"/>
        <w:kinsoku/>
        <w:wordWrap/>
        <w:overflowPunct/>
        <w:topLinePunct w:val="0"/>
        <w:bidi w:val="0"/>
        <w:spacing w:line="360" w:lineRule="exact"/>
        <w:ind w:left="239" w:leftChars="114" w:firstLine="28" w:firstLineChars="13"/>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（1）最低评标价法，是指投标文件满足招标文件全部实质性要求，且投标报价最低的</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为中标候选人的评标方法。</w:t>
      </w:r>
    </w:p>
    <w:p w14:paraId="38F8D6B2">
      <w:pPr>
        <w:pStyle w:val="15"/>
        <w:pageBreakBefore w:val="0"/>
        <w:widowControl w:val="0"/>
        <w:kinsoku/>
        <w:wordWrap/>
        <w:overflowPunct/>
        <w:topLinePunct w:val="0"/>
        <w:bidi w:val="0"/>
        <w:spacing w:line="360" w:lineRule="exact"/>
        <w:ind w:left="239" w:leftChars="114" w:firstLine="30" w:firstLineChars="14"/>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（2）综合评分法，是指投标文件满足招标文件全部实质性要求，且按照评审因素的量化指标评审得分最高的</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为中标候选人的评标方法。</w:t>
      </w:r>
    </w:p>
    <w:p w14:paraId="11C66372">
      <w:pPr>
        <w:pStyle w:val="15"/>
        <w:pageBreakBefore w:val="0"/>
        <w:widowControl w:val="0"/>
        <w:kinsoku/>
        <w:wordWrap/>
        <w:overflowPunct/>
        <w:topLinePunct w:val="0"/>
        <w:bidi w:val="0"/>
        <w:spacing w:line="360" w:lineRule="exact"/>
        <w:ind w:left="239" w:leftChars="114" w:firstLine="31" w:firstLineChars="14"/>
        <w:textAlignment w:val="auto"/>
        <w:rPr>
          <w:rFonts w:hint="eastAsia" w:ascii="微软雅黑" w:hAnsi="微软雅黑" w:eastAsia="微软雅黑" w:cs="微软雅黑"/>
          <w:b/>
          <w:bCs/>
          <w:color w:val="auto"/>
          <w:sz w:val="22"/>
          <w:szCs w:val="22"/>
          <w:highlight w:val="none"/>
          <w:lang w:eastAsia="zh-CN"/>
        </w:rPr>
      </w:pPr>
      <w:r>
        <w:rPr>
          <w:rFonts w:hint="eastAsia" w:ascii="微软雅黑" w:hAnsi="微软雅黑" w:eastAsia="微软雅黑" w:cs="微软雅黑"/>
          <w:b/>
          <w:bCs/>
          <w:color w:val="auto"/>
          <w:sz w:val="22"/>
          <w:szCs w:val="22"/>
          <w:highlight w:val="none"/>
          <w:lang w:val="en-US" w:eastAsia="zh-CN"/>
        </w:rPr>
        <w:t>本项目</w:t>
      </w:r>
      <w:r>
        <w:rPr>
          <w:rFonts w:hint="eastAsia" w:ascii="微软雅黑" w:hAnsi="微软雅黑" w:eastAsia="微软雅黑" w:cs="微软雅黑"/>
          <w:b/>
          <w:bCs/>
          <w:color w:val="auto"/>
          <w:sz w:val="22"/>
          <w:szCs w:val="22"/>
          <w:highlight w:val="none"/>
        </w:rPr>
        <w:t>采用综合评分法</w:t>
      </w:r>
      <w:r>
        <w:rPr>
          <w:rFonts w:hint="eastAsia" w:ascii="微软雅黑" w:hAnsi="微软雅黑" w:eastAsia="微软雅黑" w:cs="微软雅黑"/>
          <w:b/>
          <w:bCs/>
          <w:color w:val="auto"/>
          <w:sz w:val="22"/>
          <w:szCs w:val="22"/>
          <w:highlight w:val="none"/>
          <w:lang w:eastAsia="zh-CN"/>
        </w:rPr>
        <w:t>。</w:t>
      </w:r>
    </w:p>
    <w:p w14:paraId="2561A21F">
      <w:pPr>
        <w:pStyle w:val="15"/>
        <w:spacing w:line="340" w:lineRule="exact"/>
        <w:ind w:left="480" w:hanging="440" w:hangingChars="200"/>
        <w:rPr>
          <w:rFonts w:hint="eastAsia" w:ascii="微软雅黑" w:hAnsi="微软雅黑" w:eastAsia="微软雅黑" w:cs="微软雅黑"/>
          <w:b/>
          <w:bCs/>
          <w:color w:val="auto"/>
          <w:kern w:val="2"/>
          <w:sz w:val="22"/>
          <w:szCs w:val="22"/>
          <w:highlight w:val="none"/>
          <w:lang w:val="en-US" w:eastAsia="zh-CN" w:bidi="ar-SA"/>
        </w:rPr>
      </w:pPr>
      <w:bookmarkStart w:id="894" w:name="_Toc520356168"/>
      <w:bookmarkStart w:id="895" w:name="_Toc515647785"/>
      <w:bookmarkStart w:id="896" w:name="_Toc30611"/>
      <w:bookmarkStart w:id="897" w:name="_Toc13678"/>
      <w:bookmarkStart w:id="898" w:name="_Toc14346"/>
      <w:bookmarkStart w:id="899" w:name="_Toc23488"/>
      <w:bookmarkStart w:id="900" w:name="_Toc6053"/>
      <w:bookmarkStart w:id="901" w:name="_Toc27067"/>
      <w:bookmarkStart w:id="902" w:name="_Toc1586"/>
      <w:bookmarkStart w:id="903" w:name="_Toc6751"/>
      <w:bookmarkStart w:id="904" w:name="_Toc7858"/>
      <w:bookmarkStart w:id="905" w:name="_Toc26540"/>
      <w:bookmarkStart w:id="906" w:name="_Toc29970"/>
      <w:bookmarkStart w:id="907" w:name="_Toc30532"/>
      <w:bookmarkStart w:id="908" w:name="_Toc28953"/>
      <w:bookmarkStart w:id="909" w:name="_Toc30004"/>
      <w:bookmarkStart w:id="910" w:name="_Toc9820"/>
      <w:bookmarkStart w:id="911" w:name="_Toc31084"/>
      <w:bookmarkStart w:id="912" w:name="_Toc674"/>
      <w:bookmarkStart w:id="913" w:name="_Toc8081"/>
      <w:bookmarkStart w:id="914" w:name="_Toc7092"/>
      <w:bookmarkStart w:id="915" w:name="_Toc7770"/>
      <w:bookmarkStart w:id="916" w:name="_Toc14038"/>
      <w:bookmarkStart w:id="917" w:name="_Toc23302"/>
      <w:bookmarkStart w:id="918" w:name="_Toc19218"/>
      <w:bookmarkStart w:id="919" w:name="_Toc20064"/>
      <w:bookmarkStart w:id="920" w:name="_Toc5540"/>
      <w:bookmarkStart w:id="921" w:name="_Toc20227"/>
      <w:bookmarkStart w:id="922" w:name="_Toc9378"/>
      <w:bookmarkStart w:id="923" w:name="_Toc12754"/>
      <w:r>
        <w:rPr>
          <w:rFonts w:hint="eastAsia" w:ascii="微软雅黑" w:hAnsi="微软雅黑" w:eastAsia="微软雅黑" w:cs="微软雅黑"/>
          <w:b/>
          <w:bCs/>
          <w:color w:val="auto"/>
          <w:kern w:val="2"/>
          <w:sz w:val="22"/>
          <w:szCs w:val="22"/>
          <w:highlight w:val="none"/>
          <w:lang w:val="en-US" w:eastAsia="zh-CN" w:bidi="ar-SA"/>
        </w:rPr>
        <w:t>23.3  本项目专门面向中小企业采购。根据《政府采购促进中小企业发展管理办法》（财库[2020]46号）、《财政部司法部关于政府采购支持监狱企业发展有关问 题 的通知》（财库〔2014〕68号）、《三部门联合发布关于促进残疾人就业政府采购政策的通知》（财库〔2017〕141号）和财政部关于进一步加大政府采购支持中小企业力度的通知》财库〔2022〕19号的规定，其中小型、微型及小微企业在投标文件中提交了《中小企业声明函》、《残疾人福利性单位声明函》或省级以上监狱管理局、戒毒管理局（含新疆生产建设兵团）出具的属于监狱企业的证明文件的供应商。</w:t>
      </w:r>
      <w:r>
        <w:rPr>
          <w:rFonts w:hint="eastAsia" w:ascii="微软雅黑" w:hAnsi="微软雅黑" w:eastAsia="微软雅黑" w:cs="微软雅黑"/>
          <w:b/>
          <w:bCs/>
          <w:sz w:val="22"/>
          <w:szCs w:val="22"/>
          <w:highlight w:val="none"/>
        </w:rPr>
        <w:t>其报价</w:t>
      </w:r>
      <w:r>
        <w:rPr>
          <w:rFonts w:hint="eastAsia" w:ascii="微软雅黑" w:hAnsi="微软雅黑" w:eastAsia="微软雅黑" w:cs="微软雅黑"/>
          <w:b/>
          <w:bCs/>
          <w:sz w:val="22"/>
          <w:szCs w:val="22"/>
          <w:highlight w:val="none"/>
          <w:u w:val="single"/>
          <w:lang w:val="en-US" w:eastAsia="zh-CN"/>
        </w:rPr>
        <w:t>不进行扣除</w:t>
      </w:r>
      <w:r>
        <w:rPr>
          <w:rFonts w:hint="eastAsia" w:ascii="微软雅黑" w:hAnsi="微软雅黑" w:eastAsia="微软雅黑" w:cs="微软雅黑"/>
          <w:b/>
          <w:bCs/>
          <w:sz w:val="22"/>
          <w:szCs w:val="22"/>
          <w:highlight w:val="none"/>
        </w:rPr>
        <w:t>。具体办法详见招标文件第6章。</w:t>
      </w:r>
    </w:p>
    <w:p w14:paraId="5B61E860">
      <w:pPr>
        <w:pStyle w:val="4"/>
        <w:pageBreakBefore w:val="0"/>
        <w:widowControl w:val="0"/>
        <w:kinsoku/>
        <w:wordWrap/>
        <w:overflowPunct/>
        <w:topLinePunct w:val="0"/>
        <w:bidi w:val="0"/>
        <w:spacing w:before="0" w:after="0" w:line="340" w:lineRule="exact"/>
        <w:ind w:left="0" w:leftChars="0"/>
        <w:textAlignment w:val="auto"/>
        <w:rPr>
          <w:rFonts w:hint="eastAsia" w:ascii="微软雅黑" w:hAnsi="微软雅黑" w:eastAsia="微软雅黑" w:cs="微软雅黑"/>
          <w:b/>
          <w:bCs/>
          <w:color w:val="0000FF"/>
          <w:sz w:val="22"/>
          <w:szCs w:val="22"/>
          <w:highlight w:val="none"/>
          <w:lang w:val="en-US" w:eastAsia="zh-CN"/>
        </w:rPr>
      </w:pPr>
      <w:bookmarkStart w:id="924" w:name="_Toc4622"/>
      <w:bookmarkStart w:id="925" w:name="_Toc28016"/>
      <w:bookmarkStart w:id="926" w:name="_Toc2999"/>
      <w:bookmarkStart w:id="927" w:name="_Toc23375"/>
      <w:bookmarkStart w:id="928" w:name="_Toc3415"/>
      <w:bookmarkStart w:id="929" w:name="_Toc23768"/>
      <w:bookmarkStart w:id="930" w:name="_Toc296"/>
      <w:bookmarkStart w:id="931" w:name="_Toc21648"/>
      <w:r>
        <w:rPr>
          <w:rFonts w:hint="eastAsia" w:ascii="微软雅黑" w:hAnsi="微软雅黑" w:eastAsia="微软雅黑" w:cs="微软雅黑"/>
          <w:b/>
          <w:bCs/>
          <w:color w:val="0000FF"/>
          <w:sz w:val="22"/>
          <w:szCs w:val="22"/>
          <w:highlight w:val="none"/>
          <w:lang w:val="en-US" w:eastAsia="zh-CN"/>
        </w:rPr>
        <w:t>23.4</w:t>
      </w:r>
      <w:bookmarkStart w:id="932" w:name="_Toc20298"/>
      <w:r>
        <w:rPr>
          <w:rFonts w:hint="eastAsia" w:ascii="微软雅黑" w:hAnsi="微软雅黑" w:eastAsia="微软雅黑" w:cs="微软雅黑"/>
          <w:b/>
          <w:bCs/>
          <w:color w:val="0000FF"/>
          <w:sz w:val="22"/>
          <w:szCs w:val="22"/>
          <w:highlight w:val="none"/>
          <w:lang w:val="en-US" w:eastAsia="zh-CN"/>
        </w:rPr>
        <w:t xml:space="preserve"> 本项目落实国务院办公厅印发《关于在政府采购中实施本国产品标准及相关政策的通知》（国办发〔2025〕34号，以下简称《通知》）政策</w:t>
      </w:r>
    </w:p>
    <w:p w14:paraId="5D42CC33">
      <w:pPr>
        <w:pStyle w:val="4"/>
        <w:pageBreakBefore w:val="0"/>
        <w:widowControl w:val="0"/>
        <w:kinsoku/>
        <w:wordWrap/>
        <w:overflowPunct/>
        <w:topLinePunct w:val="0"/>
        <w:bidi w:val="0"/>
        <w:spacing w:before="0" w:after="0" w:line="340" w:lineRule="exact"/>
        <w:ind w:left="0" w:leftChars="0"/>
        <w:textAlignment w:val="auto"/>
        <w:rPr>
          <w:rFonts w:hint="eastAsia" w:ascii="微软雅黑" w:hAnsi="微软雅黑" w:eastAsia="微软雅黑" w:cs="微软雅黑"/>
          <w:b/>
          <w:bCs/>
          <w:color w:val="auto"/>
          <w:sz w:val="22"/>
          <w:szCs w:val="22"/>
          <w:highlight w:val="none"/>
          <w:u w:val="none"/>
        </w:rPr>
      </w:pPr>
      <w:r>
        <w:rPr>
          <w:rFonts w:hint="eastAsia" w:ascii="微软雅黑" w:hAnsi="微软雅黑" w:eastAsia="微软雅黑" w:cs="微软雅黑"/>
          <w:b/>
          <w:bCs/>
          <w:color w:val="auto"/>
          <w:sz w:val="22"/>
          <w:szCs w:val="22"/>
          <w:highlight w:val="none"/>
          <w:u w:val="none"/>
        </w:rPr>
        <w:t>24</w:t>
      </w:r>
      <w:bookmarkEnd w:id="894"/>
      <w:r>
        <w:rPr>
          <w:rFonts w:hint="eastAsia" w:ascii="微软雅黑" w:hAnsi="微软雅黑" w:eastAsia="微软雅黑" w:cs="微软雅黑"/>
          <w:b/>
          <w:bCs/>
          <w:color w:val="auto"/>
          <w:sz w:val="22"/>
          <w:szCs w:val="22"/>
          <w:highlight w:val="none"/>
          <w:u w:val="none"/>
        </w:rPr>
        <w:t>.废标</w:t>
      </w:r>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p>
    <w:p w14:paraId="31448439">
      <w:pPr>
        <w:pageBreakBefore w:val="0"/>
        <w:widowControl w:val="0"/>
        <w:kinsoku/>
        <w:wordWrap/>
        <w:overflowPunct/>
        <w:topLinePunct w:val="0"/>
        <w:bidi w:val="0"/>
        <w:spacing w:line="340" w:lineRule="exact"/>
        <w:ind w:left="55" w:leftChars="0" w:hanging="55" w:hangingChars="2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b/>
          <w:bCs/>
          <w:color w:val="auto"/>
          <w:sz w:val="22"/>
          <w:szCs w:val="22"/>
          <w:highlight w:val="none"/>
          <w:lang w:val="en-US" w:eastAsia="zh-CN"/>
        </w:rPr>
        <w:t>24.1</w:t>
      </w:r>
      <w:r>
        <w:rPr>
          <w:rFonts w:hint="eastAsia" w:ascii="微软雅黑" w:hAnsi="微软雅黑" w:eastAsia="微软雅黑" w:cs="微软雅黑"/>
          <w:b/>
          <w:bCs/>
          <w:color w:val="auto"/>
          <w:sz w:val="22"/>
          <w:szCs w:val="22"/>
          <w:highlight w:val="none"/>
        </w:rPr>
        <w:t>出现下列情形之一，将导致项目废标：</w:t>
      </w:r>
      <w:r>
        <w:rPr>
          <w:rFonts w:hint="eastAsia" w:ascii="微软雅黑" w:hAnsi="微软雅黑" w:eastAsia="微软雅黑" w:cs="微软雅黑"/>
          <w:color w:val="auto"/>
          <w:sz w:val="22"/>
          <w:szCs w:val="22"/>
          <w:highlight w:val="none"/>
        </w:rPr>
        <w:t xml:space="preserve"> </w:t>
      </w:r>
    </w:p>
    <w:p w14:paraId="4B4DA9D6">
      <w:pPr>
        <w:pageBreakBefore w:val="0"/>
        <w:widowControl w:val="0"/>
        <w:kinsoku/>
        <w:wordWrap/>
        <w:overflowPunct/>
        <w:topLinePunct w:val="0"/>
        <w:bidi w:val="0"/>
        <w:spacing w:line="340" w:lineRule="exact"/>
        <w:ind w:left="825" w:leftChars="0" w:hanging="825" w:hangingChars="375"/>
        <w:textAlignment w:val="auto"/>
        <w:rPr>
          <w:rFonts w:hint="eastAsia" w:ascii="微软雅黑" w:hAnsi="微软雅黑" w:eastAsia="微软雅黑" w:cs="微软雅黑"/>
          <w:b/>
          <w:bCs/>
          <w:color w:val="auto"/>
          <w:sz w:val="22"/>
          <w:szCs w:val="22"/>
          <w:highlight w:val="none"/>
        </w:rPr>
      </w:pP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b/>
          <w:bCs/>
          <w:color w:val="auto"/>
          <w:sz w:val="22"/>
          <w:szCs w:val="22"/>
          <w:highlight w:val="none"/>
        </w:rPr>
        <w:t>（1）符合专业条件的供应商或者对招标文件做实质性响应的供应商不足三家；</w:t>
      </w:r>
    </w:p>
    <w:p w14:paraId="2CDFB319">
      <w:pPr>
        <w:pageBreakBefore w:val="0"/>
        <w:widowControl w:val="0"/>
        <w:kinsoku/>
        <w:wordWrap/>
        <w:overflowPunct/>
        <w:topLinePunct w:val="0"/>
        <w:bidi w:val="0"/>
        <w:spacing w:line="340" w:lineRule="exact"/>
        <w:ind w:left="825" w:leftChars="0" w:hanging="825" w:hangingChars="375"/>
        <w:textAlignment w:val="auto"/>
        <w:rPr>
          <w:rFonts w:hint="eastAsia" w:ascii="微软雅黑" w:hAnsi="微软雅黑" w:eastAsia="微软雅黑" w:cs="微软雅黑"/>
          <w:b/>
          <w:bCs/>
          <w:color w:val="auto"/>
          <w:sz w:val="22"/>
          <w:szCs w:val="22"/>
          <w:highlight w:val="none"/>
        </w:rPr>
      </w:pPr>
      <w:r>
        <w:rPr>
          <w:rFonts w:hint="eastAsia" w:ascii="微软雅黑" w:hAnsi="微软雅黑" w:eastAsia="微软雅黑" w:cs="微软雅黑"/>
          <w:b/>
          <w:bCs/>
          <w:color w:val="auto"/>
          <w:sz w:val="22"/>
          <w:szCs w:val="22"/>
          <w:highlight w:val="none"/>
        </w:rPr>
        <w:tab/>
      </w:r>
      <w:r>
        <w:rPr>
          <w:rFonts w:hint="eastAsia" w:ascii="微软雅黑" w:hAnsi="微软雅黑" w:eastAsia="微软雅黑" w:cs="微软雅黑"/>
          <w:b/>
          <w:bCs/>
          <w:color w:val="auto"/>
          <w:sz w:val="22"/>
          <w:szCs w:val="22"/>
          <w:highlight w:val="none"/>
        </w:rPr>
        <w:t>（2）出现影响采购公正的违法、违规行为的；</w:t>
      </w:r>
    </w:p>
    <w:p w14:paraId="0B8CE681">
      <w:pPr>
        <w:pageBreakBefore w:val="0"/>
        <w:widowControl w:val="0"/>
        <w:kinsoku/>
        <w:wordWrap/>
        <w:overflowPunct/>
        <w:topLinePunct w:val="0"/>
        <w:bidi w:val="0"/>
        <w:spacing w:line="340" w:lineRule="exact"/>
        <w:ind w:left="0" w:leftChars="0" w:firstLine="770" w:firstLineChars="350"/>
        <w:textAlignment w:val="auto"/>
        <w:rPr>
          <w:rFonts w:hint="eastAsia" w:ascii="微软雅黑" w:hAnsi="微软雅黑" w:eastAsia="微软雅黑" w:cs="微软雅黑"/>
          <w:b/>
          <w:bCs/>
          <w:color w:val="auto"/>
          <w:sz w:val="22"/>
          <w:szCs w:val="22"/>
          <w:highlight w:val="none"/>
        </w:rPr>
      </w:pPr>
      <w:r>
        <w:rPr>
          <w:rFonts w:hint="eastAsia" w:ascii="微软雅黑" w:hAnsi="微软雅黑" w:eastAsia="微软雅黑" w:cs="微软雅黑"/>
          <w:b/>
          <w:bCs/>
          <w:color w:val="auto"/>
          <w:sz w:val="22"/>
          <w:szCs w:val="22"/>
          <w:highlight w:val="none"/>
        </w:rPr>
        <w:t>（3）</w:t>
      </w:r>
      <w:r>
        <w:rPr>
          <w:rFonts w:hint="eastAsia" w:ascii="微软雅黑" w:hAnsi="微软雅黑" w:eastAsia="微软雅黑" w:cs="微软雅黑"/>
          <w:b/>
          <w:bCs/>
          <w:color w:val="auto"/>
          <w:sz w:val="22"/>
          <w:szCs w:val="22"/>
          <w:highlight w:val="none"/>
          <w:lang w:eastAsia="zh-CN"/>
        </w:rPr>
        <w:t>供应商</w:t>
      </w:r>
      <w:r>
        <w:rPr>
          <w:rFonts w:hint="eastAsia" w:ascii="微软雅黑" w:hAnsi="微软雅黑" w:eastAsia="微软雅黑" w:cs="微软雅黑"/>
          <w:b/>
          <w:bCs/>
          <w:color w:val="auto"/>
          <w:sz w:val="22"/>
          <w:szCs w:val="22"/>
          <w:highlight w:val="none"/>
        </w:rPr>
        <w:t>的报价均超过了采购预算，采购人不能支付的；</w:t>
      </w:r>
    </w:p>
    <w:p w14:paraId="7DBAE84D">
      <w:pPr>
        <w:pageBreakBefore w:val="0"/>
        <w:widowControl w:val="0"/>
        <w:kinsoku/>
        <w:wordWrap/>
        <w:overflowPunct/>
        <w:topLinePunct w:val="0"/>
        <w:bidi w:val="0"/>
        <w:spacing w:line="340" w:lineRule="exact"/>
        <w:ind w:left="0" w:leftChars="0" w:firstLine="770" w:firstLineChars="35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b/>
          <w:bCs/>
          <w:color w:val="auto"/>
          <w:sz w:val="22"/>
          <w:szCs w:val="22"/>
          <w:highlight w:val="none"/>
        </w:rPr>
        <w:t xml:space="preserve">（4）因重大变故，采购任务取消的。  </w:t>
      </w:r>
      <w:r>
        <w:rPr>
          <w:rFonts w:hint="eastAsia" w:ascii="微软雅黑" w:hAnsi="微软雅黑" w:eastAsia="微软雅黑" w:cs="微软雅黑"/>
          <w:color w:val="auto"/>
          <w:sz w:val="22"/>
          <w:szCs w:val="22"/>
          <w:highlight w:val="none"/>
        </w:rPr>
        <w:t xml:space="preserve"> </w:t>
      </w:r>
    </w:p>
    <w:p w14:paraId="0AC075E7">
      <w:pPr>
        <w:pStyle w:val="4"/>
        <w:pageBreakBefore w:val="0"/>
        <w:widowControl w:val="0"/>
        <w:kinsoku/>
        <w:wordWrap/>
        <w:overflowPunct/>
        <w:topLinePunct w:val="0"/>
        <w:bidi w:val="0"/>
        <w:spacing w:before="0" w:after="0" w:line="340" w:lineRule="exact"/>
        <w:ind w:left="0" w:leftChars="0"/>
        <w:textAlignment w:val="auto"/>
        <w:rPr>
          <w:rFonts w:hint="eastAsia" w:ascii="微软雅黑" w:hAnsi="微软雅黑" w:eastAsia="微软雅黑" w:cs="微软雅黑"/>
          <w:b/>
          <w:bCs/>
          <w:color w:val="auto"/>
          <w:sz w:val="22"/>
          <w:szCs w:val="22"/>
          <w:highlight w:val="none"/>
          <w:u w:val="none"/>
        </w:rPr>
      </w:pPr>
      <w:bookmarkStart w:id="933" w:name="_Toc15477"/>
      <w:bookmarkStart w:id="934" w:name="_Toc21697"/>
      <w:bookmarkStart w:id="935" w:name="_Toc23725"/>
      <w:bookmarkStart w:id="936" w:name="_Toc32462"/>
      <w:bookmarkStart w:id="937" w:name="_Toc25775"/>
      <w:bookmarkStart w:id="938" w:name="_Toc21380"/>
      <w:bookmarkStart w:id="939" w:name="_Toc27604"/>
      <w:bookmarkStart w:id="940" w:name="_Toc18869"/>
      <w:bookmarkStart w:id="941" w:name="_Toc5674"/>
      <w:bookmarkStart w:id="942" w:name="_Toc11987"/>
      <w:bookmarkStart w:id="943" w:name="_Toc9864"/>
      <w:bookmarkStart w:id="944" w:name="_Toc713"/>
      <w:bookmarkStart w:id="945" w:name="_Toc515647786"/>
      <w:bookmarkStart w:id="946" w:name="_Toc24972"/>
      <w:bookmarkStart w:id="947" w:name="_Toc24516"/>
      <w:bookmarkStart w:id="948" w:name="_Toc30848"/>
      <w:bookmarkStart w:id="949" w:name="_Toc3793"/>
      <w:bookmarkStart w:id="950" w:name="_Toc31069"/>
      <w:bookmarkStart w:id="951" w:name="_Toc7287"/>
      <w:bookmarkStart w:id="952" w:name="_Toc19139"/>
      <w:bookmarkStart w:id="953" w:name="_Toc14179"/>
      <w:bookmarkStart w:id="954" w:name="_Toc18740"/>
      <w:bookmarkStart w:id="955" w:name="_Toc5328"/>
      <w:bookmarkStart w:id="956" w:name="_Toc27012"/>
      <w:bookmarkStart w:id="957" w:name="_Toc31733"/>
      <w:bookmarkStart w:id="958" w:name="_Toc25422"/>
      <w:bookmarkStart w:id="959" w:name="_Toc5599"/>
      <w:bookmarkStart w:id="960" w:name="_Toc31289"/>
      <w:bookmarkStart w:id="961" w:name="_Toc2073"/>
      <w:bookmarkStart w:id="962" w:name="_Toc24015"/>
      <w:bookmarkStart w:id="963" w:name="_Toc24099"/>
      <w:bookmarkStart w:id="964" w:name="_Toc29790"/>
      <w:bookmarkStart w:id="965" w:name="_Toc29646"/>
      <w:bookmarkStart w:id="966" w:name="_Toc24991"/>
      <w:bookmarkStart w:id="967" w:name="_Toc11422"/>
      <w:bookmarkStart w:id="968" w:name="_Toc10657"/>
      <w:bookmarkStart w:id="969" w:name="_Toc11792"/>
      <w:bookmarkStart w:id="970" w:name="_Toc5343"/>
      <w:bookmarkStart w:id="971" w:name="_Toc520356169"/>
      <w:r>
        <w:rPr>
          <w:rFonts w:hint="eastAsia" w:ascii="微软雅黑" w:hAnsi="微软雅黑" w:eastAsia="微软雅黑" w:cs="微软雅黑"/>
          <w:b/>
          <w:bCs/>
          <w:color w:val="auto"/>
          <w:sz w:val="22"/>
          <w:szCs w:val="22"/>
          <w:highlight w:val="none"/>
          <w:u w:val="none"/>
        </w:rPr>
        <w:t>25.保密原则</w:t>
      </w:r>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p>
    <w:p w14:paraId="2E3E9775">
      <w:pPr>
        <w:pageBreakBefore w:val="0"/>
        <w:widowControl w:val="0"/>
        <w:kinsoku/>
        <w:wordWrap/>
        <w:overflowPunct/>
        <w:topLinePunct w:val="0"/>
        <w:bidi w:val="0"/>
        <w:spacing w:line="34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25.1</w:t>
      </w: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color w:val="auto"/>
          <w:sz w:val="22"/>
          <w:szCs w:val="22"/>
          <w:highlight w:val="none"/>
        </w:rPr>
        <w:t>评标将在严格保密的情况下进行。</w:t>
      </w:r>
    </w:p>
    <w:p w14:paraId="17B0CA5A">
      <w:pPr>
        <w:pageBreakBefore w:val="0"/>
        <w:widowControl w:val="0"/>
        <w:kinsoku/>
        <w:wordWrap/>
        <w:overflowPunct/>
        <w:topLinePunct w:val="0"/>
        <w:bidi w:val="0"/>
        <w:spacing w:line="34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25.2</w:t>
      </w: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color w:val="auto"/>
          <w:sz w:val="22"/>
          <w:szCs w:val="22"/>
          <w:highlight w:val="none"/>
        </w:rPr>
        <w:t>政府采购评审专家应当遵守评审工作纪律，不得泄露评审文件、评审情况和评审中获悉的商业秘密。</w:t>
      </w:r>
    </w:p>
    <w:p w14:paraId="56528FAE">
      <w:pPr>
        <w:pStyle w:val="3"/>
        <w:pageBreakBefore w:val="0"/>
        <w:widowControl w:val="0"/>
        <w:kinsoku/>
        <w:wordWrap/>
        <w:overflowPunct/>
        <w:topLinePunct w:val="0"/>
        <w:bidi w:val="0"/>
        <w:spacing w:before="0" w:line="340" w:lineRule="exact"/>
        <w:ind w:left="0" w:leftChars="0" w:hanging="540"/>
        <w:textAlignment w:val="auto"/>
        <w:rPr>
          <w:rFonts w:hint="eastAsia" w:ascii="微软雅黑" w:hAnsi="微软雅黑" w:eastAsia="微软雅黑" w:cs="微软雅黑"/>
          <w:color w:val="auto"/>
          <w:sz w:val="28"/>
          <w:szCs w:val="18"/>
          <w:highlight w:val="none"/>
        </w:rPr>
      </w:pPr>
      <w:bookmarkStart w:id="972" w:name="_Toc23904"/>
      <w:bookmarkStart w:id="973" w:name="_Toc216582810"/>
      <w:bookmarkStart w:id="974" w:name="_Toc31410"/>
      <w:bookmarkStart w:id="975" w:name="_Toc515647787"/>
      <w:bookmarkStart w:id="976" w:name="_Toc12143"/>
      <w:bookmarkStart w:id="977" w:name="_Toc14608"/>
      <w:r>
        <w:rPr>
          <w:rFonts w:hint="eastAsia" w:ascii="微软雅黑" w:hAnsi="微软雅黑" w:eastAsia="微软雅黑" w:cs="微软雅黑"/>
          <w:color w:val="auto"/>
          <w:sz w:val="22"/>
          <w:szCs w:val="18"/>
          <w:highlight w:val="none"/>
        </w:rPr>
        <w:t xml:space="preserve">六   </w:t>
      </w:r>
      <w:bookmarkEnd w:id="971"/>
      <w:r>
        <w:rPr>
          <w:rFonts w:hint="eastAsia" w:ascii="微软雅黑" w:hAnsi="微软雅黑" w:eastAsia="微软雅黑" w:cs="微软雅黑"/>
          <w:color w:val="auto"/>
          <w:sz w:val="22"/>
          <w:szCs w:val="18"/>
          <w:highlight w:val="none"/>
        </w:rPr>
        <w:t>确定中标</w:t>
      </w:r>
      <w:bookmarkEnd w:id="972"/>
      <w:bookmarkEnd w:id="973"/>
      <w:bookmarkEnd w:id="974"/>
      <w:bookmarkEnd w:id="975"/>
      <w:bookmarkEnd w:id="976"/>
      <w:bookmarkEnd w:id="977"/>
    </w:p>
    <w:p w14:paraId="352B43FF">
      <w:pPr>
        <w:pStyle w:val="4"/>
        <w:pageBreakBefore w:val="0"/>
        <w:widowControl w:val="0"/>
        <w:kinsoku/>
        <w:wordWrap/>
        <w:overflowPunct/>
        <w:topLinePunct w:val="0"/>
        <w:bidi w:val="0"/>
        <w:spacing w:before="0" w:after="0" w:line="340" w:lineRule="exact"/>
        <w:ind w:left="0" w:leftChars="0"/>
        <w:textAlignment w:val="auto"/>
        <w:rPr>
          <w:rFonts w:hint="eastAsia" w:ascii="微软雅黑" w:hAnsi="微软雅黑" w:eastAsia="微软雅黑" w:cs="微软雅黑"/>
          <w:b/>
          <w:bCs/>
          <w:color w:val="auto"/>
          <w:kern w:val="2"/>
          <w:sz w:val="22"/>
          <w:szCs w:val="22"/>
          <w:highlight w:val="none"/>
          <w:u w:val="none"/>
          <w:lang w:val="en-US" w:eastAsia="zh-CN" w:bidi="ar-SA"/>
        </w:rPr>
      </w:pPr>
      <w:bookmarkStart w:id="978" w:name="_Toc24914"/>
      <w:bookmarkStart w:id="979" w:name="_Toc23762"/>
      <w:bookmarkStart w:id="980" w:name="_Toc1752"/>
      <w:bookmarkStart w:id="981" w:name="_Toc154"/>
      <w:bookmarkStart w:id="982" w:name="_Toc515647788"/>
      <w:bookmarkStart w:id="983" w:name="_Toc4997"/>
      <w:bookmarkStart w:id="984" w:name="_Toc15249"/>
      <w:bookmarkStart w:id="985" w:name="_Toc520356170"/>
      <w:bookmarkStart w:id="986" w:name="_Toc24563"/>
      <w:bookmarkStart w:id="987" w:name="_Toc28179"/>
      <w:bookmarkStart w:id="988" w:name="_Toc22511"/>
      <w:bookmarkStart w:id="989" w:name="_Toc19418"/>
      <w:bookmarkStart w:id="990" w:name="_Toc30366"/>
      <w:bookmarkStart w:id="991" w:name="_Toc17015"/>
      <w:bookmarkStart w:id="992" w:name="_Toc24864"/>
      <w:bookmarkStart w:id="993" w:name="_Toc30698"/>
      <w:bookmarkStart w:id="994" w:name="_Toc20061"/>
      <w:bookmarkStart w:id="995" w:name="_Toc16856"/>
      <w:bookmarkStart w:id="996" w:name="_Toc31710"/>
      <w:bookmarkStart w:id="997" w:name="_Toc32133"/>
      <w:bookmarkStart w:id="998" w:name="_Toc14800"/>
      <w:bookmarkStart w:id="999" w:name="_Toc30510"/>
      <w:bookmarkStart w:id="1000" w:name="_Toc23645"/>
      <w:bookmarkStart w:id="1001" w:name="_Toc13936"/>
      <w:bookmarkStart w:id="1002" w:name="_Toc22631"/>
      <w:bookmarkStart w:id="1003" w:name="_Toc31807"/>
      <w:bookmarkStart w:id="1004" w:name="_Toc27501"/>
      <w:bookmarkStart w:id="1005" w:name="_Toc23617"/>
      <w:bookmarkStart w:id="1006" w:name="_Toc13044"/>
      <w:bookmarkStart w:id="1007" w:name="_Toc10140"/>
      <w:bookmarkStart w:id="1008" w:name="_Toc4383"/>
      <w:bookmarkStart w:id="1009" w:name="_Toc29156"/>
      <w:bookmarkStart w:id="1010" w:name="_Toc28916"/>
      <w:bookmarkStart w:id="1011" w:name="_Toc5464"/>
      <w:bookmarkStart w:id="1012" w:name="_Toc6381"/>
      <w:bookmarkStart w:id="1013" w:name="_Toc23474"/>
      <w:bookmarkStart w:id="1014" w:name="_Toc12168"/>
      <w:bookmarkStart w:id="1015" w:name="_Ref467307010"/>
      <w:bookmarkStart w:id="1016" w:name="_Toc3746"/>
      <w:r>
        <w:rPr>
          <w:rFonts w:hint="eastAsia" w:ascii="微软雅黑" w:hAnsi="微软雅黑" w:eastAsia="微软雅黑" w:cs="微软雅黑"/>
          <w:b/>
          <w:bCs/>
          <w:color w:val="auto"/>
          <w:kern w:val="2"/>
          <w:sz w:val="22"/>
          <w:szCs w:val="22"/>
          <w:highlight w:val="none"/>
          <w:u w:val="none"/>
          <w:lang w:val="en-US" w:eastAsia="zh-CN" w:bidi="ar-SA"/>
        </w:rPr>
        <w:t>26.中标候选人的确定原则及标准</w:t>
      </w:r>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p>
    <w:p w14:paraId="01A48863">
      <w:pPr>
        <w:pageBreakBefore w:val="0"/>
        <w:widowControl w:val="0"/>
        <w:kinsoku/>
        <w:wordWrap/>
        <w:overflowPunct/>
        <w:topLinePunct w:val="0"/>
        <w:bidi w:val="0"/>
        <w:spacing w:line="340" w:lineRule="exact"/>
        <w:ind w:left="0" w:leftChars="0" w:firstLine="440" w:firstLineChars="20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对实质上响应招标文件的</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按下列方法进行排序，确定投标候选人：</w:t>
      </w:r>
    </w:p>
    <w:p w14:paraId="4E348D7F">
      <w:pPr>
        <w:pageBreakBefore w:val="0"/>
        <w:widowControl w:val="0"/>
        <w:kinsoku/>
        <w:wordWrap/>
        <w:overflowPunct/>
        <w:topLinePunct w:val="0"/>
        <w:bidi w:val="0"/>
        <w:spacing w:line="340" w:lineRule="exact"/>
        <w:ind w:left="0" w:leftChars="0" w:firstLine="440" w:firstLineChars="200"/>
        <w:textAlignment w:val="auto"/>
        <w:rPr>
          <w:rFonts w:hint="eastAsia" w:ascii="微软雅黑" w:hAnsi="微软雅黑" w:eastAsia="微软雅黑" w:cs="微软雅黑"/>
          <w:color w:val="auto"/>
          <w:sz w:val="22"/>
          <w:szCs w:val="22"/>
          <w:highlight w:val="none"/>
        </w:rPr>
      </w:pPr>
      <w:bookmarkStart w:id="1017" w:name="_Toc515647789"/>
      <w:bookmarkStart w:id="1018" w:name="_Toc520356171"/>
      <w:r>
        <w:rPr>
          <w:rFonts w:hint="eastAsia" w:ascii="微软雅黑" w:hAnsi="微软雅黑" w:eastAsia="微软雅黑" w:cs="微软雅黑"/>
          <w:color w:val="auto"/>
          <w:sz w:val="22"/>
          <w:szCs w:val="22"/>
          <w:highlight w:val="none"/>
        </w:rPr>
        <w:t>（1）采用最低评标价法的，除了算术修正和落实政府采购政策需进行的价格扣除外，不对</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的投标价格进行任何调整。评标结果按修正和扣除后的投标报价由低到高顺序排列。报价相同的处理方式详见招标文件第6章。</w:t>
      </w:r>
    </w:p>
    <w:p w14:paraId="7D22A20B">
      <w:pPr>
        <w:pageBreakBefore w:val="0"/>
        <w:widowControl w:val="0"/>
        <w:kinsoku/>
        <w:wordWrap/>
        <w:overflowPunct/>
        <w:topLinePunct w:val="0"/>
        <w:bidi w:val="0"/>
        <w:spacing w:line="340" w:lineRule="exact"/>
        <w:ind w:left="0" w:leftChars="0" w:firstLine="440" w:firstLineChars="20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（2）采用综合评分法的，评标结果按评审后得分由高到低顺序排列。得分相同的，按修正和扣除后的投标报价由低到高顺序排列。得分与投标报价均相同的处理方式详见招标文件第6章。</w:t>
      </w:r>
    </w:p>
    <w:p w14:paraId="129952EE">
      <w:pPr>
        <w:pStyle w:val="15"/>
        <w:pageBreakBefore w:val="0"/>
        <w:widowControl w:val="0"/>
        <w:kinsoku/>
        <w:wordWrap/>
        <w:overflowPunct/>
        <w:topLinePunct w:val="0"/>
        <w:bidi w:val="0"/>
        <w:spacing w:line="360" w:lineRule="exact"/>
        <w:ind w:left="239" w:leftChars="114" w:firstLine="31" w:firstLineChars="14"/>
        <w:textAlignment w:val="auto"/>
        <w:rPr>
          <w:rFonts w:hint="eastAsia" w:ascii="微软雅黑" w:hAnsi="微软雅黑" w:eastAsia="微软雅黑" w:cs="微软雅黑"/>
          <w:b/>
          <w:bCs/>
          <w:color w:val="auto"/>
          <w:sz w:val="22"/>
          <w:szCs w:val="22"/>
          <w:highlight w:val="none"/>
          <w:lang w:eastAsia="zh-CN"/>
        </w:rPr>
      </w:pPr>
      <w:bookmarkStart w:id="1019" w:name="_Toc17933"/>
      <w:bookmarkStart w:id="1020" w:name="_Toc30756"/>
      <w:bookmarkStart w:id="1021" w:name="_Toc25928"/>
      <w:bookmarkStart w:id="1022" w:name="_Toc976"/>
      <w:bookmarkStart w:id="1023" w:name="_Toc13108"/>
      <w:bookmarkStart w:id="1024" w:name="_Toc26752"/>
      <w:bookmarkStart w:id="1025" w:name="_Toc24734"/>
      <w:bookmarkStart w:id="1026" w:name="_Toc7999"/>
      <w:bookmarkStart w:id="1027" w:name="_Toc25274"/>
      <w:bookmarkStart w:id="1028" w:name="_Toc21306"/>
      <w:bookmarkStart w:id="1029" w:name="_Toc15060"/>
      <w:bookmarkStart w:id="1030" w:name="_Toc14558"/>
      <w:bookmarkStart w:id="1031" w:name="_Toc24948"/>
      <w:bookmarkStart w:id="1032" w:name="_Toc3720"/>
      <w:bookmarkStart w:id="1033" w:name="_Toc29803"/>
      <w:bookmarkStart w:id="1034" w:name="_Toc1644"/>
      <w:bookmarkStart w:id="1035" w:name="_Toc17164"/>
      <w:bookmarkStart w:id="1036" w:name="_Toc15609"/>
      <w:bookmarkStart w:id="1037" w:name="_Toc721"/>
      <w:bookmarkStart w:id="1038" w:name="_Toc27172"/>
      <w:bookmarkStart w:id="1039" w:name="_Toc16846"/>
      <w:bookmarkStart w:id="1040" w:name="_Toc4503"/>
      <w:bookmarkStart w:id="1041" w:name="_Toc21913"/>
      <w:bookmarkStart w:id="1042" w:name="_Toc28294"/>
      <w:bookmarkStart w:id="1043" w:name="_Toc26943"/>
      <w:bookmarkStart w:id="1044" w:name="_Toc18364"/>
      <w:bookmarkStart w:id="1045" w:name="_Toc23570"/>
      <w:bookmarkStart w:id="1046" w:name="_Toc25109"/>
      <w:bookmarkStart w:id="1047" w:name="_Toc9549"/>
      <w:bookmarkStart w:id="1048" w:name="_Toc475"/>
      <w:bookmarkStart w:id="1049" w:name="_Toc11247"/>
      <w:r>
        <w:rPr>
          <w:rFonts w:hint="eastAsia" w:ascii="微软雅黑" w:hAnsi="微软雅黑" w:eastAsia="微软雅黑" w:cs="微软雅黑"/>
          <w:b/>
          <w:bCs/>
          <w:color w:val="auto"/>
          <w:sz w:val="22"/>
          <w:szCs w:val="22"/>
          <w:highlight w:val="none"/>
          <w:lang w:val="en-US" w:eastAsia="zh-CN"/>
        </w:rPr>
        <w:t>本项目</w:t>
      </w:r>
      <w:r>
        <w:rPr>
          <w:rFonts w:hint="eastAsia" w:ascii="微软雅黑" w:hAnsi="微软雅黑" w:eastAsia="微软雅黑" w:cs="微软雅黑"/>
          <w:b/>
          <w:bCs/>
          <w:color w:val="auto"/>
          <w:sz w:val="22"/>
          <w:szCs w:val="22"/>
          <w:highlight w:val="none"/>
        </w:rPr>
        <w:t>采用综合评分法</w:t>
      </w:r>
      <w:r>
        <w:rPr>
          <w:rFonts w:hint="eastAsia" w:ascii="微软雅黑" w:hAnsi="微软雅黑" w:eastAsia="微软雅黑" w:cs="微软雅黑"/>
          <w:b/>
          <w:bCs/>
          <w:color w:val="auto"/>
          <w:sz w:val="22"/>
          <w:szCs w:val="22"/>
          <w:highlight w:val="none"/>
          <w:lang w:eastAsia="zh-CN"/>
        </w:rPr>
        <w:t>。</w:t>
      </w:r>
    </w:p>
    <w:p w14:paraId="65946239">
      <w:pPr>
        <w:pStyle w:val="4"/>
        <w:pageBreakBefore w:val="0"/>
        <w:widowControl w:val="0"/>
        <w:tabs>
          <w:tab w:val="left" w:pos="900"/>
        </w:tabs>
        <w:kinsoku/>
        <w:wordWrap/>
        <w:overflowPunct/>
        <w:topLinePunct w:val="0"/>
        <w:bidi w:val="0"/>
        <w:snapToGrid w:val="0"/>
        <w:spacing w:before="0" w:beforeAutospacing="0" w:after="0" w:afterAutospacing="0" w:line="340" w:lineRule="exact"/>
        <w:ind w:left="0" w:leftChars="0"/>
        <w:jc w:val="left"/>
        <w:textAlignment w:val="baseline"/>
        <w:rPr>
          <w:rFonts w:hint="eastAsia" w:ascii="微软雅黑" w:hAnsi="微软雅黑" w:eastAsia="微软雅黑" w:cs="微软雅黑"/>
          <w:color w:val="auto"/>
          <w:sz w:val="22"/>
          <w:szCs w:val="22"/>
          <w:highlight w:val="none"/>
          <w:u w:val="none" w:color="auto"/>
        </w:rPr>
      </w:pPr>
      <w:bookmarkStart w:id="1050" w:name="_Toc23378"/>
      <w:bookmarkStart w:id="1051" w:name="_Toc32371"/>
      <w:bookmarkStart w:id="1052" w:name="_Toc9558"/>
      <w:bookmarkStart w:id="1053" w:name="_Toc29717"/>
      <w:bookmarkStart w:id="1054" w:name="_Toc7889"/>
      <w:bookmarkStart w:id="1055" w:name="_Toc17800"/>
      <w:bookmarkStart w:id="1056" w:name="_Toc2788"/>
      <w:r>
        <w:rPr>
          <w:rFonts w:hint="eastAsia" w:ascii="微软雅黑" w:hAnsi="微软雅黑" w:eastAsia="微软雅黑" w:cs="微软雅黑"/>
          <w:b/>
          <w:i w:val="0"/>
          <w:caps w:val="0"/>
          <w:color w:val="auto"/>
          <w:spacing w:val="0"/>
          <w:w w:val="100"/>
          <w:sz w:val="22"/>
          <w:szCs w:val="22"/>
          <w:highlight w:val="none"/>
          <w:u w:val="none" w:color="auto"/>
        </w:rPr>
        <w:t>27.确定成交候选人和</w:t>
      </w:r>
      <w:bookmarkEnd w:id="1019"/>
      <w:r>
        <w:rPr>
          <w:rFonts w:hint="eastAsia" w:ascii="微软雅黑" w:hAnsi="微软雅黑" w:eastAsia="微软雅黑" w:cs="微软雅黑"/>
          <w:b/>
          <w:i w:val="0"/>
          <w:caps w:val="0"/>
          <w:color w:val="auto"/>
          <w:spacing w:val="0"/>
          <w:w w:val="100"/>
          <w:sz w:val="22"/>
          <w:szCs w:val="22"/>
          <w:highlight w:val="none"/>
          <w:u w:val="none" w:color="auto"/>
        </w:rPr>
        <w:t>成交人</w:t>
      </w:r>
      <w:bookmarkEnd w:id="1017"/>
      <w:bookmarkEnd w:id="1018"/>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p>
    <w:p w14:paraId="5E464A38">
      <w:pPr>
        <w:pageBreakBefore w:val="0"/>
        <w:widowControl w:val="0"/>
        <w:kinsoku/>
        <w:wordWrap/>
        <w:overflowPunct/>
        <w:topLinePunct w:val="0"/>
        <w:bidi w:val="0"/>
        <w:spacing w:line="360" w:lineRule="exact"/>
        <w:ind w:left="479" w:leftChars="228" w:firstLine="55" w:firstLineChars="2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评标委员会将根据评标标准，按</w:t>
      </w:r>
      <w:r>
        <w:rPr>
          <w:rFonts w:hint="eastAsia" w:ascii="微软雅黑" w:hAnsi="微软雅黑" w:eastAsia="微软雅黑" w:cs="微软雅黑"/>
          <w:color w:val="auto"/>
          <w:sz w:val="22"/>
          <w:szCs w:val="22"/>
          <w:highlight w:val="none"/>
          <w:u w:val="single"/>
          <w:lang w:eastAsia="zh-CN"/>
        </w:rPr>
        <w:t>供应商</w:t>
      </w:r>
      <w:r>
        <w:rPr>
          <w:rFonts w:hint="eastAsia" w:ascii="微软雅黑" w:hAnsi="微软雅黑" w:eastAsia="微软雅黑" w:cs="微软雅黑"/>
          <w:color w:val="auto"/>
          <w:sz w:val="22"/>
          <w:szCs w:val="22"/>
          <w:highlight w:val="none"/>
          <w:u w:val="single"/>
        </w:rPr>
        <w:t>须知资料表中</w:t>
      </w:r>
      <w:r>
        <w:rPr>
          <w:rFonts w:hint="eastAsia" w:ascii="微软雅黑" w:hAnsi="微软雅黑" w:eastAsia="微软雅黑" w:cs="微软雅黑"/>
          <w:color w:val="auto"/>
          <w:sz w:val="22"/>
          <w:szCs w:val="22"/>
          <w:highlight w:val="none"/>
        </w:rPr>
        <w:t>规定数量推荐中标候</w:t>
      </w:r>
    </w:p>
    <w:p w14:paraId="6312E201">
      <w:pPr>
        <w:pageBreakBefore w:val="0"/>
        <w:widowControl w:val="0"/>
        <w:kinsoku/>
        <w:wordWrap/>
        <w:overflowPunct/>
        <w:topLinePunct w:val="0"/>
        <w:bidi w:val="0"/>
        <w:spacing w:line="360" w:lineRule="exact"/>
        <w:ind w:left="479" w:leftChars="228" w:firstLine="55" w:firstLineChars="2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选人；或根据采购人的委托，直接确定中标人。</w:t>
      </w:r>
    </w:p>
    <w:p w14:paraId="28B2EFF7">
      <w:pPr>
        <w:pStyle w:val="4"/>
        <w:pageBreakBefore w:val="0"/>
        <w:widowControl w:val="0"/>
        <w:tabs>
          <w:tab w:val="left" w:pos="900"/>
        </w:tabs>
        <w:kinsoku/>
        <w:wordWrap/>
        <w:overflowPunct/>
        <w:topLinePunct w:val="0"/>
        <w:bidi w:val="0"/>
        <w:spacing w:before="0" w:after="0" w:line="360" w:lineRule="exact"/>
        <w:ind w:left="0" w:leftChars="0"/>
        <w:textAlignment w:val="auto"/>
        <w:rPr>
          <w:rFonts w:hint="eastAsia" w:ascii="微软雅黑" w:hAnsi="微软雅黑" w:eastAsia="微软雅黑" w:cs="微软雅黑"/>
          <w:b/>
          <w:bCs/>
          <w:color w:val="auto"/>
          <w:sz w:val="22"/>
          <w:szCs w:val="22"/>
          <w:highlight w:val="none"/>
          <w:u w:val="none"/>
        </w:rPr>
      </w:pPr>
      <w:bookmarkStart w:id="1057" w:name="_Toc520356173"/>
      <w:bookmarkStart w:id="1058" w:name="_Ref467306874"/>
      <w:bookmarkStart w:id="1059" w:name="_Toc13429"/>
      <w:bookmarkStart w:id="1060" w:name="_Toc19022"/>
      <w:bookmarkStart w:id="1061" w:name="_Toc12118"/>
      <w:bookmarkStart w:id="1062" w:name="_Toc515647790"/>
      <w:bookmarkStart w:id="1063" w:name="_Toc20212"/>
      <w:bookmarkStart w:id="1064" w:name="_Toc32455"/>
      <w:bookmarkStart w:id="1065" w:name="_Toc21618"/>
      <w:bookmarkStart w:id="1066" w:name="_Toc7156"/>
      <w:bookmarkStart w:id="1067" w:name="_Toc21208"/>
      <w:bookmarkStart w:id="1068" w:name="_Toc20705"/>
      <w:bookmarkStart w:id="1069" w:name="_Toc27140"/>
      <w:bookmarkStart w:id="1070" w:name="_Toc27248"/>
      <w:bookmarkStart w:id="1071" w:name="_Toc19017"/>
      <w:bookmarkStart w:id="1072" w:name="_Toc6340"/>
      <w:bookmarkStart w:id="1073" w:name="_Toc2733"/>
      <w:bookmarkStart w:id="1074" w:name="_Toc4014"/>
      <w:bookmarkStart w:id="1075" w:name="_Toc3328"/>
      <w:bookmarkStart w:id="1076" w:name="_Toc7095"/>
      <w:bookmarkStart w:id="1077" w:name="_Toc28987"/>
      <w:bookmarkStart w:id="1078" w:name="_Toc31043"/>
      <w:bookmarkStart w:id="1079" w:name="_Toc20001"/>
      <w:bookmarkStart w:id="1080" w:name="_Toc19007"/>
      <w:bookmarkStart w:id="1081" w:name="_Toc891"/>
      <w:bookmarkStart w:id="1082" w:name="_Toc28562"/>
      <w:bookmarkStart w:id="1083" w:name="_Toc28894"/>
      <w:bookmarkStart w:id="1084" w:name="_Toc17591"/>
      <w:bookmarkStart w:id="1085" w:name="_Toc9640"/>
      <w:bookmarkStart w:id="1086" w:name="_Toc28380"/>
      <w:bookmarkStart w:id="1087" w:name="_Toc9701"/>
      <w:bookmarkStart w:id="1088" w:name="_Toc26162"/>
      <w:bookmarkStart w:id="1089" w:name="_Toc16933"/>
      <w:bookmarkStart w:id="1090" w:name="_Toc8389"/>
      <w:bookmarkStart w:id="1091" w:name="_Toc5507"/>
      <w:bookmarkStart w:id="1092" w:name="_Toc3523"/>
      <w:bookmarkStart w:id="1093" w:name="_Toc5362"/>
      <w:bookmarkStart w:id="1094" w:name="_Toc17373"/>
      <w:bookmarkStart w:id="1095" w:name="_Toc27059"/>
      <w:bookmarkStart w:id="1096" w:name="_Toc10771"/>
      <w:bookmarkStart w:id="1097" w:name="_Toc520356174"/>
      <w:bookmarkStart w:id="1098" w:name="_Toc3980"/>
      <w:bookmarkStart w:id="1099" w:name="_Toc26276"/>
      <w:bookmarkStart w:id="1100" w:name="_Toc17202"/>
      <w:bookmarkStart w:id="1101" w:name="_Toc4099"/>
      <w:bookmarkStart w:id="1102" w:name="_Toc137"/>
      <w:bookmarkStart w:id="1103" w:name="_Toc14706"/>
      <w:bookmarkStart w:id="1104" w:name="_Toc1818"/>
      <w:bookmarkStart w:id="1105" w:name="_Toc25134"/>
      <w:bookmarkStart w:id="1106" w:name="_Toc24503"/>
      <w:bookmarkStart w:id="1107" w:name="_Toc30931"/>
      <w:bookmarkStart w:id="1108" w:name="_Toc12348"/>
      <w:bookmarkStart w:id="1109" w:name="_Toc7324"/>
      <w:bookmarkStart w:id="1110" w:name="_Toc27996"/>
      <w:bookmarkStart w:id="1111" w:name="_Toc14076"/>
      <w:bookmarkStart w:id="1112" w:name="_Toc30170"/>
      <w:bookmarkStart w:id="1113" w:name="_Toc31099"/>
      <w:bookmarkStart w:id="1114" w:name="_Toc30149"/>
      <w:bookmarkStart w:id="1115" w:name="_Toc965"/>
      <w:bookmarkStart w:id="1116" w:name="_Toc8140"/>
      <w:bookmarkStart w:id="1117" w:name="_Toc1178"/>
      <w:bookmarkStart w:id="1118" w:name="_Toc21583"/>
      <w:bookmarkStart w:id="1119" w:name="_Toc28733"/>
      <w:bookmarkStart w:id="1120" w:name="_Toc8834"/>
      <w:bookmarkStart w:id="1121" w:name="_Toc515647791"/>
      <w:bookmarkStart w:id="1122" w:name="_Toc5820"/>
      <w:bookmarkStart w:id="1123" w:name="_Toc1676"/>
      <w:r>
        <w:rPr>
          <w:rFonts w:hint="eastAsia" w:ascii="微软雅黑" w:hAnsi="微软雅黑" w:eastAsia="微软雅黑" w:cs="微软雅黑"/>
          <w:b/>
          <w:bCs/>
          <w:color w:val="auto"/>
          <w:sz w:val="22"/>
          <w:szCs w:val="22"/>
          <w:highlight w:val="none"/>
          <w:u w:val="none"/>
        </w:rPr>
        <w:t>28.</w:t>
      </w:r>
      <w:bookmarkEnd w:id="1057"/>
      <w:bookmarkEnd w:id="1058"/>
      <w:r>
        <w:rPr>
          <w:rFonts w:hint="eastAsia" w:ascii="微软雅黑" w:hAnsi="微软雅黑" w:eastAsia="微软雅黑" w:cs="微软雅黑"/>
          <w:b/>
          <w:bCs/>
          <w:color w:val="auto"/>
          <w:sz w:val="22"/>
          <w:szCs w:val="22"/>
          <w:highlight w:val="none"/>
          <w:u w:val="none"/>
        </w:rPr>
        <w:t>采购任务取消</w:t>
      </w:r>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p>
    <w:p w14:paraId="1E75F6F8">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color w:val="auto"/>
          <w:sz w:val="22"/>
          <w:szCs w:val="22"/>
          <w:highlight w:val="none"/>
        </w:rPr>
        <w:t>因重大变故采购任务取消时，采购人有权拒绝任何</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中标，且对受影响的</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不承担任何责任。</w:t>
      </w:r>
    </w:p>
    <w:p w14:paraId="1CE6CFF0">
      <w:pPr>
        <w:pStyle w:val="4"/>
        <w:pageBreakBefore w:val="0"/>
        <w:widowControl w:val="0"/>
        <w:kinsoku/>
        <w:wordWrap/>
        <w:overflowPunct/>
        <w:topLinePunct w:val="0"/>
        <w:bidi w:val="0"/>
        <w:spacing w:before="0" w:after="0" w:line="360" w:lineRule="exact"/>
        <w:ind w:left="0" w:leftChars="0"/>
        <w:textAlignment w:val="auto"/>
        <w:rPr>
          <w:rFonts w:hint="eastAsia" w:ascii="微软雅黑" w:hAnsi="微软雅黑" w:eastAsia="微软雅黑" w:cs="微软雅黑"/>
          <w:b/>
          <w:bCs/>
          <w:color w:val="auto"/>
          <w:sz w:val="22"/>
          <w:szCs w:val="22"/>
          <w:highlight w:val="none"/>
          <w:u w:val="none"/>
        </w:rPr>
      </w:pPr>
      <w:bookmarkStart w:id="1124" w:name="_Toc28014"/>
      <w:bookmarkStart w:id="1125" w:name="_Toc7542"/>
      <w:bookmarkStart w:id="1126" w:name="_Toc4749"/>
      <w:bookmarkStart w:id="1127" w:name="_Toc3973"/>
      <w:bookmarkStart w:id="1128" w:name="_Toc13780"/>
      <w:bookmarkStart w:id="1129" w:name="_Toc13767"/>
      <w:bookmarkStart w:id="1130" w:name="_Toc9899"/>
      <w:bookmarkStart w:id="1131" w:name="_Toc21757"/>
      <w:bookmarkStart w:id="1132" w:name="_Toc10935"/>
      <w:bookmarkStart w:id="1133" w:name="_Toc25012"/>
      <w:bookmarkStart w:id="1134" w:name="_Toc13048"/>
      <w:bookmarkStart w:id="1135" w:name="_Toc32527"/>
      <w:r>
        <w:rPr>
          <w:rFonts w:hint="eastAsia" w:ascii="微软雅黑" w:hAnsi="微软雅黑" w:eastAsia="微软雅黑" w:cs="微软雅黑"/>
          <w:b/>
          <w:bCs/>
          <w:color w:val="auto"/>
          <w:sz w:val="22"/>
          <w:szCs w:val="22"/>
          <w:highlight w:val="none"/>
          <w:u w:val="none"/>
        </w:rPr>
        <w:t>29.中标通知书</w:t>
      </w:r>
      <w:bookmarkEnd w:id="1097"/>
      <w:r>
        <w:rPr>
          <w:rFonts w:hint="eastAsia" w:ascii="微软雅黑" w:hAnsi="微软雅黑" w:eastAsia="微软雅黑" w:cs="微软雅黑"/>
          <w:b/>
          <w:bCs/>
          <w:color w:val="auto"/>
          <w:sz w:val="22"/>
          <w:szCs w:val="22"/>
          <w:highlight w:val="none"/>
          <w:u w:val="none"/>
        </w:rPr>
        <w:t>和招标结果通知书</w:t>
      </w:r>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p>
    <w:p w14:paraId="4F16174D">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29.1</w:t>
      </w: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color w:val="auto"/>
          <w:sz w:val="22"/>
          <w:szCs w:val="22"/>
          <w:highlight w:val="none"/>
        </w:rPr>
        <w:t>在投标有效期内，中标人确定后，采购人或者采购代理机构发布中标公告，同时以书面形式向中标人发出中标通知书。</w:t>
      </w:r>
    </w:p>
    <w:p w14:paraId="4FD6E5BE">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29.2</w:t>
      </w: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color w:val="auto"/>
          <w:sz w:val="22"/>
          <w:szCs w:val="22"/>
          <w:highlight w:val="none"/>
        </w:rPr>
        <w:t>中标通知书是合同的组成部分。</w:t>
      </w:r>
    </w:p>
    <w:p w14:paraId="3E1757A1">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29.3    招标结果通知书和中标通知书同时发出。招标结果通知书中将告知未通过资格审查的</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未通过的原因；采用综合评分法评审的，还将告知未中标人本人的评审得分和排序。</w:t>
      </w:r>
    </w:p>
    <w:p w14:paraId="3DE71AE9">
      <w:pPr>
        <w:pStyle w:val="4"/>
        <w:pageBreakBefore w:val="0"/>
        <w:widowControl w:val="0"/>
        <w:kinsoku/>
        <w:wordWrap/>
        <w:overflowPunct/>
        <w:topLinePunct w:val="0"/>
        <w:bidi w:val="0"/>
        <w:spacing w:before="0" w:after="0" w:line="360" w:lineRule="exact"/>
        <w:ind w:left="0" w:leftChars="0"/>
        <w:textAlignment w:val="auto"/>
        <w:rPr>
          <w:rFonts w:hint="eastAsia" w:ascii="微软雅黑" w:hAnsi="微软雅黑" w:eastAsia="微软雅黑" w:cs="微软雅黑"/>
          <w:b/>
          <w:bCs/>
          <w:color w:val="auto"/>
          <w:sz w:val="22"/>
          <w:szCs w:val="22"/>
          <w:highlight w:val="none"/>
          <w:u w:val="none"/>
        </w:rPr>
      </w:pPr>
      <w:bookmarkStart w:id="1136" w:name="_Toc10031"/>
      <w:bookmarkStart w:id="1137" w:name="_Toc13210"/>
      <w:bookmarkStart w:id="1138" w:name="_Toc19720"/>
      <w:bookmarkStart w:id="1139" w:name="_Toc790"/>
      <w:bookmarkStart w:id="1140" w:name="_Toc14770"/>
      <w:bookmarkStart w:id="1141" w:name="_Toc13873"/>
      <w:bookmarkStart w:id="1142" w:name="_Toc14551"/>
      <w:bookmarkStart w:id="1143" w:name="_Toc520356175"/>
      <w:bookmarkStart w:id="1144" w:name="_Toc30068"/>
      <w:bookmarkStart w:id="1145" w:name="_Toc4779"/>
      <w:bookmarkStart w:id="1146" w:name="_Ref467307204"/>
      <w:bookmarkStart w:id="1147" w:name="_Toc7779"/>
      <w:bookmarkStart w:id="1148" w:name="_Toc24917"/>
      <w:bookmarkStart w:id="1149" w:name="_Toc1386"/>
      <w:bookmarkStart w:id="1150" w:name="_Toc11841"/>
      <w:bookmarkStart w:id="1151" w:name="_Toc32085"/>
      <w:bookmarkStart w:id="1152" w:name="_Toc24298"/>
      <w:bookmarkStart w:id="1153" w:name="_Toc15018"/>
      <w:bookmarkStart w:id="1154" w:name="_Ref467306377"/>
      <w:bookmarkStart w:id="1155" w:name="_Toc830"/>
      <w:bookmarkStart w:id="1156" w:name="_Toc12631"/>
      <w:bookmarkStart w:id="1157" w:name="_Toc8909"/>
      <w:bookmarkStart w:id="1158" w:name="_Toc5006"/>
      <w:bookmarkStart w:id="1159" w:name="_Toc10408"/>
      <w:bookmarkStart w:id="1160" w:name="_Toc7584"/>
      <w:bookmarkStart w:id="1161" w:name="_Ref467306978"/>
      <w:bookmarkStart w:id="1162" w:name="_Toc9644"/>
      <w:bookmarkStart w:id="1163" w:name="_Toc515647792"/>
      <w:bookmarkStart w:id="1164" w:name="_Toc12782"/>
      <w:bookmarkStart w:id="1165" w:name="_Toc23307"/>
      <w:bookmarkStart w:id="1166" w:name="_Toc29255"/>
      <w:bookmarkStart w:id="1167" w:name="_Toc14896"/>
      <w:bookmarkStart w:id="1168" w:name="_Toc3837"/>
      <w:bookmarkStart w:id="1169" w:name="_Toc5334"/>
      <w:bookmarkStart w:id="1170" w:name="_Toc15752"/>
      <w:bookmarkStart w:id="1171" w:name="_Toc5150"/>
      <w:bookmarkStart w:id="1172" w:name="_Toc24666"/>
      <w:bookmarkStart w:id="1173" w:name="_Toc26465"/>
      <w:bookmarkStart w:id="1174" w:name="_Toc9377"/>
      <w:bookmarkStart w:id="1175" w:name="_Toc24982"/>
      <w:bookmarkStart w:id="1176" w:name="_Toc29299"/>
      <w:bookmarkStart w:id="1177" w:name="_Ref467307062"/>
      <w:bookmarkStart w:id="1178" w:name="_Toc14106"/>
      <w:r>
        <w:rPr>
          <w:rFonts w:hint="eastAsia" w:ascii="微软雅黑" w:hAnsi="微软雅黑" w:eastAsia="微软雅黑" w:cs="微软雅黑"/>
          <w:b/>
          <w:bCs/>
          <w:color w:val="auto"/>
          <w:sz w:val="22"/>
          <w:szCs w:val="22"/>
          <w:highlight w:val="none"/>
          <w:u w:val="none"/>
        </w:rPr>
        <w:t>30.签订合同</w:t>
      </w:r>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p>
    <w:p w14:paraId="1E8F12E2">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30.1</w:t>
      </w: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color w:val="auto"/>
          <w:sz w:val="22"/>
          <w:szCs w:val="22"/>
          <w:highlight w:val="none"/>
        </w:rPr>
        <w:t>中标人应当自发出中标通知书之日起</w:t>
      </w:r>
      <w:r>
        <w:rPr>
          <w:rFonts w:hint="eastAsia" w:ascii="微软雅黑" w:hAnsi="微软雅黑" w:eastAsia="微软雅黑" w:cs="微软雅黑"/>
          <w:color w:val="auto"/>
          <w:sz w:val="22"/>
          <w:szCs w:val="22"/>
          <w:highlight w:val="none"/>
          <w:lang w:val="en-US" w:eastAsia="zh-CN"/>
        </w:rPr>
        <w:t>30</w:t>
      </w:r>
      <w:r>
        <w:rPr>
          <w:rFonts w:hint="eastAsia" w:ascii="微软雅黑" w:hAnsi="微软雅黑" w:eastAsia="微软雅黑" w:cs="微软雅黑"/>
          <w:color w:val="auto"/>
          <w:sz w:val="22"/>
          <w:szCs w:val="22"/>
          <w:highlight w:val="none"/>
        </w:rPr>
        <w:t>日内，与采购人签订合同。</w:t>
      </w:r>
    </w:p>
    <w:p w14:paraId="056B265C">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30.2</w:t>
      </w:r>
      <w:r>
        <w:rPr>
          <w:rFonts w:hint="eastAsia" w:ascii="微软雅黑" w:hAnsi="微软雅黑" w:eastAsia="微软雅黑" w:cs="微软雅黑"/>
          <w:color w:val="auto"/>
          <w:sz w:val="22"/>
          <w:szCs w:val="22"/>
          <w:highlight w:val="none"/>
        </w:rPr>
        <w:tab/>
      </w:r>
      <w:bookmarkStart w:id="1179" w:name="_Toc520356176"/>
      <w:bookmarkStart w:id="1180" w:name="_Ref467307090"/>
      <w:bookmarkStart w:id="1181" w:name="_Ref467306425"/>
      <w:r>
        <w:rPr>
          <w:rFonts w:hint="eastAsia" w:ascii="微软雅黑" w:hAnsi="微软雅黑" w:eastAsia="微软雅黑" w:cs="微软雅黑"/>
          <w:color w:val="auto"/>
          <w:sz w:val="22"/>
          <w:szCs w:val="22"/>
          <w:highlight w:val="none"/>
        </w:rPr>
        <w:t>招标文件、中标人的投标文件及其澄清文件等，均为签订合同的依据。</w:t>
      </w:r>
    </w:p>
    <w:p w14:paraId="67857C9D">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30.3   中标人拒绝与采购人签订合同的，采购人可以按照评审报告推荐的中标候选人名单排序，确定下一中标候选人为中标人，也可以重新开展政府采购活动。</w:t>
      </w:r>
    </w:p>
    <w:p w14:paraId="68CE26B3">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30.4   当出现法规规定的</w:t>
      </w:r>
      <w:r>
        <w:rPr>
          <w:rFonts w:hint="eastAsia" w:ascii="微软雅黑" w:hAnsi="微软雅黑" w:eastAsia="微软雅黑" w:cs="微软雅黑"/>
          <w:b/>
          <w:color w:val="auto"/>
          <w:sz w:val="22"/>
          <w:szCs w:val="22"/>
          <w:highlight w:val="none"/>
        </w:rPr>
        <w:t>中标无效或中标结果无效</w:t>
      </w:r>
      <w:r>
        <w:rPr>
          <w:rFonts w:hint="eastAsia" w:ascii="微软雅黑" w:hAnsi="微软雅黑" w:eastAsia="微软雅黑" w:cs="微软雅黑"/>
          <w:color w:val="auto"/>
          <w:sz w:val="22"/>
          <w:szCs w:val="22"/>
          <w:highlight w:val="none"/>
        </w:rPr>
        <w:t>情形时，采购人可与排名下一位的中标候选人另行签订合同，或依法重新开展采购活动。</w:t>
      </w:r>
    </w:p>
    <w:p w14:paraId="5DE60DE1">
      <w:pPr>
        <w:pStyle w:val="4"/>
        <w:pageBreakBefore w:val="0"/>
        <w:widowControl w:val="0"/>
        <w:kinsoku/>
        <w:wordWrap/>
        <w:overflowPunct/>
        <w:topLinePunct w:val="0"/>
        <w:bidi w:val="0"/>
        <w:spacing w:before="0" w:after="0" w:line="360" w:lineRule="exact"/>
        <w:ind w:left="0" w:leftChars="0"/>
        <w:textAlignment w:val="auto"/>
        <w:rPr>
          <w:rFonts w:hint="eastAsia" w:ascii="微软雅黑" w:hAnsi="微软雅黑" w:eastAsia="微软雅黑" w:cs="微软雅黑"/>
          <w:b/>
          <w:bCs/>
          <w:color w:val="auto"/>
          <w:sz w:val="22"/>
          <w:szCs w:val="22"/>
          <w:highlight w:val="none"/>
          <w:u w:val="none"/>
        </w:rPr>
      </w:pPr>
      <w:bookmarkStart w:id="1182" w:name="_Toc25809"/>
      <w:bookmarkStart w:id="1183" w:name="_Toc10991"/>
      <w:bookmarkStart w:id="1184" w:name="_Toc6530"/>
      <w:bookmarkStart w:id="1185" w:name="_Toc28788"/>
      <w:bookmarkStart w:id="1186" w:name="_Toc30983"/>
      <w:bookmarkStart w:id="1187" w:name="_Toc7682"/>
      <w:bookmarkStart w:id="1188" w:name="_Toc14195"/>
      <w:bookmarkStart w:id="1189" w:name="_Toc12082"/>
      <w:bookmarkStart w:id="1190" w:name="_Toc14628"/>
      <w:bookmarkStart w:id="1191" w:name="_Toc23943"/>
      <w:bookmarkStart w:id="1192" w:name="_Toc29601"/>
      <w:bookmarkStart w:id="1193" w:name="_Toc11471"/>
      <w:bookmarkStart w:id="1194" w:name="_Toc7815"/>
      <w:bookmarkStart w:id="1195" w:name="_Toc22555"/>
      <w:bookmarkStart w:id="1196" w:name="_Toc27340"/>
      <w:bookmarkStart w:id="1197" w:name="_Toc11467"/>
      <w:bookmarkStart w:id="1198" w:name="_Toc4460"/>
      <w:bookmarkStart w:id="1199" w:name="_Toc2031"/>
      <w:bookmarkStart w:id="1200" w:name="_Toc15450"/>
      <w:bookmarkStart w:id="1201" w:name="_Toc1650"/>
      <w:bookmarkStart w:id="1202" w:name="_Toc27770"/>
      <w:bookmarkStart w:id="1203" w:name="_Toc6554"/>
      <w:bookmarkStart w:id="1204" w:name="_Toc26522"/>
      <w:bookmarkStart w:id="1205" w:name="_Toc32131"/>
      <w:bookmarkStart w:id="1206" w:name="_Toc18440"/>
      <w:bookmarkStart w:id="1207" w:name="_Toc15377"/>
      <w:bookmarkStart w:id="1208" w:name="_Toc10831"/>
      <w:bookmarkStart w:id="1209" w:name="_Toc17960"/>
      <w:bookmarkStart w:id="1210" w:name="_Toc4849"/>
      <w:bookmarkStart w:id="1211" w:name="_Toc26902"/>
      <w:bookmarkStart w:id="1212" w:name="_Toc32530"/>
      <w:bookmarkStart w:id="1213" w:name="_Toc515647793"/>
      <w:bookmarkStart w:id="1214" w:name="_Toc27548"/>
      <w:bookmarkStart w:id="1215" w:name="_Toc14080"/>
      <w:bookmarkStart w:id="1216" w:name="_Toc1427"/>
      <w:bookmarkStart w:id="1217" w:name="_Toc8189"/>
      <w:bookmarkStart w:id="1218" w:name="_Toc9468"/>
      <w:bookmarkStart w:id="1219" w:name="_Toc8801"/>
      <w:r>
        <w:rPr>
          <w:rFonts w:hint="eastAsia" w:ascii="微软雅黑" w:hAnsi="微软雅黑" w:eastAsia="微软雅黑" w:cs="微软雅黑"/>
          <w:b/>
          <w:bCs/>
          <w:color w:val="auto"/>
          <w:sz w:val="22"/>
          <w:szCs w:val="22"/>
          <w:highlight w:val="none"/>
          <w:u w:val="none"/>
        </w:rPr>
        <w:t>31.履约保证金</w:t>
      </w:r>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p>
    <w:p w14:paraId="60B523EF">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31.1</w:t>
      </w: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color w:val="auto"/>
          <w:sz w:val="22"/>
          <w:szCs w:val="22"/>
          <w:highlight w:val="none"/>
        </w:rPr>
        <w:t>中标人应按照</w:t>
      </w:r>
      <w:r>
        <w:rPr>
          <w:rFonts w:hint="eastAsia" w:ascii="微软雅黑" w:hAnsi="微软雅黑" w:eastAsia="微软雅黑" w:cs="微软雅黑"/>
          <w:color w:val="auto"/>
          <w:sz w:val="22"/>
          <w:szCs w:val="22"/>
          <w:highlight w:val="none"/>
          <w:u w:val="single"/>
          <w:lang w:eastAsia="zh-CN"/>
        </w:rPr>
        <w:t>供应商</w:t>
      </w:r>
      <w:r>
        <w:rPr>
          <w:rFonts w:hint="eastAsia" w:ascii="微软雅黑" w:hAnsi="微软雅黑" w:eastAsia="微软雅黑" w:cs="微软雅黑"/>
          <w:color w:val="auto"/>
          <w:sz w:val="22"/>
          <w:szCs w:val="22"/>
          <w:highlight w:val="none"/>
          <w:u w:val="single"/>
        </w:rPr>
        <w:t>须知资料表</w:t>
      </w:r>
      <w:r>
        <w:rPr>
          <w:rFonts w:hint="eastAsia" w:ascii="微软雅黑" w:hAnsi="微软雅黑" w:eastAsia="微软雅黑" w:cs="微软雅黑"/>
          <w:color w:val="auto"/>
          <w:sz w:val="22"/>
          <w:szCs w:val="22"/>
          <w:highlight w:val="none"/>
        </w:rPr>
        <w:t>规定向采购人缴纳履约保证金。</w:t>
      </w:r>
    </w:p>
    <w:p w14:paraId="771E50B6">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rPr>
        <w:t>31.2</w:t>
      </w:r>
      <w:r>
        <w:rPr>
          <w:rFonts w:hint="eastAsia" w:ascii="微软雅黑" w:hAnsi="微软雅黑" w:eastAsia="微软雅黑" w:cs="微软雅黑"/>
          <w:color w:val="auto"/>
          <w:sz w:val="22"/>
          <w:szCs w:val="22"/>
          <w:highlight w:val="none"/>
        </w:rPr>
        <w:tab/>
      </w:r>
      <w:r>
        <w:rPr>
          <w:rFonts w:hint="eastAsia" w:ascii="微软雅黑" w:hAnsi="微软雅黑" w:eastAsia="微软雅黑" w:cs="微软雅黑"/>
          <w:color w:val="auto"/>
          <w:sz w:val="22"/>
          <w:szCs w:val="22"/>
          <w:highlight w:val="none"/>
        </w:rPr>
        <w:t>政府采购利用担保试点范围内的项目，除31.1规定的情形外，中标人也可以按照财政部门的规定，向采购人提供合格的履约担</w:t>
      </w:r>
      <w:r>
        <w:rPr>
          <w:rFonts w:hint="eastAsia" w:ascii="微软雅黑" w:hAnsi="微软雅黑" w:eastAsia="微软雅黑" w:cs="微软雅黑"/>
          <w:color w:val="auto"/>
          <w:sz w:val="22"/>
          <w:szCs w:val="22"/>
          <w:highlight w:val="none"/>
          <w:lang w:eastAsia="zh-CN"/>
        </w:rPr>
        <w:t>保函。</w:t>
      </w:r>
    </w:p>
    <w:p w14:paraId="6E173239">
      <w:pPr>
        <w:pStyle w:val="4"/>
        <w:pageBreakBefore w:val="0"/>
        <w:widowControl w:val="0"/>
        <w:kinsoku/>
        <w:wordWrap/>
        <w:overflowPunct/>
        <w:topLinePunct w:val="0"/>
        <w:bidi w:val="0"/>
        <w:spacing w:before="0" w:after="0" w:line="360" w:lineRule="exact"/>
        <w:ind w:left="0" w:leftChars="0"/>
        <w:textAlignment w:val="auto"/>
        <w:rPr>
          <w:rFonts w:hint="eastAsia" w:ascii="微软雅黑" w:hAnsi="微软雅黑" w:eastAsia="微软雅黑" w:cs="微软雅黑"/>
          <w:b/>
          <w:bCs/>
          <w:color w:val="auto"/>
          <w:sz w:val="22"/>
          <w:szCs w:val="22"/>
          <w:highlight w:val="none"/>
          <w:u w:val="none"/>
        </w:rPr>
      </w:pPr>
      <w:bookmarkStart w:id="1220" w:name="_Toc15837"/>
      <w:bookmarkStart w:id="1221" w:name="_Toc14539"/>
      <w:bookmarkStart w:id="1222" w:name="_Toc26497"/>
      <w:bookmarkStart w:id="1223" w:name="_Toc836"/>
      <w:bookmarkStart w:id="1224" w:name="_Toc24979"/>
      <w:bookmarkStart w:id="1225" w:name="_Toc2094"/>
      <w:bookmarkStart w:id="1226" w:name="_Toc21246"/>
      <w:bookmarkStart w:id="1227" w:name="_Toc4616"/>
      <w:bookmarkStart w:id="1228" w:name="_Toc31061"/>
      <w:bookmarkStart w:id="1229" w:name="_Toc24375"/>
      <w:bookmarkStart w:id="1230" w:name="_Toc29408"/>
      <w:bookmarkStart w:id="1231" w:name="_Toc23621"/>
      <w:bookmarkStart w:id="1232" w:name="_Toc17827"/>
      <w:bookmarkStart w:id="1233" w:name="_Toc3090"/>
      <w:bookmarkStart w:id="1234" w:name="_Toc15314"/>
      <w:bookmarkStart w:id="1235" w:name="_Toc21835"/>
      <w:bookmarkStart w:id="1236" w:name="_Toc3783"/>
      <w:bookmarkStart w:id="1237" w:name="_Toc17462"/>
      <w:bookmarkStart w:id="1238" w:name="_Toc5268"/>
      <w:bookmarkStart w:id="1239" w:name="_Toc22805"/>
      <w:bookmarkStart w:id="1240" w:name="_Toc16406"/>
      <w:bookmarkStart w:id="1241" w:name="_Toc11823"/>
      <w:bookmarkStart w:id="1242" w:name="_Toc31598"/>
      <w:bookmarkStart w:id="1243" w:name="_Toc22441"/>
      <w:bookmarkStart w:id="1244" w:name="_Toc515647794"/>
      <w:bookmarkStart w:id="1245" w:name="_Toc8906"/>
      <w:bookmarkStart w:id="1246" w:name="_Toc737"/>
      <w:bookmarkStart w:id="1247" w:name="_Toc23288"/>
      <w:bookmarkStart w:id="1248" w:name="_Toc9993"/>
      <w:bookmarkStart w:id="1249" w:name="_Toc9967"/>
      <w:bookmarkStart w:id="1250" w:name="_Toc12103"/>
      <w:bookmarkStart w:id="1251" w:name="_Toc23416"/>
      <w:bookmarkStart w:id="1252" w:name="_Toc20540"/>
      <w:bookmarkStart w:id="1253" w:name="_Toc3509"/>
      <w:bookmarkStart w:id="1254" w:name="_Toc9831"/>
      <w:bookmarkStart w:id="1255" w:name="_Toc13043"/>
      <w:bookmarkStart w:id="1256" w:name="_Toc11819"/>
      <w:bookmarkStart w:id="1257" w:name="_Toc30393"/>
      <w:r>
        <w:rPr>
          <w:rFonts w:hint="eastAsia" w:ascii="微软雅黑" w:hAnsi="微软雅黑" w:eastAsia="微软雅黑" w:cs="微软雅黑"/>
          <w:b/>
          <w:bCs/>
          <w:color w:val="auto"/>
          <w:sz w:val="22"/>
          <w:szCs w:val="22"/>
          <w:highlight w:val="none"/>
          <w:u w:val="none"/>
        </w:rPr>
        <w:t>32.中标服务费</w:t>
      </w:r>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p>
    <w:p w14:paraId="1742FE44">
      <w:pPr>
        <w:pageBreakBefore w:val="0"/>
        <w:widowControl w:val="0"/>
        <w:kinsoku/>
        <w:wordWrap/>
        <w:overflowPunct/>
        <w:topLinePunct w:val="0"/>
        <w:bidi w:val="0"/>
        <w:spacing w:line="360" w:lineRule="exact"/>
        <w:ind w:left="385" w:leftChars="0" w:hanging="385" w:hangingChars="1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 xml:space="preserve">   中标人须按照</w:t>
      </w:r>
      <w:r>
        <w:rPr>
          <w:rFonts w:hint="eastAsia" w:ascii="微软雅黑" w:hAnsi="微软雅黑" w:eastAsia="微软雅黑" w:cs="微软雅黑"/>
          <w:color w:val="auto"/>
          <w:sz w:val="22"/>
          <w:szCs w:val="22"/>
          <w:highlight w:val="none"/>
          <w:u w:val="single"/>
        </w:rPr>
        <w:t>投标须知资料表</w:t>
      </w:r>
      <w:r>
        <w:rPr>
          <w:rFonts w:hint="eastAsia" w:ascii="微软雅黑" w:hAnsi="微软雅黑" w:eastAsia="微软雅黑" w:cs="微软雅黑"/>
          <w:color w:val="auto"/>
          <w:sz w:val="22"/>
          <w:szCs w:val="22"/>
          <w:highlight w:val="none"/>
        </w:rPr>
        <w:t>规定，向采购代理机构支付中标服务费。</w:t>
      </w:r>
    </w:p>
    <w:p w14:paraId="40D7E019">
      <w:pPr>
        <w:pStyle w:val="4"/>
        <w:pageBreakBefore w:val="0"/>
        <w:widowControl w:val="0"/>
        <w:kinsoku/>
        <w:wordWrap/>
        <w:overflowPunct/>
        <w:topLinePunct w:val="0"/>
        <w:bidi w:val="0"/>
        <w:spacing w:before="0" w:after="0" w:line="360" w:lineRule="exact"/>
        <w:ind w:left="0" w:leftChars="0"/>
        <w:textAlignment w:val="auto"/>
        <w:rPr>
          <w:rFonts w:hint="eastAsia" w:ascii="微软雅黑" w:hAnsi="微软雅黑" w:eastAsia="微软雅黑" w:cs="微软雅黑"/>
          <w:b/>
          <w:bCs/>
          <w:color w:val="auto"/>
          <w:sz w:val="22"/>
          <w:szCs w:val="22"/>
          <w:highlight w:val="none"/>
          <w:u w:val="none"/>
        </w:rPr>
      </w:pPr>
      <w:bookmarkStart w:id="1258" w:name="_Toc14969"/>
      <w:bookmarkStart w:id="1259" w:name="_Toc2288"/>
      <w:bookmarkStart w:id="1260" w:name="_Toc4272"/>
      <w:bookmarkStart w:id="1261" w:name="_Toc16900"/>
      <w:bookmarkStart w:id="1262" w:name="_Toc14824"/>
      <w:bookmarkStart w:id="1263" w:name="_Toc29061"/>
      <w:bookmarkStart w:id="1264" w:name="_Toc27317"/>
      <w:bookmarkStart w:id="1265" w:name="_Toc3053"/>
      <w:bookmarkStart w:id="1266" w:name="_Toc23330"/>
      <w:bookmarkStart w:id="1267" w:name="_Toc8199"/>
      <w:bookmarkStart w:id="1268" w:name="_Toc10808"/>
      <w:bookmarkStart w:id="1269" w:name="_Toc24525"/>
      <w:bookmarkStart w:id="1270" w:name="_Toc31379"/>
      <w:bookmarkStart w:id="1271" w:name="_Toc7158"/>
      <w:bookmarkStart w:id="1272" w:name="_Toc515647795"/>
      <w:bookmarkStart w:id="1273" w:name="_Toc22882"/>
      <w:bookmarkStart w:id="1274" w:name="_Toc10747"/>
      <w:bookmarkStart w:id="1275" w:name="_Toc10075"/>
      <w:bookmarkStart w:id="1276" w:name="_Toc10756"/>
      <w:bookmarkStart w:id="1277" w:name="_Toc3584"/>
      <w:bookmarkStart w:id="1278" w:name="_Toc20497"/>
      <w:bookmarkStart w:id="1279" w:name="_Toc5941"/>
      <w:bookmarkStart w:id="1280" w:name="_Toc6923"/>
      <w:bookmarkStart w:id="1281" w:name="_Toc18001"/>
      <w:bookmarkStart w:id="1282" w:name="_Toc2677"/>
      <w:bookmarkStart w:id="1283" w:name="_Toc3524"/>
      <w:bookmarkStart w:id="1284" w:name="_Toc20843"/>
      <w:bookmarkStart w:id="1285" w:name="_Toc4947"/>
      <w:bookmarkStart w:id="1286" w:name="_Toc17458"/>
      <w:bookmarkStart w:id="1287" w:name="_Toc23058"/>
      <w:bookmarkStart w:id="1288" w:name="_Toc7049"/>
      <w:bookmarkStart w:id="1289" w:name="_Toc8477"/>
      <w:bookmarkStart w:id="1290" w:name="_Toc31464"/>
      <w:bookmarkStart w:id="1291" w:name="_Toc29584"/>
      <w:bookmarkStart w:id="1292" w:name="_Toc9097"/>
      <w:bookmarkStart w:id="1293" w:name="_Toc2931"/>
      <w:bookmarkStart w:id="1294" w:name="_Toc5831"/>
      <w:bookmarkStart w:id="1295" w:name="_Toc17290"/>
      <w:r>
        <w:rPr>
          <w:rFonts w:hint="eastAsia" w:ascii="微软雅黑" w:hAnsi="微软雅黑" w:eastAsia="微软雅黑" w:cs="微软雅黑"/>
          <w:b/>
          <w:bCs/>
          <w:color w:val="auto"/>
          <w:sz w:val="22"/>
          <w:szCs w:val="22"/>
          <w:highlight w:val="none"/>
          <w:u w:val="none"/>
        </w:rPr>
        <w:t>33.政府采购信用担保</w:t>
      </w:r>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p>
    <w:p w14:paraId="0437ABD9">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33.1   本项目是否属于信用担保试点范围见</w:t>
      </w:r>
      <w:r>
        <w:rPr>
          <w:rFonts w:hint="eastAsia" w:ascii="微软雅黑" w:hAnsi="微软雅黑" w:eastAsia="微软雅黑" w:cs="微软雅黑"/>
          <w:color w:val="auto"/>
          <w:sz w:val="22"/>
          <w:szCs w:val="22"/>
          <w:highlight w:val="none"/>
          <w:u w:val="single"/>
          <w:lang w:eastAsia="zh-CN"/>
        </w:rPr>
        <w:t>供应商</w:t>
      </w:r>
      <w:r>
        <w:rPr>
          <w:rFonts w:hint="eastAsia" w:ascii="微软雅黑" w:hAnsi="微软雅黑" w:eastAsia="微软雅黑" w:cs="微软雅黑"/>
          <w:color w:val="auto"/>
          <w:sz w:val="22"/>
          <w:szCs w:val="22"/>
          <w:highlight w:val="none"/>
          <w:u w:val="single"/>
        </w:rPr>
        <w:t>须知资料表</w:t>
      </w:r>
      <w:r>
        <w:rPr>
          <w:rFonts w:hint="eastAsia" w:ascii="微软雅黑" w:hAnsi="微软雅黑" w:eastAsia="微软雅黑" w:cs="微软雅黑"/>
          <w:color w:val="auto"/>
          <w:sz w:val="22"/>
          <w:szCs w:val="22"/>
          <w:highlight w:val="none"/>
        </w:rPr>
        <w:t>。</w:t>
      </w:r>
    </w:p>
    <w:p w14:paraId="0C5BDA69">
      <w:pPr>
        <w:pageBreakBefore w:val="0"/>
        <w:widowControl w:val="0"/>
        <w:kinsoku/>
        <w:wordWrap/>
        <w:overflowPunct/>
        <w:topLinePunct w:val="0"/>
        <w:bidi w:val="0"/>
        <w:spacing w:line="360" w:lineRule="exact"/>
        <w:ind w:left="778" w:leftChars="0" w:hanging="778" w:hangingChars="354"/>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33.2   如属于政府采购信用担保试点范围内，中小型企业</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可以自由按照财政部门的规定，采用投标担保、履约担保和融资担保。</w:t>
      </w:r>
    </w:p>
    <w:p w14:paraId="3295691F">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 xml:space="preserve">33.2.1 </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递交的投标担</w:t>
      </w:r>
      <w:r>
        <w:rPr>
          <w:rFonts w:hint="eastAsia" w:ascii="微软雅黑" w:hAnsi="微软雅黑" w:eastAsia="微软雅黑" w:cs="微软雅黑"/>
          <w:color w:val="auto"/>
          <w:sz w:val="22"/>
          <w:szCs w:val="22"/>
          <w:highlight w:val="none"/>
          <w:lang w:eastAsia="zh-CN"/>
        </w:rPr>
        <w:t>保函</w:t>
      </w:r>
      <w:r>
        <w:rPr>
          <w:rFonts w:hint="eastAsia" w:ascii="微软雅黑" w:hAnsi="微软雅黑" w:eastAsia="微软雅黑" w:cs="微软雅黑"/>
          <w:color w:val="auto"/>
          <w:sz w:val="22"/>
          <w:szCs w:val="22"/>
          <w:highlight w:val="none"/>
        </w:rPr>
        <w:t>和履约担</w:t>
      </w:r>
      <w:r>
        <w:rPr>
          <w:rFonts w:hint="eastAsia" w:ascii="微软雅黑" w:hAnsi="微软雅黑" w:eastAsia="微软雅黑" w:cs="微软雅黑"/>
          <w:color w:val="auto"/>
          <w:sz w:val="22"/>
          <w:szCs w:val="22"/>
          <w:highlight w:val="none"/>
          <w:lang w:eastAsia="zh-CN"/>
        </w:rPr>
        <w:t>保函</w:t>
      </w:r>
      <w:r>
        <w:rPr>
          <w:rFonts w:hint="eastAsia" w:ascii="微软雅黑" w:hAnsi="微软雅黑" w:eastAsia="微软雅黑" w:cs="微软雅黑"/>
          <w:color w:val="auto"/>
          <w:sz w:val="22"/>
          <w:szCs w:val="22"/>
          <w:highlight w:val="none"/>
        </w:rPr>
        <w:t>应符合本招标文件的规定。</w:t>
      </w:r>
    </w:p>
    <w:p w14:paraId="6579A577">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33.2.2 中标人可以采取融资担保的形式为政府采购项目履约进行融资。</w:t>
      </w:r>
    </w:p>
    <w:p w14:paraId="05B65AE3">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33.2.3 合格的政府采购专业信用担保机构名单见</w:t>
      </w:r>
      <w:r>
        <w:rPr>
          <w:rFonts w:hint="eastAsia" w:ascii="微软雅黑" w:hAnsi="微软雅黑" w:eastAsia="微软雅黑" w:cs="微软雅黑"/>
          <w:color w:val="auto"/>
          <w:sz w:val="22"/>
          <w:szCs w:val="22"/>
          <w:highlight w:val="none"/>
          <w:u w:val="single"/>
          <w:lang w:eastAsia="zh-CN"/>
        </w:rPr>
        <w:t>供应商</w:t>
      </w:r>
      <w:r>
        <w:rPr>
          <w:rFonts w:hint="eastAsia" w:ascii="微软雅黑" w:hAnsi="微软雅黑" w:eastAsia="微软雅黑" w:cs="微软雅黑"/>
          <w:color w:val="auto"/>
          <w:sz w:val="22"/>
          <w:szCs w:val="22"/>
          <w:highlight w:val="none"/>
          <w:u w:val="single"/>
        </w:rPr>
        <w:t>须知资料表</w:t>
      </w:r>
      <w:r>
        <w:rPr>
          <w:rFonts w:hint="eastAsia" w:ascii="微软雅黑" w:hAnsi="微软雅黑" w:eastAsia="微软雅黑" w:cs="微软雅黑"/>
          <w:color w:val="auto"/>
          <w:sz w:val="22"/>
          <w:szCs w:val="22"/>
          <w:highlight w:val="none"/>
        </w:rPr>
        <w:t>。</w:t>
      </w:r>
    </w:p>
    <w:p w14:paraId="3265A2D1">
      <w:pPr>
        <w:pStyle w:val="4"/>
        <w:pageBreakBefore w:val="0"/>
        <w:widowControl w:val="0"/>
        <w:kinsoku/>
        <w:wordWrap/>
        <w:overflowPunct/>
        <w:topLinePunct w:val="0"/>
        <w:bidi w:val="0"/>
        <w:spacing w:before="0" w:after="0" w:line="360" w:lineRule="exact"/>
        <w:ind w:left="0" w:leftChars="0"/>
        <w:textAlignment w:val="auto"/>
        <w:rPr>
          <w:rFonts w:hint="eastAsia" w:ascii="微软雅黑" w:hAnsi="微软雅黑" w:eastAsia="微软雅黑" w:cs="微软雅黑"/>
          <w:b/>
          <w:bCs/>
          <w:color w:val="auto"/>
          <w:sz w:val="22"/>
          <w:szCs w:val="22"/>
          <w:highlight w:val="none"/>
          <w:u w:val="none"/>
        </w:rPr>
      </w:pPr>
      <w:bookmarkStart w:id="1296" w:name="_Toc23379"/>
      <w:bookmarkStart w:id="1297" w:name="_Toc9656"/>
      <w:bookmarkStart w:id="1298" w:name="_Toc1177"/>
      <w:bookmarkStart w:id="1299" w:name="_Toc6945"/>
      <w:bookmarkStart w:id="1300" w:name="_Toc27903"/>
      <w:bookmarkStart w:id="1301" w:name="_Toc30439"/>
      <w:bookmarkStart w:id="1302" w:name="_Toc3656"/>
      <w:bookmarkStart w:id="1303" w:name="_Toc22695"/>
      <w:bookmarkStart w:id="1304" w:name="_Toc27009"/>
      <w:bookmarkStart w:id="1305" w:name="_Toc21532"/>
      <w:bookmarkStart w:id="1306" w:name="_Toc29108"/>
      <w:bookmarkStart w:id="1307" w:name="_Toc5750"/>
      <w:bookmarkStart w:id="1308" w:name="_Toc14507"/>
      <w:bookmarkStart w:id="1309" w:name="_Toc22315"/>
      <w:bookmarkStart w:id="1310" w:name="_Toc3588"/>
      <w:bookmarkStart w:id="1311" w:name="_Toc7004"/>
      <w:bookmarkStart w:id="1312" w:name="_Toc31178"/>
      <w:bookmarkStart w:id="1313" w:name="_Toc28863"/>
      <w:bookmarkStart w:id="1314" w:name="_Toc20602"/>
      <w:bookmarkStart w:id="1315" w:name="_Toc3616"/>
      <w:bookmarkStart w:id="1316" w:name="_Toc2133"/>
      <w:bookmarkStart w:id="1317" w:name="_Toc23999"/>
      <w:bookmarkStart w:id="1318" w:name="_Toc19321"/>
      <w:bookmarkStart w:id="1319" w:name="_Toc515647796"/>
      <w:bookmarkStart w:id="1320" w:name="_Toc29099"/>
      <w:bookmarkStart w:id="1321" w:name="_Toc25832"/>
      <w:bookmarkStart w:id="1322" w:name="_Toc11707"/>
      <w:bookmarkStart w:id="1323" w:name="_Toc31425"/>
      <w:bookmarkStart w:id="1324" w:name="_Toc20411"/>
      <w:bookmarkStart w:id="1325" w:name="_Toc11552"/>
      <w:bookmarkStart w:id="1326" w:name="_Toc25791"/>
      <w:bookmarkStart w:id="1327" w:name="_Toc32224"/>
      <w:bookmarkStart w:id="1328" w:name="_Toc3447"/>
      <w:bookmarkStart w:id="1329" w:name="_Toc15843"/>
      <w:bookmarkStart w:id="1330" w:name="_Toc23161"/>
      <w:bookmarkStart w:id="1331" w:name="_Toc3890"/>
      <w:bookmarkStart w:id="1332" w:name="_Toc16632"/>
      <w:bookmarkStart w:id="1333" w:name="_Toc5262"/>
      <w:r>
        <w:rPr>
          <w:rFonts w:hint="eastAsia" w:ascii="微软雅黑" w:hAnsi="微软雅黑" w:eastAsia="微软雅黑" w:cs="微软雅黑"/>
          <w:b/>
          <w:bCs/>
          <w:color w:val="auto"/>
          <w:sz w:val="22"/>
          <w:szCs w:val="22"/>
          <w:highlight w:val="none"/>
          <w:u w:val="none"/>
        </w:rPr>
        <w:t>34.廉洁自律规定</w:t>
      </w:r>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p>
    <w:p w14:paraId="2369D699">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34.1   采购代理机构工作人员不得以不正当手段获取政府采购代理业务，不得与采购人、供应商恶意串通操纵政府采购活动。</w:t>
      </w:r>
    </w:p>
    <w:p w14:paraId="0568624D">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34.2   采购代理机构工作人员不得接受采购人或者供应商组织的宴请、旅游、娱乐，不得收受礼品、现金、有价证券等，不得向采购人或者供应商报销应当由个人承担的费用。</w:t>
      </w:r>
    </w:p>
    <w:p w14:paraId="21246B82">
      <w:pPr>
        <w:pStyle w:val="4"/>
        <w:pageBreakBefore w:val="0"/>
        <w:widowControl w:val="0"/>
        <w:kinsoku/>
        <w:wordWrap/>
        <w:overflowPunct/>
        <w:topLinePunct w:val="0"/>
        <w:bidi w:val="0"/>
        <w:spacing w:before="0" w:after="0" w:line="360" w:lineRule="exact"/>
        <w:ind w:left="0" w:leftChars="0"/>
        <w:textAlignment w:val="auto"/>
        <w:rPr>
          <w:rFonts w:hint="eastAsia" w:ascii="微软雅黑" w:hAnsi="微软雅黑" w:eastAsia="微软雅黑" w:cs="微软雅黑"/>
          <w:b/>
          <w:bCs/>
          <w:color w:val="auto"/>
          <w:sz w:val="22"/>
          <w:szCs w:val="22"/>
          <w:highlight w:val="none"/>
          <w:u w:val="none"/>
        </w:rPr>
      </w:pPr>
      <w:bookmarkStart w:id="1334" w:name="_Toc10574"/>
      <w:bookmarkStart w:id="1335" w:name="_Toc27260"/>
      <w:bookmarkStart w:id="1336" w:name="_Toc29018"/>
      <w:bookmarkStart w:id="1337" w:name="_Toc17682"/>
      <w:bookmarkStart w:id="1338" w:name="_Toc5448"/>
      <w:bookmarkStart w:id="1339" w:name="_Toc6587"/>
      <w:bookmarkStart w:id="1340" w:name="_Toc17079"/>
      <w:bookmarkStart w:id="1341" w:name="_Toc4826"/>
      <w:bookmarkStart w:id="1342" w:name="_Toc21508"/>
      <w:bookmarkStart w:id="1343" w:name="_Toc5069"/>
      <w:bookmarkStart w:id="1344" w:name="_Toc22500"/>
      <w:bookmarkStart w:id="1345" w:name="_Toc19562"/>
      <w:bookmarkStart w:id="1346" w:name="_Toc20945"/>
      <w:bookmarkStart w:id="1347" w:name="_Toc31456"/>
      <w:bookmarkStart w:id="1348" w:name="_Toc515647797"/>
      <w:bookmarkStart w:id="1349" w:name="_Toc25480"/>
      <w:bookmarkStart w:id="1350" w:name="_Toc24549"/>
      <w:bookmarkStart w:id="1351" w:name="_Toc11586"/>
      <w:bookmarkStart w:id="1352" w:name="_Toc21658"/>
      <w:bookmarkStart w:id="1353" w:name="_Toc14147"/>
      <w:bookmarkStart w:id="1354" w:name="_Toc5189"/>
      <w:bookmarkStart w:id="1355" w:name="_Toc23126"/>
      <w:bookmarkStart w:id="1356" w:name="_Toc27794"/>
      <w:bookmarkStart w:id="1357" w:name="_Toc30009"/>
      <w:bookmarkStart w:id="1358" w:name="_Toc12862"/>
      <w:bookmarkStart w:id="1359" w:name="_Toc19187"/>
      <w:bookmarkStart w:id="1360" w:name="_Toc13673"/>
      <w:bookmarkStart w:id="1361" w:name="_Toc32157"/>
      <w:bookmarkStart w:id="1362" w:name="_Toc19804"/>
      <w:bookmarkStart w:id="1363" w:name="_Toc22848"/>
      <w:bookmarkStart w:id="1364" w:name="_Toc3319"/>
      <w:bookmarkStart w:id="1365" w:name="_Toc25860"/>
      <w:bookmarkStart w:id="1366" w:name="_Toc24419"/>
      <w:bookmarkStart w:id="1367" w:name="_Toc8153"/>
      <w:bookmarkStart w:id="1368" w:name="_Toc11661"/>
      <w:bookmarkStart w:id="1369" w:name="_Toc12422"/>
      <w:bookmarkStart w:id="1370" w:name="_Toc30938"/>
      <w:bookmarkStart w:id="1371" w:name="_Toc23695"/>
      <w:r>
        <w:rPr>
          <w:rFonts w:hint="eastAsia" w:ascii="微软雅黑" w:hAnsi="微软雅黑" w:eastAsia="微软雅黑" w:cs="微软雅黑"/>
          <w:b/>
          <w:bCs/>
          <w:color w:val="auto"/>
          <w:sz w:val="22"/>
          <w:szCs w:val="22"/>
          <w:highlight w:val="none"/>
          <w:u w:val="none"/>
        </w:rPr>
        <w:t>35.人员回避</w:t>
      </w:r>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p>
    <w:p w14:paraId="7CCDB04E">
      <w:pPr>
        <w:pageBreakBefore w:val="0"/>
        <w:widowControl w:val="0"/>
        <w:kinsoku/>
        <w:wordWrap/>
        <w:overflowPunct/>
        <w:topLinePunct w:val="0"/>
        <w:bidi w:val="0"/>
        <w:spacing w:line="360" w:lineRule="exact"/>
        <w:ind w:left="825" w:leftChars="0" w:hanging="825" w:hangingChars="375"/>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 xml:space="preserve">       </w:t>
      </w:r>
      <w:r>
        <w:rPr>
          <w:rFonts w:hint="eastAsia" w:ascii="微软雅黑" w:hAnsi="微软雅黑" w:eastAsia="微软雅黑" w:cs="微软雅黑"/>
          <w:color w:val="auto"/>
          <w:sz w:val="22"/>
          <w:szCs w:val="22"/>
          <w:highlight w:val="none"/>
          <w:lang w:eastAsia="zh-CN"/>
        </w:rPr>
        <w:t>供应商</w:t>
      </w:r>
      <w:r>
        <w:rPr>
          <w:rFonts w:hint="eastAsia" w:ascii="微软雅黑" w:hAnsi="微软雅黑" w:eastAsia="微软雅黑" w:cs="微软雅黑"/>
          <w:color w:val="auto"/>
          <w:sz w:val="22"/>
          <w:szCs w:val="22"/>
          <w:highlight w:val="none"/>
        </w:rPr>
        <w:t>认为采购人员及其相关人员有法律法规所列与其他供应商有利害关系的，可以向采购人或采购代理机构书面提出回避申请，并说明理由。</w:t>
      </w:r>
    </w:p>
    <w:p w14:paraId="515A0B3D">
      <w:pPr>
        <w:pStyle w:val="4"/>
        <w:pageBreakBefore w:val="0"/>
        <w:widowControl w:val="0"/>
        <w:kinsoku/>
        <w:wordWrap/>
        <w:overflowPunct/>
        <w:topLinePunct w:val="0"/>
        <w:bidi w:val="0"/>
        <w:spacing w:before="0" w:after="0" w:line="360" w:lineRule="exact"/>
        <w:ind w:left="0" w:leftChars="0"/>
        <w:textAlignment w:val="auto"/>
        <w:rPr>
          <w:rFonts w:hint="eastAsia" w:ascii="微软雅黑" w:hAnsi="微软雅黑" w:eastAsia="微软雅黑" w:cs="微软雅黑"/>
          <w:b/>
          <w:bCs/>
          <w:color w:val="auto"/>
          <w:sz w:val="22"/>
          <w:szCs w:val="22"/>
          <w:highlight w:val="none"/>
          <w:u w:val="none"/>
        </w:rPr>
      </w:pPr>
      <w:bookmarkStart w:id="1372" w:name="_Toc31362"/>
      <w:bookmarkStart w:id="1373" w:name="_Toc5814"/>
      <w:bookmarkStart w:id="1374" w:name="_Toc12470"/>
      <w:bookmarkStart w:id="1375" w:name="_Toc15630"/>
      <w:bookmarkStart w:id="1376" w:name="_Toc14457"/>
      <w:bookmarkStart w:id="1377" w:name="_Toc6649"/>
      <w:bookmarkStart w:id="1378" w:name="_Toc9865"/>
      <w:bookmarkStart w:id="1379" w:name="_Toc8262"/>
      <w:bookmarkStart w:id="1380" w:name="_Toc24245"/>
      <w:bookmarkStart w:id="1381" w:name="_Toc22465"/>
      <w:bookmarkStart w:id="1382" w:name="_Toc4683"/>
      <w:bookmarkStart w:id="1383" w:name="_Toc6634"/>
      <w:bookmarkStart w:id="1384" w:name="_Toc27519"/>
      <w:bookmarkStart w:id="1385" w:name="_Toc30114"/>
      <w:bookmarkStart w:id="1386" w:name="_Toc19857"/>
      <w:bookmarkStart w:id="1387" w:name="_Toc7870"/>
      <w:bookmarkStart w:id="1388" w:name="_Toc1551"/>
      <w:bookmarkStart w:id="1389" w:name="_Toc32160"/>
      <w:bookmarkStart w:id="1390" w:name="_Toc26250"/>
      <w:bookmarkStart w:id="1391" w:name="_Toc27328"/>
      <w:bookmarkStart w:id="1392" w:name="_Toc22831"/>
      <w:bookmarkStart w:id="1393" w:name="_Toc19881"/>
      <w:bookmarkStart w:id="1394" w:name="_Toc12880"/>
      <w:bookmarkStart w:id="1395" w:name="_Toc1718"/>
      <w:bookmarkStart w:id="1396" w:name="_Toc24950"/>
      <w:bookmarkStart w:id="1397" w:name="_Toc19040"/>
      <w:bookmarkStart w:id="1398" w:name="_Toc1162"/>
      <w:bookmarkStart w:id="1399" w:name="_Toc13657"/>
      <w:bookmarkStart w:id="1400" w:name="_Toc22349"/>
      <w:bookmarkStart w:id="1401" w:name="_Toc6387"/>
      <w:bookmarkStart w:id="1402" w:name="_Toc8352"/>
      <w:bookmarkStart w:id="1403" w:name="_Toc30943"/>
      <w:bookmarkStart w:id="1404" w:name="_Toc12727"/>
      <w:bookmarkStart w:id="1405" w:name="_Toc26969"/>
      <w:bookmarkStart w:id="1406" w:name="_Toc11561"/>
      <w:r>
        <w:rPr>
          <w:rFonts w:hint="eastAsia" w:ascii="微软雅黑" w:hAnsi="微软雅黑" w:eastAsia="微软雅黑" w:cs="微软雅黑"/>
          <w:b/>
          <w:bCs/>
          <w:color w:val="auto"/>
          <w:sz w:val="22"/>
          <w:szCs w:val="22"/>
          <w:highlight w:val="none"/>
          <w:u w:val="none"/>
        </w:rPr>
        <w:t>36.</w:t>
      </w:r>
      <w:bookmarkEnd w:id="1372"/>
      <w:r>
        <w:rPr>
          <w:rFonts w:hint="eastAsia" w:ascii="微软雅黑" w:hAnsi="微软雅黑" w:eastAsia="微软雅黑" w:cs="微软雅黑"/>
          <w:b/>
          <w:bCs/>
          <w:color w:val="auto"/>
          <w:sz w:val="22"/>
          <w:szCs w:val="22"/>
          <w:highlight w:val="none"/>
          <w:u w:val="none"/>
        </w:rPr>
        <w:t>质疑与接收</w:t>
      </w:r>
      <w:bookmarkEnd w:id="21"/>
      <w:bookmarkEnd w:id="22"/>
      <w:bookmarkEnd w:id="23"/>
      <w:bookmarkEnd w:id="24"/>
      <w:bookmarkEnd w:id="25"/>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p>
    <w:p w14:paraId="02B66171">
      <w:pPr>
        <w:pageBreakBefore w:val="0"/>
        <w:widowControl w:val="0"/>
        <w:kinsoku/>
        <w:wordWrap/>
        <w:overflowPunct/>
        <w:topLinePunct w:val="0"/>
        <w:bidi w:val="0"/>
        <w:spacing w:line="360" w:lineRule="exact"/>
        <w:ind w:left="660" w:leftChars="0" w:hanging="660" w:hangingChars="30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36.1  供应商认为招标文件、招标过程和中标结果使自己的权益受到损害的，可以根据《中华人民共和国政府采购法》、《中华人民共和国政府采购法实施条例》和《政府采购质疑和投诉办法》的有关规定，依法向采购人或其委托的采购代理机构提出质疑。</w:t>
      </w:r>
    </w:p>
    <w:p w14:paraId="0F542F49">
      <w:pPr>
        <w:pStyle w:val="42"/>
        <w:pageBreakBefore w:val="0"/>
        <w:widowControl w:val="0"/>
        <w:kinsoku/>
        <w:wordWrap/>
        <w:overflowPunct/>
        <w:topLinePunct w:val="0"/>
        <w:bidi w:val="0"/>
        <w:spacing w:line="360" w:lineRule="exact"/>
        <w:ind w:left="660" w:leftChars="0" w:hanging="660" w:hangingChars="30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36.2  供应商对本项目提出质疑，必须按照相关法律法规的要求和程序，提供的质疑材料必须具备事实依据和法律依据。质疑函应当包含具体的质疑事项及事实依据，不得进行虚假及恶意质疑，如所提供的质疑材料出现恶意诋毁或与事实不符等现象，我公司将该企业的行为上报相应主管部门。</w:t>
      </w:r>
    </w:p>
    <w:p w14:paraId="2AD4F2D8">
      <w:pPr>
        <w:pStyle w:val="42"/>
        <w:pageBreakBefore w:val="0"/>
        <w:widowControl w:val="0"/>
        <w:kinsoku/>
        <w:wordWrap/>
        <w:overflowPunct/>
        <w:topLinePunct w:val="0"/>
        <w:bidi w:val="0"/>
        <w:spacing w:line="360" w:lineRule="exact"/>
        <w:ind w:left="660" w:leftChars="0" w:hanging="660" w:hangingChars="30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36.3  投诉的事项应当包含投诉的请求和法律依据，投诉的事项不得超出所质疑事项的范围。投诉人有捏造事实、提供虚假材料、以非法手段取得证明材料的行为之一的，属于虚假、恶意投诉，由财政部门列入不良行为记录名单，禁止其1至3年内参加政府采购活动。证据来源的合法性存在明显疑问，投诉人无法证明其取得方式合法的，视为以非法手段取得证明材料。</w:t>
      </w:r>
    </w:p>
    <w:p w14:paraId="638E0E86">
      <w:pPr>
        <w:pageBreakBefore w:val="0"/>
        <w:widowControl w:val="0"/>
        <w:kinsoku/>
        <w:wordWrap/>
        <w:overflowPunct/>
        <w:topLinePunct w:val="0"/>
        <w:bidi w:val="0"/>
        <w:spacing w:line="360" w:lineRule="exact"/>
        <w:ind w:left="660" w:leftChars="0" w:hanging="660" w:hangingChars="30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36.4 质疑供应商应按照财政部制定的《政府采购质疑函范本》格式（可从财政部官方网站下载）和《政府采购质疑和投诉办法》的要求，在法定质疑期内以纸质形式提出质疑，针对同一采购程序环节的质疑应一次性提出。超出法定质疑期的、重复提出的、分次提出的或内容、形式不符合《政府采购质疑和投诉办法》的，质疑供应商将依法承担不利后果。</w:t>
      </w:r>
    </w:p>
    <w:p w14:paraId="1347937E">
      <w:pPr>
        <w:pageBreakBefore w:val="0"/>
        <w:widowControl w:val="0"/>
        <w:kinsoku/>
        <w:wordWrap/>
        <w:overflowPunct/>
        <w:topLinePunct w:val="0"/>
        <w:bidi w:val="0"/>
        <w:spacing w:line="360" w:lineRule="exact"/>
        <w:ind w:left="660" w:leftChars="0" w:hanging="660" w:hangingChars="30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36.5  采购代理机构质疑函接收部门、联系电话和通讯地址, 见</w:t>
      </w:r>
      <w:r>
        <w:rPr>
          <w:rFonts w:hint="eastAsia" w:ascii="微软雅黑" w:hAnsi="微软雅黑" w:eastAsia="微软雅黑" w:cs="微软雅黑"/>
          <w:color w:val="auto"/>
          <w:sz w:val="22"/>
          <w:szCs w:val="22"/>
          <w:highlight w:val="none"/>
          <w:u w:val="single"/>
        </w:rPr>
        <w:t>供应商须知资料表。</w:t>
      </w:r>
    </w:p>
    <w:p w14:paraId="7C4DA18A">
      <w:pPr>
        <w:pageBreakBefore w:val="0"/>
        <w:widowControl w:val="0"/>
        <w:kinsoku/>
        <w:wordWrap/>
        <w:overflowPunct/>
        <w:topLinePunct w:val="0"/>
        <w:bidi w:val="0"/>
        <w:spacing w:line="360" w:lineRule="exact"/>
        <w:ind w:left="660" w:leftChars="0" w:hanging="660" w:hangingChars="30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36.6   供应商认为采购文件、采购过程和中标结果使自己的权益受到损害的，可以在知道或者应知其权益受到损害之日起7个工作日内，以书面形式向采购方提出质疑。供应商应知其权益受到损害之日，是指：</w:t>
      </w:r>
    </w:p>
    <w:p w14:paraId="4B35A813">
      <w:pPr>
        <w:pageBreakBefore w:val="0"/>
        <w:widowControl w:val="0"/>
        <w:kinsoku/>
        <w:wordWrap/>
        <w:overflowPunct/>
        <w:topLinePunct w:val="0"/>
        <w:bidi w:val="0"/>
        <w:spacing w:line="360" w:lineRule="exact"/>
        <w:ind w:left="660" w:leftChars="0" w:hanging="660" w:hangingChars="30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（一）对可以质疑的采购文件提出质疑的，为收到采购文件之日或者采购文件公告期限届满之日；</w:t>
      </w:r>
    </w:p>
    <w:p w14:paraId="023BC9C5">
      <w:pPr>
        <w:pageBreakBefore w:val="0"/>
        <w:widowControl w:val="0"/>
        <w:kinsoku/>
        <w:wordWrap/>
        <w:overflowPunct/>
        <w:topLinePunct w:val="0"/>
        <w:bidi w:val="0"/>
        <w:spacing w:line="360" w:lineRule="exact"/>
        <w:ind w:left="0" w:leftChars="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（二）对采购过程提出质疑的，为各采购程序环节结束之日；</w:t>
      </w:r>
    </w:p>
    <w:p w14:paraId="2C2241A7">
      <w:pPr>
        <w:pageBreakBefore w:val="0"/>
        <w:widowControl w:val="0"/>
        <w:kinsoku/>
        <w:wordWrap/>
        <w:overflowPunct/>
        <w:topLinePunct w:val="0"/>
        <w:bidi w:val="0"/>
        <w:spacing w:line="360" w:lineRule="exact"/>
        <w:ind w:left="0" w:leftChars="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（三）对中标结果提出质疑的，为中标结果公告期限届满之日。</w:t>
      </w:r>
    </w:p>
    <w:p w14:paraId="0E15C244">
      <w:pPr>
        <w:pageBreakBefore w:val="0"/>
        <w:widowControl w:val="0"/>
        <w:kinsoku/>
        <w:wordWrap/>
        <w:overflowPunct/>
        <w:topLinePunct w:val="0"/>
        <w:bidi w:val="0"/>
        <w:spacing w:line="360" w:lineRule="exact"/>
        <w:ind w:left="0" w:leftChars="0"/>
        <w:jc w:val="left"/>
        <w:textAlignment w:val="auto"/>
        <w:rPr>
          <w:rFonts w:hint="eastAsia" w:ascii="微软雅黑" w:hAnsi="微软雅黑" w:eastAsia="微软雅黑" w:cs="微软雅黑"/>
          <w:b w:val="0"/>
          <w:bCs w:val="0"/>
          <w:color w:val="auto"/>
          <w:sz w:val="22"/>
          <w:szCs w:val="22"/>
          <w:highlight w:val="none"/>
          <w:lang w:val="en-US" w:eastAsia="zh-CN"/>
        </w:rPr>
      </w:pPr>
      <w:r>
        <w:rPr>
          <w:rFonts w:hint="eastAsia" w:ascii="微软雅黑" w:hAnsi="微软雅黑" w:eastAsia="微软雅黑" w:cs="微软雅黑"/>
          <w:b w:val="0"/>
          <w:bCs w:val="0"/>
          <w:color w:val="auto"/>
          <w:sz w:val="22"/>
          <w:szCs w:val="22"/>
          <w:highlight w:val="none"/>
        </w:rPr>
        <w:t>36.7   供应商在法定质疑期内只能一次性提出针对同一采购程序环节的质疑，否则不予受理。</w:t>
      </w:r>
    </w:p>
    <w:p w14:paraId="726C93B6">
      <w:pPr>
        <w:pageBreakBefore w:val="0"/>
        <w:widowControl w:val="0"/>
        <w:kinsoku/>
        <w:wordWrap/>
        <w:overflowPunct/>
        <w:topLinePunct w:val="0"/>
        <w:bidi w:val="0"/>
        <w:spacing w:line="360" w:lineRule="exact"/>
        <w:ind w:left="660" w:leftChars="0" w:hanging="660" w:hangingChars="30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b w:val="0"/>
          <w:bCs w:val="0"/>
          <w:color w:val="auto"/>
          <w:sz w:val="22"/>
          <w:szCs w:val="22"/>
          <w:highlight w:val="none"/>
          <w:lang w:val="en-US" w:eastAsia="zh-CN"/>
        </w:rPr>
        <w:t xml:space="preserve">36.8   </w:t>
      </w:r>
      <w:r>
        <w:rPr>
          <w:rFonts w:hint="eastAsia" w:ascii="微软雅黑" w:hAnsi="微软雅黑" w:eastAsia="微软雅黑" w:cs="微软雅黑"/>
          <w:b w:val="0"/>
          <w:bCs w:val="0"/>
          <w:color w:val="auto"/>
          <w:sz w:val="22"/>
          <w:szCs w:val="22"/>
          <w:highlight w:val="none"/>
        </w:rPr>
        <w:t>对可以质</w:t>
      </w:r>
      <w:r>
        <w:rPr>
          <w:rFonts w:hint="eastAsia" w:ascii="微软雅黑" w:hAnsi="微软雅黑" w:eastAsia="微软雅黑" w:cs="微软雅黑"/>
          <w:color w:val="auto"/>
          <w:sz w:val="22"/>
          <w:szCs w:val="22"/>
          <w:highlight w:val="none"/>
        </w:rPr>
        <w:t>疑的采购文件提出质疑的，质疑人为参与本项目的报价方或潜在报价方。可质疑的文件为采购公告以及采购文件（包括属于其组成部分的澄清、修改、补充文件和评审标准、合同文本等）。</w:t>
      </w:r>
    </w:p>
    <w:p w14:paraId="59D73238">
      <w:pPr>
        <w:pageBreakBefore w:val="0"/>
        <w:widowControl w:val="0"/>
        <w:kinsoku/>
        <w:wordWrap/>
        <w:overflowPunct/>
        <w:topLinePunct w:val="0"/>
        <w:bidi w:val="0"/>
        <w:spacing w:line="360" w:lineRule="exact"/>
        <w:ind w:left="660" w:leftChars="0" w:hanging="660" w:hangingChars="30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36.</w:t>
      </w:r>
      <w:r>
        <w:rPr>
          <w:rFonts w:hint="eastAsia" w:ascii="微软雅黑" w:hAnsi="微软雅黑" w:eastAsia="微软雅黑" w:cs="微软雅黑"/>
          <w:color w:val="auto"/>
          <w:sz w:val="22"/>
          <w:szCs w:val="22"/>
          <w:highlight w:val="none"/>
          <w:lang w:val="en-US" w:eastAsia="zh-CN"/>
        </w:rPr>
        <w:t>9</w:t>
      </w:r>
      <w:r>
        <w:rPr>
          <w:rFonts w:hint="eastAsia" w:ascii="微软雅黑" w:hAnsi="微软雅黑" w:eastAsia="微软雅黑" w:cs="微软雅黑"/>
          <w:color w:val="auto"/>
          <w:sz w:val="22"/>
          <w:szCs w:val="22"/>
          <w:highlight w:val="none"/>
        </w:rPr>
        <w:t xml:space="preserve">  对采购过程和中标结果提出质疑的，质疑人为直接参与本项目的报价方。采购过程,即从采购项目信息公告发布起到中标结果公告止，包括采购文件的发出、提交</w:t>
      </w:r>
      <w:r>
        <w:rPr>
          <w:rFonts w:hint="eastAsia" w:ascii="微软雅黑" w:hAnsi="微软雅黑" w:eastAsia="微软雅黑" w:cs="微软雅黑"/>
          <w:color w:val="auto"/>
          <w:sz w:val="22"/>
          <w:szCs w:val="22"/>
          <w:highlight w:val="none"/>
          <w:lang w:eastAsia="zh-CN"/>
        </w:rPr>
        <w:t>投标文件</w:t>
      </w:r>
      <w:r>
        <w:rPr>
          <w:rFonts w:hint="eastAsia" w:ascii="微软雅黑" w:hAnsi="微软雅黑" w:eastAsia="微软雅黑" w:cs="微软雅黑"/>
          <w:color w:val="auto"/>
          <w:sz w:val="22"/>
          <w:szCs w:val="22"/>
          <w:highlight w:val="none"/>
        </w:rPr>
        <w:t>、</w:t>
      </w:r>
      <w:r>
        <w:rPr>
          <w:rFonts w:hint="eastAsia" w:ascii="微软雅黑" w:hAnsi="微软雅黑" w:eastAsia="微软雅黑" w:cs="微软雅黑"/>
          <w:color w:val="auto"/>
          <w:sz w:val="22"/>
          <w:szCs w:val="22"/>
          <w:highlight w:val="none"/>
          <w:lang w:eastAsia="zh-CN"/>
        </w:rPr>
        <w:t>投标文件</w:t>
      </w:r>
      <w:r>
        <w:rPr>
          <w:rFonts w:hint="eastAsia" w:ascii="微软雅黑" w:hAnsi="微软雅黑" w:eastAsia="微软雅黑" w:cs="微软雅黑"/>
          <w:color w:val="auto"/>
          <w:sz w:val="22"/>
          <w:szCs w:val="22"/>
          <w:highlight w:val="none"/>
        </w:rPr>
        <w:t>开启、评审等各个采购程序环节。</w:t>
      </w:r>
    </w:p>
    <w:p w14:paraId="34123E3E">
      <w:pPr>
        <w:pageBreakBefore w:val="0"/>
        <w:widowControl w:val="0"/>
        <w:kinsoku/>
        <w:wordWrap/>
        <w:overflowPunct/>
        <w:topLinePunct w:val="0"/>
        <w:bidi w:val="0"/>
        <w:spacing w:line="360" w:lineRule="exact"/>
        <w:ind w:left="0" w:leftChars="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36.</w:t>
      </w:r>
      <w:r>
        <w:rPr>
          <w:rFonts w:hint="eastAsia" w:ascii="微软雅黑" w:hAnsi="微软雅黑" w:eastAsia="微软雅黑" w:cs="微软雅黑"/>
          <w:color w:val="auto"/>
          <w:sz w:val="22"/>
          <w:szCs w:val="22"/>
          <w:highlight w:val="none"/>
          <w:lang w:val="en-US" w:eastAsia="zh-CN"/>
        </w:rPr>
        <w:t>10</w:t>
      </w:r>
      <w:r>
        <w:rPr>
          <w:rFonts w:hint="eastAsia" w:ascii="微软雅黑" w:hAnsi="微软雅黑" w:eastAsia="微软雅黑" w:cs="微软雅黑"/>
          <w:color w:val="auto"/>
          <w:sz w:val="22"/>
          <w:szCs w:val="22"/>
          <w:highlight w:val="none"/>
        </w:rPr>
        <w:t xml:space="preserve">  提出质疑应当符合下列条件：</w:t>
      </w:r>
    </w:p>
    <w:p w14:paraId="20C855E8">
      <w:pPr>
        <w:pageBreakBefore w:val="0"/>
        <w:widowControl w:val="0"/>
        <w:kinsoku/>
        <w:wordWrap/>
        <w:overflowPunct/>
        <w:topLinePunct w:val="0"/>
        <w:bidi w:val="0"/>
        <w:spacing w:line="360" w:lineRule="exact"/>
        <w:ind w:left="0" w:leftChars="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（一）质疑主体应当符合有关规定；</w:t>
      </w:r>
    </w:p>
    <w:p w14:paraId="6B82154A">
      <w:pPr>
        <w:pageBreakBefore w:val="0"/>
        <w:widowControl w:val="0"/>
        <w:kinsoku/>
        <w:wordWrap/>
        <w:overflowPunct/>
        <w:topLinePunct w:val="0"/>
        <w:bidi w:val="0"/>
        <w:spacing w:line="360" w:lineRule="exact"/>
        <w:ind w:left="0" w:leftChars="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（二）在质疑法定期限内提出；</w:t>
      </w:r>
    </w:p>
    <w:p w14:paraId="2429D3A9">
      <w:pPr>
        <w:pageBreakBefore w:val="0"/>
        <w:widowControl w:val="0"/>
        <w:kinsoku/>
        <w:wordWrap/>
        <w:overflowPunct/>
        <w:topLinePunct w:val="0"/>
        <w:bidi w:val="0"/>
        <w:spacing w:line="360" w:lineRule="exact"/>
        <w:ind w:left="0" w:leftChars="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（三）属于可以提出质疑的政府采购事项受理范围和本项目采购人的管辖权范围；</w:t>
      </w:r>
    </w:p>
    <w:p w14:paraId="7C9A24A7">
      <w:pPr>
        <w:pageBreakBefore w:val="0"/>
        <w:widowControl w:val="0"/>
        <w:kinsoku/>
        <w:wordWrap/>
        <w:overflowPunct/>
        <w:topLinePunct w:val="0"/>
        <w:bidi w:val="0"/>
        <w:spacing w:line="360" w:lineRule="exact"/>
        <w:ind w:left="0" w:leftChars="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（四）政府采购法律、法规、规章规定的其他条件。</w:t>
      </w:r>
    </w:p>
    <w:p w14:paraId="61AA4A12">
      <w:pPr>
        <w:pageBreakBefore w:val="0"/>
        <w:widowControl w:val="0"/>
        <w:kinsoku/>
        <w:wordWrap/>
        <w:overflowPunct/>
        <w:topLinePunct w:val="0"/>
        <w:bidi w:val="0"/>
        <w:spacing w:line="360" w:lineRule="exact"/>
        <w:ind w:left="660" w:leftChars="0" w:hanging="660" w:hangingChars="30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36.</w:t>
      </w:r>
      <w:r>
        <w:rPr>
          <w:rFonts w:hint="eastAsia" w:ascii="微软雅黑" w:hAnsi="微软雅黑" w:eastAsia="微软雅黑" w:cs="微软雅黑"/>
          <w:color w:val="auto"/>
          <w:sz w:val="22"/>
          <w:szCs w:val="22"/>
          <w:highlight w:val="none"/>
          <w:lang w:val="en-US" w:eastAsia="zh-CN"/>
        </w:rPr>
        <w:t>11</w:t>
      </w:r>
      <w:r>
        <w:rPr>
          <w:rFonts w:hint="eastAsia" w:ascii="微软雅黑" w:hAnsi="微软雅黑" w:eastAsia="微软雅黑" w:cs="微软雅黑"/>
          <w:color w:val="auto"/>
          <w:sz w:val="22"/>
          <w:szCs w:val="22"/>
          <w:highlight w:val="none"/>
        </w:rPr>
        <w:t xml:space="preserve">  提出质疑应当具有明确的请求和提供必要的证明材料。明确的请求,即质疑人在质疑函中提出的，要求采购方对其予以支持的主张。必要的证明材料,即能够证明质疑人的质疑请求成立的必要材料，包括相关证据、依据和其他有关材料。</w:t>
      </w:r>
    </w:p>
    <w:p w14:paraId="3D807F9A">
      <w:pPr>
        <w:pageBreakBefore w:val="0"/>
        <w:widowControl w:val="0"/>
        <w:kinsoku/>
        <w:wordWrap/>
        <w:overflowPunct/>
        <w:topLinePunct w:val="0"/>
        <w:bidi w:val="0"/>
        <w:spacing w:line="360" w:lineRule="exact"/>
        <w:ind w:left="660" w:leftChars="0" w:hanging="660" w:hangingChars="30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36.</w:t>
      </w:r>
      <w:r>
        <w:rPr>
          <w:rFonts w:hint="eastAsia" w:ascii="微软雅黑" w:hAnsi="微软雅黑" w:eastAsia="微软雅黑" w:cs="微软雅黑"/>
          <w:color w:val="auto"/>
          <w:sz w:val="22"/>
          <w:szCs w:val="22"/>
          <w:highlight w:val="none"/>
          <w:lang w:val="en-US" w:eastAsia="zh-CN"/>
        </w:rPr>
        <w:t>12</w:t>
      </w:r>
      <w:r>
        <w:rPr>
          <w:rFonts w:hint="eastAsia" w:ascii="微软雅黑" w:hAnsi="微软雅黑" w:eastAsia="微软雅黑" w:cs="微软雅黑"/>
          <w:color w:val="auto"/>
          <w:sz w:val="22"/>
          <w:szCs w:val="22"/>
          <w:highlight w:val="none"/>
        </w:rPr>
        <w:t xml:space="preserve">  质疑人所提供的证明材料应当具有真实性、合法性以及与质疑事项的关联性和证明力，否则不能作为认定该质疑事项成立的依据。</w:t>
      </w:r>
    </w:p>
    <w:p w14:paraId="28251E0E">
      <w:pPr>
        <w:pageBreakBefore w:val="0"/>
        <w:widowControl w:val="0"/>
        <w:kinsoku/>
        <w:wordWrap/>
        <w:overflowPunct/>
        <w:topLinePunct w:val="0"/>
        <w:bidi w:val="0"/>
        <w:spacing w:line="360" w:lineRule="exact"/>
        <w:ind w:left="0" w:leftChars="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36.</w:t>
      </w:r>
      <w:r>
        <w:rPr>
          <w:rFonts w:hint="eastAsia" w:ascii="微软雅黑" w:hAnsi="微软雅黑" w:eastAsia="微软雅黑" w:cs="微软雅黑"/>
          <w:color w:val="auto"/>
          <w:sz w:val="22"/>
          <w:szCs w:val="22"/>
          <w:highlight w:val="none"/>
          <w:lang w:val="en-US" w:eastAsia="zh-CN"/>
        </w:rPr>
        <w:t>13</w:t>
      </w:r>
      <w:r>
        <w:rPr>
          <w:rFonts w:hint="eastAsia" w:ascii="微软雅黑" w:hAnsi="微软雅黑" w:eastAsia="微软雅黑" w:cs="微软雅黑"/>
          <w:color w:val="auto"/>
          <w:sz w:val="22"/>
          <w:szCs w:val="22"/>
          <w:highlight w:val="none"/>
        </w:rPr>
        <w:t xml:space="preserve"> 质疑人提出质疑时应当提交质疑函。质疑函包括下列内容：</w:t>
      </w:r>
    </w:p>
    <w:p w14:paraId="263B20B7">
      <w:pPr>
        <w:pageBreakBefore w:val="0"/>
        <w:widowControl w:val="0"/>
        <w:kinsoku/>
        <w:wordWrap/>
        <w:overflowPunct/>
        <w:topLinePunct w:val="0"/>
        <w:bidi w:val="0"/>
        <w:spacing w:line="360" w:lineRule="exact"/>
        <w:ind w:left="0" w:leftChars="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（一）提出质疑的质疑人的名称、地址、邮编、联系人及联系电话等；</w:t>
      </w:r>
    </w:p>
    <w:p w14:paraId="7E85B7F1">
      <w:pPr>
        <w:pageBreakBefore w:val="0"/>
        <w:widowControl w:val="0"/>
        <w:kinsoku/>
        <w:wordWrap/>
        <w:overflowPunct/>
        <w:topLinePunct w:val="0"/>
        <w:bidi w:val="0"/>
        <w:spacing w:line="360" w:lineRule="exact"/>
        <w:ind w:left="0" w:leftChars="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（二）质疑项目的名称、编号；</w:t>
      </w:r>
    </w:p>
    <w:p w14:paraId="7AC05B74">
      <w:pPr>
        <w:pageBreakBefore w:val="0"/>
        <w:widowControl w:val="0"/>
        <w:kinsoku/>
        <w:wordWrap/>
        <w:overflowPunct/>
        <w:topLinePunct w:val="0"/>
        <w:bidi w:val="0"/>
        <w:spacing w:line="360" w:lineRule="exact"/>
        <w:ind w:left="0" w:leftChars="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（三）质疑事项；</w:t>
      </w:r>
    </w:p>
    <w:p w14:paraId="1A32BB8B">
      <w:pPr>
        <w:pageBreakBefore w:val="0"/>
        <w:widowControl w:val="0"/>
        <w:kinsoku/>
        <w:wordWrap/>
        <w:overflowPunct/>
        <w:topLinePunct w:val="0"/>
        <w:bidi w:val="0"/>
        <w:spacing w:line="360" w:lineRule="exact"/>
        <w:ind w:left="0" w:leftChars="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（四）事实依据和证明材料；</w:t>
      </w:r>
    </w:p>
    <w:p w14:paraId="5E67E1F5">
      <w:pPr>
        <w:pageBreakBefore w:val="0"/>
        <w:widowControl w:val="0"/>
        <w:kinsoku/>
        <w:wordWrap/>
        <w:overflowPunct/>
        <w:topLinePunct w:val="0"/>
        <w:bidi w:val="0"/>
        <w:spacing w:line="360" w:lineRule="exact"/>
        <w:ind w:left="0" w:leftChars="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（五）法律依据；</w:t>
      </w:r>
    </w:p>
    <w:p w14:paraId="22451F5E">
      <w:pPr>
        <w:pageBreakBefore w:val="0"/>
        <w:widowControl w:val="0"/>
        <w:kinsoku/>
        <w:wordWrap/>
        <w:overflowPunct/>
        <w:topLinePunct w:val="0"/>
        <w:bidi w:val="0"/>
        <w:spacing w:line="360" w:lineRule="exact"/>
        <w:ind w:left="0" w:leftChars="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（六）提出质疑的日期。</w:t>
      </w:r>
    </w:p>
    <w:p w14:paraId="3D6392A5">
      <w:pPr>
        <w:pageBreakBefore w:val="0"/>
        <w:widowControl w:val="0"/>
        <w:kinsoku/>
        <w:wordWrap/>
        <w:overflowPunct/>
        <w:topLinePunct w:val="0"/>
        <w:bidi w:val="0"/>
        <w:spacing w:line="360" w:lineRule="exact"/>
        <w:ind w:left="718" w:leftChars="342" w:firstLine="0" w:firstLineChars="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质疑函采用实名制。质疑人为自然人的应当由本人签字，并附有效身份证明文件；质疑人为法人或者非法人组织的应当由法定代表人或者负责人签字并加盖公章，并附有效身份证明文件。</w:t>
      </w:r>
    </w:p>
    <w:p w14:paraId="50DC9965">
      <w:pPr>
        <w:pageBreakBefore w:val="0"/>
        <w:widowControl w:val="0"/>
        <w:kinsoku/>
        <w:wordWrap/>
        <w:overflowPunct/>
        <w:topLinePunct w:val="0"/>
        <w:bidi w:val="0"/>
        <w:spacing w:line="360" w:lineRule="exact"/>
        <w:ind w:left="660" w:leftChars="0" w:hanging="660" w:hangingChars="30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36.</w:t>
      </w:r>
      <w:r>
        <w:rPr>
          <w:rFonts w:hint="eastAsia" w:ascii="微软雅黑" w:hAnsi="微软雅黑" w:eastAsia="微软雅黑" w:cs="微软雅黑"/>
          <w:color w:val="auto"/>
          <w:sz w:val="22"/>
          <w:szCs w:val="22"/>
          <w:highlight w:val="none"/>
          <w:lang w:val="en-US" w:eastAsia="zh-CN"/>
        </w:rPr>
        <w:t>14</w:t>
      </w:r>
      <w:r>
        <w:rPr>
          <w:rFonts w:hint="eastAsia" w:ascii="微软雅黑" w:hAnsi="微软雅黑" w:eastAsia="微软雅黑" w:cs="微软雅黑"/>
          <w:color w:val="auto"/>
          <w:sz w:val="22"/>
          <w:szCs w:val="22"/>
          <w:highlight w:val="none"/>
        </w:rPr>
        <w:t xml:space="preserve">  质疑人可以委托代理人进行质疑。代理人应当提交授权委托书。授权委托书应当载明委托代理的具体权限、期限和相关事项。</w:t>
      </w:r>
    </w:p>
    <w:p w14:paraId="2403EE60">
      <w:pPr>
        <w:pageBreakBefore w:val="0"/>
        <w:widowControl w:val="0"/>
        <w:kinsoku/>
        <w:wordWrap/>
        <w:overflowPunct/>
        <w:topLinePunct w:val="0"/>
        <w:bidi w:val="0"/>
        <w:spacing w:line="360" w:lineRule="exact"/>
        <w:ind w:left="0" w:leftChars="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36.1</w:t>
      </w:r>
      <w:r>
        <w:rPr>
          <w:rFonts w:hint="eastAsia" w:ascii="微软雅黑" w:hAnsi="微软雅黑" w:eastAsia="微软雅黑" w:cs="微软雅黑"/>
          <w:color w:val="auto"/>
          <w:sz w:val="22"/>
          <w:szCs w:val="22"/>
          <w:highlight w:val="none"/>
          <w:lang w:val="en-US" w:eastAsia="zh-CN"/>
        </w:rPr>
        <w:t>5</w:t>
      </w:r>
      <w:r>
        <w:rPr>
          <w:rFonts w:hint="eastAsia" w:ascii="微软雅黑" w:hAnsi="微软雅黑" w:eastAsia="微软雅黑" w:cs="微软雅黑"/>
          <w:color w:val="auto"/>
          <w:sz w:val="22"/>
          <w:szCs w:val="22"/>
          <w:highlight w:val="none"/>
        </w:rPr>
        <w:t xml:space="preserve">  质疑的审查和受理</w:t>
      </w:r>
    </w:p>
    <w:p w14:paraId="46B4E459">
      <w:pPr>
        <w:pageBreakBefore w:val="0"/>
        <w:widowControl w:val="0"/>
        <w:kinsoku/>
        <w:wordWrap/>
        <w:overflowPunct/>
        <w:topLinePunct w:val="0"/>
        <w:bidi w:val="0"/>
        <w:spacing w:line="360" w:lineRule="exact"/>
        <w:ind w:left="718" w:leftChars="342" w:firstLine="0" w:firstLineChars="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采购方在收到质疑函后应当及时审查是否符合质疑受理条件，对符合质疑受理条件的，及时予以受理。</w:t>
      </w:r>
    </w:p>
    <w:p w14:paraId="147938F8">
      <w:pPr>
        <w:pageBreakBefore w:val="0"/>
        <w:widowControl w:val="0"/>
        <w:kinsoku/>
        <w:wordWrap/>
        <w:overflowPunct/>
        <w:topLinePunct w:val="0"/>
        <w:bidi w:val="0"/>
        <w:spacing w:line="360" w:lineRule="exact"/>
        <w:ind w:left="0" w:leftChars="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36.1</w:t>
      </w:r>
      <w:r>
        <w:rPr>
          <w:rFonts w:hint="eastAsia" w:ascii="微软雅黑" w:hAnsi="微软雅黑" w:eastAsia="微软雅黑" w:cs="微软雅黑"/>
          <w:color w:val="auto"/>
          <w:sz w:val="22"/>
          <w:szCs w:val="22"/>
          <w:highlight w:val="none"/>
          <w:lang w:val="en-US" w:eastAsia="zh-CN"/>
        </w:rPr>
        <w:t>6</w:t>
      </w:r>
      <w:r>
        <w:rPr>
          <w:rFonts w:hint="eastAsia" w:ascii="微软雅黑" w:hAnsi="微软雅黑" w:eastAsia="微软雅黑" w:cs="微软雅黑"/>
          <w:color w:val="auto"/>
          <w:sz w:val="22"/>
          <w:szCs w:val="22"/>
          <w:highlight w:val="none"/>
        </w:rPr>
        <w:t xml:space="preserve">  对不符合质疑受理条件的，分别按照下列不同情形予以处理：</w:t>
      </w:r>
    </w:p>
    <w:p w14:paraId="5C534ABF">
      <w:pPr>
        <w:pageBreakBefore w:val="0"/>
        <w:widowControl w:val="0"/>
        <w:kinsoku/>
        <w:wordWrap/>
        <w:overflowPunct/>
        <w:topLinePunct w:val="0"/>
        <w:bidi w:val="0"/>
        <w:spacing w:line="360" w:lineRule="exact"/>
        <w:ind w:left="660" w:leftChars="0" w:hanging="660" w:hangingChars="30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（一）质疑函内容不符合规定的，告知质疑人进行修改并重新提出质疑。修改后质疑事项仍不具体、不明确或者最终递交质疑函的时间超过质疑法定期限的，不予受理；</w:t>
      </w:r>
    </w:p>
    <w:p w14:paraId="5C325ACB">
      <w:pPr>
        <w:pageBreakBefore w:val="0"/>
        <w:widowControl w:val="0"/>
        <w:kinsoku/>
        <w:wordWrap/>
        <w:overflowPunct/>
        <w:topLinePunct w:val="0"/>
        <w:bidi w:val="0"/>
        <w:spacing w:line="360" w:lineRule="exact"/>
        <w:ind w:left="0" w:leftChars="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（二）质疑主体不符合有关规定的，告知质疑人不予受理；</w:t>
      </w:r>
    </w:p>
    <w:p w14:paraId="6F3E2D47">
      <w:pPr>
        <w:pageBreakBefore w:val="0"/>
        <w:widowControl w:val="0"/>
        <w:kinsoku/>
        <w:wordWrap/>
        <w:overflowPunct/>
        <w:topLinePunct w:val="0"/>
        <w:bidi w:val="0"/>
        <w:spacing w:line="360" w:lineRule="exact"/>
        <w:ind w:left="0" w:leftChars="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（三）超过质疑法定期限提出质疑的，告知质疑人不予受理；</w:t>
      </w:r>
    </w:p>
    <w:p w14:paraId="2EAEE09E">
      <w:pPr>
        <w:pageBreakBefore w:val="0"/>
        <w:widowControl w:val="0"/>
        <w:kinsoku/>
        <w:wordWrap/>
        <w:overflowPunct/>
        <w:topLinePunct w:val="0"/>
        <w:bidi w:val="0"/>
        <w:spacing w:line="360" w:lineRule="exact"/>
        <w:ind w:left="0" w:leftChars="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（四）对不属于可以提出质疑的政府采购事项提出质疑的，告知质疑人不予受理；</w:t>
      </w:r>
    </w:p>
    <w:p w14:paraId="59138D64">
      <w:pPr>
        <w:pageBreakBefore w:val="0"/>
        <w:widowControl w:val="0"/>
        <w:kinsoku/>
        <w:wordWrap/>
        <w:overflowPunct/>
        <w:topLinePunct w:val="0"/>
        <w:bidi w:val="0"/>
        <w:spacing w:line="360" w:lineRule="exact"/>
        <w:ind w:left="660" w:leftChars="0" w:hanging="660" w:hangingChars="30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（五）质疑不属于本项目采购方管辖的，告知质疑人向有管辖权的采购人提出质疑；</w:t>
      </w:r>
    </w:p>
    <w:p w14:paraId="5051945E">
      <w:pPr>
        <w:pageBreakBefore w:val="0"/>
        <w:widowControl w:val="0"/>
        <w:kinsoku/>
        <w:wordWrap/>
        <w:overflowPunct/>
        <w:topLinePunct w:val="0"/>
        <w:bidi w:val="0"/>
        <w:spacing w:line="360" w:lineRule="exact"/>
        <w:ind w:left="0" w:leftChars="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（六）质疑不符合其他条件的，告知质疑人不予受理。</w:t>
      </w:r>
    </w:p>
    <w:p w14:paraId="752C988B">
      <w:pPr>
        <w:pageBreakBefore w:val="0"/>
        <w:widowControl w:val="0"/>
        <w:kinsoku/>
        <w:wordWrap/>
        <w:overflowPunct/>
        <w:topLinePunct w:val="0"/>
        <w:bidi w:val="0"/>
        <w:spacing w:line="360" w:lineRule="exact"/>
        <w:ind w:left="0" w:leftChars="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36.1</w:t>
      </w:r>
      <w:r>
        <w:rPr>
          <w:rFonts w:hint="eastAsia" w:ascii="微软雅黑" w:hAnsi="微软雅黑" w:eastAsia="微软雅黑" w:cs="微软雅黑"/>
          <w:color w:val="auto"/>
          <w:sz w:val="22"/>
          <w:szCs w:val="22"/>
          <w:highlight w:val="none"/>
          <w:lang w:val="en-US" w:eastAsia="zh-CN"/>
        </w:rPr>
        <w:t>7</w:t>
      </w:r>
      <w:r>
        <w:rPr>
          <w:rFonts w:hint="eastAsia" w:ascii="微软雅黑" w:hAnsi="微软雅黑" w:eastAsia="微软雅黑" w:cs="微软雅黑"/>
          <w:color w:val="auto"/>
          <w:sz w:val="22"/>
          <w:szCs w:val="22"/>
          <w:highlight w:val="none"/>
        </w:rPr>
        <w:t xml:space="preserve">  质疑的处理和答复</w:t>
      </w:r>
    </w:p>
    <w:p w14:paraId="3391A6A5">
      <w:pPr>
        <w:pageBreakBefore w:val="0"/>
        <w:widowControl w:val="0"/>
        <w:kinsoku/>
        <w:wordWrap/>
        <w:overflowPunct/>
        <w:topLinePunct w:val="0"/>
        <w:bidi w:val="0"/>
        <w:spacing w:line="360" w:lineRule="exact"/>
        <w:ind w:left="660" w:leftChars="0" w:hanging="660" w:hangingChars="30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36.1</w:t>
      </w:r>
      <w:r>
        <w:rPr>
          <w:rFonts w:hint="eastAsia" w:ascii="微软雅黑" w:hAnsi="微软雅黑" w:eastAsia="微软雅黑" w:cs="微软雅黑"/>
          <w:color w:val="auto"/>
          <w:sz w:val="22"/>
          <w:szCs w:val="22"/>
          <w:highlight w:val="none"/>
          <w:lang w:val="en-US" w:eastAsia="zh-CN"/>
        </w:rPr>
        <w:t>8</w:t>
      </w:r>
      <w:r>
        <w:rPr>
          <w:rFonts w:hint="eastAsia" w:ascii="微软雅黑" w:hAnsi="微软雅黑" w:eastAsia="微软雅黑" w:cs="微软雅黑"/>
          <w:color w:val="auto"/>
          <w:sz w:val="22"/>
          <w:szCs w:val="22"/>
          <w:highlight w:val="none"/>
        </w:rPr>
        <w:t xml:space="preserve">  采购方受理质疑后，将及时把质疑函发送给被质疑人，并要求其在一定限期内提交书面答复，同时提供有关证据、依据和相关材料。</w:t>
      </w:r>
    </w:p>
    <w:p w14:paraId="349F69D8">
      <w:pPr>
        <w:pageBreakBefore w:val="0"/>
        <w:widowControl w:val="0"/>
        <w:kinsoku/>
        <w:wordWrap/>
        <w:overflowPunct/>
        <w:topLinePunct w:val="0"/>
        <w:bidi w:val="0"/>
        <w:spacing w:line="360" w:lineRule="exact"/>
        <w:ind w:left="880" w:leftChars="0" w:hanging="880" w:hangingChars="40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36.</w:t>
      </w:r>
      <w:r>
        <w:rPr>
          <w:rFonts w:hint="eastAsia" w:ascii="微软雅黑" w:hAnsi="微软雅黑" w:eastAsia="微软雅黑" w:cs="微软雅黑"/>
          <w:color w:val="auto"/>
          <w:sz w:val="22"/>
          <w:szCs w:val="22"/>
          <w:highlight w:val="none"/>
          <w:lang w:val="en-US" w:eastAsia="zh-CN"/>
        </w:rPr>
        <w:t>19</w:t>
      </w:r>
      <w:r>
        <w:rPr>
          <w:rFonts w:hint="eastAsia" w:ascii="微软雅黑" w:hAnsi="微软雅黑" w:eastAsia="微软雅黑" w:cs="微软雅黑"/>
          <w:color w:val="auto"/>
          <w:sz w:val="22"/>
          <w:szCs w:val="22"/>
          <w:highlight w:val="none"/>
        </w:rPr>
        <w:t xml:space="preserve">  对于质疑事项中涉及的问题较多、情况比较复杂的，为了全面查清事实、取得充分的证据，采购方认为有必要时，可以进行调查取证或者组织质证。</w:t>
      </w:r>
    </w:p>
    <w:p w14:paraId="057AB434">
      <w:pPr>
        <w:pageBreakBefore w:val="0"/>
        <w:widowControl w:val="0"/>
        <w:kinsoku/>
        <w:wordWrap/>
        <w:overflowPunct/>
        <w:topLinePunct w:val="0"/>
        <w:bidi w:val="0"/>
        <w:spacing w:line="360" w:lineRule="exact"/>
        <w:ind w:left="880" w:leftChars="0" w:hanging="880" w:hangingChars="40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36.</w:t>
      </w:r>
      <w:r>
        <w:rPr>
          <w:rFonts w:hint="eastAsia" w:ascii="微软雅黑" w:hAnsi="微软雅黑" w:eastAsia="微软雅黑" w:cs="微软雅黑"/>
          <w:color w:val="auto"/>
          <w:sz w:val="22"/>
          <w:szCs w:val="22"/>
          <w:highlight w:val="none"/>
          <w:lang w:val="en-US" w:eastAsia="zh-CN"/>
        </w:rPr>
        <w:t>20</w:t>
      </w:r>
      <w:r>
        <w:rPr>
          <w:rFonts w:hint="eastAsia" w:ascii="微软雅黑" w:hAnsi="微软雅黑" w:eastAsia="微软雅黑" w:cs="微软雅黑"/>
          <w:color w:val="auto"/>
          <w:sz w:val="22"/>
          <w:szCs w:val="22"/>
          <w:highlight w:val="none"/>
        </w:rPr>
        <w:t xml:space="preserve">  对评审过程、中标结果提出质疑的，采购方可以组织原评审委员会协助答复质疑。</w:t>
      </w:r>
    </w:p>
    <w:p w14:paraId="73511C0D">
      <w:pPr>
        <w:pageBreakBefore w:val="0"/>
        <w:widowControl w:val="0"/>
        <w:kinsoku/>
        <w:wordWrap/>
        <w:overflowPunct/>
        <w:topLinePunct w:val="0"/>
        <w:bidi w:val="0"/>
        <w:spacing w:line="360" w:lineRule="exact"/>
        <w:ind w:left="0" w:leftChars="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36.2</w:t>
      </w:r>
      <w:r>
        <w:rPr>
          <w:rFonts w:hint="eastAsia" w:ascii="微软雅黑" w:hAnsi="微软雅黑" w:eastAsia="微软雅黑" w:cs="微软雅黑"/>
          <w:color w:val="auto"/>
          <w:sz w:val="22"/>
          <w:szCs w:val="22"/>
          <w:highlight w:val="none"/>
          <w:lang w:val="en-US" w:eastAsia="zh-CN"/>
        </w:rPr>
        <w:t>1</w:t>
      </w:r>
      <w:r>
        <w:rPr>
          <w:rFonts w:hint="eastAsia" w:ascii="微软雅黑" w:hAnsi="微软雅黑" w:eastAsia="微软雅黑" w:cs="微软雅黑"/>
          <w:color w:val="auto"/>
          <w:sz w:val="22"/>
          <w:szCs w:val="22"/>
          <w:highlight w:val="none"/>
        </w:rPr>
        <w:t xml:space="preserve">  质疑处理过程中，质疑人书面申请撤回质疑的，将终止质疑处理程序。</w:t>
      </w:r>
    </w:p>
    <w:p w14:paraId="1B4BDB52">
      <w:pPr>
        <w:pageBreakBefore w:val="0"/>
        <w:widowControl w:val="0"/>
        <w:kinsoku/>
        <w:wordWrap/>
        <w:overflowPunct/>
        <w:topLinePunct w:val="0"/>
        <w:bidi w:val="0"/>
        <w:spacing w:line="360" w:lineRule="exact"/>
        <w:ind w:left="880" w:leftChars="0" w:hanging="880" w:hangingChars="40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36.2</w:t>
      </w:r>
      <w:r>
        <w:rPr>
          <w:rFonts w:hint="eastAsia" w:ascii="微软雅黑" w:hAnsi="微软雅黑" w:eastAsia="微软雅黑" w:cs="微软雅黑"/>
          <w:color w:val="auto"/>
          <w:sz w:val="22"/>
          <w:szCs w:val="22"/>
          <w:highlight w:val="none"/>
          <w:lang w:val="en-US" w:eastAsia="zh-CN"/>
        </w:rPr>
        <w:t>2</w:t>
      </w:r>
      <w:r>
        <w:rPr>
          <w:rFonts w:hint="eastAsia" w:ascii="微软雅黑" w:hAnsi="微软雅黑" w:eastAsia="微软雅黑" w:cs="微软雅黑"/>
          <w:color w:val="auto"/>
          <w:sz w:val="22"/>
          <w:szCs w:val="22"/>
          <w:highlight w:val="none"/>
        </w:rPr>
        <w:t xml:space="preserve">  质疑人拒绝配合采购方依法对质疑进行调查处理的，采购方将按质疑人自动撤回质疑处理；被质疑人拒绝配合采购方依法对质疑进行调查处理的，采购方将视同其认可质疑事项。</w:t>
      </w:r>
    </w:p>
    <w:p w14:paraId="6C946570">
      <w:pPr>
        <w:pageBreakBefore w:val="0"/>
        <w:widowControl w:val="0"/>
        <w:kinsoku/>
        <w:wordWrap/>
        <w:overflowPunct/>
        <w:topLinePunct w:val="0"/>
        <w:bidi w:val="0"/>
        <w:spacing w:line="360" w:lineRule="exact"/>
        <w:ind w:left="660" w:leftChars="0" w:hanging="660" w:hangingChars="30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36.2</w:t>
      </w:r>
      <w:r>
        <w:rPr>
          <w:rFonts w:hint="eastAsia" w:ascii="微软雅黑" w:hAnsi="微软雅黑" w:eastAsia="微软雅黑" w:cs="微软雅黑"/>
          <w:color w:val="auto"/>
          <w:sz w:val="22"/>
          <w:szCs w:val="22"/>
          <w:highlight w:val="none"/>
          <w:lang w:val="en-US" w:eastAsia="zh-CN"/>
        </w:rPr>
        <w:t xml:space="preserve">3 </w:t>
      </w:r>
      <w:r>
        <w:rPr>
          <w:rFonts w:hint="eastAsia" w:ascii="微软雅黑" w:hAnsi="微软雅黑" w:eastAsia="微软雅黑" w:cs="微软雅黑"/>
          <w:color w:val="auto"/>
          <w:sz w:val="22"/>
          <w:szCs w:val="22"/>
          <w:highlight w:val="none"/>
        </w:rPr>
        <w:t xml:space="preserve"> 质疑人拒绝配合采购方依法对质疑进行调查处理的，采购方将按质疑人自动撤回质疑处理；被质疑人拒绝配合采购方依法对质疑进行调查处理的，采购方将视同其认可质疑事项。</w:t>
      </w:r>
    </w:p>
    <w:p w14:paraId="2BFC9420">
      <w:pPr>
        <w:pageBreakBefore w:val="0"/>
        <w:widowControl w:val="0"/>
        <w:kinsoku/>
        <w:wordWrap/>
        <w:overflowPunct/>
        <w:topLinePunct w:val="0"/>
        <w:bidi w:val="0"/>
        <w:spacing w:line="360" w:lineRule="exact"/>
        <w:ind w:left="0" w:leftChars="0"/>
        <w:jc w:val="left"/>
        <w:textAlignment w:val="auto"/>
        <w:rPr>
          <w:rFonts w:hint="eastAsia" w:ascii="微软雅黑" w:hAnsi="微软雅黑" w:eastAsia="微软雅黑" w:cs="微软雅黑"/>
          <w:b/>
          <w:bCs/>
          <w:color w:val="auto"/>
          <w:sz w:val="20"/>
          <w:szCs w:val="22"/>
          <w:highlight w:val="none"/>
          <w:lang w:val="en-US" w:eastAsia="zh-CN"/>
        </w:rPr>
      </w:pPr>
      <w:r>
        <w:rPr>
          <w:rFonts w:hint="eastAsia" w:ascii="微软雅黑" w:hAnsi="微软雅黑" w:eastAsia="微软雅黑" w:cs="微软雅黑"/>
          <w:color w:val="auto"/>
          <w:sz w:val="22"/>
          <w:szCs w:val="22"/>
          <w:highlight w:val="none"/>
        </w:rPr>
        <w:t>36.2</w:t>
      </w:r>
      <w:r>
        <w:rPr>
          <w:rFonts w:hint="eastAsia" w:ascii="微软雅黑" w:hAnsi="微软雅黑" w:eastAsia="微软雅黑" w:cs="微软雅黑"/>
          <w:color w:val="auto"/>
          <w:sz w:val="22"/>
          <w:szCs w:val="22"/>
          <w:highlight w:val="none"/>
          <w:lang w:val="en-US" w:eastAsia="zh-CN"/>
        </w:rPr>
        <w:t>4</w:t>
      </w:r>
      <w:r>
        <w:rPr>
          <w:rFonts w:hint="eastAsia" w:ascii="微软雅黑" w:hAnsi="微软雅黑" w:eastAsia="微软雅黑" w:cs="微软雅黑"/>
          <w:color w:val="auto"/>
          <w:sz w:val="22"/>
          <w:szCs w:val="22"/>
          <w:highlight w:val="none"/>
        </w:rPr>
        <w:t xml:space="preserve">  采购方将在正式受理质疑后7个工作日内作出答复。</w:t>
      </w:r>
      <w:r>
        <w:rPr>
          <w:rFonts w:hint="eastAsia" w:ascii="微软雅黑" w:hAnsi="微软雅黑" w:eastAsia="微软雅黑" w:cs="微软雅黑"/>
          <w:color w:val="auto"/>
          <w:sz w:val="22"/>
          <w:szCs w:val="22"/>
          <w:highlight w:val="none"/>
          <w:lang w:val="en-US" w:eastAsia="zh-CN"/>
        </w:rPr>
        <w:t xml:space="preserve"> </w:t>
      </w:r>
    </w:p>
    <w:p w14:paraId="4C6C64A0">
      <w:pPr>
        <w:pStyle w:val="42"/>
        <w:pageBreakBefore w:val="0"/>
        <w:widowControl w:val="0"/>
        <w:kinsoku/>
        <w:wordWrap/>
        <w:overflowPunct/>
        <w:topLinePunct w:val="0"/>
        <w:bidi w:val="0"/>
        <w:spacing w:line="360" w:lineRule="exact"/>
        <w:ind w:left="0" w:leftChars="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36.2</w:t>
      </w:r>
      <w:r>
        <w:rPr>
          <w:rFonts w:hint="eastAsia" w:ascii="微软雅黑" w:hAnsi="微软雅黑" w:eastAsia="微软雅黑" w:cs="微软雅黑"/>
          <w:color w:val="auto"/>
          <w:sz w:val="22"/>
          <w:szCs w:val="22"/>
          <w:highlight w:val="none"/>
          <w:lang w:val="en-US" w:eastAsia="zh-CN"/>
        </w:rPr>
        <w:t>5</w:t>
      </w:r>
      <w:r>
        <w:rPr>
          <w:rFonts w:hint="eastAsia" w:ascii="微软雅黑" w:hAnsi="微软雅黑" w:eastAsia="微软雅黑" w:cs="微软雅黑"/>
          <w:color w:val="auto"/>
          <w:sz w:val="22"/>
          <w:szCs w:val="22"/>
          <w:highlight w:val="none"/>
        </w:rPr>
        <w:t xml:space="preserve"> 质疑答复应当包括下列内容：</w:t>
      </w:r>
    </w:p>
    <w:p w14:paraId="3D21EA79">
      <w:pPr>
        <w:pStyle w:val="42"/>
        <w:pageBreakBefore w:val="0"/>
        <w:widowControl w:val="0"/>
        <w:kinsoku/>
        <w:wordWrap/>
        <w:overflowPunct/>
        <w:topLinePunct w:val="0"/>
        <w:bidi w:val="0"/>
        <w:spacing w:line="360" w:lineRule="exact"/>
        <w:ind w:left="0" w:leftChars="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（一）质疑人的姓名或者名称；</w:t>
      </w:r>
    </w:p>
    <w:p w14:paraId="672C6E58">
      <w:pPr>
        <w:pStyle w:val="42"/>
        <w:pageBreakBefore w:val="0"/>
        <w:widowControl w:val="0"/>
        <w:kinsoku/>
        <w:wordWrap/>
        <w:overflowPunct/>
        <w:topLinePunct w:val="0"/>
        <w:bidi w:val="0"/>
        <w:spacing w:line="360" w:lineRule="exact"/>
        <w:ind w:left="0" w:leftChars="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（二）收到质疑函的日期、质疑项目名称及编号；</w:t>
      </w:r>
    </w:p>
    <w:p w14:paraId="63D1F757">
      <w:pPr>
        <w:pStyle w:val="42"/>
        <w:pageBreakBefore w:val="0"/>
        <w:widowControl w:val="0"/>
        <w:kinsoku/>
        <w:wordWrap/>
        <w:overflowPunct/>
        <w:topLinePunct w:val="0"/>
        <w:bidi w:val="0"/>
        <w:spacing w:line="360" w:lineRule="exact"/>
        <w:ind w:left="0" w:leftChars="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（三）质疑事项、质疑答复的具体内容、事实依据和法律依据；</w:t>
      </w:r>
    </w:p>
    <w:p w14:paraId="65F3ADC3">
      <w:pPr>
        <w:pStyle w:val="42"/>
        <w:pageBreakBefore w:val="0"/>
        <w:widowControl w:val="0"/>
        <w:kinsoku/>
        <w:wordWrap/>
        <w:overflowPunct/>
        <w:topLinePunct w:val="0"/>
        <w:bidi w:val="0"/>
        <w:spacing w:line="360" w:lineRule="exact"/>
        <w:ind w:left="0" w:leftChars="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（四）告知质疑供应商依法投诉的权利；</w:t>
      </w:r>
    </w:p>
    <w:p w14:paraId="58D152F6">
      <w:pPr>
        <w:pStyle w:val="42"/>
        <w:pageBreakBefore w:val="0"/>
        <w:widowControl w:val="0"/>
        <w:kinsoku/>
        <w:wordWrap/>
        <w:overflowPunct/>
        <w:topLinePunct w:val="0"/>
        <w:bidi w:val="0"/>
        <w:spacing w:line="360" w:lineRule="exact"/>
        <w:ind w:left="0" w:leftChars="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（五）质疑答复人名称；</w:t>
      </w:r>
    </w:p>
    <w:p w14:paraId="62AB755E">
      <w:pPr>
        <w:pStyle w:val="42"/>
        <w:pageBreakBefore w:val="0"/>
        <w:widowControl w:val="0"/>
        <w:kinsoku/>
        <w:wordWrap/>
        <w:overflowPunct/>
        <w:topLinePunct w:val="0"/>
        <w:bidi w:val="0"/>
        <w:spacing w:line="360" w:lineRule="exact"/>
        <w:ind w:left="0" w:leftChars="0"/>
        <w:textAlignment w:val="auto"/>
        <w:rPr>
          <w:rFonts w:hint="eastAsia" w:ascii="微软雅黑" w:hAnsi="微软雅黑" w:eastAsia="微软雅黑" w:cs="微软雅黑"/>
          <w:b/>
          <w:bCs/>
          <w:color w:val="auto"/>
          <w:sz w:val="22"/>
          <w:szCs w:val="22"/>
          <w:highlight w:val="none"/>
        </w:rPr>
      </w:pPr>
      <w:r>
        <w:rPr>
          <w:rFonts w:hint="eastAsia" w:ascii="微软雅黑" w:hAnsi="微软雅黑" w:eastAsia="微软雅黑" w:cs="微软雅黑"/>
          <w:color w:val="auto"/>
          <w:sz w:val="22"/>
          <w:szCs w:val="22"/>
          <w:highlight w:val="none"/>
        </w:rPr>
        <w:t>（六）答复质疑的日期。</w:t>
      </w:r>
    </w:p>
    <w:p w14:paraId="0D090045">
      <w:pPr>
        <w:pageBreakBefore w:val="0"/>
        <w:kinsoku/>
        <w:wordWrap/>
        <w:overflowPunct/>
        <w:topLinePunct w:val="0"/>
        <w:bidi w:val="0"/>
        <w:spacing w:line="360" w:lineRule="exact"/>
        <w:ind w:left="0" w:leftChars="0"/>
        <w:jc w:val="center"/>
        <w:textAlignment w:val="auto"/>
        <w:outlineLvl w:val="2"/>
        <w:rPr>
          <w:rFonts w:hint="eastAsia" w:ascii="微软雅黑" w:hAnsi="微软雅黑" w:eastAsia="微软雅黑" w:cs="微软雅黑"/>
          <w:b/>
          <w:bCs/>
          <w:color w:val="auto"/>
          <w:sz w:val="22"/>
          <w:szCs w:val="22"/>
          <w:highlight w:val="none"/>
        </w:rPr>
      </w:pPr>
      <w:bookmarkStart w:id="1407" w:name="_Toc22908"/>
      <w:bookmarkStart w:id="1408" w:name="_Toc13933"/>
      <w:bookmarkStart w:id="1409" w:name="_Toc1840"/>
      <w:bookmarkStart w:id="1410" w:name="_Toc472"/>
      <w:bookmarkStart w:id="1411" w:name="_Toc18735"/>
      <w:bookmarkStart w:id="1412" w:name="_Toc30093"/>
      <w:bookmarkStart w:id="1413" w:name="_Toc6589"/>
      <w:bookmarkStart w:id="1414" w:name="_Toc3696"/>
      <w:bookmarkStart w:id="1415" w:name="_Toc9437"/>
      <w:bookmarkStart w:id="1416" w:name="_Toc8005"/>
      <w:bookmarkStart w:id="1417" w:name="_Toc12088"/>
      <w:bookmarkStart w:id="1418" w:name="_Toc1819"/>
      <w:bookmarkStart w:id="1419" w:name="_Toc14357"/>
      <w:bookmarkStart w:id="1420" w:name="_Toc18518"/>
      <w:bookmarkStart w:id="1421" w:name="_Toc12378"/>
      <w:bookmarkStart w:id="1422" w:name="_Toc8353"/>
      <w:bookmarkStart w:id="1423" w:name="_Toc9246"/>
      <w:bookmarkStart w:id="1424" w:name="_Toc11811"/>
      <w:bookmarkStart w:id="1425" w:name="_Toc30512"/>
      <w:bookmarkStart w:id="1426" w:name="_Toc11468"/>
      <w:bookmarkStart w:id="1427" w:name="_Toc24456"/>
      <w:bookmarkStart w:id="1428" w:name="_Toc22094"/>
      <w:bookmarkStart w:id="1429" w:name="_Toc17993"/>
      <w:bookmarkStart w:id="1430" w:name="_Toc11297"/>
      <w:bookmarkStart w:id="1431" w:name="_Toc28502"/>
      <w:bookmarkStart w:id="1432" w:name="_Toc23411"/>
      <w:bookmarkStart w:id="1433" w:name="_Toc10094"/>
      <w:bookmarkStart w:id="1434" w:name="_Toc5739"/>
      <w:bookmarkStart w:id="1435" w:name="_Toc25636"/>
      <w:bookmarkStart w:id="1436" w:name="_Toc27601"/>
      <w:bookmarkStart w:id="1437" w:name="_Toc15112"/>
      <w:bookmarkStart w:id="1438" w:name="_Toc2500"/>
      <w:bookmarkStart w:id="1439" w:name="_Toc16553"/>
      <w:bookmarkStart w:id="1440" w:name="_Toc2072"/>
      <w:bookmarkStart w:id="1441" w:name="_Toc1369"/>
      <w:bookmarkStart w:id="1442" w:name="_Toc24084"/>
      <w:bookmarkStart w:id="1443" w:name="_Toc21687"/>
      <w:bookmarkStart w:id="1444" w:name="_Toc2799"/>
      <w:bookmarkStart w:id="1445" w:name="_Toc17298"/>
      <w:r>
        <w:rPr>
          <w:rFonts w:hint="eastAsia" w:ascii="微软雅黑" w:hAnsi="微软雅黑" w:eastAsia="微软雅黑" w:cs="微软雅黑"/>
          <w:b/>
          <w:bCs/>
          <w:color w:val="auto"/>
          <w:sz w:val="22"/>
          <w:szCs w:val="22"/>
          <w:highlight w:val="none"/>
        </w:rPr>
        <w:t>质疑函范本</w:t>
      </w:r>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p>
    <w:p w14:paraId="72E8F714">
      <w:pPr>
        <w:pageBreakBefore w:val="0"/>
        <w:kinsoku/>
        <w:wordWrap/>
        <w:overflowPunct/>
        <w:topLinePunct w:val="0"/>
        <w:bidi w:val="0"/>
        <w:adjustRightInd w:val="0"/>
        <w:snapToGrid w:val="0"/>
        <w:spacing w:line="360" w:lineRule="exact"/>
        <w:ind w:left="0" w:leftChars="0"/>
        <w:textAlignment w:val="auto"/>
        <w:rPr>
          <w:rFonts w:hint="eastAsia" w:ascii="微软雅黑" w:hAnsi="微软雅黑" w:eastAsia="微软雅黑" w:cs="微软雅黑"/>
          <w:bCs/>
          <w:color w:val="auto"/>
          <w:sz w:val="22"/>
          <w:szCs w:val="22"/>
          <w:highlight w:val="none"/>
        </w:rPr>
      </w:pPr>
      <w:r>
        <w:rPr>
          <w:rFonts w:hint="eastAsia" w:ascii="微软雅黑" w:hAnsi="微软雅黑" w:eastAsia="微软雅黑" w:cs="微软雅黑"/>
          <w:bCs/>
          <w:color w:val="auto"/>
          <w:sz w:val="22"/>
          <w:szCs w:val="22"/>
          <w:highlight w:val="none"/>
        </w:rPr>
        <w:t>一、质疑供应商基本信息</w:t>
      </w:r>
    </w:p>
    <w:p w14:paraId="09D24F79">
      <w:pPr>
        <w:pageBreakBefore w:val="0"/>
        <w:kinsoku/>
        <w:wordWrap/>
        <w:overflowPunct/>
        <w:topLinePunct w:val="0"/>
        <w:bidi w:val="0"/>
        <w:adjustRightInd w:val="0"/>
        <w:snapToGrid w:val="0"/>
        <w:spacing w:line="360" w:lineRule="exact"/>
        <w:ind w:left="0" w:leftChars="0"/>
        <w:textAlignment w:val="auto"/>
        <w:rPr>
          <w:rFonts w:hint="eastAsia" w:ascii="微软雅黑" w:hAnsi="微软雅黑" w:eastAsia="微软雅黑" w:cs="微软雅黑"/>
          <w:color w:val="auto"/>
          <w:sz w:val="22"/>
          <w:szCs w:val="22"/>
          <w:highlight w:val="none"/>
          <w:u w:val="dotted"/>
        </w:rPr>
      </w:pPr>
      <w:r>
        <w:rPr>
          <w:rFonts w:hint="eastAsia" w:ascii="微软雅黑" w:hAnsi="微软雅黑" w:eastAsia="微软雅黑" w:cs="微软雅黑"/>
          <w:color w:val="auto"/>
          <w:sz w:val="22"/>
          <w:szCs w:val="22"/>
          <w:highlight w:val="none"/>
        </w:rPr>
        <w:t>质疑供应商：</w:t>
      </w:r>
      <w:r>
        <w:rPr>
          <w:rFonts w:hint="eastAsia" w:ascii="微软雅黑" w:hAnsi="微软雅黑" w:eastAsia="微软雅黑" w:cs="微软雅黑"/>
          <w:color w:val="auto"/>
          <w:sz w:val="22"/>
          <w:szCs w:val="22"/>
          <w:highlight w:val="none"/>
          <w:u w:val="single"/>
        </w:rPr>
        <w:t xml:space="preserve">                                        </w:t>
      </w:r>
    </w:p>
    <w:p w14:paraId="0B70C888">
      <w:pPr>
        <w:pageBreakBefore w:val="0"/>
        <w:kinsoku/>
        <w:wordWrap/>
        <w:overflowPunct/>
        <w:topLinePunct w:val="0"/>
        <w:bidi w:val="0"/>
        <w:adjustRightInd w:val="0"/>
        <w:snapToGrid w:val="0"/>
        <w:spacing w:line="360" w:lineRule="exact"/>
        <w:ind w:left="0" w:leftChars="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地址：</w:t>
      </w:r>
      <w:r>
        <w:rPr>
          <w:rFonts w:hint="eastAsia" w:ascii="微软雅黑" w:hAnsi="微软雅黑" w:eastAsia="微软雅黑" w:cs="微软雅黑"/>
          <w:color w:val="auto"/>
          <w:sz w:val="22"/>
          <w:szCs w:val="22"/>
          <w:highlight w:val="none"/>
          <w:u w:val="single"/>
        </w:rPr>
        <w:t xml:space="preserve">                          </w:t>
      </w:r>
      <w:r>
        <w:rPr>
          <w:rFonts w:hint="eastAsia" w:ascii="微软雅黑" w:hAnsi="微软雅黑" w:eastAsia="微软雅黑" w:cs="微软雅黑"/>
          <w:color w:val="auto"/>
          <w:sz w:val="22"/>
          <w:szCs w:val="22"/>
          <w:highlight w:val="none"/>
        </w:rPr>
        <w:t>邮编：</w:t>
      </w:r>
      <w:r>
        <w:rPr>
          <w:rFonts w:hint="eastAsia" w:ascii="微软雅黑" w:hAnsi="微软雅黑" w:eastAsia="微软雅黑" w:cs="微软雅黑"/>
          <w:color w:val="auto"/>
          <w:sz w:val="22"/>
          <w:szCs w:val="22"/>
          <w:highlight w:val="none"/>
          <w:u w:val="single"/>
        </w:rPr>
        <w:t xml:space="preserve">                               </w:t>
      </w:r>
      <w:r>
        <w:rPr>
          <w:rFonts w:hint="eastAsia" w:ascii="微软雅黑" w:hAnsi="微软雅黑" w:eastAsia="微软雅黑" w:cs="微软雅黑"/>
          <w:color w:val="auto"/>
          <w:sz w:val="22"/>
          <w:szCs w:val="22"/>
          <w:highlight w:val="none"/>
          <w:u w:val="dotted"/>
        </w:rPr>
        <w:t xml:space="preserve">                    </w:t>
      </w:r>
    </w:p>
    <w:p w14:paraId="3029F735">
      <w:pPr>
        <w:pageBreakBefore w:val="0"/>
        <w:kinsoku/>
        <w:wordWrap/>
        <w:overflowPunct/>
        <w:topLinePunct w:val="0"/>
        <w:bidi w:val="0"/>
        <w:adjustRightInd w:val="0"/>
        <w:snapToGrid w:val="0"/>
        <w:spacing w:line="360" w:lineRule="exact"/>
        <w:ind w:left="0" w:leftChars="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联系人：</w:t>
      </w:r>
      <w:r>
        <w:rPr>
          <w:rFonts w:hint="eastAsia" w:ascii="微软雅黑" w:hAnsi="微软雅黑" w:eastAsia="微软雅黑" w:cs="微软雅黑"/>
          <w:color w:val="auto"/>
          <w:sz w:val="22"/>
          <w:szCs w:val="22"/>
          <w:highlight w:val="none"/>
          <w:u w:val="single"/>
        </w:rPr>
        <w:t xml:space="preserve">                      </w:t>
      </w:r>
      <w:r>
        <w:rPr>
          <w:rFonts w:hint="eastAsia" w:ascii="微软雅黑" w:hAnsi="微软雅黑" w:eastAsia="微软雅黑" w:cs="微软雅黑"/>
          <w:color w:val="auto"/>
          <w:sz w:val="22"/>
          <w:szCs w:val="22"/>
          <w:highlight w:val="none"/>
        </w:rPr>
        <w:t>联系电话：</w:t>
      </w:r>
      <w:r>
        <w:rPr>
          <w:rFonts w:hint="eastAsia" w:ascii="微软雅黑" w:hAnsi="微软雅黑" w:eastAsia="微软雅黑" w:cs="微软雅黑"/>
          <w:color w:val="auto"/>
          <w:sz w:val="22"/>
          <w:szCs w:val="22"/>
          <w:highlight w:val="none"/>
          <w:u w:val="single"/>
        </w:rPr>
        <w:t xml:space="preserve">                              </w:t>
      </w:r>
    </w:p>
    <w:p w14:paraId="3F235C21">
      <w:pPr>
        <w:pageBreakBefore w:val="0"/>
        <w:kinsoku/>
        <w:wordWrap/>
        <w:overflowPunct/>
        <w:topLinePunct w:val="0"/>
        <w:bidi w:val="0"/>
        <w:adjustRightInd w:val="0"/>
        <w:snapToGrid w:val="0"/>
        <w:spacing w:line="360" w:lineRule="exact"/>
        <w:ind w:left="0" w:leftChars="0"/>
        <w:textAlignment w:val="auto"/>
        <w:rPr>
          <w:rFonts w:hint="eastAsia" w:ascii="微软雅黑" w:hAnsi="微软雅黑" w:eastAsia="微软雅黑" w:cs="微软雅黑"/>
          <w:color w:val="auto"/>
          <w:sz w:val="22"/>
          <w:szCs w:val="22"/>
          <w:highlight w:val="none"/>
          <w:u w:val="dotted"/>
        </w:rPr>
      </w:pPr>
      <w:r>
        <w:rPr>
          <w:rFonts w:hint="eastAsia" w:ascii="微软雅黑" w:hAnsi="微软雅黑" w:eastAsia="微软雅黑" w:cs="微软雅黑"/>
          <w:color w:val="auto"/>
          <w:sz w:val="22"/>
          <w:szCs w:val="22"/>
          <w:highlight w:val="none"/>
        </w:rPr>
        <w:t>授权代表：</w:t>
      </w:r>
      <w:r>
        <w:rPr>
          <w:rFonts w:hint="eastAsia" w:ascii="微软雅黑" w:hAnsi="微软雅黑" w:eastAsia="微软雅黑" w:cs="微软雅黑"/>
          <w:color w:val="auto"/>
          <w:sz w:val="22"/>
          <w:szCs w:val="22"/>
          <w:highlight w:val="none"/>
          <w:u w:val="single"/>
        </w:rPr>
        <w:t xml:space="preserve">                                          </w:t>
      </w:r>
    </w:p>
    <w:p w14:paraId="326C8790">
      <w:pPr>
        <w:pageBreakBefore w:val="0"/>
        <w:kinsoku/>
        <w:wordWrap/>
        <w:overflowPunct/>
        <w:topLinePunct w:val="0"/>
        <w:bidi w:val="0"/>
        <w:adjustRightInd w:val="0"/>
        <w:snapToGrid w:val="0"/>
        <w:spacing w:line="360" w:lineRule="exact"/>
        <w:ind w:left="0" w:leftChars="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联系电话：</w:t>
      </w:r>
      <w:r>
        <w:rPr>
          <w:rFonts w:hint="eastAsia" w:ascii="微软雅黑" w:hAnsi="微软雅黑" w:eastAsia="微软雅黑" w:cs="微软雅黑"/>
          <w:color w:val="auto"/>
          <w:sz w:val="22"/>
          <w:szCs w:val="22"/>
          <w:highlight w:val="none"/>
          <w:u w:val="single"/>
        </w:rPr>
        <w:t xml:space="preserve">                                          </w:t>
      </w:r>
    </w:p>
    <w:p w14:paraId="2F0A79A3">
      <w:pPr>
        <w:pageBreakBefore w:val="0"/>
        <w:kinsoku/>
        <w:wordWrap/>
        <w:overflowPunct/>
        <w:topLinePunct w:val="0"/>
        <w:bidi w:val="0"/>
        <w:adjustRightInd w:val="0"/>
        <w:snapToGrid w:val="0"/>
        <w:spacing w:line="360" w:lineRule="exact"/>
        <w:ind w:left="0" w:leftChars="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地址：</w:t>
      </w:r>
      <w:r>
        <w:rPr>
          <w:rFonts w:hint="eastAsia" w:ascii="微软雅黑" w:hAnsi="微软雅黑" w:eastAsia="微软雅黑" w:cs="微软雅黑"/>
          <w:color w:val="auto"/>
          <w:sz w:val="22"/>
          <w:szCs w:val="22"/>
          <w:highlight w:val="none"/>
          <w:u w:val="single"/>
        </w:rPr>
        <w:t xml:space="preserve">                         </w:t>
      </w:r>
      <w:r>
        <w:rPr>
          <w:rFonts w:hint="eastAsia" w:ascii="微软雅黑" w:hAnsi="微软雅黑" w:eastAsia="微软雅黑" w:cs="微软雅黑"/>
          <w:color w:val="auto"/>
          <w:sz w:val="22"/>
          <w:szCs w:val="22"/>
          <w:highlight w:val="none"/>
        </w:rPr>
        <w:t>邮编：</w:t>
      </w:r>
      <w:r>
        <w:rPr>
          <w:rFonts w:hint="eastAsia" w:ascii="微软雅黑" w:hAnsi="微软雅黑" w:eastAsia="微软雅黑" w:cs="微软雅黑"/>
          <w:color w:val="auto"/>
          <w:sz w:val="22"/>
          <w:szCs w:val="22"/>
          <w:highlight w:val="none"/>
          <w:u w:val="single"/>
        </w:rPr>
        <w:t xml:space="preserve">                                 </w:t>
      </w:r>
      <w:r>
        <w:rPr>
          <w:rFonts w:hint="eastAsia" w:ascii="微软雅黑" w:hAnsi="微软雅黑" w:eastAsia="微软雅黑" w:cs="微软雅黑"/>
          <w:color w:val="auto"/>
          <w:sz w:val="22"/>
          <w:szCs w:val="22"/>
          <w:highlight w:val="none"/>
          <w:u w:val="dotted"/>
        </w:rPr>
        <w:t xml:space="preserve">               </w:t>
      </w:r>
    </w:p>
    <w:p w14:paraId="17D91B3D">
      <w:pPr>
        <w:pageBreakBefore w:val="0"/>
        <w:kinsoku/>
        <w:wordWrap/>
        <w:overflowPunct/>
        <w:topLinePunct w:val="0"/>
        <w:bidi w:val="0"/>
        <w:adjustRightInd w:val="0"/>
        <w:snapToGrid w:val="0"/>
        <w:spacing w:line="360" w:lineRule="exact"/>
        <w:ind w:left="0" w:leftChars="0"/>
        <w:textAlignment w:val="auto"/>
        <w:rPr>
          <w:rFonts w:hint="eastAsia" w:ascii="微软雅黑" w:hAnsi="微软雅黑" w:eastAsia="微软雅黑" w:cs="微软雅黑"/>
          <w:bCs/>
          <w:color w:val="auto"/>
          <w:sz w:val="22"/>
          <w:szCs w:val="22"/>
          <w:highlight w:val="none"/>
        </w:rPr>
      </w:pPr>
      <w:r>
        <w:rPr>
          <w:rFonts w:hint="eastAsia" w:ascii="微软雅黑" w:hAnsi="微软雅黑" w:eastAsia="微软雅黑" w:cs="微软雅黑"/>
          <w:bCs/>
          <w:color w:val="auto"/>
          <w:sz w:val="22"/>
          <w:szCs w:val="22"/>
          <w:highlight w:val="none"/>
        </w:rPr>
        <w:t>二、质疑项目基本情况</w:t>
      </w:r>
    </w:p>
    <w:p w14:paraId="0D863C75">
      <w:pPr>
        <w:pageBreakBefore w:val="0"/>
        <w:kinsoku/>
        <w:wordWrap/>
        <w:overflowPunct/>
        <w:topLinePunct w:val="0"/>
        <w:bidi w:val="0"/>
        <w:adjustRightInd w:val="0"/>
        <w:snapToGrid w:val="0"/>
        <w:spacing w:line="360" w:lineRule="exact"/>
        <w:ind w:left="0" w:leftChars="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质疑项目的名称：</w:t>
      </w:r>
      <w:r>
        <w:rPr>
          <w:rFonts w:hint="eastAsia" w:ascii="微软雅黑" w:hAnsi="微软雅黑" w:eastAsia="微软雅黑" w:cs="微软雅黑"/>
          <w:color w:val="auto"/>
          <w:sz w:val="22"/>
          <w:szCs w:val="22"/>
          <w:highlight w:val="none"/>
          <w:u w:val="single"/>
        </w:rPr>
        <w:t xml:space="preserve">                                      </w:t>
      </w:r>
    </w:p>
    <w:p w14:paraId="33AA780F">
      <w:pPr>
        <w:pageBreakBefore w:val="0"/>
        <w:kinsoku/>
        <w:wordWrap/>
        <w:overflowPunct/>
        <w:topLinePunct w:val="0"/>
        <w:bidi w:val="0"/>
        <w:adjustRightInd w:val="0"/>
        <w:snapToGrid w:val="0"/>
        <w:spacing w:line="360" w:lineRule="exact"/>
        <w:ind w:left="0" w:leftChars="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质疑项目的编号：</w:t>
      </w:r>
      <w:r>
        <w:rPr>
          <w:rFonts w:hint="eastAsia" w:ascii="微软雅黑" w:hAnsi="微软雅黑" w:eastAsia="微软雅黑" w:cs="微软雅黑"/>
          <w:color w:val="auto"/>
          <w:sz w:val="22"/>
          <w:szCs w:val="22"/>
          <w:highlight w:val="none"/>
          <w:u w:val="single"/>
        </w:rPr>
        <w:t xml:space="preserve">               </w:t>
      </w:r>
      <w:r>
        <w:rPr>
          <w:rFonts w:hint="eastAsia" w:ascii="微软雅黑" w:hAnsi="微软雅黑" w:eastAsia="微软雅黑" w:cs="微软雅黑"/>
          <w:color w:val="auto"/>
          <w:sz w:val="22"/>
          <w:szCs w:val="22"/>
          <w:highlight w:val="none"/>
          <w:lang w:eastAsia="zh-CN"/>
        </w:rPr>
        <w:t>标项</w:t>
      </w:r>
      <w:r>
        <w:rPr>
          <w:rFonts w:hint="eastAsia" w:ascii="微软雅黑" w:hAnsi="微软雅黑" w:eastAsia="微软雅黑" w:cs="微软雅黑"/>
          <w:color w:val="auto"/>
          <w:sz w:val="22"/>
          <w:szCs w:val="22"/>
          <w:highlight w:val="none"/>
        </w:rPr>
        <w:t>：</w:t>
      </w:r>
      <w:r>
        <w:rPr>
          <w:rFonts w:hint="eastAsia" w:ascii="微软雅黑" w:hAnsi="微软雅黑" w:eastAsia="微软雅黑" w:cs="微软雅黑"/>
          <w:color w:val="auto"/>
          <w:sz w:val="22"/>
          <w:szCs w:val="22"/>
          <w:highlight w:val="none"/>
          <w:u w:val="single"/>
        </w:rPr>
        <w:t xml:space="preserve">                 </w:t>
      </w:r>
    </w:p>
    <w:p w14:paraId="482A3CC4">
      <w:pPr>
        <w:pageBreakBefore w:val="0"/>
        <w:kinsoku/>
        <w:wordWrap/>
        <w:overflowPunct/>
        <w:topLinePunct w:val="0"/>
        <w:bidi w:val="0"/>
        <w:adjustRightInd w:val="0"/>
        <w:snapToGrid w:val="0"/>
        <w:spacing w:line="360" w:lineRule="exact"/>
        <w:ind w:left="0" w:leftChars="0"/>
        <w:textAlignment w:val="auto"/>
        <w:rPr>
          <w:rFonts w:hint="eastAsia" w:ascii="微软雅黑" w:hAnsi="微软雅黑" w:eastAsia="微软雅黑" w:cs="微软雅黑"/>
          <w:color w:val="auto"/>
          <w:sz w:val="22"/>
          <w:szCs w:val="22"/>
          <w:highlight w:val="none"/>
          <w:u w:val="single"/>
        </w:rPr>
      </w:pPr>
      <w:r>
        <w:rPr>
          <w:rFonts w:hint="eastAsia" w:ascii="微软雅黑" w:hAnsi="微软雅黑" w:eastAsia="微软雅黑" w:cs="微软雅黑"/>
          <w:color w:val="auto"/>
          <w:sz w:val="22"/>
          <w:szCs w:val="22"/>
          <w:highlight w:val="none"/>
        </w:rPr>
        <w:t>采购人名称：</w:t>
      </w:r>
      <w:r>
        <w:rPr>
          <w:rFonts w:hint="eastAsia" w:ascii="微软雅黑" w:hAnsi="微软雅黑" w:eastAsia="微软雅黑" w:cs="微软雅黑"/>
          <w:color w:val="auto"/>
          <w:sz w:val="22"/>
          <w:szCs w:val="22"/>
          <w:highlight w:val="none"/>
          <w:u w:val="single"/>
        </w:rPr>
        <w:t xml:space="preserve">                                         </w:t>
      </w:r>
    </w:p>
    <w:p w14:paraId="3C78DE62">
      <w:pPr>
        <w:pageBreakBefore w:val="0"/>
        <w:kinsoku/>
        <w:wordWrap/>
        <w:overflowPunct/>
        <w:topLinePunct w:val="0"/>
        <w:bidi w:val="0"/>
        <w:adjustRightInd w:val="0"/>
        <w:snapToGrid w:val="0"/>
        <w:spacing w:line="360" w:lineRule="exact"/>
        <w:ind w:left="0" w:leftChars="0"/>
        <w:textAlignment w:val="auto"/>
        <w:rPr>
          <w:rFonts w:hint="eastAsia" w:ascii="微软雅黑" w:hAnsi="微软雅黑" w:eastAsia="微软雅黑" w:cs="微软雅黑"/>
          <w:color w:val="auto"/>
          <w:sz w:val="22"/>
          <w:szCs w:val="22"/>
          <w:highlight w:val="none"/>
          <w:u w:val="single"/>
        </w:rPr>
      </w:pPr>
      <w:r>
        <w:rPr>
          <w:rFonts w:hint="eastAsia" w:ascii="微软雅黑" w:hAnsi="微软雅黑" w:eastAsia="微软雅黑" w:cs="微软雅黑"/>
          <w:color w:val="auto"/>
          <w:sz w:val="22"/>
          <w:szCs w:val="22"/>
          <w:highlight w:val="none"/>
        </w:rPr>
        <w:t>采购文件获取日期：</w:t>
      </w:r>
      <w:r>
        <w:rPr>
          <w:rFonts w:hint="eastAsia" w:ascii="微软雅黑" w:hAnsi="微软雅黑" w:eastAsia="微软雅黑" w:cs="微软雅黑"/>
          <w:color w:val="auto"/>
          <w:sz w:val="22"/>
          <w:szCs w:val="22"/>
          <w:highlight w:val="none"/>
          <w:u w:val="single"/>
        </w:rPr>
        <w:t xml:space="preserve">                                           </w:t>
      </w:r>
    </w:p>
    <w:p w14:paraId="3A89D6EC">
      <w:pPr>
        <w:pageBreakBefore w:val="0"/>
        <w:kinsoku/>
        <w:wordWrap/>
        <w:overflowPunct/>
        <w:topLinePunct w:val="0"/>
        <w:bidi w:val="0"/>
        <w:adjustRightInd w:val="0"/>
        <w:snapToGrid w:val="0"/>
        <w:spacing w:line="360" w:lineRule="exact"/>
        <w:ind w:left="0" w:leftChars="0"/>
        <w:textAlignment w:val="auto"/>
        <w:rPr>
          <w:rFonts w:hint="eastAsia" w:ascii="微软雅黑" w:hAnsi="微软雅黑" w:eastAsia="微软雅黑" w:cs="微软雅黑"/>
          <w:bCs/>
          <w:color w:val="auto"/>
          <w:sz w:val="22"/>
          <w:szCs w:val="22"/>
          <w:highlight w:val="none"/>
        </w:rPr>
      </w:pPr>
      <w:r>
        <w:rPr>
          <w:rFonts w:hint="eastAsia" w:ascii="微软雅黑" w:hAnsi="微软雅黑" w:eastAsia="微软雅黑" w:cs="微软雅黑"/>
          <w:bCs/>
          <w:color w:val="auto"/>
          <w:sz w:val="22"/>
          <w:szCs w:val="22"/>
          <w:highlight w:val="none"/>
        </w:rPr>
        <w:t>三、质疑事项具体内容</w:t>
      </w:r>
    </w:p>
    <w:p w14:paraId="56E17572">
      <w:pPr>
        <w:pageBreakBefore w:val="0"/>
        <w:kinsoku/>
        <w:wordWrap/>
        <w:overflowPunct/>
        <w:topLinePunct w:val="0"/>
        <w:bidi w:val="0"/>
        <w:adjustRightInd w:val="0"/>
        <w:snapToGrid w:val="0"/>
        <w:spacing w:line="360" w:lineRule="exact"/>
        <w:ind w:left="0" w:leftChars="0"/>
        <w:textAlignment w:val="auto"/>
        <w:rPr>
          <w:rFonts w:hint="eastAsia" w:ascii="微软雅黑" w:hAnsi="微软雅黑" w:eastAsia="微软雅黑" w:cs="微软雅黑"/>
          <w:color w:val="auto"/>
          <w:sz w:val="22"/>
          <w:szCs w:val="22"/>
          <w:highlight w:val="none"/>
          <w:u w:val="dotted"/>
        </w:rPr>
      </w:pPr>
      <w:r>
        <w:rPr>
          <w:rFonts w:hint="eastAsia" w:ascii="微软雅黑" w:hAnsi="微软雅黑" w:eastAsia="微软雅黑" w:cs="微软雅黑"/>
          <w:color w:val="auto"/>
          <w:sz w:val="22"/>
          <w:szCs w:val="22"/>
          <w:highlight w:val="none"/>
        </w:rPr>
        <w:t>质疑事项1：</w:t>
      </w:r>
      <w:r>
        <w:rPr>
          <w:rFonts w:hint="eastAsia" w:ascii="微软雅黑" w:hAnsi="微软雅黑" w:eastAsia="微软雅黑" w:cs="微软雅黑"/>
          <w:color w:val="auto"/>
          <w:sz w:val="22"/>
          <w:szCs w:val="22"/>
          <w:highlight w:val="none"/>
          <w:u w:val="single"/>
        </w:rPr>
        <w:t xml:space="preserve">                                         </w:t>
      </w:r>
    </w:p>
    <w:p w14:paraId="601BBC1E">
      <w:pPr>
        <w:pageBreakBefore w:val="0"/>
        <w:kinsoku/>
        <w:wordWrap/>
        <w:overflowPunct/>
        <w:topLinePunct w:val="0"/>
        <w:bidi w:val="0"/>
        <w:adjustRightInd w:val="0"/>
        <w:snapToGrid w:val="0"/>
        <w:spacing w:line="360" w:lineRule="exact"/>
        <w:ind w:left="0" w:leftChars="0"/>
        <w:textAlignment w:val="auto"/>
        <w:rPr>
          <w:rFonts w:hint="eastAsia" w:ascii="微软雅黑" w:hAnsi="微软雅黑" w:eastAsia="微软雅黑" w:cs="微软雅黑"/>
          <w:color w:val="auto"/>
          <w:sz w:val="22"/>
          <w:szCs w:val="22"/>
          <w:highlight w:val="none"/>
          <w:u w:val="single"/>
        </w:rPr>
      </w:pPr>
      <w:r>
        <w:rPr>
          <w:rFonts w:hint="eastAsia" w:ascii="微软雅黑" w:hAnsi="微软雅黑" w:eastAsia="微软雅黑" w:cs="微软雅黑"/>
          <w:color w:val="auto"/>
          <w:sz w:val="22"/>
          <w:szCs w:val="22"/>
          <w:highlight w:val="none"/>
        </w:rPr>
        <w:t>事实依据：</w:t>
      </w:r>
      <w:r>
        <w:rPr>
          <w:rFonts w:hint="eastAsia" w:ascii="微软雅黑" w:hAnsi="微软雅黑" w:eastAsia="微软雅黑" w:cs="微软雅黑"/>
          <w:color w:val="auto"/>
          <w:sz w:val="22"/>
          <w:szCs w:val="22"/>
          <w:highlight w:val="none"/>
          <w:u w:val="single"/>
        </w:rPr>
        <w:t xml:space="preserve">                                          </w:t>
      </w:r>
    </w:p>
    <w:p w14:paraId="7C74ED70">
      <w:pPr>
        <w:pageBreakBefore w:val="0"/>
        <w:kinsoku/>
        <w:wordWrap/>
        <w:overflowPunct/>
        <w:topLinePunct w:val="0"/>
        <w:bidi w:val="0"/>
        <w:adjustRightInd w:val="0"/>
        <w:snapToGrid w:val="0"/>
        <w:spacing w:line="360" w:lineRule="exact"/>
        <w:ind w:left="0" w:leftChars="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u w:val="single"/>
        </w:rPr>
        <w:t xml:space="preserve">                                                       </w:t>
      </w:r>
    </w:p>
    <w:p w14:paraId="23E7086E">
      <w:pPr>
        <w:pageBreakBefore w:val="0"/>
        <w:kinsoku/>
        <w:wordWrap/>
        <w:overflowPunct/>
        <w:topLinePunct w:val="0"/>
        <w:bidi w:val="0"/>
        <w:adjustRightInd w:val="0"/>
        <w:snapToGrid w:val="0"/>
        <w:spacing w:line="360" w:lineRule="exact"/>
        <w:ind w:left="0" w:leftChars="0"/>
        <w:textAlignment w:val="auto"/>
        <w:rPr>
          <w:rFonts w:hint="eastAsia" w:ascii="微软雅黑" w:hAnsi="微软雅黑" w:eastAsia="微软雅黑" w:cs="微软雅黑"/>
          <w:color w:val="auto"/>
          <w:sz w:val="22"/>
          <w:szCs w:val="22"/>
          <w:highlight w:val="none"/>
          <w:u w:val="single"/>
        </w:rPr>
      </w:pPr>
      <w:r>
        <w:rPr>
          <w:rFonts w:hint="eastAsia" w:ascii="微软雅黑" w:hAnsi="微软雅黑" w:eastAsia="微软雅黑" w:cs="微软雅黑"/>
          <w:color w:val="auto"/>
          <w:sz w:val="22"/>
          <w:szCs w:val="22"/>
          <w:highlight w:val="none"/>
        </w:rPr>
        <w:t>法律依据：</w:t>
      </w:r>
      <w:r>
        <w:rPr>
          <w:rFonts w:hint="eastAsia" w:ascii="微软雅黑" w:hAnsi="微软雅黑" w:eastAsia="微软雅黑" w:cs="微软雅黑"/>
          <w:color w:val="auto"/>
          <w:sz w:val="22"/>
          <w:szCs w:val="22"/>
          <w:highlight w:val="none"/>
          <w:u w:val="single"/>
        </w:rPr>
        <w:t xml:space="preserve">                                          </w:t>
      </w:r>
    </w:p>
    <w:p w14:paraId="6B580562">
      <w:pPr>
        <w:pageBreakBefore w:val="0"/>
        <w:kinsoku/>
        <w:wordWrap/>
        <w:overflowPunct/>
        <w:topLinePunct w:val="0"/>
        <w:bidi w:val="0"/>
        <w:adjustRightInd w:val="0"/>
        <w:snapToGrid w:val="0"/>
        <w:spacing w:line="360" w:lineRule="exact"/>
        <w:ind w:left="0" w:leftChars="0"/>
        <w:textAlignment w:val="auto"/>
        <w:rPr>
          <w:rFonts w:hint="eastAsia" w:ascii="微软雅黑" w:hAnsi="微软雅黑" w:eastAsia="微软雅黑" w:cs="微软雅黑"/>
          <w:color w:val="auto"/>
          <w:sz w:val="22"/>
          <w:szCs w:val="22"/>
          <w:highlight w:val="none"/>
          <w:u w:val="dotted"/>
        </w:rPr>
      </w:pPr>
      <w:r>
        <w:rPr>
          <w:rFonts w:hint="eastAsia" w:ascii="微软雅黑" w:hAnsi="微软雅黑" w:eastAsia="微软雅黑" w:cs="微软雅黑"/>
          <w:color w:val="auto"/>
          <w:sz w:val="22"/>
          <w:szCs w:val="22"/>
          <w:highlight w:val="none"/>
          <w:u w:val="single"/>
        </w:rPr>
        <w:t xml:space="preserve">                                                     </w:t>
      </w:r>
    </w:p>
    <w:p w14:paraId="7505074B">
      <w:pPr>
        <w:pageBreakBefore w:val="0"/>
        <w:kinsoku/>
        <w:wordWrap/>
        <w:overflowPunct/>
        <w:topLinePunct w:val="0"/>
        <w:bidi w:val="0"/>
        <w:adjustRightInd w:val="0"/>
        <w:snapToGrid w:val="0"/>
        <w:spacing w:line="360" w:lineRule="exact"/>
        <w:ind w:left="0" w:leftChars="0"/>
        <w:textAlignment w:val="auto"/>
        <w:rPr>
          <w:rFonts w:hint="eastAsia" w:ascii="微软雅黑" w:hAnsi="微软雅黑" w:eastAsia="微软雅黑" w:cs="微软雅黑"/>
          <w:color w:val="auto"/>
          <w:sz w:val="22"/>
          <w:szCs w:val="22"/>
          <w:highlight w:val="none"/>
          <w:u w:val="dotted"/>
        </w:rPr>
      </w:pPr>
      <w:r>
        <w:rPr>
          <w:rFonts w:hint="eastAsia" w:ascii="微软雅黑" w:hAnsi="微软雅黑" w:eastAsia="微软雅黑" w:cs="微软雅黑"/>
          <w:color w:val="auto"/>
          <w:sz w:val="22"/>
          <w:szCs w:val="22"/>
          <w:highlight w:val="none"/>
        </w:rPr>
        <w:t>质疑事项2</w:t>
      </w:r>
    </w:p>
    <w:p w14:paraId="4B591699">
      <w:pPr>
        <w:pageBreakBefore w:val="0"/>
        <w:kinsoku/>
        <w:wordWrap/>
        <w:overflowPunct/>
        <w:topLinePunct w:val="0"/>
        <w:bidi w:val="0"/>
        <w:adjustRightInd w:val="0"/>
        <w:snapToGrid w:val="0"/>
        <w:spacing w:line="360" w:lineRule="exact"/>
        <w:ind w:left="0" w:leftChars="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w:t>
      </w:r>
    </w:p>
    <w:p w14:paraId="5FB0880C">
      <w:pPr>
        <w:pageBreakBefore w:val="0"/>
        <w:kinsoku/>
        <w:wordWrap/>
        <w:overflowPunct/>
        <w:topLinePunct w:val="0"/>
        <w:bidi w:val="0"/>
        <w:adjustRightInd w:val="0"/>
        <w:snapToGrid w:val="0"/>
        <w:spacing w:line="360" w:lineRule="exact"/>
        <w:ind w:left="0" w:leftChars="0"/>
        <w:textAlignment w:val="auto"/>
        <w:rPr>
          <w:rFonts w:hint="eastAsia" w:ascii="微软雅黑" w:hAnsi="微软雅黑" w:eastAsia="微软雅黑" w:cs="微软雅黑"/>
          <w:bCs/>
          <w:color w:val="auto"/>
          <w:sz w:val="22"/>
          <w:szCs w:val="22"/>
          <w:highlight w:val="none"/>
        </w:rPr>
      </w:pPr>
      <w:r>
        <w:rPr>
          <w:rFonts w:hint="eastAsia" w:ascii="微软雅黑" w:hAnsi="微软雅黑" w:eastAsia="微软雅黑" w:cs="微软雅黑"/>
          <w:bCs/>
          <w:color w:val="auto"/>
          <w:sz w:val="22"/>
          <w:szCs w:val="22"/>
          <w:highlight w:val="none"/>
        </w:rPr>
        <w:t>四、与质疑事项相关的质疑请求</w:t>
      </w:r>
    </w:p>
    <w:p w14:paraId="1EF65E09">
      <w:pPr>
        <w:pageBreakBefore w:val="0"/>
        <w:kinsoku/>
        <w:wordWrap/>
        <w:overflowPunct/>
        <w:topLinePunct w:val="0"/>
        <w:bidi w:val="0"/>
        <w:adjustRightInd w:val="0"/>
        <w:snapToGrid w:val="0"/>
        <w:spacing w:line="360" w:lineRule="exact"/>
        <w:ind w:left="0" w:leftChars="0"/>
        <w:textAlignment w:val="auto"/>
        <w:rPr>
          <w:rFonts w:hint="eastAsia" w:ascii="微软雅黑" w:hAnsi="微软雅黑" w:eastAsia="微软雅黑" w:cs="微软雅黑"/>
          <w:color w:val="auto"/>
          <w:sz w:val="22"/>
          <w:szCs w:val="22"/>
          <w:highlight w:val="none"/>
          <w:u w:val="single"/>
        </w:rPr>
      </w:pPr>
      <w:r>
        <w:rPr>
          <w:rFonts w:hint="eastAsia" w:ascii="微软雅黑" w:hAnsi="微软雅黑" w:eastAsia="微软雅黑" w:cs="微软雅黑"/>
          <w:color w:val="auto"/>
          <w:sz w:val="22"/>
          <w:szCs w:val="22"/>
          <w:highlight w:val="none"/>
        </w:rPr>
        <w:t>请求：</w:t>
      </w:r>
      <w:r>
        <w:rPr>
          <w:rFonts w:hint="eastAsia" w:ascii="微软雅黑" w:hAnsi="微软雅黑" w:eastAsia="微软雅黑" w:cs="微软雅黑"/>
          <w:color w:val="auto"/>
          <w:sz w:val="22"/>
          <w:szCs w:val="22"/>
          <w:highlight w:val="none"/>
          <w:u w:val="single"/>
        </w:rPr>
        <w:t xml:space="preserve">                                               </w:t>
      </w:r>
    </w:p>
    <w:p w14:paraId="486D0CF5">
      <w:pPr>
        <w:pageBreakBefore w:val="0"/>
        <w:kinsoku/>
        <w:wordWrap/>
        <w:overflowPunct/>
        <w:topLinePunct w:val="0"/>
        <w:bidi w:val="0"/>
        <w:spacing w:line="360" w:lineRule="exact"/>
        <w:ind w:left="0" w:leftChars="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 xml:space="preserve">签字(签章)：                   公章：                      </w:t>
      </w:r>
    </w:p>
    <w:p w14:paraId="5B3D17F3">
      <w:pPr>
        <w:pageBreakBefore w:val="0"/>
        <w:kinsoku/>
        <w:wordWrap/>
        <w:overflowPunct/>
        <w:topLinePunct w:val="0"/>
        <w:bidi w:val="0"/>
        <w:spacing w:line="360" w:lineRule="exact"/>
        <w:ind w:left="0" w:leftChars="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 xml:space="preserve">日期：    </w:t>
      </w:r>
    </w:p>
    <w:p w14:paraId="21B07191">
      <w:pPr>
        <w:pageBreakBefore w:val="0"/>
        <w:kinsoku/>
        <w:wordWrap/>
        <w:overflowPunct/>
        <w:topLinePunct w:val="0"/>
        <w:bidi w:val="0"/>
        <w:spacing w:line="360" w:lineRule="exact"/>
        <w:ind w:left="0" w:leftChars="0"/>
        <w:textAlignment w:val="auto"/>
        <w:rPr>
          <w:rFonts w:hint="eastAsia" w:ascii="微软雅黑" w:hAnsi="微软雅黑" w:eastAsia="微软雅黑" w:cs="微软雅黑"/>
          <w:b/>
          <w:color w:val="auto"/>
          <w:sz w:val="22"/>
          <w:szCs w:val="22"/>
          <w:highlight w:val="none"/>
        </w:rPr>
      </w:pPr>
    </w:p>
    <w:p w14:paraId="26110EAF">
      <w:pPr>
        <w:pageBreakBefore w:val="0"/>
        <w:kinsoku/>
        <w:wordWrap/>
        <w:overflowPunct/>
        <w:topLinePunct w:val="0"/>
        <w:bidi w:val="0"/>
        <w:spacing w:line="360" w:lineRule="exact"/>
        <w:ind w:left="0" w:leftChars="0"/>
        <w:textAlignment w:val="auto"/>
        <w:rPr>
          <w:rFonts w:hint="eastAsia" w:ascii="微软雅黑" w:hAnsi="微软雅黑" w:eastAsia="微软雅黑" w:cs="微软雅黑"/>
          <w:b/>
          <w:color w:val="auto"/>
          <w:sz w:val="22"/>
          <w:szCs w:val="22"/>
          <w:highlight w:val="none"/>
        </w:rPr>
      </w:pPr>
      <w:r>
        <w:rPr>
          <w:rFonts w:hint="eastAsia" w:ascii="微软雅黑" w:hAnsi="微软雅黑" w:eastAsia="微软雅黑" w:cs="微软雅黑"/>
          <w:b/>
          <w:color w:val="auto"/>
          <w:sz w:val="22"/>
          <w:szCs w:val="22"/>
          <w:highlight w:val="none"/>
        </w:rPr>
        <w:t>质疑函制作说明：</w:t>
      </w:r>
    </w:p>
    <w:p w14:paraId="52C8D06F">
      <w:pPr>
        <w:pageBreakBefore w:val="0"/>
        <w:widowControl/>
        <w:kinsoku/>
        <w:wordWrap/>
        <w:overflowPunct/>
        <w:topLinePunct w:val="0"/>
        <w:bidi w:val="0"/>
        <w:spacing w:line="360" w:lineRule="exact"/>
        <w:ind w:left="0" w:leftChars="0" w:firstLine="440" w:firstLineChars="20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1.供应商提出质疑时，应提交质疑函和必要的证明材料。</w:t>
      </w:r>
    </w:p>
    <w:p w14:paraId="463F8907">
      <w:pPr>
        <w:pageBreakBefore w:val="0"/>
        <w:widowControl/>
        <w:kinsoku/>
        <w:wordWrap/>
        <w:overflowPunct/>
        <w:topLinePunct w:val="0"/>
        <w:bidi w:val="0"/>
        <w:spacing w:line="360" w:lineRule="exact"/>
        <w:ind w:left="0" w:leftChars="0" w:firstLine="440" w:firstLineChars="20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2.质疑供应商若委托代理人进行质疑的，质疑函应按要求列明“授权代表”的有关内容，并在附件中提交由质疑</w:t>
      </w:r>
      <w:r>
        <w:rPr>
          <w:rFonts w:hint="eastAsia" w:ascii="微软雅黑" w:hAnsi="微软雅黑" w:eastAsia="微软雅黑" w:cs="微软雅黑"/>
          <w:color w:val="auto"/>
          <w:kern w:val="0"/>
          <w:sz w:val="22"/>
          <w:szCs w:val="22"/>
          <w:highlight w:val="none"/>
        </w:rPr>
        <w:t>供应商签署的授权委托书。授权委托书应载明代理人的姓名或者名称、代理事项、具体权限、期限和相关事项。</w:t>
      </w:r>
    </w:p>
    <w:p w14:paraId="19C23F6B">
      <w:pPr>
        <w:pageBreakBefore w:val="0"/>
        <w:widowControl/>
        <w:kinsoku/>
        <w:wordWrap/>
        <w:overflowPunct/>
        <w:topLinePunct w:val="0"/>
        <w:bidi w:val="0"/>
        <w:spacing w:line="360" w:lineRule="exact"/>
        <w:ind w:left="0" w:leftChars="0" w:firstLine="440" w:firstLineChars="20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3.质疑供应商若对项目的某一分包进行质疑，质疑函中应列明具体分包号。</w:t>
      </w:r>
    </w:p>
    <w:p w14:paraId="69F34C4B">
      <w:pPr>
        <w:pageBreakBefore w:val="0"/>
        <w:widowControl/>
        <w:kinsoku/>
        <w:wordWrap/>
        <w:overflowPunct/>
        <w:topLinePunct w:val="0"/>
        <w:bidi w:val="0"/>
        <w:spacing w:line="360" w:lineRule="exact"/>
        <w:ind w:left="0" w:leftChars="0" w:firstLine="440" w:firstLineChars="20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4.质疑函的质疑事项应具体、明确，并有必要的事实依据和法律依据。</w:t>
      </w:r>
    </w:p>
    <w:p w14:paraId="64BFABD7">
      <w:pPr>
        <w:pageBreakBefore w:val="0"/>
        <w:widowControl/>
        <w:kinsoku/>
        <w:wordWrap/>
        <w:overflowPunct/>
        <w:topLinePunct w:val="0"/>
        <w:bidi w:val="0"/>
        <w:spacing w:line="360" w:lineRule="exact"/>
        <w:ind w:left="0" w:leftChars="0" w:firstLine="440" w:firstLineChars="20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5.质疑函的质疑请求应与质疑事项相关。</w:t>
      </w:r>
    </w:p>
    <w:p w14:paraId="7E2729B6">
      <w:pPr>
        <w:pageBreakBefore w:val="0"/>
        <w:widowControl/>
        <w:kinsoku/>
        <w:wordWrap/>
        <w:overflowPunct/>
        <w:topLinePunct w:val="0"/>
        <w:bidi w:val="0"/>
        <w:spacing w:line="360" w:lineRule="exact"/>
        <w:ind w:left="0" w:leftChars="0" w:firstLine="440" w:firstLineChars="200"/>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6.质疑供应商为自然人的，质疑函应由本人签字；质疑供应商为法人或者其他组织的，质疑函应由法定代表人、主要负责人，或者其授权代表签字或者盖章，并加盖公章。</w:t>
      </w:r>
    </w:p>
    <w:p w14:paraId="48D8F6A9">
      <w:pPr>
        <w:pStyle w:val="5"/>
        <w:spacing w:line="400" w:lineRule="exact"/>
        <w:ind w:firstLine="0"/>
        <w:rPr>
          <w:rFonts w:hint="eastAsia" w:ascii="微软雅黑" w:hAnsi="微软雅黑" w:eastAsia="微软雅黑" w:cs="微软雅黑"/>
          <w:color w:val="auto"/>
          <w:kern w:val="2"/>
          <w:sz w:val="20"/>
          <w:szCs w:val="20"/>
          <w:highlight w:val="none"/>
        </w:rPr>
      </w:pPr>
      <w:r>
        <w:rPr>
          <w:rFonts w:hint="eastAsia" w:ascii="微软雅黑" w:hAnsi="微软雅黑" w:eastAsia="微软雅黑" w:cs="微软雅黑"/>
          <w:b/>
          <w:color w:val="auto"/>
          <w:sz w:val="22"/>
          <w:szCs w:val="22"/>
          <w:highlight w:val="none"/>
        </w:rPr>
        <w:br w:type="page"/>
      </w:r>
    </w:p>
    <w:p w14:paraId="59B683CA">
      <w:pPr>
        <w:pStyle w:val="2"/>
        <w:keepNext/>
        <w:keepLines/>
        <w:pageBreakBefore w:val="0"/>
        <w:widowControl w:val="0"/>
        <w:kinsoku/>
        <w:wordWrap/>
        <w:overflowPunct/>
        <w:topLinePunct w:val="0"/>
        <w:autoSpaceDE w:val="0"/>
        <w:autoSpaceDN w:val="0"/>
        <w:bidi w:val="0"/>
        <w:adjustRightInd w:val="0"/>
        <w:snapToGrid/>
        <w:spacing w:before="0" w:after="0" w:line="240" w:lineRule="atLeast"/>
        <w:ind w:left="0"/>
        <w:jc w:val="center"/>
        <w:textAlignment w:val="auto"/>
        <w:rPr>
          <w:rFonts w:hint="eastAsia" w:ascii="微软雅黑" w:hAnsi="微软雅黑" w:eastAsia="微软雅黑" w:cs="微软雅黑"/>
          <w:b/>
          <w:bCs/>
          <w:color w:val="auto"/>
          <w:sz w:val="28"/>
          <w:szCs w:val="28"/>
          <w:highlight w:val="none"/>
        </w:rPr>
      </w:pPr>
      <w:bookmarkStart w:id="1446" w:name="_Toc29770"/>
      <w:bookmarkStart w:id="1447" w:name="_Toc515647802"/>
      <w:bookmarkStart w:id="1448" w:name="_Toc216582812"/>
      <w:bookmarkStart w:id="1449" w:name="_Toc728"/>
      <w:bookmarkStart w:id="1450" w:name="_Toc3574"/>
      <w:bookmarkStart w:id="1451" w:name="_Toc8124"/>
      <w:bookmarkStart w:id="1452" w:name="_Toc702"/>
      <w:r>
        <w:rPr>
          <w:rFonts w:hint="eastAsia" w:ascii="微软雅黑" w:hAnsi="微软雅黑" w:eastAsia="微软雅黑" w:cs="微软雅黑"/>
          <w:b/>
          <w:bCs/>
          <w:color w:val="auto"/>
          <w:sz w:val="28"/>
          <w:szCs w:val="28"/>
          <w:highlight w:val="none"/>
        </w:rPr>
        <w:t>第2章   投标文件格式</w:t>
      </w:r>
      <w:bookmarkEnd w:id="1446"/>
      <w:bookmarkEnd w:id="1447"/>
      <w:bookmarkEnd w:id="1448"/>
      <w:bookmarkEnd w:id="1449"/>
      <w:bookmarkEnd w:id="1450"/>
      <w:bookmarkEnd w:id="1451"/>
      <w:bookmarkEnd w:id="1452"/>
    </w:p>
    <w:p w14:paraId="60FDC93B">
      <w:pPr>
        <w:pStyle w:val="3"/>
        <w:spacing w:before="0" w:line="240" w:lineRule="atLeast"/>
        <w:ind w:left="1080" w:leftChars="257" w:hanging="540"/>
        <w:rPr>
          <w:rFonts w:hint="eastAsia" w:ascii="微软雅黑" w:hAnsi="微软雅黑" w:eastAsia="微软雅黑" w:cs="微软雅黑"/>
          <w:color w:val="auto"/>
          <w:sz w:val="28"/>
          <w:szCs w:val="20"/>
          <w:highlight w:val="none"/>
        </w:rPr>
      </w:pPr>
      <w:bookmarkStart w:id="1453" w:name="_Toc515647803"/>
      <w:bookmarkStart w:id="1454" w:name="_Toc18694"/>
      <w:bookmarkStart w:id="1455" w:name="_Toc18974"/>
      <w:bookmarkStart w:id="1456" w:name="_Toc32123"/>
      <w:bookmarkStart w:id="1457" w:name="_Toc32079"/>
      <w:bookmarkStart w:id="1458" w:name="_Toc22572"/>
      <w:bookmarkStart w:id="1459" w:name="_Toc30894"/>
      <w:bookmarkStart w:id="1460" w:name="_Toc16750"/>
      <w:bookmarkStart w:id="1461" w:name="_Toc21614"/>
      <w:bookmarkStart w:id="1462" w:name="_Toc16568"/>
      <w:bookmarkStart w:id="1463" w:name="_Toc11138"/>
      <w:bookmarkStart w:id="1464" w:name="_Toc30630"/>
      <w:bookmarkStart w:id="1465" w:name="_Toc13595"/>
      <w:bookmarkStart w:id="1466" w:name="_Toc29091"/>
      <w:bookmarkStart w:id="1467" w:name="_Toc30524"/>
      <w:bookmarkStart w:id="1468" w:name="_Toc3620"/>
      <w:bookmarkStart w:id="1469" w:name="_Toc522"/>
      <w:bookmarkStart w:id="1470" w:name="_Toc14118"/>
      <w:bookmarkStart w:id="1471" w:name="_Toc515647804"/>
      <w:bookmarkStart w:id="1472" w:name="_Toc1244"/>
      <w:bookmarkStart w:id="1473" w:name="_Toc216582813"/>
      <w:bookmarkStart w:id="1474" w:name="_Toc480942349"/>
      <w:bookmarkStart w:id="1475" w:name="_Toc18263"/>
      <w:bookmarkStart w:id="1476" w:name="_Toc515647816"/>
      <w:bookmarkStart w:id="1477" w:name="_Ref467988698"/>
      <w:bookmarkStart w:id="1478" w:name="_Toc520356217"/>
      <w:bookmarkStart w:id="1479" w:name="_Toc15346"/>
      <w:bookmarkStart w:id="1480" w:name="_Toc11180"/>
      <w:bookmarkStart w:id="1481" w:name="_Toc30653"/>
      <w:bookmarkStart w:id="1482" w:name="_Toc22967"/>
      <w:r>
        <w:rPr>
          <w:rFonts w:hint="eastAsia" w:ascii="微软雅黑" w:hAnsi="微软雅黑" w:eastAsia="微软雅黑" w:cs="微软雅黑"/>
          <w:color w:val="auto"/>
          <w:sz w:val="24"/>
          <w:szCs w:val="24"/>
          <w:highlight w:val="none"/>
        </w:rPr>
        <w:t>第一部分 开标一览表及资格证明文件</w:t>
      </w:r>
      <w:bookmarkEnd w:id="1453"/>
      <w:bookmarkEnd w:id="1454"/>
      <w:bookmarkEnd w:id="1455"/>
      <w:bookmarkEnd w:id="1456"/>
      <w:bookmarkEnd w:id="1457"/>
      <w:bookmarkEnd w:id="1458"/>
      <w:bookmarkEnd w:id="1459"/>
    </w:p>
    <w:bookmarkEnd w:id="1460"/>
    <w:bookmarkEnd w:id="1461"/>
    <w:bookmarkEnd w:id="1462"/>
    <w:bookmarkEnd w:id="1463"/>
    <w:bookmarkEnd w:id="1464"/>
    <w:bookmarkEnd w:id="1465"/>
    <w:bookmarkEnd w:id="1466"/>
    <w:bookmarkEnd w:id="1467"/>
    <w:bookmarkEnd w:id="1468"/>
    <w:bookmarkEnd w:id="1469"/>
    <w:bookmarkEnd w:id="1470"/>
    <w:bookmarkEnd w:id="1471"/>
    <w:p w14:paraId="3DA9CE53">
      <w:pPr>
        <w:keepNext w:val="0"/>
        <w:keepLines w:val="0"/>
        <w:pageBreakBefore w:val="0"/>
        <w:widowControl w:val="0"/>
        <w:tabs>
          <w:tab w:val="left" w:pos="5580"/>
        </w:tabs>
        <w:kinsoku/>
        <w:wordWrap/>
        <w:overflowPunct/>
        <w:topLinePunct w:val="0"/>
        <w:autoSpaceDE/>
        <w:autoSpaceDN/>
        <w:bidi w:val="0"/>
        <w:adjustRightInd/>
        <w:snapToGrid/>
        <w:spacing w:line="300" w:lineRule="exact"/>
        <w:ind w:firstLine="440" w:firstLineChars="20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kern w:val="0"/>
          <w:sz w:val="22"/>
          <w:szCs w:val="22"/>
          <w:highlight w:val="none"/>
        </w:rPr>
        <w:t>1</w:t>
      </w:r>
      <w:r>
        <w:rPr>
          <w:rFonts w:hint="eastAsia" w:ascii="微软雅黑" w:hAnsi="微软雅黑" w:eastAsia="微软雅黑" w:cs="微软雅黑"/>
          <w:color w:val="auto"/>
          <w:kern w:val="0"/>
          <w:sz w:val="22"/>
          <w:szCs w:val="22"/>
          <w:highlight w:val="none"/>
          <w:lang w:eastAsia="zh-CN"/>
        </w:rPr>
        <w:t>、</w:t>
      </w:r>
      <w:r>
        <w:rPr>
          <w:rFonts w:hint="eastAsia" w:ascii="微软雅黑" w:hAnsi="微软雅黑" w:eastAsia="微软雅黑" w:cs="微软雅黑"/>
          <w:color w:val="auto"/>
          <w:kern w:val="0"/>
          <w:sz w:val="22"/>
          <w:szCs w:val="22"/>
          <w:highlight w:val="none"/>
        </w:rPr>
        <w:t>开标一览表</w:t>
      </w:r>
      <w:r>
        <w:rPr>
          <w:rFonts w:hint="eastAsia" w:ascii="微软雅黑" w:hAnsi="微软雅黑" w:eastAsia="微软雅黑" w:cs="微软雅黑"/>
          <w:color w:val="auto"/>
          <w:sz w:val="22"/>
          <w:szCs w:val="22"/>
          <w:highlight w:val="none"/>
        </w:rPr>
        <w:t>;</w:t>
      </w:r>
    </w:p>
    <w:p w14:paraId="2D41E539">
      <w:pPr>
        <w:keepNext w:val="0"/>
        <w:keepLines w:val="0"/>
        <w:pageBreakBefore w:val="0"/>
        <w:widowControl w:val="0"/>
        <w:kinsoku/>
        <w:wordWrap/>
        <w:overflowPunct/>
        <w:topLinePunct w:val="0"/>
        <w:autoSpaceDE/>
        <w:autoSpaceDN/>
        <w:bidi w:val="0"/>
        <w:adjustRightInd/>
        <w:snapToGrid/>
        <w:spacing w:line="300" w:lineRule="exact"/>
        <w:ind w:firstLine="440" w:firstLineChars="20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2</w:t>
      </w:r>
      <w:r>
        <w:rPr>
          <w:rFonts w:hint="eastAsia" w:ascii="微软雅黑" w:hAnsi="微软雅黑" w:eastAsia="微软雅黑" w:cs="微软雅黑"/>
          <w:color w:val="auto"/>
          <w:sz w:val="22"/>
          <w:szCs w:val="22"/>
          <w:highlight w:val="none"/>
          <w:lang w:eastAsia="zh-CN"/>
        </w:rPr>
        <w:t>、具有有效的营业执照</w:t>
      </w:r>
      <w:r>
        <w:rPr>
          <w:rFonts w:hint="eastAsia" w:ascii="微软雅黑" w:hAnsi="微软雅黑" w:eastAsia="微软雅黑" w:cs="微软雅黑"/>
          <w:color w:val="auto"/>
          <w:sz w:val="22"/>
          <w:szCs w:val="22"/>
          <w:highlight w:val="none"/>
        </w:rPr>
        <w:t>；</w:t>
      </w:r>
    </w:p>
    <w:p w14:paraId="7183286F">
      <w:pPr>
        <w:keepNext w:val="0"/>
        <w:keepLines w:val="0"/>
        <w:pageBreakBefore w:val="0"/>
        <w:widowControl w:val="0"/>
        <w:kinsoku/>
        <w:wordWrap/>
        <w:overflowPunct/>
        <w:topLinePunct w:val="0"/>
        <w:autoSpaceDE/>
        <w:autoSpaceDN/>
        <w:bidi w:val="0"/>
        <w:adjustRightInd/>
        <w:snapToGrid/>
        <w:spacing w:line="300" w:lineRule="exact"/>
        <w:ind w:firstLine="440" w:firstLineChars="200"/>
        <w:textAlignment w:val="auto"/>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rPr>
        <w:t>3</w:t>
      </w:r>
      <w:r>
        <w:rPr>
          <w:rFonts w:hint="eastAsia" w:ascii="微软雅黑" w:hAnsi="微软雅黑" w:eastAsia="微软雅黑" w:cs="微软雅黑"/>
          <w:color w:val="auto"/>
          <w:sz w:val="22"/>
          <w:szCs w:val="22"/>
          <w:highlight w:val="none"/>
          <w:lang w:eastAsia="zh-CN"/>
        </w:rPr>
        <w:t>、法定代表人本人投标需提供法定代表人身份证及法定代表人资格证明书;授权委托人投标需提供法定代表人授权委托书、法定代表人身份证及被授权委托人身份证；</w:t>
      </w:r>
    </w:p>
    <w:p w14:paraId="08AEC4BD">
      <w:pPr>
        <w:keepNext w:val="0"/>
        <w:keepLines w:val="0"/>
        <w:pageBreakBefore w:val="0"/>
        <w:widowControl w:val="0"/>
        <w:kinsoku/>
        <w:wordWrap/>
        <w:overflowPunct/>
        <w:topLinePunct w:val="0"/>
        <w:autoSpaceDE/>
        <w:autoSpaceDN/>
        <w:bidi w:val="0"/>
        <w:adjustRightInd/>
        <w:snapToGrid/>
        <w:spacing w:line="300" w:lineRule="exact"/>
        <w:ind w:firstLine="440" w:firstLineChars="200"/>
        <w:textAlignment w:val="auto"/>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rPr>
        <w:t>4</w:t>
      </w:r>
      <w:r>
        <w:rPr>
          <w:rFonts w:hint="eastAsia" w:ascii="微软雅黑" w:hAnsi="微软雅黑" w:eastAsia="微软雅黑" w:cs="微软雅黑"/>
          <w:color w:val="auto"/>
          <w:sz w:val="22"/>
          <w:szCs w:val="22"/>
          <w:highlight w:val="none"/>
          <w:lang w:eastAsia="zh-CN"/>
        </w:rPr>
        <w:t>、【标项一、二、三】：投标人是生产企业的须具备《药品生产许可证》（中药饮片）、投标人为经营企业或代理公司的须提供《药品经营许可证》（中药饮片）；所有证件均应在有效期内。所投产品中含有毒性饮片的，《药品生产许可证》内须含有医疗用毒性药品（中药饮片）；《药品经营许可证》内须含有医疗用毒性药品（中药饮片）。</w:t>
      </w:r>
    </w:p>
    <w:p w14:paraId="42795948">
      <w:pPr>
        <w:keepNext w:val="0"/>
        <w:keepLines w:val="0"/>
        <w:pageBreakBefore w:val="0"/>
        <w:widowControl w:val="0"/>
        <w:kinsoku/>
        <w:wordWrap/>
        <w:overflowPunct/>
        <w:topLinePunct w:val="0"/>
        <w:autoSpaceDE/>
        <w:autoSpaceDN/>
        <w:bidi w:val="0"/>
        <w:adjustRightInd/>
        <w:snapToGrid/>
        <w:spacing w:line="300" w:lineRule="exact"/>
        <w:ind w:firstLine="440" w:firstLineChars="200"/>
        <w:textAlignment w:val="auto"/>
        <w:rPr>
          <w:rFonts w:hint="eastAsia" w:ascii="微软雅黑" w:hAnsi="微软雅黑" w:eastAsia="微软雅黑" w:cs="微软雅黑"/>
          <w:b/>
          <w:bCs/>
          <w:color w:val="auto"/>
          <w:sz w:val="22"/>
          <w:szCs w:val="22"/>
          <w:highlight w:val="none"/>
          <w:lang w:eastAsia="zh-CN"/>
        </w:rPr>
      </w:pPr>
      <w:r>
        <w:rPr>
          <w:rFonts w:hint="eastAsia" w:ascii="微软雅黑" w:hAnsi="微软雅黑" w:eastAsia="微软雅黑" w:cs="微软雅黑"/>
          <w:color w:val="auto"/>
          <w:sz w:val="22"/>
          <w:szCs w:val="22"/>
          <w:highlight w:val="none"/>
          <w:lang w:eastAsia="zh-CN"/>
        </w:rPr>
        <w:t>所投产品中含麻黄的，还须投标人提供有效的《麻黄草收购许可证》或相关批准文件，所有证件均应在有效期内</w:t>
      </w:r>
    </w:p>
    <w:p w14:paraId="4DC06883">
      <w:pPr>
        <w:keepNext w:val="0"/>
        <w:keepLines w:val="0"/>
        <w:pageBreakBefore w:val="0"/>
        <w:widowControl w:val="0"/>
        <w:kinsoku/>
        <w:wordWrap/>
        <w:overflowPunct/>
        <w:topLinePunct w:val="0"/>
        <w:autoSpaceDE/>
        <w:autoSpaceDN/>
        <w:bidi w:val="0"/>
        <w:adjustRightInd/>
        <w:snapToGrid/>
        <w:spacing w:line="300" w:lineRule="exact"/>
        <w:ind w:firstLine="440" w:firstLineChars="200"/>
        <w:textAlignment w:val="auto"/>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lang w:eastAsia="zh-CN"/>
        </w:rPr>
        <w:t>【标项四】：投标人须提供符合国家药用标准且在国家药品监督管理局药品审评中心备案结果为“A”的药包材或提供《药品包装材料和容器注册证》（所有证件均应在有效期内）。</w:t>
      </w:r>
    </w:p>
    <w:p w14:paraId="105EF593">
      <w:pPr>
        <w:keepNext w:val="0"/>
        <w:keepLines w:val="0"/>
        <w:pageBreakBefore w:val="0"/>
        <w:widowControl w:val="0"/>
        <w:kinsoku/>
        <w:wordWrap/>
        <w:overflowPunct/>
        <w:topLinePunct w:val="0"/>
        <w:autoSpaceDE/>
        <w:autoSpaceDN/>
        <w:bidi w:val="0"/>
        <w:adjustRightInd/>
        <w:snapToGrid/>
        <w:spacing w:line="300" w:lineRule="exact"/>
        <w:ind w:firstLine="440" w:firstLineChars="20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lang w:val="en-US" w:eastAsia="zh-CN"/>
        </w:rPr>
        <w:t>5、提供2024年或2025年任意一年的财务审计报告，成立未满12个月的新公司可提供近三个月内任意一个月的银行资信证明；</w:t>
      </w:r>
    </w:p>
    <w:p w14:paraId="3E5A0553">
      <w:pPr>
        <w:keepNext w:val="0"/>
        <w:keepLines w:val="0"/>
        <w:pageBreakBefore w:val="0"/>
        <w:widowControl w:val="0"/>
        <w:kinsoku/>
        <w:wordWrap/>
        <w:overflowPunct/>
        <w:topLinePunct w:val="0"/>
        <w:autoSpaceDE/>
        <w:autoSpaceDN/>
        <w:bidi w:val="0"/>
        <w:adjustRightInd/>
        <w:snapToGrid/>
        <w:spacing w:line="300" w:lineRule="exact"/>
        <w:ind w:firstLine="440" w:firstLineChars="20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lang w:val="en-US" w:eastAsia="zh-CN"/>
        </w:rPr>
        <w:t>6、</w:t>
      </w:r>
      <w:r>
        <w:rPr>
          <w:rFonts w:hint="eastAsia" w:ascii="微软雅黑" w:hAnsi="微软雅黑" w:eastAsia="微软雅黑" w:cs="微软雅黑"/>
          <w:color w:val="auto"/>
          <w:sz w:val="22"/>
          <w:szCs w:val="22"/>
          <w:highlight w:val="none"/>
          <w:lang w:eastAsia="zh-CN"/>
        </w:rPr>
        <w:t>提供依法缴纳近6个月任意1个月社会保险的证明</w:t>
      </w:r>
      <w:r>
        <w:rPr>
          <w:rFonts w:hint="eastAsia" w:ascii="微软雅黑" w:hAnsi="微软雅黑" w:eastAsia="微软雅黑" w:cs="微软雅黑"/>
          <w:color w:val="auto"/>
          <w:sz w:val="22"/>
          <w:szCs w:val="22"/>
          <w:highlight w:val="none"/>
        </w:rPr>
        <w:t>；</w:t>
      </w:r>
    </w:p>
    <w:p w14:paraId="1529F840">
      <w:pPr>
        <w:keepNext w:val="0"/>
        <w:keepLines w:val="0"/>
        <w:pageBreakBefore w:val="0"/>
        <w:widowControl w:val="0"/>
        <w:kinsoku/>
        <w:wordWrap/>
        <w:overflowPunct/>
        <w:topLinePunct w:val="0"/>
        <w:autoSpaceDE/>
        <w:autoSpaceDN/>
        <w:bidi w:val="0"/>
        <w:adjustRightInd/>
        <w:snapToGrid/>
        <w:spacing w:line="300" w:lineRule="exact"/>
        <w:ind w:firstLine="440" w:firstLineChars="20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lang w:val="en-US" w:eastAsia="zh-CN"/>
        </w:rPr>
        <w:t>7、</w:t>
      </w:r>
      <w:r>
        <w:rPr>
          <w:rFonts w:hint="eastAsia" w:ascii="微软雅黑" w:hAnsi="微软雅黑" w:eastAsia="微软雅黑" w:cs="微软雅黑"/>
          <w:color w:val="auto"/>
          <w:sz w:val="22"/>
          <w:szCs w:val="22"/>
          <w:highlight w:val="none"/>
          <w:lang w:eastAsia="zh-CN"/>
        </w:rPr>
        <w:t>提供依法缴纳近6个月任意1个月的税收证明</w:t>
      </w:r>
      <w:r>
        <w:rPr>
          <w:rFonts w:hint="eastAsia" w:ascii="微软雅黑" w:hAnsi="微软雅黑" w:eastAsia="微软雅黑" w:cs="微软雅黑"/>
          <w:color w:val="auto"/>
          <w:sz w:val="22"/>
          <w:szCs w:val="22"/>
          <w:highlight w:val="none"/>
        </w:rPr>
        <w:t>；</w:t>
      </w:r>
    </w:p>
    <w:p w14:paraId="64217188">
      <w:pPr>
        <w:keepNext w:val="0"/>
        <w:keepLines w:val="0"/>
        <w:pageBreakBefore w:val="0"/>
        <w:widowControl w:val="0"/>
        <w:kinsoku/>
        <w:wordWrap/>
        <w:overflowPunct/>
        <w:topLinePunct w:val="0"/>
        <w:autoSpaceDE/>
        <w:autoSpaceDN/>
        <w:bidi w:val="0"/>
        <w:adjustRightInd/>
        <w:snapToGrid/>
        <w:spacing w:line="300" w:lineRule="exact"/>
        <w:ind w:firstLine="440" w:firstLineChars="20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lang w:val="en-US" w:eastAsia="zh-CN"/>
        </w:rPr>
        <w:t>8、根据《财政部关于在政府采购活动中查询及使用信用记录有关问题的通知》（财库﹝2016﹞125号）的要求，凡拟参加本次招标项目的供应商，如在“信用中国（https://www.creditchina.gov.cn/）”被列入严重失信主体名单、重大税收违法失信主体名单（首页-信用公示-严重失信主体名单查询/重大税收违法失信主体名单-搜索栏输入单位全称）、“中国政府采购网（https://www.ccgp.gov.cn/search/cr/）”严重违法失信行为信息记录名单（尚在处罚期内的）、“国家企业信用信息公示系统（https://www.gsxt.gov.cn/）”列入经营异常名录信息、严重违法失信名单（黑名单）信息的，将拒绝其参加本次招标活动（以代理机构或采购人查询为准）</w:t>
      </w:r>
    </w:p>
    <w:p w14:paraId="76876318">
      <w:pPr>
        <w:keepNext w:val="0"/>
        <w:keepLines w:val="0"/>
        <w:pageBreakBefore w:val="0"/>
        <w:widowControl w:val="0"/>
        <w:kinsoku/>
        <w:wordWrap/>
        <w:overflowPunct/>
        <w:topLinePunct w:val="0"/>
        <w:autoSpaceDE/>
        <w:autoSpaceDN/>
        <w:bidi w:val="0"/>
        <w:adjustRightInd/>
        <w:snapToGrid/>
        <w:spacing w:line="300" w:lineRule="exact"/>
        <w:ind w:firstLine="440" w:firstLineChars="20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lang w:val="en-US" w:eastAsia="zh-CN"/>
        </w:rPr>
        <w:t>9、</w:t>
      </w:r>
      <w:r>
        <w:rPr>
          <w:rFonts w:hint="eastAsia" w:ascii="微软雅黑" w:hAnsi="微软雅黑" w:eastAsia="微软雅黑" w:cs="微软雅黑"/>
          <w:color w:val="auto"/>
          <w:sz w:val="22"/>
          <w:szCs w:val="22"/>
          <w:highlight w:val="none"/>
          <w:lang w:eastAsia="zh-CN"/>
        </w:rPr>
        <w:t>提供参加政府采购活动前3年内在经营活动中没有重大违法记录的书面声明函</w:t>
      </w:r>
      <w:r>
        <w:rPr>
          <w:rFonts w:hint="eastAsia" w:ascii="微软雅黑" w:hAnsi="微软雅黑" w:eastAsia="微软雅黑" w:cs="微软雅黑"/>
          <w:color w:val="auto"/>
          <w:sz w:val="22"/>
          <w:szCs w:val="22"/>
          <w:highlight w:val="none"/>
        </w:rPr>
        <w:t>；</w:t>
      </w:r>
    </w:p>
    <w:p w14:paraId="24EFCF79">
      <w:pPr>
        <w:keepNext w:val="0"/>
        <w:keepLines w:val="0"/>
        <w:pageBreakBefore w:val="0"/>
        <w:widowControl w:val="0"/>
        <w:tabs>
          <w:tab w:val="left" w:pos="5580"/>
        </w:tabs>
        <w:kinsoku/>
        <w:wordWrap/>
        <w:overflowPunct/>
        <w:topLinePunct w:val="0"/>
        <w:autoSpaceDE/>
        <w:autoSpaceDN/>
        <w:bidi w:val="0"/>
        <w:adjustRightInd/>
        <w:snapToGrid/>
        <w:spacing w:line="300" w:lineRule="exact"/>
        <w:ind w:firstLine="440" w:firstLineChars="20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lang w:val="en-US" w:eastAsia="zh-CN"/>
        </w:rPr>
        <w:t>10、</w:t>
      </w:r>
      <w:r>
        <w:rPr>
          <w:rFonts w:hint="eastAsia" w:ascii="微软雅黑" w:hAnsi="微软雅黑" w:eastAsia="微软雅黑" w:cs="微软雅黑"/>
          <w:color w:val="auto"/>
          <w:sz w:val="22"/>
          <w:szCs w:val="22"/>
          <w:highlight w:val="none"/>
          <w:lang w:eastAsia="zh-CN"/>
        </w:rPr>
        <w:t>缴纳投标保证金有效凭证</w:t>
      </w:r>
      <w:r>
        <w:rPr>
          <w:rFonts w:hint="eastAsia" w:ascii="微软雅黑" w:hAnsi="微软雅黑" w:eastAsia="微软雅黑" w:cs="微软雅黑"/>
          <w:color w:val="auto"/>
          <w:sz w:val="22"/>
          <w:szCs w:val="22"/>
          <w:highlight w:val="none"/>
        </w:rPr>
        <w:t>；</w:t>
      </w:r>
    </w:p>
    <w:p w14:paraId="61DCAED5">
      <w:pPr>
        <w:keepNext w:val="0"/>
        <w:keepLines w:val="0"/>
        <w:pageBreakBefore w:val="0"/>
        <w:widowControl w:val="0"/>
        <w:kinsoku/>
        <w:wordWrap/>
        <w:overflowPunct/>
        <w:topLinePunct w:val="0"/>
        <w:autoSpaceDE/>
        <w:autoSpaceDN/>
        <w:bidi w:val="0"/>
        <w:adjustRightInd/>
        <w:snapToGrid/>
        <w:spacing w:line="300" w:lineRule="exact"/>
        <w:ind w:firstLine="440" w:firstLineChars="200"/>
        <w:textAlignment w:val="auto"/>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sz w:val="22"/>
          <w:szCs w:val="22"/>
          <w:highlight w:val="none"/>
          <w:lang w:val="en-US" w:eastAsia="zh-CN"/>
        </w:rPr>
        <w:t>11、</w:t>
      </w:r>
      <w:r>
        <w:rPr>
          <w:rFonts w:hint="eastAsia" w:ascii="微软雅黑" w:hAnsi="微软雅黑" w:eastAsia="微软雅黑" w:cs="微软雅黑"/>
          <w:color w:val="auto"/>
          <w:kern w:val="0"/>
          <w:sz w:val="22"/>
          <w:szCs w:val="22"/>
          <w:highlight w:val="none"/>
        </w:rPr>
        <w:t>银行开户许可证复印件或银行基本账户信息(包含：银行账号及开户行名称）；</w:t>
      </w:r>
    </w:p>
    <w:p w14:paraId="0A88DC41">
      <w:pPr>
        <w:keepNext w:val="0"/>
        <w:keepLines w:val="0"/>
        <w:pageBreakBefore w:val="0"/>
        <w:widowControl w:val="0"/>
        <w:tabs>
          <w:tab w:val="left" w:pos="5580"/>
        </w:tabs>
        <w:kinsoku/>
        <w:wordWrap/>
        <w:overflowPunct/>
        <w:topLinePunct w:val="0"/>
        <w:autoSpaceDE/>
        <w:autoSpaceDN/>
        <w:bidi w:val="0"/>
        <w:adjustRightInd/>
        <w:snapToGrid/>
        <w:spacing w:line="300" w:lineRule="exact"/>
        <w:ind w:firstLine="440" w:firstLineChars="200"/>
        <w:textAlignment w:val="auto"/>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lang w:val="en-US" w:eastAsia="zh-CN"/>
        </w:rPr>
        <w:t>12、供应商可提供有利于投标的其他资格证明材料。</w:t>
      </w:r>
    </w:p>
    <w:p w14:paraId="221ECA2F">
      <w:pPr>
        <w:pStyle w:val="31"/>
        <w:ind w:left="0" w:leftChars="0" w:firstLine="0" w:firstLineChars="0"/>
        <w:rPr>
          <w:rFonts w:hint="eastAsia" w:ascii="微软雅黑" w:hAnsi="微软雅黑" w:eastAsia="微软雅黑" w:cs="微软雅黑"/>
          <w:color w:val="auto"/>
          <w:sz w:val="22"/>
          <w:szCs w:val="22"/>
          <w:highlight w:val="none"/>
        </w:rPr>
      </w:pPr>
    </w:p>
    <w:p w14:paraId="1921EF02">
      <w:pPr>
        <w:keepNext w:val="0"/>
        <w:keepLines w:val="0"/>
        <w:pageBreakBefore w:val="0"/>
        <w:widowControl/>
        <w:kinsoku/>
        <w:wordWrap w:val="0"/>
        <w:overflowPunct/>
        <w:topLinePunct w:val="0"/>
        <w:autoSpaceDE/>
        <w:autoSpaceDN/>
        <w:bidi w:val="0"/>
        <w:adjustRightInd/>
        <w:snapToGrid w:val="0"/>
        <w:spacing w:before="0" w:beforeAutospacing="0" w:after="0" w:afterAutospacing="0" w:line="300" w:lineRule="exact"/>
        <w:ind w:left="0" w:leftChars="0"/>
        <w:jc w:val="left"/>
        <w:textAlignment w:val="baseline"/>
        <w:rPr>
          <w:rFonts w:hint="eastAsia" w:ascii="微软雅黑" w:hAnsi="微软雅黑" w:eastAsia="微软雅黑" w:cs="微软雅黑"/>
          <w:b/>
          <w:bCs/>
          <w:color w:val="auto"/>
          <w:sz w:val="22"/>
          <w:szCs w:val="22"/>
          <w:highlight w:val="none"/>
        </w:rPr>
      </w:pPr>
      <w:r>
        <w:rPr>
          <w:rFonts w:hint="eastAsia" w:ascii="微软雅黑" w:hAnsi="微软雅黑" w:eastAsia="微软雅黑" w:cs="微软雅黑"/>
          <w:b/>
          <w:bCs/>
          <w:color w:val="auto"/>
          <w:sz w:val="22"/>
          <w:szCs w:val="22"/>
          <w:highlight w:val="none"/>
        </w:rPr>
        <w:t>注：各供应商应注意以下事项：①本项目要求各投标供应商提供“提供依法缴纳近6个月中任意1个月的税收证明”，若供应商某月税收为零申报，须提供加盖税务局公章的无欠税证明或申报成功网页截图（供应商可自主登录“国家税务总局电子税务局”12366.chinatax.gov.cn/bsfw/onlinetaxation/main——税费申报及缴纳——申报结果查询）。②税务局代收的社保缴费证明不可作为本项目的税收证明（“税种”不可为养老保险、医疗保险、失业保险、工伤保险和生育保险）</w:t>
      </w:r>
    </w:p>
    <w:p w14:paraId="295A63DB">
      <w:pPr>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br w:type="page"/>
      </w:r>
    </w:p>
    <w:p w14:paraId="3F9435A3">
      <w:pPr>
        <w:pStyle w:val="3"/>
        <w:spacing w:before="0" w:line="400" w:lineRule="exact"/>
        <w:ind w:left="1080" w:leftChars="257" w:hanging="540"/>
        <w:rPr>
          <w:rFonts w:hint="eastAsia" w:ascii="微软雅黑" w:hAnsi="微软雅黑" w:eastAsia="微软雅黑" w:cs="微软雅黑"/>
          <w:color w:val="auto"/>
          <w:sz w:val="22"/>
          <w:szCs w:val="22"/>
          <w:highlight w:val="none"/>
        </w:rPr>
      </w:pPr>
      <w:bookmarkStart w:id="1483" w:name="_Toc26321"/>
      <w:r>
        <w:rPr>
          <w:rFonts w:hint="eastAsia" w:ascii="微软雅黑" w:hAnsi="微软雅黑" w:eastAsia="微软雅黑" w:cs="微软雅黑"/>
          <w:color w:val="auto"/>
          <w:sz w:val="22"/>
          <w:szCs w:val="22"/>
          <w:highlight w:val="none"/>
        </w:rPr>
        <w:t>1、开标一览表</w:t>
      </w:r>
      <w:bookmarkEnd w:id="1472"/>
      <w:bookmarkEnd w:id="1483"/>
    </w:p>
    <w:p w14:paraId="49AFE559">
      <w:pPr>
        <w:pStyle w:val="5"/>
        <w:tabs>
          <w:tab w:val="left" w:pos="5580"/>
        </w:tabs>
        <w:spacing w:line="400" w:lineRule="exact"/>
        <w:ind w:left="1080" w:leftChars="257" w:hanging="540"/>
        <w:jc w:val="center"/>
        <w:rPr>
          <w:rFonts w:hint="eastAsia" w:ascii="微软雅黑" w:hAnsi="微软雅黑" w:eastAsia="微软雅黑" w:cs="微软雅黑"/>
          <w:color w:val="auto"/>
          <w:sz w:val="22"/>
          <w:szCs w:val="22"/>
          <w:highlight w:val="none"/>
        </w:rPr>
      </w:pPr>
      <w:bookmarkStart w:id="1484" w:name="_Hlt520356241"/>
      <w:bookmarkEnd w:id="1484"/>
      <w:bookmarkStart w:id="1485" w:name="_Toc494296984"/>
      <w:r>
        <w:rPr>
          <w:rFonts w:hint="eastAsia" w:ascii="微软雅黑" w:hAnsi="微软雅黑" w:eastAsia="微软雅黑" w:cs="微软雅黑"/>
          <w:b/>
          <w:color w:val="auto"/>
          <w:sz w:val="22"/>
          <w:szCs w:val="22"/>
          <w:highlight w:val="none"/>
        </w:rPr>
        <w:t>开标一览表</w:t>
      </w:r>
      <w:bookmarkEnd w:id="1485"/>
    </w:p>
    <w:p w14:paraId="13CE30E6">
      <w:pPr>
        <w:keepNext w:val="0"/>
        <w:keepLines w:val="0"/>
        <w:pageBreakBefore w:val="0"/>
        <w:widowControl w:val="0"/>
        <w:kinsoku/>
        <w:wordWrap/>
        <w:overflowPunct/>
        <w:topLinePunct w:val="0"/>
        <w:autoSpaceDE/>
        <w:autoSpaceDN/>
        <w:bidi w:val="0"/>
        <w:adjustRightInd/>
        <w:snapToGrid/>
        <w:spacing w:line="300" w:lineRule="exact"/>
        <w:ind w:firstLine="440" w:firstLineChars="200"/>
        <w:textAlignment w:val="auto"/>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lang w:eastAsia="zh-CN"/>
        </w:rPr>
        <w:t xml:space="preserve">项目名称：　                  项目编号：                          </w:t>
      </w:r>
    </w:p>
    <w:p w14:paraId="36339B61">
      <w:pPr>
        <w:keepNext w:val="0"/>
        <w:keepLines w:val="0"/>
        <w:pageBreakBefore w:val="0"/>
        <w:widowControl w:val="0"/>
        <w:kinsoku/>
        <w:wordWrap/>
        <w:overflowPunct/>
        <w:topLinePunct w:val="0"/>
        <w:autoSpaceDE/>
        <w:autoSpaceDN/>
        <w:bidi w:val="0"/>
        <w:adjustRightInd/>
        <w:snapToGrid/>
        <w:spacing w:line="300" w:lineRule="exact"/>
        <w:ind w:firstLine="440" w:firstLineChars="200"/>
        <w:textAlignment w:val="auto"/>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lang w:eastAsia="zh-CN"/>
        </w:rPr>
        <w:t>报价单位：人民币</w:t>
      </w:r>
      <w:r>
        <w:rPr>
          <w:rFonts w:hint="eastAsia" w:ascii="微软雅黑" w:hAnsi="微软雅黑" w:eastAsia="微软雅黑" w:cs="微软雅黑"/>
          <w:color w:val="auto"/>
          <w:sz w:val="22"/>
          <w:szCs w:val="22"/>
          <w:highlight w:val="none"/>
          <w:lang w:val="en-US" w:eastAsia="zh-CN"/>
        </w:rPr>
        <w:t xml:space="preserve"> </w:t>
      </w:r>
      <w:r>
        <w:rPr>
          <w:rFonts w:hint="eastAsia" w:ascii="微软雅黑" w:hAnsi="微软雅黑" w:eastAsia="微软雅黑" w:cs="微软雅黑"/>
          <w:b/>
          <w:bCs/>
          <w:color w:val="auto"/>
          <w:sz w:val="22"/>
          <w:szCs w:val="22"/>
          <w:highlight w:val="none"/>
          <w:lang w:eastAsia="zh-CN"/>
        </w:rPr>
        <w:t>元</w:t>
      </w:r>
      <w:r>
        <w:rPr>
          <w:rFonts w:hint="eastAsia" w:ascii="微软雅黑" w:hAnsi="微软雅黑" w:eastAsia="微软雅黑" w:cs="微软雅黑"/>
          <w:b/>
          <w:bCs/>
          <w:color w:val="auto"/>
          <w:sz w:val="22"/>
          <w:szCs w:val="22"/>
          <w:highlight w:val="none"/>
          <w:lang w:val="en-US" w:eastAsia="zh-CN"/>
        </w:rPr>
        <w:t xml:space="preserve"> </w:t>
      </w:r>
      <w:r>
        <w:rPr>
          <w:rFonts w:hint="eastAsia" w:ascii="微软雅黑" w:hAnsi="微软雅黑" w:eastAsia="微软雅黑" w:cs="微软雅黑"/>
          <w:color w:val="auto"/>
          <w:sz w:val="22"/>
          <w:szCs w:val="22"/>
          <w:highlight w:val="none"/>
          <w:lang w:val="en-US" w:eastAsia="zh-CN"/>
        </w:rPr>
        <w:t xml:space="preserve">          标项：（如有）</w:t>
      </w:r>
    </w:p>
    <w:tbl>
      <w:tblPr>
        <w:tblStyle w:val="32"/>
        <w:tblpPr w:leftFromText="180" w:rightFromText="180" w:vertAnchor="text" w:horzAnchor="page" w:tblpX="1210" w:tblpY="506"/>
        <w:tblOverlap w:val="never"/>
        <w:tblW w:w="9475" w:type="dxa"/>
        <w:tblInd w:w="0" w:type="dxa"/>
        <w:tblLayout w:type="fixed"/>
        <w:tblCellMar>
          <w:top w:w="0" w:type="dxa"/>
          <w:left w:w="0" w:type="dxa"/>
          <w:bottom w:w="0" w:type="dxa"/>
          <w:right w:w="0" w:type="dxa"/>
        </w:tblCellMar>
      </w:tblPr>
      <w:tblGrid>
        <w:gridCol w:w="1514"/>
        <w:gridCol w:w="1514"/>
        <w:gridCol w:w="1889"/>
        <w:gridCol w:w="1140"/>
        <w:gridCol w:w="1140"/>
        <w:gridCol w:w="1514"/>
        <w:gridCol w:w="764"/>
      </w:tblGrid>
      <w:tr w14:paraId="444D95B3">
        <w:tblPrEx>
          <w:tblCellMar>
            <w:top w:w="0" w:type="dxa"/>
            <w:left w:w="0" w:type="dxa"/>
            <w:bottom w:w="0" w:type="dxa"/>
            <w:right w:w="0" w:type="dxa"/>
          </w:tblCellMar>
        </w:tblPrEx>
        <w:trPr>
          <w:trHeight w:val="860" w:hRule="atLeast"/>
          <w:tblHeader/>
        </w:trPr>
        <w:tc>
          <w:tcPr>
            <w:tcW w:w="1514" w:type="dxa"/>
            <w:tcBorders>
              <w:top w:val="single" w:color="auto" w:sz="4" w:space="0"/>
              <w:left w:val="single" w:color="auto" w:sz="4" w:space="0"/>
              <w:bottom w:val="single" w:color="auto" w:sz="4" w:space="0"/>
              <w:right w:val="single" w:color="auto" w:sz="4" w:space="0"/>
            </w:tcBorders>
            <w:vAlign w:val="center"/>
          </w:tcPr>
          <w:p w14:paraId="7C9E55AD">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b w:val="0"/>
                <w:bCs/>
                <w:color w:val="auto"/>
                <w:sz w:val="22"/>
                <w:szCs w:val="22"/>
                <w:highlight w:val="none"/>
                <w:lang w:val="en-US" w:eastAsia="zh-CN"/>
              </w:rPr>
              <w:t>标项名称</w:t>
            </w:r>
          </w:p>
        </w:tc>
        <w:tc>
          <w:tcPr>
            <w:tcW w:w="1514" w:type="dxa"/>
            <w:tcBorders>
              <w:top w:val="single" w:color="auto" w:sz="4" w:space="0"/>
              <w:left w:val="single" w:color="auto" w:sz="4" w:space="0"/>
              <w:bottom w:val="single" w:color="auto" w:sz="4" w:space="0"/>
              <w:right w:val="single" w:color="auto" w:sz="4" w:space="0"/>
            </w:tcBorders>
            <w:vAlign w:val="center"/>
          </w:tcPr>
          <w:p w14:paraId="56700DDF">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微软雅黑" w:hAnsi="微软雅黑" w:eastAsia="微软雅黑" w:cs="微软雅黑"/>
                <w:b w:val="0"/>
                <w:bCs/>
                <w:color w:val="auto"/>
                <w:sz w:val="22"/>
                <w:szCs w:val="22"/>
                <w:highlight w:val="none"/>
                <w:lang w:eastAsia="zh-CN"/>
              </w:rPr>
            </w:pPr>
            <w:r>
              <w:rPr>
                <w:rFonts w:hint="eastAsia" w:ascii="微软雅黑" w:hAnsi="微软雅黑" w:eastAsia="微软雅黑" w:cs="微软雅黑"/>
                <w:b w:val="0"/>
                <w:bCs/>
                <w:color w:val="auto"/>
                <w:sz w:val="22"/>
                <w:szCs w:val="22"/>
                <w:highlight w:val="none"/>
                <w:lang w:eastAsia="zh-CN"/>
              </w:rPr>
              <w:t>投标总价</w:t>
            </w:r>
          </w:p>
        </w:tc>
        <w:tc>
          <w:tcPr>
            <w:tcW w:w="1889" w:type="dxa"/>
            <w:tcBorders>
              <w:top w:val="single" w:color="auto" w:sz="4" w:space="0"/>
              <w:left w:val="single" w:color="auto" w:sz="4" w:space="0"/>
              <w:bottom w:val="single" w:color="auto" w:sz="4" w:space="0"/>
              <w:right w:val="single" w:color="auto" w:sz="4" w:space="0"/>
            </w:tcBorders>
            <w:vAlign w:val="center"/>
          </w:tcPr>
          <w:p w14:paraId="64905CEC">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微软雅黑" w:hAnsi="微软雅黑" w:eastAsia="微软雅黑" w:cs="微软雅黑"/>
                <w:b w:val="0"/>
                <w:bCs/>
                <w:color w:val="auto"/>
                <w:sz w:val="22"/>
                <w:szCs w:val="22"/>
                <w:highlight w:val="none"/>
                <w:lang w:eastAsia="zh-CN"/>
              </w:rPr>
            </w:pPr>
            <w:r>
              <w:rPr>
                <w:rFonts w:hint="eastAsia" w:ascii="微软雅黑" w:hAnsi="微软雅黑" w:eastAsia="微软雅黑" w:cs="微软雅黑"/>
                <w:b w:val="0"/>
                <w:bCs/>
                <w:color w:val="auto"/>
                <w:sz w:val="22"/>
                <w:szCs w:val="22"/>
                <w:highlight w:val="none"/>
                <w:lang w:eastAsia="zh-CN"/>
              </w:rPr>
              <w:t>投标保证金</w:t>
            </w:r>
          </w:p>
        </w:tc>
        <w:tc>
          <w:tcPr>
            <w:tcW w:w="1140" w:type="dxa"/>
            <w:tcBorders>
              <w:top w:val="single" w:color="auto" w:sz="4" w:space="0"/>
              <w:left w:val="single" w:color="auto" w:sz="4" w:space="0"/>
              <w:bottom w:val="single" w:color="auto" w:sz="4" w:space="0"/>
              <w:right w:val="single" w:color="auto" w:sz="4" w:space="0"/>
            </w:tcBorders>
            <w:vAlign w:val="center"/>
          </w:tcPr>
          <w:p w14:paraId="34EB5CF7">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b w:val="0"/>
                <w:bCs/>
                <w:color w:val="auto"/>
                <w:sz w:val="22"/>
                <w:szCs w:val="22"/>
                <w:highlight w:val="none"/>
                <w:lang w:val="en-US" w:eastAsia="zh-CN"/>
              </w:rPr>
              <w:t>交货期</w:t>
            </w:r>
          </w:p>
        </w:tc>
        <w:tc>
          <w:tcPr>
            <w:tcW w:w="1140" w:type="dxa"/>
            <w:tcBorders>
              <w:top w:val="single" w:color="auto" w:sz="4" w:space="0"/>
              <w:left w:val="single" w:color="auto" w:sz="4" w:space="0"/>
              <w:bottom w:val="single" w:color="auto" w:sz="4" w:space="0"/>
              <w:right w:val="single" w:color="auto" w:sz="4" w:space="0"/>
            </w:tcBorders>
            <w:vAlign w:val="center"/>
          </w:tcPr>
          <w:p w14:paraId="4CB3C675">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b w:val="0"/>
                <w:bCs/>
                <w:color w:val="auto"/>
                <w:sz w:val="22"/>
                <w:szCs w:val="22"/>
                <w:highlight w:val="none"/>
                <w:lang w:val="en-US" w:eastAsia="zh-CN"/>
              </w:rPr>
              <w:t>质保期</w:t>
            </w:r>
          </w:p>
        </w:tc>
        <w:tc>
          <w:tcPr>
            <w:tcW w:w="1514" w:type="dxa"/>
            <w:tcBorders>
              <w:top w:val="single" w:color="auto" w:sz="4" w:space="0"/>
              <w:left w:val="single" w:color="auto" w:sz="4" w:space="0"/>
              <w:bottom w:val="single" w:color="auto" w:sz="4" w:space="0"/>
              <w:right w:val="single" w:color="auto" w:sz="4" w:space="0"/>
            </w:tcBorders>
            <w:vAlign w:val="center"/>
          </w:tcPr>
          <w:p w14:paraId="319FE85A">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b w:val="0"/>
                <w:bCs/>
                <w:color w:val="auto"/>
                <w:sz w:val="22"/>
                <w:szCs w:val="22"/>
                <w:highlight w:val="none"/>
                <w:lang w:val="en-US" w:eastAsia="zh-CN"/>
              </w:rPr>
              <w:t>交货地点</w:t>
            </w:r>
          </w:p>
        </w:tc>
        <w:tc>
          <w:tcPr>
            <w:tcW w:w="764" w:type="dxa"/>
            <w:tcBorders>
              <w:top w:val="single" w:color="auto" w:sz="4" w:space="0"/>
              <w:left w:val="single" w:color="auto" w:sz="4" w:space="0"/>
              <w:bottom w:val="single" w:color="auto" w:sz="4" w:space="0"/>
              <w:right w:val="single" w:color="auto" w:sz="4" w:space="0"/>
            </w:tcBorders>
            <w:vAlign w:val="center"/>
          </w:tcPr>
          <w:p w14:paraId="0761A19C">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微软雅黑" w:hAnsi="微软雅黑" w:eastAsia="微软雅黑" w:cs="微软雅黑"/>
                <w:b w:val="0"/>
                <w:bCs/>
                <w:color w:val="auto"/>
                <w:sz w:val="22"/>
                <w:szCs w:val="22"/>
                <w:highlight w:val="none"/>
                <w:lang w:val="en-US" w:eastAsia="zh-CN"/>
              </w:rPr>
            </w:pPr>
            <w:r>
              <w:rPr>
                <w:rFonts w:hint="eastAsia" w:ascii="微软雅黑" w:hAnsi="微软雅黑" w:eastAsia="微软雅黑" w:cs="微软雅黑"/>
                <w:b w:val="0"/>
                <w:bCs/>
                <w:color w:val="auto"/>
                <w:sz w:val="22"/>
                <w:szCs w:val="22"/>
                <w:highlight w:val="none"/>
                <w:lang w:val="en-US" w:eastAsia="zh-CN"/>
              </w:rPr>
              <w:t>备注</w:t>
            </w:r>
          </w:p>
        </w:tc>
      </w:tr>
      <w:tr w14:paraId="7D9A4E7E">
        <w:tblPrEx>
          <w:tblCellMar>
            <w:top w:w="0" w:type="dxa"/>
            <w:left w:w="0" w:type="dxa"/>
            <w:bottom w:w="0" w:type="dxa"/>
            <w:right w:w="0" w:type="dxa"/>
          </w:tblCellMar>
        </w:tblPrEx>
        <w:trPr>
          <w:trHeight w:val="1723" w:hRule="atLeast"/>
        </w:trPr>
        <w:tc>
          <w:tcPr>
            <w:tcW w:w="1514" w:type="dxa"/>
            <w:tcBorders>
              <w:top w:val="single" w:color="auto" w:sz="4" w:space="0"/>
              <w:left w:val="single" w:color="auto" w:sz="4" w:space="0"/>
              <w:bottom w:val="single" w:color="auto" w:sz="4" w:space="0"/>
              <w:right w:val="single" w:color="auto" w:sz="4" w:space="0"/>
            </w:tcBorders>
            <w:vAlign w:val="center"/>
          </w:tcPr>
          <w:p w14:paraId="1B4FF3A0">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微软雅黑" w:hAnsi="微软雅黑" w:eastAsia="微软雅黑" w:cs="微软雅黑"/>
                <w:color w:val="auto"/>
                <w:sz w:val="22"/>
                <w:szCs w:val="22"/>
                <w:highlight w:val="none"/>
                <w:lang w:eastAsia="zh-CN"/>
              </w:rPr>
            </w:pPr>
          </w:p>
        </w:tc>
        <w:tc>
          <w:tcPr>
            <w:tcW w:w="1514" w:type="dxa"/>
            <w:tcBorders>
              <w:top w:val="single" w:color="auto" w:sz="4" w:space="0"/>
              <w:left w:val="single" w:color="auto" w:sz="4" w:space="0"/>
              <w:bottom w:val="single" w:color="auto" w:sz="4" w:space="0"/>
              <w:right w:val="single" w:color="auto" w:sz="4" w:space="0"/>
            </w:tcBorders>
            <w:vAlign w:val="center"/>
          </w:tcPr>
          <w:p w14:paraId="688D4C46">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lang w:eastAsia="zh-CN"/>
              </w:rPr>
              <w:t>大写：</w:t>
            </w:r>
          </w:p>
          <w:p w14:paraId="4796728C">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lang w:eastAsia="zh-CN"/>
              </w:rPr>
              <w:t>小写：</w:t>
            </w:r>
          </w:p>
        </w:tc>
        <w:tc>
          <w:tcPr>
            <w:tcW w:w="1889" w:type="dxa"/>
            <w:tcBorders>
              <w:top w:val="single" w:color="auto" w:sz="4" w:space="0"/>
              <w:left w:val="single" w:color="auto" w:sz="4" w:space="0"/>
              <w:bottom w:val="single" w:color="auto" w:sz="4" w:space="0"/>
              <w:right w:val="single" w:color="auto" w:sz="4" w:space="0"/>
            </w:tcBorders>
            <w:vAlign w:val="center"/>
          </w:tcPr>
          <w:p w14:paraId="37C98C3B">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right"/>
              <w:textAlignment w:val="auto"/>
              <w:rPr>
                <w:rFonts w:hint="eastAsia" w:ascii="微软雅黑" w:hAnsi="微软雅黑" w:eastAsia="微软雅黑" w:cs="微软雅黑"/>
                <w:color w:val="auto"/>
                <w:sz w:val="22"/>
                <w:szCs w:val="22"/>
                <w:highlight w:val="none"/>
                <w:lang w:eastAsia="zh-CN"/>
              </w:rPr>
            </w:pPr>
          </w:p>
        </w:tc>
        <w:tc>
          <w:tcPr>
            <w:tcW w:w="1140" w:type="dxa"/>
            <w:tcBorders>
              <w:top w:val="single" w:color="auto" w:sz="4" w:space="0"/>
              <w:left w:val="single" w:color="auto" w:sz="4" w:space="0"/>
              <w:bottom w:val="single" w:color="auto" w:sz="4" w:space="0"/>
              <w:right w:val="single" w:color="auto" w:sz="4" w:space="0"/>
            </w:tcBorders>
            <w:vAlign w:val="center"/>
          </w:tcPr>
          <w:p w14:paraId="5BE1152A">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right"/>
              <w:textAlignment w:val="auto"/>
              <w:rPr>
                <w:rFonts w:hint="eastAsia" w:ascii="微软雅黑" w:hAnsi="微软雅黑" w:eastAsia="微软雅黑" w:cs="微软雅黑"/>
                <w:color w:val="auto"/>
                <w:sz w:val="22"/>
                <w:szCs w:val="22"/>
                <w:highlight w:val="none"/>
                <w:lang w:eastAsia="zh-CN"/>
              </w:rPr>
            </w:pPr>
          </w:p>
        </w:tc>
        <w:tc>
          <w:tcPr>
            <w:tcW w:w="1140" w:type="dxa"/>
            <w:tcBorders>
              <w:top w:val="single" w:color="auto" w:sz="4" w:space="0"/>
              <w:left w:val="single" w:color="auto" w:sz="4" w:space="0"/>
              <w:bottom w:val="single" w:color="auto" w:sz="4" w:space="0"/>
              <w:right w:val="single" w:color="auto" w:sz="4" w:space="0"/>
            </w:tcBorders>
            <w:vAlign w:val="center"/>
          </w:tcPr>
          <w:p w14:paraId="2A6CE8C7">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微软雅黑" w:hAnsi="微软雅黑" w:eastAsia="微软雅黑" w:cs="微软雅黑"/>
                <w:color w:val="auto"/>
                <w:sz w:val="22"/>
                <w:szCs w:val="22"/>
                <w:highlight w:val="none"/>
                <w:lang w:eastAsia="zh-CN"/>
              </w:rPr>
            </w:pPr>
          </w:p>
        </w:tc>
        <w:tc>
          <w:tcPr>
            <w:tcW w:w="1514" w:type="dxa"/>
            <w:tcBorders>
              <w:top w:val="single" w:color="auto" w:sz="4" w:space="0"/>
              <w:left w:val="single" w:color="auto" w:sz="4" w:space="0"/>
              <w:bottom w:val="single" w:color="auto" w:sz="4" w:space="0"/>
              <w:right w:val="single" w:color="auto" w:sz="4" w:space="0"/>
            </w:tcBorders>
            <w:vAlign w:val="center"/>
          </w:tcPr>
          <w:p w14:paraId="4AA3200C">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微软雅黑" w:hAnsi="微软雅黑" w:eastAsia="微软雅黑" w:cs="微软雅黑"/>
                <w:color w:val="auto"/>
                <w:sz w:val="22"/>
                <w:szCs w:val="22"/>
                <w:highlight w:val="none"/>
                <w:lang w:eastAsia="zh-CN"/>
              </w:rPr>
            </w:pPr>
          </w:p>
        </w:tc>
        <w:tc>
          <w:tcPr>
            <w:tcW w:w="764" w:type="dxa"/>
            <w:tcBorders>
              <w:top w:val="single" w:color="auto" w:sz="4" w:space="0"/>
              <w:left w:val="single" w:color="auto" w:sz="4" w:space="0"/>
              <w:bottom w:val="single" w:color="auto" w:sz="4" w:space="0"/>
              <w:right w:val="single" w:color="auto" w:sz="4" w:space="0"/>
            </w:tcBorders>
            <w:vAlign w:val="center"/>
          </w:tcPr>
          <w:p w14:paraId="271B0DFD">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微软雅黑" w:hAnsi="微软雅黑" w:eastAsia="微软雅黑" w:cs="微软雅黑"/>
                <w:color w:val="auto"/>
                <w:sz w:val="22"/>
                <w:szCs w:val="22"/>
                <w:highlight w:val="none"/>
                <w:lang w:eastAsia="zh-CN"/>
              </w:rPr>
            </w:pPr>
          </w:p>
        </w:tc>
      </w:tr>
    </w:tbl>
    <w:p w14:paraId="57BADBBC">
      <w:pPr>
        <w:keepNext w:val="0"/>
        <w:keepLines w:val="0"/>
        <w:pageBreakBefore w:val="0"/>
        <w:widowControl w:val="0"/>
        <w:kinsoku/>
        <w:wordWrap/>
        <w:overflowPunct/>
        <w:topLinePunct w:val="0"/>
        <w:autoSpaceDE/>
        <w:autoSpaceDN/>
        <w:bidi w:val="0"/>
        <w:adjustRightInd/>
        <w:snapToGrid/>
        <w:spacing w:line="300" w:lineRule="exact"/>
        <w:ind w:firstLine="440" w:firstLineChars="200"/>
        <w:textAlignment w:val="auto"/>
        <w:rPr>
          <w:rFonts w:hint="eastAsia" w:ascii="微软雅黑" w:hAnsi="微软雅黑" w:eastAsia="微软雅黑" w:cs="微软雅黑"/>
          <w:color w:val="auto"/>
          <w:sz w:val="22"/>
          <w:szCs w:val="22"/>
          <w:highlight w:val="none"/>
          <w:lang w:eastAsia="zh-CN"/>
        </w:rPr>
      </w:pPr>
    </w:p>
    <w:p w14:paraId="689CDE56">
      <w:pPr>
        <w:keepNext w:val="0"/>
        <w:keepLines w:val="0"/>
        <w:pageBreakBefore w:val="0"/>
        <w:widowControl w:val="0"/>
        <w:kinsoku/>
        <w:wordWrap/>
        <w:overflowPunct/>
        <w:topLinePunct w:val="0"/>
        <w:autoSpaceDE/>
        <w:autoSpaceDN/>
        <w:bidi w:val="0"/>
        <w:adjustRightInd/>
        <w:snapToGrid/>
        <w:spacing w:line="300" w:lineRule="exact"/>
        <w:ind w:firstLine="440" w:firstLineChars="200"/>
        <w:textAlignment w:val="auto"/>
        <w:rPr>
          <w:rFonts w:hint="eastAsia" w:ascii="微软雅黑" w:hAnsi="微软雅黑" w:eastAsia="微软雅黑" w:cs="微软雅黑"/>
          <w:color w:val="auto"/>
          <w:sz w:val="22"/>
          <w:szCs w:val="22"/>
          <w:highlight w:val="none"/>
          <w:lang w:eastAsia="zh-CN"/>
        </w:rPr>
      </w:pPr>
    </w:p>
    <w:p w14:paraId="19B434D4">
      <w:pPr>
        <w:keepNext w:val="0"/>
        <w:keepLines w:val="0"/>
        <w:pageBreakBefore w:val="0"/>
        <w:widowControl w:val="0"/>
        <w:kinsoku/>
        <w:wordWrap/>
        <w:overflowPunct/>
        <w:topLinePunct w:val="0"/>
        <w:autoSpaceDE/>
        <w:autoSpaceDN/>
        <w:bidi w:val="0"/>
        <w:adjustRightInd/>
        <w:snapToGrid/>
        <w:spacing w:line="300" w:lineRule="exact"/>
        <w:ind w:firstLine="440" w:firstLineChars="200"/>
        <w:textAlignment w:val="auto"/>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lang w:eastAsia="zh-CN"/>
        </w:rPr>
        <w:t xml:space="preserve">供应商名称（公章）：                       </w:t>
      </w:r>
    </w:p>
    <w:p w14:paraId="3B6B64C3">
      <w:pPr>
        <w:keepNext w:val="0"/>
        <w:keepLines w:val="0"/>
        <w:pageBreakBefore w:val="0"/>
        <w:widowControl w:val="0"/>
        <w:kinsoku/>
        <w:wordWrap/>
        <w:overflowPunct/>
        <w:topLinePunct w:val="0"/>
        <w:autoSpaceDE/>
        <w:autoSpaceDN/>
        <w:bidi w:val="0"/>
        <w:adjustRightInd/>
        <w:snapToGrid/>
        <w:spacing w:line="300" w:lineRule="exact"/>
        <w:ind w:firstLine="440" w:firstLineChars="200"/>
        <w:textAlignment w:val="auto"/>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rPr>
        <w:t>法定代表人</w:t>
      </w:r>
      <w:r>
        <w:rPr>
          <w:rFonts w:hint="eastAsia" w:ascii="微软雅黑" w:hAnsi="微软雅黑" w:eastAsia="微软雅黑" w:cs="微软雅黑"/>
          <w:color w:val="auto"/>
          <w:sz w:val="22"/>
          <w:szCs w:val="22"/>
          <w:highlight w:val="none"/>
          <w:lang w:eastAsia="zh-CN"/>
        </w:rPr>
        <w:t>或委托代理人(签</w:t>
      </w:r>
      <w:r>
        <w:rPr>
          <w:rFonts w:hint="eastAsia" w:ascii="微软雅黑" w:hAnsi="微软雅黑" w:eastAsia="微软雅黑" w:cs="微软雅黑"/>
          <w:color w:val="auto"/>
          <w:sz w:val="22"/>
          <w:szCs w:val="22"/>
          <w:highlight w:val="none"/>
          <w:lang w:val="en-US" w:eastAsia="zh-CN"/>
        </w:rPr>
        <w:t>/章</w:t>
      </w:r>
      <w:r>
        <w:rPr>
          <w:rFonts w:hint="eastAsia" w:ascii="微软雅黑" w:hAnsi="微软雅黑" w:eastAsia="微软雅黑" w:cs="微软雅黑"/>
          <w:color w:val="auto"/>
          <w:sz w:val="22"/>
          <w:szCs w:val="22"/>
          <w:highlight w:val="none"/>
          <w:lang w:eastAsia="zh-CN"/>
        </w:rPr>
        <w:t>):</w:t>
      </w:r>
      <w:r>
        <w:rPr>
          <w:rFonts w:hint="eastAsia" w:ascii="微软雅黑" w:hAnsi="微软雅黑" w:eastAsia="微软雅黑" w:cs="微软雅黑"/>
          <w:color w:val="auto"/>
          <w:sz w:val="22"/>
          <w:szCs w:val="22"/>
          <w:highlight w:val="none"/>
          <w:lang w:eastAsia="zh-CN"/>
        </w:rPr>
        <w:tab/>
      </w:r>
    </w:p>
    <w:p w14:paraId="4AC3BF28">
      <w:pPr>
        <w:keepNext w:val="0"/>
        <w:keepLines w:val="0"/>
        <w:pageBreakBefore w:val="0"/>
        <w:widowControl w:val="0"/>
        <w:kinsoku/>
        <w:wordWrap/>
        <w:overflowPunct/>
        <w:topLinePunct w:val="0"/>
        <w:autoSpaceDE/>
        <w:autoSpaceDN/>
        <w:bidi w:val="0"/>
        <w:adjustRightInd/>
        <w:snapToGrid/>
        <w:spacing w:line="300" w:lineRule="exact"/>
        <w:ind w:firstLine="440" w:firstLineChars="200"/>
        <w:textAlignment w:val="auto"/>
        <w:rPr>
          <w:rFonts w:hint="eastAsia" w:ascii="微软雅黑" w:hAnsi="微软雅黑" w:eastAsia="微软雅黑" w:cs="微软雅黑"/>
          <w:color w:val="auto"/>
          <w:sz w:val="22"/>
          <w:szCs w:val="22"/>
          <w:highlight w:val="none"/>
          <w:lang w:eastAsia="zh-CN"/>
        </w:rPr>
      </w:pPr>
    </w:p>
    <w:p w14:paraId="5574736C">
      <w:pPr>
        <w:keepNext w:val="0"/>
        <w:keepLines w:val="0"/>
        <w:pageBreakBefore w:val="0"/>
        <w:widowControl w:val="0"/>
        <w:kinsoku/>
        <w:wordWrap/>
        <w:overflowPunct/>
        <w:topLinePunct w:val="0"/>
        <w:autoSpaceDE/>
        <w:autoSpaceDN/>
        <w:bidi w:val="0"/>
        <w:adjustRightInd/>
        <w:snapToGrid/>
        <w:spacing w:line="300" w:lineRule="exact"/>
        <w:ind w:firstLine="440" w:firstLineChars="200"/>
        <w:textAlignment w:val="auto"/>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lang w:eastAsia="zh-CN"/>
        </w:rPr>
        <w:t>注:1、此表中，投标总价应和投标分项报价表的总价相一致。</w:t>
      </w:r>
    </w:p>
    <w:p w14:paraId="69F9CB0F">
      <w:pPr>
        <w:keepNext w:val="0"/>
        <w:keepLines w:val="0"/>
        <w:pageBreakBefore w:val="0"/>
        <w:widowControl w:val="0"/>
        <w:kinsoku/>
        <w:wordWrap/>
        <w:overflowPunct/>
        <w:topLinePunct w:val="0"/>
        <w:autoSpaceDE/>
        <w:autoSpaceDN/>
        <w:bidi w:val="0"/>
        <w:adjustRightInd/>
        <w:snapToGrid/>
        <w:spacing w:line="300" w:lineRule="exact"/>
        <w:ind w:firstLine="440" w:firstLineChars="200"/>
        <w:textAlignment w:val="auto"/>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lang w:val="en-US" w:eastAsia="zh-CN"/>
        </w:rPr>
        <w:t>2</w:t>
      </w:r>
      <w:r>
        <w:rPr>
          <w:rFonts w:hint="eastAsia" w:ascii="微软雅黑" w:hAnsi="微软雅黑" w:eastAsia="微软雅黑" w:cs="微软雅黑"/>
          <w:color w:val="auto"/>
          <w:sz w:val="22"/>
          <w:szCs w:val="22"/>
          <w:highlight w:val="none"/>
          <w:lang w:eastAsia="zh-CN"/>
        </w:rPr>
        <w:t>、投标商报价时包含税费等一切与本次项目相关的费用。</w:t>
      </w:r>
    </w:p>
    <w:p w14:paraId="20E68913">
      <w:pPr>
        <w:keepNext w:val="0"/>
        <w:keepLines w:val="0"/>
        <w:pageBreakBefore w:val="0"/>
        <w:widowControl w:val="0"/>
        <w:kinsoku/>
        <w:wordWrap/>
        <w:overflowPunct/>
        <w:topLinePunct w:val="0"/>
        <w:autoSpaceDE/>
        <w:autoSpaceDN/>
        <w:bidi w:val="0"/>
        <w:adjustRightInd/>
        <w:snapToGrid/>
        <w:spacing w:line="300" w:lineRule="exact"/>
        <w:ind w:firstLine="440" w:firstLineChars="200"/>
        <w:textAlignment w:val="auto"/>
        <w:rPr>
          <w:rFonts w:hint="eastAsia" w:ascii="微软雅黑" w:hAnsi="微软雅黑" w:eastAsia="微软雅黑" w:cs="微软雅黑"/>
          <w:color w:val="auto"/>
          <w:sz w:val="22"/>
          <w:szCs w:val="22"/>
          <w:highlight w:val="none"/>
          <w:lang w:eastAsia="zh-CN"/>
        </w:rPr>
      </w:pPr>
    </w:p>
    <w:p w14:paraId="51A7E5C2">
      <w:pPr>
        <w:pStyle w:val="15"/>
        <w:tabs>
          <w:tab w:val="left" w:pos="5580"/>
        </w:tabs>
        <w:spacing w:line="240" w:lineRule="atLeast"/>
        <w:rPr>
          <w:rFonts w:hint="eastAsia" w:ascii="微软雅黑" w:hAnsi="微软雅黑" w:eastAsia="微软雅黑" w:cs="微软雅黑"/>
          <w:b/>
          <w:color w:val="auto"/>
          <w:sz w:val="22"/>
          <w:szCs w:val="22"/>
          <w:highlight w:val="none"/>
        </w:rPr>
      </w:pPr>
    </w:p>
    <w:p w14:paraId="5F8F8F61">
      <w:pPr>
        <w:pStyle w:val="15"/>
        <w:tabs>
          <w:tab w:val="left" w:pos="5580"/>
        </w:tabs>
        <w:spacing w:line="240" w:lineRule="atLeast"/>
        <w:rPr>
          <w:rFonts w:hint="eastAsia" w:ascii="微软雅黑" w:hAnsi="微软雅黑" w:eastAsia="微软雅黑" w:cs="微软雅黑"/>
          <w:b/>
          <w:color w:val="auto"/>
          <w:sz w:val="22"/>
          <w:szCs w:val="22"/>
          <w:highlight w:val="none"/>
        </w:rPr>
      </w:pPr>
    </w:p>
    <w:p w14:paraId="04D560A9">
      <w:pPr>
        <w:pStyle w:val="15"/>
        <w:tabs>
          <w:tab w:val="left" w:pos="5580"/>
        </w:tabs>
        <w:spacing w:line="240" w:lineRule="atLeast"/>
        <w:rPr>
          <w:rFonts w:hint="eastAsia" w:ascii="微软雅黑" w:hAnsi="微软雅黑" w:eastAsia="微软雅黑" w:cs="微软雅黑"/>
          <w:b/>
          <w:color w:val="auto"/>
          <w:sz w:val="22"/>
          <w:szCs w:val="22"/>
          <w:highlight w:val="none"/>
        </w:rPr>
      </w:pPr>
    </w:p>
    <w:p w14:paraId="3BD28756">
      <w:pPr>
        <w:pStyle w:val="15"/>
        <w:numPr>
          <w:ilvl w:val="0"/>
          <w:numId w:val="0"/>
        </w:numPr>
        <w:tabs>
          <w:tab w:val="left" w:pos="5580"/>
        </w:tabs>
        <w:spacing w:line="400" w:lineRule="exact"/>
        <w:jc w:val="left"/>
        <w:outlineLvl w:val="1"/>
        <w:rPr>
          <w:rFonts w:hint="eastAsia" w:ascii="微软雅黑" w:hAnsi="微软雅黑" w:eastAsia="微软雅黑" w:cs="微软雅黑"/>
          <w:b/>
          <w:color w:val="auto"/>
          <w:sz w:val="22"/>
          <w:szCs w:val="22"/>
          <w:highlight w:val="none"/>
        </w:rPr>
      </w:pPr>
      <w:bookmarkStart w:id="1486" w:name="_Toc22554"/>
      <w:bookmarkStart w:id="1487" w:name="_Toc26385"/>
      <w:r>
        <w:rPr>
          <w:rFonts w:hint="eastAsia" w:ascii="微软雅黑" w:hAnsi="微软雅黑" w:eastAsia="微软雅黑" w:cs="微软雅黑"/>
          <w:b/>
          <w:color w:val="auto"/>
          <w:kern w:val="2"/>
          <w:sz w:val="22"/>
          <w:szCs w:val="22"/>
          <w:highlight w:val="none"/>
          <w:lang w:val="en-US" w:eastAsia="zh-CN" w:bidi="ar-SA"/>
        </w:rPr>
        <w:t>2、</w:t>
      </w:r>
      <w:r>
        <w:rPr>
          <w:rFonts w:hint="eastAsia" w:ascii="微软雅黑" w:hAnsi="微软雅黑" w:eastAsia="微软雅黑" w:cs="微软雅黑"/>
          <w:b/>
          <w:color w:val="auto"/>
          <w:sz w:val="22"/>
          <w:szCs w:val="22"/>
          <w:highlight w:val="none"/>
          <w:lang w:eastAsia="zh-CN"/>
        </w:rPr>
        <w:t>具有有效的营业执照</w:t>
      </w:r>
      <w:r>
        <w:rPr>
          <w:rFonts w:hint="eastAsia" w:ascii="微软雅黑" w:hAnsi="微软雅黑" w:eastAsia="微软雅黑" w:cs="微软雅黑"/>
          <w:b/>
          <w:color w:val="auto"/>
          <w:sz w:val="22"/>
          <w:szCs w:val="22"/>
          <w:highlight w:val="none"/>
        </w:rPr>
        <w:t>；</w:t>
      </w:r>
      <w:bookmarkEnd w:id="1486"/>
      <w:bookmarkEnd w:id="1487"/>
    </w:p>
    <w:p w14:paraId="7EB4E63F">
      <w:pPr>
        <w:pStyle w:val="15"/>
        <w:tabs>
          <w:tab w:val="left" w:pos="5580"/>
        </w:tabs>
        <w:spacing w:line="240" w:lineRule="atLeast"/>
        <w:jc w:val="center"/>
        <w:rPr>
          <w:rFonts w:hint="eastAsia" w:ascii="微软雅黑" w:hAnsi="微软雅黑" w:eastAsia="微软雅黑" w:cs="微软雅黑"/>
          <w:b/>
          <w:color w:val="auto"/>
          <w:sz w:val="22"/>
          <w:szCs w:val="22"/>
          <w:highlight w:val="none"/>
        </w:rPr>
      </w:pPr>
    </w:p>
    <w:p w14:paraId="197CC086">
      <w:pPr>
        <w:pStyle w:val="15"/>
        <w:tabs>
          <w:tab w:val="left" w:pos="5580"/>
        </w:tabs>
        <w:spacing w:line="240" w:lineRule="atLeast"/>
        <w:jc w:val="center"/>
        <w:rPr>
          <w:rFonts w:hint="eastAsia" w:ascii="微软雅黑" w:hAnsi="微软雅黑" w:eastAsia="微软雅黑" w:cs="微软雅黑"/>
          <w:b/>
          <w:color w:val="auto"/>
          <w:sz w:val="22"/>
          <w:szCs w:val="22"/>
          <w:highlight w:val="none"/>
        </w:rPr>
      </w:pPr>
    </w:p>
    <w:p w14:paraId="5235862F">
      <w:pPr>
        <w:pStyle w:val="15"/>
        <w:tabs>
          <w:tab w:val="left" w:pos="5580"/>
        </w:tabs>
        <w:spacing w:line="240" w:lineRule="atLeast"/>
        <w:jc w:val="center"/>
        <w:rPr>
          <w:rFonts w:hint="eastAsia" w:ascii="微软雅黑" w:hAnsi="微软雅黑" w:eastAsia="微软雅黑" w:cs="微软雅黑"/>
          <w:b/>
          <w:color w:val="auto"/>
          <w:sz w:val="22"/>
          <w:szCs w:val="22"/>
          <w:highlight w:val="none"/>
        </w:rPr>
      </w:pPr>
    </w:p>
    <w:p w14:paraId="49E609BA">
      <w:pPr>
        <w:pStyle w:val="15"/>
        <w:tabs>
          <w:tab w:val="left" w:pos="5580"/>
        </w:tabs>
        <w:spacing w:line="240" w:lineRule="atLeast"/>
        <w:rPr>
          <w:rFonts w:hint="eastAsia" w:ascii="微软雅黑" w:hAnsi="微软雅黑" w:eastAsia="微软雅黑" w:cs="微软雅黑"/>
          <w:b/>
          <w:color w:val="auto"/>
          <w:sz w:val="22"/>
          <w:szCs w:val="22"/>
          <w:highlight w:val="none"/>
        </w:rPr>
      </w:pPr>
    </w:p>
    <w:p w14:paraId="381E62F7">
      <w:pPr>
        <w:pStyle w:val="15"/>
        <w:tabs>
          <w:tab w:val="left" w:pos="5580"/>
        </w:tabs>
        <w:spacing w:line="240" w:lineRule="atLeast"/>
        <w:rPr>
          <w:rFonts w:hint="eastAsia" w:ascii="微软雅黑" w:hAnsi="微软雅黑" w:eastAsia="微软雅黑" w:cs="微软雅黑"/>
          <w:b/>
          <w:color w:val="auto"/>
          <w:sz w:val="22"/>
          <w:szCs w:val="22"/>
          <w:highlight w:val="none"/>
        </w:rPr>
      </w:pPr>
    </w:p>
    <w:p w14:paraId="6EBF7922">
      <w:pPr>
        <w:pStyle w:val="15"/>
        <w:tabs>
          <w:tab w:val="left" w:pos="5580"/>
        </w:tabs>
        <w:spacing w:line="240" w:lineRule="atLeast"/>
        <w:rPr>
          <w:rFonts w:hint="eastAsia" w:ascii="微软雅黑" w:hAnsi="微软雅黑" w:eastAsia="微软雅黑" w:cs="微软雅黑"/>
          <w:b/>
          <w:color w:val="auto"/>
          <w:sz w:val="22"/>
          <w:szCs w:val="22"/>
          <w:highlight w:val="none"/>
        </w:rPr>
      </w:pPr>
    </w:p>
    <w:p w14:paraId="01BE246E">
      <w:pPr>
        <w:pStyle w:val="15"/>
        <w:tabs>
          <w:tab w:val="left" w:pos="5580"/>
        </w:tabs>
        <w:spacing w:line="240" w:lineRule="atLeast"/>
        <w:rPr>
          <w:rFonts w:hint="eastAsia" w:ascii="微软雅黑" w:hAnsi="微软雅黑" w:eastAsia="微软雅黑" w:cs="微软雅黑"/>
          <w:b/>
          <w:color w:val="auto"/>
          <w:sz w:val="22"/>
          <w:szCs w:val="22"/>
          <w:highlight w:val="none"/>
        </w:rPr>
      </w:pPr>
    </w:p>
    <w:p w14:paraId="15D5D1D4">
      <w:pPr>
        <w:rPr>
          <w:rFonts w:hint="eastAsia" w:ascii="微软雅黑" w:hAnsi="微软雅黑" w:eastAsia="微软雅黑" w:cs="微软雅黑"/>
          <w:b/>
          <w:color w:val="auto"/>
          <w:sz w:val="22"/>
          <w:szCs w:val="22"/>
          <w:highlight w:val="none"/>
        </w:rPr>
      </w:pPr>
      <w:bookmarkStart w:id="1488" w:name="_Toc3087"/>
      <w:bookmarkStart w:id="1489" w:name="_Toc11840"/>
      <w:bookmarkStart w:id="1490" w:name="_Toc6475"/>
      <w:bookmarkStart w:id="1491" w:name="_Toc1957"/>
      <w:bookmarkStart w:id="1492" w:name="_Toc28979"/>
      <w:bookmarkStart w:id="1493" w:name="_Toc32302"/>
      <w:bookmarkStart w:id="1494" w:name="_Toc16184"/>
      <w:bookmarkStart w:id="1495" w:name="_Toc6321"/>
      <w:r>
        <w:rPr>
          <w:rFonts w:hint="eastAsia" w:ascii="微软雅黑" w:hAnsi="微软雅黑" w:eastAsia="微软雅黑" w:cs="微软雅黑"/>
          <w:b/>
          <w:color w:val="auto"/>
          <w:sz w:val="22"/>
          <w:szCs w:val="22"/>
          <w:highlight w:val="none"/>
        </w:rPr>
        <w:br w:type="page"/>
      </w:r>
    </w:p>
    <w:p w14:paraId="6205024B">
      <w:pPr>
        <w:tabs>
          <w:tab w:val="left" w:pos="5580"/>
        </w:tabs>
        <w:spacing w:line="400" w:lineRule="exact"/>
        <w:outlineLvl w:val="1"/>
        <w:rPr>
          <w:rFonts w:hint="eastAsia" w:ascii="微软雅黑" w:hAnsi="微软雅黑" w:eastAsia="微软雅黑" w:cs="微软雅黑"/>
          <w:b/>
          <w:bCs/>
          <w:color w:val="auto"/>
          <w:sz w:val="22"/>
          <w:szCs w:val="22"/>
          <w:highlight w:val="none"/>
          <w:lang w:val="en-US" w:eastAsia="zh-CN"/>
        </w:rPr>
      </w:pPr>
      <w:bookmarkStart w:id="1496" w:name="_Toc32467"/>
      <w:r>
        <w:rPr>
          <w:rFonts w:hint="eastAsia" w:ascii="微软雅黑" w:hAnsi="微软雅黑" w:eastAsia="微软雅黑" w:cs="微软雅黑"/>
          <w:b/>
          <w:color w:val="auto"/>
          <w:sz w:val="22"/>
          <w:szCs w:val="22"/>
          <w:highlight w:val="none"/>
        </w:rPr>
        <w:t>3</w:t>
      </w:r>
      <w:bookmarkEnd w:id="1488"/>
      <w:bookmarkEnd w:id="1489"/>
      <w:bookmarkEnd w:id="1490"/>
      <w:bookmarkEnd w:id="1491"/>
      <w:bookmarkEnd w:id="1492"/>
      <w:bookmarkEnd w:id="1493"/>
      <w:bookmarkEnd w:id="1494"/>
      <w:r>
        <w:rPr>
          <w:rFonts w:hint="eastAsia" w:ascii="微软雅黑" w:hAnsi="微软雅黑" w:eastAsia="微软雅黑" w:cs="微软雅黑"/>
          <w:b/>
          <w:color w:val="auto"/>
          <w:sz w:val="22"/>
          <w:szCs w:val="22"/>
          <w:highlight w:val="none"/>
          <w:lang w:eastAsia="zh-CN"/>
        </w:rPr>
        <w:t>、</w:t>
      </w:r>
      <w:bookmarkEnd w:id="1495"/>
      <w:r>
        <w:rPr>
          <w:rFonts w:hint="eastAsia" w:ascii="微软雅黑" w:hAnsi="微软雅黑" w:eastAsia="微软雅黑" w:cs="微软雅黑"/>
          <w:b/>
          <w:bCs/>
          <w:color w:val="auto"/>
          <w:sz w:val="22"/>
          <w:szCs w:val="22"/>
          <w:highlight w:val="none"/>
          <w:lang w:val="en-US" w:eastAsia="zh-CN"/>
        </w:rPr>
        <w:t>法定代表人本人投标需提供法定代表人身份证及法定代表人资格证明书;授权委托人投标需提供法定代表人授权委托书、法定代表人身份证及被授权委托人身份证；</w:t>
      </w:r>
      <w:bookmarkEnd w:id="1496"/>
    </w:p>
    <w:p w14:paraId="4C632256">
      <w:pPr>
        <w:jc w:val="center"/>
        <w:rPr>
          <w:rFonts w:hint="eastAsia" w:ascii="微软雅黑" w:hAnsi="微软雅黑" w:eastAsia="微软雅黑" w:cs="微软雅黑"/>
          <w:sz w:val="24"/>
        </w:rPr>
      </w:pPr>
      <w:r>
        <w:rPr>
          <w:rFonts w:hint="eastAsia" w:ascii="微软雅黑" w:hAnsi="微软雅黑" w:eastAsia="微软雅黑" w:cs="微软雅黑"/>
          <w:b/>
          <w:bCs/>
          <w:sz w:val="24"/>
          <w:lang w:eastAsia="zh-CN"/>
        </w:rPr>
        <w:t>（</w:t>
      </w:r>
      <w:r>
        <w:rPr>
          <w:rFonts w:hint="eastAsia" w:ascii="微软雅黑" w:hAnsi="微软雅黑" w:eastAsia="微软雅黑" w:cs="微软雅黑"/>
          <w:b/>
          <w:bCs/>
          <w:sz w:val="24"/>
          <w:lang w:val="en-US" w:eastAsia="zh-CN"/>
        </w:rPr>
        <w:t>一</w:t>
      </w:r>
      <w:r>
        <w:rPr>
          <w:rFonts w:hint="eastAsia" w:ascii="微软雅黑" w:hAnsi="微软雅黑" w:eastAsia="微软雅黑" w:cs="微软雅黑"/>
          <w:b/>
          <w:bCs/>
          <w:sz w:val="24"/>
          <w:lang w:eastAsia="zh-CN"/>
        </w:rPr>
        <w:t>）</w:t>
      </w:r>
      <w:r>
        <w:rPr>
          <w:rFonts w:hint="eastAsia" w:ascii="微软雅黑" w:hAnsi="微软雅黑" w:eastAsia="微软雅黑" w:cs="微软雅黑"/>
          <w:b/>
          <w:bCs/>
          <w:sz w:val="24"/>
        </w:rPr>
        <w:t>法定代表人身份证明</w:t>
      </w:r>
    </w:p>
    <w:p w14:paraId="6F99C2E0">
      <w:pPr>
        <w:spacing w:line="360" w:lineRule="auto"/>
        <w:rPr>
          <w:rFonts w:hint="eastAsia" w:ascii="微软雅黑" w:hAnsi="微软雅黑" w:eastAsia="微软雅黑" w:cs="微软雅黑"/>
          <w:sz w:val="24"/>
        </w:rPr>
      </w:pPr>
      <w:r>
        <w:rPr>
          <w:rFonts w:hint="eastAsia" w:ascii="微软雅黑" w:hAnsi="微软雅黑" w:eastAsia="微软雅黑" w:cs="微软雅黑"/>
        </w:rPr>
        <w:t xml:space="preserve">     </w:t>
      </w:r>
      <w:r>
        <w:rPr>
          <w:rFonts w:hint="eastAsia" w:ascii="微软雅黑" w:hAnsi="微软雅黑" w:eastAsia="微软雅黑" w:cs="微软雅黑"/>
          <w:u w:val="single"/>
        </w:rPr>
        <w:t xml:space="preserve"> </w:t>
      </w:r>
      <w:r>
        <w:rPr>
          <w:rFonts w:hint="eastAsia" w:ascii="微软雅黑" w:hAnsi="微软雅黑" w:eastAsia="微软雅黑" w:cs="微软雅黑"/>
          <w:sz w:val="24"/>
          <w:u w:val="single"/>
        </w:rPr>
        <w:t xml:space="preserve">         </w:t>
      </w:r>
      <w:r>
        <w:rPr>
          <w:rFonts w:hint="eastAsia" w:ascii="微软雅黑" w:hAnsi="微软雅黑" w:eastAsia="微软雅黑" w:cs="微软雅黑"/>
          <w:sz w:val="24"/>
        </w:rPr>
        <w:t>同志，现任我单位</w:t>
      </w:r>
      <w:r>
        <w:rPr>
          <w:rFonts w:hint="eastAsia" w:ascii="微软雅黑" w:hAnsi="微软雅黑" w:eastAsia="微软雅黑" w:cs="微软雅黑"/>
          <w:sz w:val="24"/>
          <w:u w:val="single"/>
        </w:rPr>
        <w:t xml:space="preserve">          </w:t>
      </w:r>
      <w:r>
        <w:rPr>
          <w:rFonts w:hint="eastAsia" w:ascii="微软雅黑" w:hAnsi="微软雅黑" w:eastAsia="微软雅黑" w:cs="微软雅黑"/>
          <w:sz w:val="24"/>
        </w:rPr>
        <w:t>职务，为法定代表人，特此证明。</w:t>
      </w:r>
    </w:p>
    <w:p w14:paraId="5E960DE7">
      <w:pPr>
        <w:spacing w:line="360" w:lineRule="auto"/>
        <w:ind w:firstLine="240" w:firstLineChars="100"/>
        <w:rPr>
          <w:rFonts w:hint="eastAsia" w:ascii="微软雅黑" w:hAnsi="微软雅黑" w:eastAsia="微软雅黑" w:cs="微软雅黑"/>
          <w:sz w:val="24"/>
        </w:rPr>
      </w:pPr>
      <w:r>
        <w:rPr>
          <w:rFonts w:hint="eastAsia" w:ascii="微软雅黑" w:hAnsi="微软雅黑" w:eastAsia="微软雅黑" w:cs="微软雅黑"/>
          <w:sz w:val="24"/>
        </w:rPr>
        <w:t xml:space="preserve">单位：        </w:t>
      </w:r>
    </w:p>
    <w:p w14:paraId="1491DF47">
      <w:pPr>
        <w:spacing w:line="360" w:lineRule="auto"/>
        <w:ind w:firstLine="240" w:firstLineChars="100"/>
        <w:rPr>
          <w:rFonts w:hint="eastAsia" w:ascii="微软雅黑" w:hAnsi="微软雅黑" w:eastAsia="微软雅黑" w:cs="微软雅黑"/>
          <w:sz w:val="24"/>
        </w:rPr>
      </w:pPr>
      <w:r>
        <w:rPr>
          <w:rFonts w:hint="eastAsia" w:ascii="微软雅黑" w:hAnsi="微软雅黑" w:eastAsia="微软雅黑" w:cs="微软雅黑"/>
          <w:sz w:val="24"/>
        </w:rPr>
        <w:t>附：性别：            年龄：           身份证号码：</w:t>
      </w:r>
    </w:p>
    <w:p w14:paraId="7040F077">
      <w:pPr>
        <w:spacing w:line="360" w:lineRule="auto"/>
        <w:ind w:firstLine="240" w:firstLineChars="100"/>
        <w:rPr>
          <w:rFonts w:hint="eastAsia" w:ascii="微软雅黑" w:hAnsi="微软雅黑" w:eastAsia="微软雅黑" w:cs="微软雅黑"/>
          <w:sz w:val="24"/>
        </w:rPr>
      </w:pPr>
      <w:r>
        <w:rPr>
          <w:rFonts w:hint="eastAsia" w:ascii="微软雅黑" w:hAnsi="微软雅黑" w:eastAsia="微软雅黑" w:cs="微软雅黑"/>
          <w:sz w:val="24"/>
        </w:rPr>
        <w:t>联系电话：</w:t>
      </w:r>
    </w:p>
    <w:p w14:paraId="44A62179">
      <w:pPr>
        <w:spacing w:line="360" w:lineRule="auto"/>
        <w:ind w:firstLine="240" w:firstLineChars="100"/>
        <w:rPr>
          <w:rFonts w:hint="eastAsia" w:ascii="微软雅黑" w:hAnsi="微软雅黑" w:eastAsia="微软雅黑" w:cs="微软雅黑"/>
          <w:sz w:val="24"/>
        </w:rPr>
      </w:pPr>
      <w:r>
        <w:rPr>
          <w:rFonts w:hint="eastAsia" w:ascii="微软雅黑" w:hAnsi="微软雅黑" w:eastAsia="微软雅黑" w:cs="微软雅黑"/>
          <w:sz w:val="24"/>
        </w:rPr>
        <w:t>统一社会信用代码：              经济性质：</w:t>
      </w:r>
    </w:p>
    <w:p w14:paraId="70823E3D">
      <w:pPr>
        <w:spacing w:line="360" w:lineRule="auto"/>
        <w:rPr>
          <w:rFonts w:hint="eastAsia" w:ascii="微软雅黑" w:hAnsi="微软雅黑" w:eastAsia="微软雅黑" w:cs="微软雅黑"/>
          <w:sz w:val="24"/>
        </w:rPr>
      </w:pPr>
      <w:r>
        <w:rPr>
          <w:rFonts w:hint="eastAsia" w:ascii="微软雅黑" w:hAnsi="微软雅黑" w:eastAsia="微软雅黑" w:cs="微软雅黑"/>
          <w:sz w:val="24"/>
        </w:rPr>
        <w:t>说明：</w:t>
      </w:r>
    </w:p>
    <w:p w14:paraId="3E915B4F">
      <w:pPr>
        <w:spacing w:line="360" w:lineRule="auto"/>
        <w:ind w:firstLine="240" w:firstLineChars="100"/>
        <w:rPr>
          <w:rFonts w:hint="eastAsia" w:ascii="微软雅黑" w:hAnsi="微软雅黑" w:eastAsia="微软雅黑" w:cs="微软雅黑"/>
          <w:sz w:val="24"/>
        </w:rPr>
      </w:pPr>
      <w:r>
        <w:rPr>
          <w:rFonts w:hint="eastAsia" w:ascii="微软雅黑" w:hAnsi="微软雅黑" w:eastAsia="微软雅黑" w:cs="微软雅黑"/>
          <w:sz w:val="24"/>
        </w:rPr>
        <w:t>1、法定代表人为企业事业单位、国家机关、社会团体的主要行政负责人。</w:t>
      </w:r>
    </w:p>
    <w:p w14:paraId="4DC3D72B">
      <w:pPr>
        <w:spacing w:line="360" w:lineRule="auto"/>
        <w:rPr>
          <w:rFonts w:hint="eastAsia" w:ascii="微软雅黑" w:hAnsi="微软雅黑" w:eastAsia="微软雅黑" w:cs="微软雅黑"/>
          <w:sz w:val="24"/>
        </w:rPr>
      </w:pPr>
      <w:r>
        <w:rPr>
          <w:rFonts w:hint="eastAsia" w:ascii="微软雅黑" w:hAnsi="微软雅黑" w:eastAsia="微软雅黑" w:cs="微软雅黑"/>
          <w:sz w:val="24"/>
        </w:rPr>
        <w:t xml:space="preserve">  </w:t>
      </w:r>
      <w:r>
        <w:rPr>
          <w:rFonts w:hint="eastAsia" w:ascii="微软雅黑" w:hAnsi="微软雅黑" w:eastAsia="微软雅黑" w:cs="微软雅黑"/>
          <w:b/>
          <w:bCs/>
          <w:sz w:val="24"/>
        </w:rPr>
        <w:t>2、提供身份证正反面。</w:t>
      </w:r>
    </w:p>
    <w:p w14:paraId="0BAC4E3E">
      <w:pPr>
        <w:spacing w:line="360" w:lineRule="auto"/>
        <w:ind w:firstLine="240" w:firstLineChars="100"/>
        <w:rPr>
          <w:rFonts w:hint="eastAsia" w:ascii="微软雅黑" w:hAnsi="微软雅黑" w:eastAsia="微软雅黑" w:cs="微软雅黑"/>
          <w:sz w:val="24"/>
        </w:rPr>
      </w:pPr>
      <w:r>
        <w:rPr>
          <w:rFonts w:hint="eastAsia" w:ascii="微软雅黑" w:hAnsi="微软雅黑" w:eastAsia="微软雅黑" w:cs="微软雅黑"/>
          <w:sz w:val="24"/>
        </w:rPr>
        <w:t>3、内容必须填写真实、清楚、涂改无效，不得转让。</w:t>
      </w:r>
    </w:p>
    <w:p w14:paraId="1EEEE9FF">
      <w:pPr>
        <w:spacing w:line="360" w:lineRule="auto"/>
        <w:rPr>
          <w:rFonts w:hint="eastAsia" w:ascii="微软雅黑" w:hAnsi="微软雅黑" w:eastAsia="微软雅黑" w:cs="微软雅黑"/>
          <w:sz w:val="24"/>
        </w:rPr>
      </w:pPr>
      <w:r>
        <w:rPr>
          <w:rFonts w:hint="eastAsia" w:ascii="微软雅黑" w:hAnsi="微软雅黑" w:eastAsia="微软雅黑" w:cs="微软雅黑"/>
          <w:sz w:val="24"/>
        </w:rPr>
        <mc:AlternateContent>
          <mc:Choice Requires="wps">
            <w:drawing>
              <wp:anchor distT="0" distB="0" distL="114300" distR="114300" simplePos="0" relativeHeight="251659264" behindDoc="0" locked="0" layoutInCell="1" allowOverlap="1">
                <wp:simplePos x="0" y="0"/>
                <wp:positionH relativeFrom="column">
                  <wp:posOffset>154305</wp:posOffset>
                </wp:positionH>
                <wp:positionV relativeFrom="paragraph">
                  <wp:posOffset>10795</wp:posOffset>
                </wp:positionV>
                <wp:extent cx="2333625" cy="1584325"/>
                <wp:effectExtent l="4445" t="4445" r="8890" b="11430"/>
                <wp:wrapNone/>
                <wp:docPr id="14" name="流程图: 可选过程 14"/>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2E52C21C">
                            <w:pPr>
                              <w:jc w:val="center"/>
                              <w:rPr>
                                <w:rFonts w:hAnsi="宋体"/>
                                <w:szCs w:val="21"/>
                              </w:rPr>
                            </w:pPr>
                          </w:p>
                          <w:p w14:paraId="5FED60E4">
                            <w:pPr>
                              <w:jc w:val="center"/>
                              <w:rPr>
                                <w:rFonts w:hAnsi="宋体"/>
                                <w:szCs w:val="21"/>
                              </w:rPr>
                            </w:pPr>
                          </w:p>
                          <w:p w14:paraId="0082CA0C">
                            <w:pPr>
                              <w:jc w:val="center"/>
                              <w:rPr>
                                <w:rFonts w:hAnsi="宋体"/>
                                <w:szCs w:val="21"/>
                              </w:rPr>
                            </w:pPr>
                          </w:p>
                          <w:p w14:paraId="70166E70">
                            <w:pPr>
                              <w:jc w:val="center"/>
                              <w:rPr>
                                <w:szCs w:val="21"/>
                              </w:rPr>
                            </w:pPr>
                            <w:r>
                              <w:rPr>
                                <w:rFonts w:hint="eastAsia" w:hAnsi="宋体"/>
                                <w:szCs w:val="21"/>
                              </w:rPr>
                              <w:t>法定代表人身份证复印件</w:t>
                            </w:r>
                          </w:p>
                        </w:txbxContent>
                      </wps:txbx>
                      <wps:bodyPr wrap="square" upright="1"/>
                    </wps:wsp>
                  </a:graphicData>
                </a:graphic>
              </wp:anchor>
            </w:drawing>
          </mc:Choice>
          <mc:Fallback>
            <w:pict>
              <v:shape id="_x0000_s1026" o:spid="_x0000_s1026" o:spt="176" type="#_x0000_t176" style="position:absolute;left:0pt;margin-left:12.15pt;margin-top:0.85pt;height:124.75pt;width:183.75pt;z-index:251659264;mso-width-relative:page;mso-height-relative:page;" fillcolor="#FFFFFF" filled="t" stroked="t" coordsize="21600,21600" o:gfxdata="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eVk69dYAAAAIAQAADwAAAAAAAAABACAAAAAiAAAAZHJzL2Rvd25y&#10;ZXYueG1sUEsBAhQAFAAAAAgAh07iQJu9VN85AgAAbgQAAA4AAAAAAAAAAQAgAAAAJQEAAGRycy9l&#10;Mm9Eb2MueG1sUEsFBgAAAAAGAAYAWQEAANAFAAAAAA==&#10;">
                <v:fill on="t" focussize="0,0"/>
                <v:stroke color="#000000" joinstyle="miter"/>
                <v:imagedata o:title=""/>
                <o:lock v:ext="edit" aspectratio="f"/>
                <v:textbox>
                  <w:txbxContent>
                    <w:p w14:paraId="2E52C21C">
                      <w:pPr>
                        <w:jc w:val="center"/>
                        <w:rPr>
                          <w:rFonts w:hAnsi="宋体"/>
                          <w:szCs w:val="21"/>
                        </w:rPr>
                      </w:pPr>
                    </w:p>
                    <w:p w14:paraId="5FED60E4">
                      <w:pPr>
                        <w:jc w:val="center"/>
                        <w:rPr>
                          <w:rFonts w:hAnsi="宋体"/>
                          <w:szCs w:val="21"/>
                        </w:rPr>
                      </w:pPr>
                    </w:p>
                    <w:p w14:paraId="0082CA0C">
                      <w:pPr>
                        <w:jc w:val="center"/>
                        <w:rPr>
                          <w:rFonts w:hAnsi="宋体"/>
                          <w:szCs w:val="21"/>
                        </w:rPr>
                      </w:pPr>
                    </w:p>
                    <w:p w14:paraId="70166E70">
                      <w:pPr>
                        <w:jc w:val="center"/>
                        <w:rPr>
                          <w:szCs w:val="21"/>
                        </w:rPr>
                      </w:pPr>
                      <w:r>
                        <w:rPr>
                          <w:rFonts w:hint="eastAsia" w:hAnsi="宋体"/>
                          <w:szCs w:val="21"/>
                        </w:rPr>
                        <w:t>法定代表人身份证复印件</w:t>
                      </w:r>
                    </w:p>
                  </w:txbxContent>
                </v:textbox>
              </v:shape>
            </w:pict>
          </mc:Fallback>
        </mc:AlternateContent>
      </w:r>
      <w:r>
        <w:rPr>
          <w:rFonts w:hint="eastAsia" w:ascii="微软雅黑" w:hAnsi="微软雅黑" w:eastAsia="微软雅黑" w:cs="微软雅黑"/>
          <w:sz w:val="24"/>
        </w:rPr>
        <mc:AlternateContent>
          <mc:Choice Requires="wps">
            <w:drawing>
              <wp:anchor distT="0" distB="0" distL="114300" distR="114300" simplePos="0" relativeHeight="251660288" behindDoc="0" locked="0" layoutInCell="1" allowOverlap="1">
                <wp:simplePos x="0" y="0"/>
                <wp:positionH relativeFrom="column">
                  <wp:posOffset>2918460</wp:posOffset>
                </wp:positionH>
                <wp:positionV relativeFrom="paragraph">
                  <wp:posOffset>28575</wp:posOffset>
                </wp:positionV>
                <wp:extent cx="2609850" cy="1557020"/>
                <wp:effectExtent l="7620" t="7620" r="19050" b="20320"/>
                <wp:wrapNone/>
                <wp:docPr id="15" name="圆角矩形 15"/>
                <wp:cNvGraphicFramePr/>
                <a:graphic xmlns:a="http://schemas.openxmlformats.org/drawingml/2006/main">
                  <a:graphicData uri="http://schemas.microsoft.com/office/word/2010/wordprocessingShape">
                    <wps:wsp>
                      <wps:cNvSpPr/>
                      <wps:spPr>
                        <a:xfrm>
                          <a:off x="0" y="0"/>
                          <a:ext cx="2609850" cy="1557020"/>
                        </a:xfrm>
                        <a:prstGeom prst="roundRect">
                          <a:avLst>
                            <a:gd name="adj" fmla="val 16667"/>
                          </a:avLst>
                        </a:prstGeom>
                        <a:solidFill>
                          <a:srgbClr val="FFFFFF"/>
                        </a:solidFill>
                        <a:ln w="15875" cap="flat" cmpd="sng">
                          <a:solidFill>
                            <a:srgbClr val="808080"/>
                          </a:solidFill>
                          <a:prstDash val="solid"/>
                          <a:headEnd type="none" w="med" len="med"/>
                          <a:tailEnd type="none" w="med" len="med"/>
                        </a:ln>
                        <a:effectLst/>
                      </wps:spPr>
                      <wps:txbx>
                        <w:txbxContent>
                          <w:p w14:paraId="02C0DB54">
                            <w:pPr>
                              <w:jc w:val="center"/>
                              <w:rPr>
                                <w:rFonts w:hAnsi="宋体"/>
                                <w:szCs w:val="21"/>
                              </w:rPr>
                            </w:pPr>
                            <w:r>
                              <w:rPr>
                                <w:rFonts w:hint="eastAsia" w:hAnsi="宋体"/>
                                <w:szCs w:val="21"/>
                              </w:rPr>
                              <w:t xml:space="preserve">  </w:t>
                            </w:r>
                          </w:p>
                          <w:p w14:paraId="4CA8AF37">
                            <w:pPr>
                              <w:jc w:val="center"/>
                              <w:rPr>
                                <w:rFonts w:hAnsi="宋体"/>
                                <w:szCs w:val="21"/>
                              </w:rPr>
                            </w:pPr>
                          </w:p>
                          <w:p w14:paraId="0DC75B97">
                            <w:pPr>
                              <w:jc w:val="center"/>
                              <w:rPr>
                                <w:rFonts w:hAnsi="宋体"/>
                                <w:szCs w:val="21"/>
                              </w:rPr>
                            </w:pPr>
                          </w:p>
                          <w:p w14:paraId="195B366D">
                            <w:pPr>
                              <w:jc w:val="center"/>
                              <w:rPr>
                                <w:szCs w:val="21"/>
                              </w:rPr>
                            </w:pPr>
                            <w:r>
                              <w:rPr>
                                <w:rFonts w:hint="eastAsia" w:hAnsi="宋体"/>
                                <w:szCs w:val="21"/>
                              </w:rPr>
                              <w:t>法定代表人身份证复印件</w:t>
                            </w:r>
                          </w:p>
                          <w:p w14:paraId="79DD6226"/>
                          <w:p w14:paraId="63C703B5">
                            <w:pPr>
                              <w:pStyle w:val="5"/>
                            </w:pPr>
                          </w:p>
                          <w:p w14:paraId="4C44A02B">
                            <w:pPr>
                              <w:pStyle w:val="5"/>
                            </w:pPr>
                          </w:p>
                          <w:p w14:paraId="431B6D07">
                            <w:pPr>
                              <w:pStyle w:val="5"/>
                            </w:pPr>
                          </w:p>
                          <w:p w14:paraId="5F615178">
                            <w:pPr>
                              <w:pStyle w:val="5"/>
                            </w:pPr>
                          </w:p>
                        </w:txbxContent>
                      </wps:txbx>
                      <wps:bodyPr wrap="square" upright="1"/>
                    </wps:wsp>
                  </a:graphicData>
                </a:graphic>
              </wp:anchor>
            </w:drawing>
          </mc:Choice>
          <mc:Fallback>
            <w:pict>
              <v:roundrect id="_x0000_s1026" o:spid="_x0000_s1026" o:spt="2" style="position:absolute;left:0pt;margin-left:229.8pt;margin-top:2.25pt;height:122.6pt;width:205.5pt;z-index:251660288;mso-width-relative:page;mso-height-relative:page;" fillcolor="#FFFFFF" filled="t" stroked="t" coordsize="21600,21600" arcsize="0.166666666666667" o:gfxdata="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I8vY1/aAAAACQEAAA8AAAAAAAAAAQAgAAAAIgAAAGRycy9kb3du&#10;cmV2LnhtbFBLAQIUABQAAAAIAIdO4kAI6kVeNgIAAHYEAAAOAAAAAAAAAAEAIAAAACkBAABkcnMv&#10;ZTJvRG9jLnhtbFBLBQYAAAAABgAGAFkBAADRBQAAAAA=&#10;">
                <v:fill on="t" focussize="0,0"/>
                <v:stroke weight="1.25pt" color="#808080" joinstyle="round"/>
                <v:imagedata o:title=""/>
                <o:lock v:ext="edit" aspectratio="f"/>
                <v:textbox>
                  <w:txbxContent>
                    <w:p w14:paraId="02C0DB54">
                      <w:pPr>
                        <w:jc w:val="center"/>
                        <w:rPr>
                          <w:rFonts w:hAnsi="宋体"/>
                          <w:szCs w:val="21"/>
                        </w:rPr>
                      </w:pPr>
                      <w:r>
                        <w:rPr>
                          <w:rFonts w:hint="eastAsia" w:hAnsi="宋体"/>
                          <w:szCs w:val="21"/>
                        </w:rPr>
                        <w:t xml:space="preserve">  </w:t>
                      </w:r>
                    </w:p>
                    <w:p w14:paraId="4CA8AF37">
                      <w:pPr>
                        <w:jc w:val="center"/>
                        <w:rPr>
                          <w:rFonts w:hAnsi="宋体"/>
                          <w:szCs w:val="21"/>
                        </w:rPr>
                      </w:pPr>
                    </w:p>
                    <w:p w14:paraId="0DC75B97">
                      <w:pPr>
                        <w:jc w:val="center"/>
                        <w:rPr>
                          <w:rFonts w:hAnsi="宋体"/>
                          <w:szCs w:val="21"/>
                        </w:rPr>
                      </w:pPr>
                    </w:p>
                    <w:p w14:paraId="195B366D">
                      <w:pPr>
                        <w:jc w:val="center"/>
                        <w:rPr>
                          <w:szCs w:val="21"/>
                        </w:rPr>
                      </w:pPr>
                      <w:r>
                        <w:rPr>
                          <w:rFonts w:hint="eastAsia" w:hAnsi="宋体"/>
                          <w:szCs w:val="21"/>
                        </w:rPr>
                        <w:t>法定代表人身份证复印件</w:t>
                      </w:r>
                    </w:p>
                    <w:p w14:paraId="79DD6226"/>
                    <w:p w14:paraId="63C703B5">
                      <w:pPr>
                        <w:pStyle w:val="5"/>
                      </w:pPr>
                    </w:p>
                    <w:p w14:paraId="4C44A02B">
                      <w:pPr>
                        <w:pStyle w:val="5"/>
                      </w:pPr>
                    </w:p>
                    <w:p w14:paraId="431B6D07">
                      <w:pPr>
                        <w:pStyle w:val="5"/>
                      </w:pPr>
                    </w:p>
                    <w:p w14:paraId="5F615178">
                      <w:pPr>
                        <w:pStyle w:val="5"/>
                      </w:pPr>
                    </w:p>
                  </w:txbxContent>
                </v:textbox>
              </v:roundrect>
            </w:pict>
          </mc:Fallback>
        </mc:AlternateContent>
      </w:r>
    </w:p>
    <w:p w14:paraId="45A57982">
      <w:pPr>
        <w:spacing w:line="360" w:lineRule="auto"/>
        <w:rPr>
          <w:rFonts w:hint="eastAsia" w:ascii="微软雅黑" w:hAnsi="微软雅黑" w:eastAsia="微软雅黑" w:cs="微软雅黑"/>
          <w:sz w:val="24"/>
        </w:rPr>
      </w:pPr>
    </w:p>
    <w:p w14:paraId="59604891">
      <w:pPr>
        <w:spacing w:line="360" w:lineRule="auto"/>
        <w:rPr>
          <w:rFonts w:hint="eastAsia" w:ascii="微软雅黑" w:hAnsi="微软雅黑" w:eastAsia="微软雅黑" w:cs="微软雅黑"/>
          <w:sz w:val="24"/>
        </w:rPr>
      </w:pPr>
    </w:p>
    <w:p w14:paraId="3A25AF69">
      <w:pPr>
        <w:autoSpaceDE w:val="0"/>
        <w:autoSpaceDN w:val="0"/>
        <w:adjustRightInd w:val="0"/>
        <w:spacing w:line="360" w:lineRule="auto"/>
        <w:ind w:right="246"/>
        <w:rPr>
          <w:rFonts w:hint="eastAsia" w:ascii="微软雅黑" w:hAnsi="微软雅黑" w:eastAsia="微软雅黑" w:cs="微软雅黑"/>
          <w:kern w:val="0"/>
          <w:sz w:val="24"/>
        </w:rPr>
      </w:pPr>
    </w:p>
    <w:p w14:paraId="625FD483">
      <w:pPr>
        <w:autoSpaceDE w:val="0"/>
        <w:autoSpaceDN w:val="0"/>
        <w:adjustRightInd w:val="0"/>
        <w:spacing w:line="360" w:lineRule="auto"/>
        <w:ind w:right="246" w:firstLine="784" w:firstLineChars="327"/>
        <w:rPr>
          <w:rFonts w:hint="eastAsia" w:ascii="微软雅黑" w:hAnsi="微软雅黑" w:eastAsia="微软雅黑" w:cs="微软雅黑"/>
          <w:sz w:val="24"/>
        </w:rPr>
      </w:pPr>
      <w:r>
        <w:rPr>
          <w:rFonts w:hint="eastAsia" w:ascii="微软雅黑" w:hAnsi="微软雅黑" w:eastAsia="微软雅黑" w:cs="微软雅黑"/>
          <w:kern w:val="0"/>
          <w:sz w:val="24"/>
        </w:rPr>
        <w:t>供应商名称（公章）：</w:t>
      </w:r>
      <w:r>
        <w:rPr>
          <w:rFonts w:hint="eastAsia" w:ascii="微软雅黑" w:hAnsi="微软雅黑" w:eastAsia="微软雅黑" w:cs="微软雅黑"/>
          <w:kern w:val="0"/>
          <w:sz w:val="24"/>
          <w:u w:val="single"/>
        </w:rPr>
        <w:t xml:space="preserve">                             </w:t>
      </w:r>
      <w:r>
        <w:rPr>
          <w:rFonts w:hint="eastAsia" w:ascii="微软雅黑" w:hAnsi="微软雅黑" w:eastAsia="微软雅黑" w:cs="微软雅黑"/>
          <w:kern w:val="0"/>
          <w:sz w:val="24"/>
        </w:rPr>
        <w:t xml:space="preserve"> </w:t>
      </w:r>
    </w:p>
    <w:p w14:paraId="200E3E13">
      <w:pPr>
        <w:adjustRightInd w:val="0"/>
        <w:snapToGrid w:val="0"/>
        <w:spacing w:line="360" w:lineRule="auto"/>
        <w:ind w:firstLine="784" w:firstLineChars="327"/>
        <w:rPr>
          <w:rFonts w:hint="eastAsia" w:ascii="微软雅黑" w:hAnsi="微软雅黑" w:eastAsia="微软雅黑" w:cs="微软雅黑"/>
          <w:sz w:val="24"/>
        </w:rPr>
      </w:pPr>
      <w:r>
        <w:rPr>
          <w:rFonts w:hint="eastAsia" w:ascii="微软雅黑" w:hAnsi="微软雅黑" w:eastAsia="微软雅黑" w:cs="微软雅黑"/>
          <w:kern w:val="0"/>
          <w:sz w:val="24"/>
        </w:rPr>
        <w:t>法定代表人（签/章）：</w:t>
      </w:r>
      <w:r>
        <w:rPr>
          <w:rFonts w:hint="eastAsia" w:ascii="微软雅黑" w:hAnsi="微软雅黑" w:eastAsia="微软雅黑" w:cs="微软雅黑"/>
          <w:sz w:val="24"/>
          <w:u w:val="single"/>
        </w:rPr>
        <w:t xml:space="preserve">                    </w:t>
      </w:r>
    </w:p>
    <w:p w14:paraId="060BDD52">
      <w:pPr>
        <w:adjustRightInd w:val="0"/>
        <w:snapToGrid w:val="0"/>
        <w:spacing w:line="360" w:lineRule="auto"/>
        <w:ind w:firstLine="784" w:firstLineChars="327"/>
        <w:rPr>
          <w:rFonts w:hint="eastAsia" w:ascii="微软雅黑" w:hAnsi="微软雅黑" w:eastAsia="微软雅黑" w:cs="微软雅黑"/>
          <w:szCs w:val="24"/>
          <w:u w:val="single"/>
        </w:rPr>
      </w:pPr>
      <w:r>
        <w:rPr>
          <w:rFonts w:hint="eastAsia" w:ascii="微软雅黑" w:hAnsi="微软雅黑" w:eastAsia="微软雅黑" w:cs="微软雅黑"/>
          <w:sz w:val="24"/>
        </w:rPr>
        <w:t>日期：</w:t>
      </w:r>
      <w:r>
        <w:rPr>
          <w:rFonts w:hint="eastAsia" w:ascii="微软雅黑" w:hAnsi="微软雅黑" w:eastAsia="微软雅黑" w:cs="微软雅黑"/>
          <w:sz w:val="24"/>
          <w:u w:val="single"/>
        </w:rPr>
        <w:t xml:space="preserve">                                      </w:t>
      </w:r>
    </w:p>
    <w:p w14:paraId="1A728346">
      <w:pPr>
        <w:rPr>
          <w:rFonts w:hint="eastAsia" w:ascii="微软雅黑" w:hAnsi="微软雅黑" w:eastAsia="微软雅黑" w:cs="微软雅黑"/>
          <w:b/>
          <w:kern w:val="0"/>
          <w:szCs w:val="20"/>
          <w:lang w:val="en-US" w:eastAsia="zh-CN"/>
        </w:rPr>
      </w:pPr>
      <w:r>
        <w:rPr>
          <w:rFonts w:hint="eastAsia" w:ascii="微软雅黑" w:hAnsi="微软雅黑" w:eastAsia="微软雅黑" w:cs="微软雅黑"/>
          <w:b/>
          <w:kern w:val="0"/>
          <w:szCs w:val="20"/>
          <w:lang w:val="en-US" w:eastAsia="zh-CN"/>
        </w:rPr>
        <w:br w:type="page"/>
      </w:r>
    </w:p>
    <w:p w14:paraId="56BD7F4E">
      <w:pPr>
        <w:adjustRightInd w:val="0"/>
        <w:snapToGrid w:val="0"/>
        <w:spacing w:before="240" w:beforeLines="100" w:after="240" w:afterLines="100" w:line="400" w:lineRule="exact"/>
        <w:jc w:val="center"/>
        <w:rPr>
          <w:rFonts w:ascii="微软雅黑" w:hAnsi="微软雅黑" w:eastAsia="微软雅黑" w:cs="微软雅黑"/>
          <w:b/>
          <w:sz w:val="24"/>
        </w:rPr>
      </w:pPr>
      <w:r>
        <w:rPr>
          <w:rFonts w:hint="eastAsia" w:ascii="微软雅黑" w:hAnsi="微软雅黑" w:eastAsia="微软雅黑" w:cs="微软雅黑"/>
          <w:b/>
          <w:sz w:val="24"/>
        </w:rPr>
        <w:t>（二）法定代表人授权委托书</w:t>
      </w:r>
    </w:p>
    <w:p w14:paraId="021DDB04">
      <w:pPr>
        <w:spacing w:line="360" w:lineRule="auto"/>
        <w:ind w:firstLine="220" w:firstLineChars="100"/>
        <w:rPr>
          <w:rFonts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本授权书声明：注册于（国家或地区的名称）的（供应商）的在下面签字的（法人代表姓名、职务）代表我单位授权（单位名称）的在下面签字的（被授权人的姓名、职务）为我单位的合法代理人，就（项目名称）的投标，以我单位名义处理一切与之有关的事务。　　</w:t>
      </w:r>
    </w:p>
    <w:p w14:paraId="13523F26">
      <w:pPr>
        <w:spacing w:line="360" w:lineRule="auto"/>
        <w:ind w:firstLine="220" w:firstLineChars="100"/>
        <w:rPr>
          <w:rFonts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本授权书于</w:t>
      </w:r>
      <w:r>
        <w:rPr>
          <w:rFonts w:hint="eastAsia" w:ascii="微软雅黑" w:hAnsi="微软雅黑" w:eastAsia="微软雅黑" w:cs="微软雅黑"/>
          <w:color w:val="000000" w:themeColor="text1"/>
          <w:sz w:val="22"/>
          <w:szCs w:val="22"/>
          <w:lang w:val="en-US" w:eastAsia="zh-CN"/>
          <w14:textFill>
            <w14:solidFill>
              <w14:schemeClr w14:val="tx1"/>
            </w14:solidFill>
          </w14:textFill>
        </w:rPr>
        <w:t xml:space="preserve">  </w:t>
      </w:r>
      <w:r>
        <w:rPr>
          <w:rFonts w:hint="eastAsia" w:ascii="微软雅黑" w:hAnsi="微软雅黑" w:eastAsia="微软雅黑" w:cs="微软雅黑"/>
          <w:color w:val="000000" w:themeColor="text1"/>
          <w:sz w:val="22"/>
          <w:szCs w:val="22"/>
          <w14:textFill>
            <w14:solidFill>
              <w14:schemeClr w14:val="tx1"/>
            </w14:solidFill>
          </w14:textFill>
        </w:rPr>
        <w:t>年</w:t>
      </w:r>
      <w:r>
        <w:rPr>
          <w:rFonts w:hint="eastAsia" w:ascii="微软雅黑" w:hAnsi="微软雅黑" w:eastAsia="微软雅黑" w:cs="微软雅黑"/>
          <w:color w:val="000000" w:themeColor="text1"/>
          <w:sz w:val="22"/>
          <w:szCs w:val="22"/>
          <w:lang w:val="en-US" w:eastAsia="zh-CN"/>
          <w14:textFill>
            <w14:solidFill>
              <w14:schemeClr w14:val="tx1"/>
            </w14:solidFill>
          </w14:textFill>
        </w:rPr>
        <w:t xml:space="preserve">  </w:t>
      </w:r>
      <w:r>
        <w:rPr>
          <w:rFonts w:hint="eastAsia" w:ascii="微软雅黑" w:hAnsi="微软雅黑" w:eastAsia="微软雅黑" w:cs="微软雅黑"/>
          <w:color w:val="000000" w:themeColor="text1"/>
          <w:sz w:val="22"/>
          <w:szCs w:val="22"/>
          <w14:textFill>
            <w14:solidFill>
              <w14:schemeClr w14:val="tx1"/>
            </w14:solidFill>
          </w14:textFill>
        </w:rPr>
        <w:t>月</w:t>
      </w:r>
      <w:r>
        <w:rPr>
          <w:rFonts w:hint="eastAsia" w:ascii="微软雅黑" w:hAnsi="微软雅黑" w:eastAsia="微软雅黑" w:cs="微软雅黑"/>
          <w:color w:val="000000" w:themeColor="text1"/>
          <w:sz w:val="22"/>
          <w:szCs w:val="22"/>
          <w:lang w:val="en-US" w:eastAsia="zh-CN"/>
          <w14:textFill>
            <w14:solidFill>
              <w14:schemeClr w14:val="tx1"/>
            </w14:solidFill>
          </w14:textFill>
        </w:rPr>
        <w:t xml:space="preserve">  </w:t>
      </w:r>
      <w:r>
        <w:rPr>
          <w:rFonts w:hint="eastAsia" w:ascii="微软雅黑" w:hAnsi="微软雅黑" w:eastAsia="微软雅黑" w:cs="微软雅黑"/>
          <w:color w:val="000000" w:themeColor="text1"/>
          <w:sz w:val="22"/>
          <w:szCs w:val="22"/>
          <w14:textFill>
            <w14:solidFill>
              <w14:schemeClr w14:val="tx1"/>
            </w14:solidFill>
          </w14:textFill>
        </w:rPr>
        <w:t>日签字生效,特此声明。</w:t>
      </w:r>
    </w:p>
    <w:p w14:paraId="403E622D">
      <w:pPr>
        <w:pStyle w:val="15"/>
        <w:tabs>
          <w:tab w:val="left" w:pos="5580"/>
        </w:tabs>
        <w:spacing w:line="240" w:lineRule="atLeast"/>
        <w:ind w:left="-540" w:leftChars="-257" w:firstLine="900" w:firstLineChars="375"/>
        <w:rPr>
          <w:rFonts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mc:AlternateContent>
          <mc:Choice Requires="wps">
            <w:drawing>
              <wp:anchor distT="0" distB="0" distL="0" distR="0" simplePos="0" relativeHeight="251662336" behindDoc="0" locked="0" layoutInCell="1" allowOverlap="1">
                <wp:simplePos x="0" y="0"/>
                <wp:positionH relativeFrom="column">
                  <wp:posOffset>3039110</wp:posOffset>
                </wp:positionH>
                <wp:positionV relativeFrom="paragraph">
                  <wp:posOffset>167640</wp:posOffset>
                </wp:positionV>
                <wp:extent cx="2478405" cy="969010"/>
                <wp:effectExtent l="7620" t="7620" r="13335" b="13970"/>
                <wp:wrapNone/>
                <wp:docPr id="1029" name="1028"/>
                <wp:cNvGraphicFramePr/>
                <a:graphic xmlns:a="http://schemas.openxmlformats.org/drawingml/2006/main">
                  <a:graphicData uri="http://schemas.microsoft.com/office/word/2010/wordprocessingShape">
                    <wps:wsp>
                      <wps:cNvSpPr/>
                      <wps:spPr>
                        <a:xfrm>
                          <a:off x="0" y="0"/>
                          <a:ext cx="2478405" cy="969010"/>
                        </a:xfrm>
                        <a:prstGeom prst="roundRect">
                          <a:avLst>
                            <a:gd name="adj" fmla="val 16667"/>
                          </a:avLst>
                        </a:prstGeom>
                        <a:solidFill>
                          <a:srgbClr val="FFFFFF"/>
                        </a:solidFill>
                        <a:ln w="15875" cap="flat" cmpd="sng">
                          <a:solidFill>
                            <a:srgbClr val="808080"/>
                          </a:solidFill>
                          <a:prstDash val="solid"/>
                          <a:round/>
                          <a:headEnd type="none" w="med" len="med"/>
                          <a:tailEnd type="none" w="med" len="med"/>
                        </a:ln>
                      </wps:spPr>
                      <wps:txbx>
                        <w:txbxContent>
                          <w:p w14:paraId="3366093C">
                            <w:pPr>
                              <w:rPr>
                                <w:rFonts w:hAnsi="宋体"/>
                              </w:rPr>
                            </w:pPr>
                          </w:p>
                          <w:p w14:paraId="48873DED">
                            <w:pPr>
                              <w:rPr>
                                <w:rFonts w:hAnsi="宋体"/>
                              </w:rPr>
                            </w:pPr>
                          </w:p>
                          <w:p w14:paraId="531F418B">
                            <w:pPr>
                              <w:jc w:val="center"/>
                            </w:pPr>
                            <w:r>
                              <w:rPr>
                                <w:rFonts w:hint="eastAsia" w:hAnsi="宋体" w:cs="宋体"/>
                              </w:rPr>
                              <w:t>授权委托人身份证复印件</w:t>
                            </w:r>
                          </w:p>
                          <w:p w14:paraId="32B6FA52"/>
                        </w:txbxContent>
                      </wps:txbx>
                      <wps:bodyPr upright="1"/>
                    </wps:wsp>
                  </a:graphicData>
                </a:graphic>
              </wp:anchor>
            </w:drawing>
          </mc:Choice>
          <mc:Fallback>
            <w:pict>
              <v:roundrect id="1028" o:spid="_x0000_s1026" o:spt="2" style="position:absolute;left:0pt;margin-left:239.3pt;margin-top:13.2pt;height:76.3pt;width:195.15pt;z-index:251662336;mso-width-relative:page;mso-height-relative:page;" fillcolor="#FFFFFF" filled="t" stroked="t" coordsize="21600,21600" arcsize="0.166666666666667" o:gfxdata="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NMFn7jbAAAACgEAAA8AAAAAAAAA&#10;AQAgAAAAIgAAAGRycy9kb3ducmV2LnhtbFBLAQIUABQAAAAIAIdO4kBC5oeHDgIAAFoEAAAOAAAA&#10;AAAAAAEAIAAAACoBAABkcnMvZTJvRG9jLnhtbFBLBQYAAAAABgAGAFkBAACqBQAAAAA=&#10;">
                <v:fill on="t" focussize="0,0"/>
                <v:stroke weight="1.25pt" color="#808080" joinstyle="round"/>
                <v:imagedata o:title=""/>
                <o:lock v:ext="edit" aspectratio="f"/>
                <v:textbox>
                  <w:txbxContent>
                    <w:p w14:paraId="3366093C">
                      <w:pPr>
                        <w:rPr>
                          <w:rFonts w:hAnsi="宋体"/>
                        </w:rPr>
                      </w:pPr>
                    </w:p>
                    <w:p w14:paraId="48873DED">
                      <w:pPr>
                        <w:rPr>
                          <w:rFonts w:hAnsi="宋体"/>
                        </w:rPr>
                      </w:pPr>
                    </w:p>
                    <w:p w14:paraId="531F418B">
                      <w:pPr>
                        <w:jc w:val="center"/>
                      </w:pPr>
                      <w:r>
                        <w:rPr>
                          <w:rFonts w:hint="eastAsia" w:hAnsi="宋体" w:cs="宋体"/>
                        </w:rPr>
                        <w:t>授权委托人身份证复印件</w:t>
                      </w:r>
                    </w:p>
                    <w:p w14:paraId="32B6FA52"/>
                  </w:txbxContent>
                </v:textbox>
              </v:roundrect>
            </w:pict>
          </mc:Fallback>
        </mc:AlternateContent>
      </w:r>
      <w:r>
        <w:rPr>
          <w:rFonts w:hint="eastAsia" w:ascii="微软雅黑" w:hAnsi="微软雅黑" w:eastAsia="微软雅黑" w:cs="微软雅黑"/>
          <w:color w:val="000000" w:themeColor="text1"/>
          <w:sz w:val="24"/>
          <w:szCs w:val="24"/>
          <w14:textFill>
            <w14:solidFill>
              <w14:schemeClr w14:val="tx1"/>
            </w14:solidFill>
          </w14:textFill>
        </w:rPr>
        <mc:AlternateContent>
          <mc:Choice Requires="wps">
            <w:drawing>
              <wp:anchor distT="0" distB="0" distL="0" distR="0" simplePos="0" relativeHeight="251663360" behindDoc="0" locked="0" layoutInCell="1" allowOverlap="1">
                <wp:simplePos x="0" y="0"/>
                <wp:positionH relativeFrom="column">
                  <wp:posOffset>20955</wp:posOffset>
                </wp:positionH>
                <wp:positionV relativeFrom="paragraph">
                  <wp:posOffset>135890</wp:posOffset>
                </wp:positionV>
                <wp:extent cx="2317750" cy="942340"/>
                <wp:effectExtent l="4445" t="4445" r="9525" b="13335"/>
                <wp:wrapNone/>
                <wp:docPr id="1030" name="1029"/>
                <wp:cNvGraphicFramePr/>
                <a:graphic xmlns:a="http://schemas.openxmlformats.org/drawingml/2006/main">
                  <a:graphicData uri="http://schemas.microsoft.com/office/word/2010/wordprocessingShape">
                    <wps:wsp>
                      <wps:cNvSpPr/>
                      <wps:spPr>
                        <a:xfrm>
                          <a:off x="0" y="0"/>
                          <a:ext cx="2317750" cy="94234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033209BC">
                            <w:pPr>
                              <w:jc w:val="center"/>
                              <w:rPr>
                                <w:rFonts w:hAnsi="宋体"/>
                              </w:rPr>
                            </w:pPr>
                          </w:p>
                          <w:p w14:paraId="3F7A373C">
                            <w:pPr>
                              <w:jc w:val="center"/>
                              <w:rPr>
                                <w:rFonts w:hAnsi="宋体"/>
                              </w:rPr>
                            </w:pPr>
                          </w:p>
                          <w:p w14:paraId="21AD9CAB">
                            <w:pPr>
                              <w:jc w:val="center"/>
                            </w:pPr>
                            <w:r>
                              <w:rPr>
                                <w:rFonts w:hint="eastAsia" w:hAnsi="宋体" w:cs="宋体"/>
                              </w:rPr>
                              <w:t>授权委托人身份证复印件</w:t>
                            </w:r>
                          </w:p>
                        </w:txbxContent>
                      </wps:txbx>
                      <wps:bodyPr upright="1"/>
                    </wps:wsp>
                  </a:graphicData>
                </a:graphic>
              </wp:anchor>
            </w:drawing>
          </mc:Choice>
          <mc:Fallback>
            <w:pict>
              <v:shape id="1029" o:spid="_x0000_s1026" o:spt="176" type="#_x0000_t176" style="position:absolute;left:0pt;margin-left:1.65pt;margin-top:10.7pt;height:74.2pt;width:182.5pt;z-index:251663360;mso-width-relative:page;mso-height-relative:page;" fillcolor="#FFFFFF" filled="t" stroked="t" coordsize="21600,21600" o:gfxdata="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7zaEDtYAAAAIAQAADwAAAAAAAAABACAAAAAiAAAAZHJzL2Rv&#10;d25yZXYueG1sUEsBAhQAFAAAAAgAh07iQG/3L7QDAgAAPQQAAA4AAAAAAAAAAQAgAAAAJQEAAGRy&#10;cy9lMm9Eb2MueG1sUEsFBgAAAAAGAAYAWQEAAJoFAAAAAA==&#10;">
                <v:fill on="t" focussize="0,0"/>
                <v:stroke color="#000000" joinstyle="miter"/>
                <v:imagedata o:title=""/>
                <o:lock v:ext="edit" aspectratio="f"/>
                <v:textbox>
                  <w:txbxContent>
                    <w:p w14:paraId="033209BC">
                      <w:pPr>
                        <w:jc w:val="center"/>
                        <w:rPr>
                          <w:rFonts w:hAnsi="宋体"/>
                        </w:rPr>
                      </w:pPr>
                    </w:p>
                    <w:p w14:paraId="3F7A373C">
                      <w:pPr>
                        <w:jc w:val="center"/>
                        <w:rPr>
                          <w:rFonts w:hAnsi="宋体"/>
                        </w:rPr>
                      </w:pPr>
                    </w:p>
                    <w:p w14:paraId="21AD9CAB">
                      <w:pPr>
                        <w:jc w:val="center"/>
                      </w:pPr>
                      <w:r>
                        <w:rPr>
                          <w:rFonts w:hint="eastAsia" w:hAnsi="宋体" w:cs="宋体"/>
                        </w:rPr>
                        <w:t>授权委托人身份证复印件</w:t>
                      </w:r>
                    </w:p>
                  </w:txbxContent>
                </v:textbox>
              </v:shape>
            </w:pict>
          </mc:Fallback>
        </mc:AlternateContent>
      </w:r>
    </w:p>
    <w:p w14:paraId="5153E27F">
      <w:pPr>
        <w:spacing w:line="360" w:lineRule="auto"/>
        <w:ind w:firstLine="240" w:firstLineChars="100"/>
        <w:rPr>
          <w:rFonts w:ascii="微软雅黑" w:hAnsi="微软雅黑" w:eastAsia="微软雅黑" w:cs="微软雅黑"/>
          <w:color w:val="000000" w:themeColor="text1"/>
          <w:sz w:val="24"/>
          <w14:textFill>
            <w14:solidFill>
              <w14:schemeClr w14:val="tx1"/>
            </w14:solidFill>
          </w14:textFill>
        </w:rPr>
      </w:pPr>
    </w:p>
    <w:p w14:paraId="5C75752F">
      <w:pPr>
        <w:spacing w:line="360" w:lineRule="auto"/>
        <w:rPr>
          <w:rFonts w:ascii="微软雅黑" w:hAnsi="微软雅黑" w:eastAsia="微软雅黑" w:cs="微软雅黑"/>
          <w:color w:val="000000" w:themeColor="text1"/>
          <w:sz w:val="24"/>
          <w14:textFill>
            <w14:solidFill>
              <w14:schemeClr w14:val="tx1"/>
            </w14:solidFill>
          </w14:textFill>
        </w:rPr>
      </w:pPr>
    </w:p>
    <w:p w14:paraId="31015536">
      <w:pPr>
        <w:spacing w:line="360" w:lineRule="auto"/>
        <w:ind w:firstLine="240" w:firstLineChars="100"/>
        <w:rPr>
          <w:rFonts w:ascii="微软雅黑" w:hAnsi="微软雅黑" w:eastAsia="微软雅黑" w:cs="微软雅黑"/>
          <w:color w:val="000000" w:themeColor="text1"/>
          <w:sz w:val="24"/>
          <w14:textFill>
            <w14:solidFill>
              <w14:schemeClr w14:val="tx1"/>
            </w14:solidFill>
          </w14:textFill>
        </w:rPr>
      </w:pPr>
    </w:p>
    <w:p w14:paraId="5BB6F720">
      <w:pPr>
        <w:spacing w:line="360" w:lineRule="auto"/>
        <w:ind w:firstLine="240" w:firstLineChars="100"/>
        <w:rPr>
          <w:rFonts w:ascii="微软雅黑" w:hAnsi="微软雅黑" w:eastAsia="微软雅黑" w:cs="微软雅黑"/>
          <w:color w:val="000000" w:themeColor="text1"/>
          <w:sz w:val="24"/>
          <w14:textFill>
            <w14:solidFill>
              <w14:schemeClr w14:val="tx1"/>
            </w14:solidFill>
          </w14:textFill>
        </w:rPr>
      </w:pPr>
      <w:r>
        <w:rPr>
          <w:rFonts w:hint="eastAsia" w:ascii="微软雅黑" w:hAnsi="微软雅黑" w:eastAsia="微软雅黑" w:cs="微软雅黑"/>
          <w:color w:val="000000" w:themeColor="text1"/>
          <w:sz w:val="24"/>
          <w14:textFill>
            <w14:solidFill>
              <w14:schemeClr w14:val="tx1"/>
            </w14:solidFill>
          </w14:textFill>
        </w:rPr>
        <mc:AlternateContent>
          <mc:Choice Requires="wps">
            <w:drawing>
              <wp:anchor distT="0" distB="0" distL="0" distR="0" simplePos="0" relativeHeight="251664384" behindDoc="0" locked="0" layoutInCell="1" allowOverlap="1">
                <wp:simplePos x="0" y="0"/>
                <wp:positionH relativeFrom="column">
                  <wp:posOffset>3018155</wp:posOffset>
                </wp:positionH>
                <wp:positionV relativeFrom="paragraph">
                  <wp:posOffset>96520</wp:posOffset>
                </wp:positionV>
                <wp:extent cx="2535555" cy="935355"/>
                <wp:effectExtent l="7620" t="7620" r="17145" b="17145"/>
                <wp:wrapNone/>
                <wp:docPr id="1031" name="1030"/>
                <wp:cNvGraphicFramePr/>
                <a:graphic xmlns:a="http://schemas.openxmlformats.org/drawingml/2006/main">
                  <a:graphicData uri="http://schemas.microsoft.com/office/word/2010/wordprocessingShape">
                    <wps:wsp>
                      <wps:cNvSpPr/>
                      <wps:spPr>
                        <a:xfrm>
                          <a:off x="0" y="0"/>
                          <a:ext cx="2535555" cy="935355"/>
                        </a:xfrm>
                        <a:prstGeom prst="roundRect">
                          <a:avLst>
                            <a:gd name="adj" fmla="val 16667"/>
                          </a:avLst>
                        </a:prstGeom>
                        <a:solidFill>
                          <a:srgbClr val="FFFFFF"/>
                        </a:solidFill>
                        <a:ln w="15875" cap="flat" cmpd="sng">
                          <a:solidFill>
                            <a:srgbClr val="808080"/>
                          </a:solidFill>
                          <a:prstDash val="solid"/>
                          <a:round/>
                          <a:headEnd type="none" w="med" len="med"/>
                          <a:tailEnd type="none" w="med" len="med"/>
                        </a:ln>
                      </wps:spPr>
                      <wps:txbx>
                        <w:txbxContent>
                          <w:p w14:paraId="6BEDBD20">
                            <w:pPr>
                              <w:jc w:val="center"/>
                              <w:rPr>
                                <w:rFonts w:hAnsi="宋体"/>
                              </w:rPr>
                            </w:pPr>
                          </w:p>
                          <w:p w14:paraId="37815FB9">
                            <w:pPr>
                              <w:rPr>
                                <w:rFonts w:hAnsi="宋体"/>
                              </w:rPr>
                            </w:pPr>
                          </w:p>
                          <w:p w14:paraId="54128345">
                            <w:pPr>
                              <w:jc w:val="center"/>
                            </w:pPr>
                            <w:r>
                              <w:rPr>
                                <w:rFonts w:hint="eastAsia" w:hAnsi="宋体" w:cs="宋体"/>
                              </w:rPr>
                              <w:t>法定代表人身份证复印件</w:t>
                            </w:r>
                          </w:p>
                          <w:p w14:paraId="78808E77"/>
                        </w:txbxContent>
                      </wps:txbx>
                      <wps:bodyPr upright="1"/>
                    </wps:wsp>
                  </a:graphicData>
                </a:graphic>
              </wp:anchor>
            </w:drawing>
          </mc:Choice>
          <mc:Fallback>
            <w:pict>
              <v:roundrect id="1030" o:spid="_x0000_s1026" o:spt="2" style="position:absolute;left:0pt;margin-left:237.65pt;margin-top:7.6pt;height:73.65pt;width:199.65pt;z-index:251664384;mso-width-relative:page;mso-height-relative:page;" fillcolor="#FFFFFF" filled="t" stroked="t" coordsize="21600,21600" arcsize="0.166666666666667" o:gfxdata="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CgNFZ7bAAAACgEAAA8AAAAAAAAAAQAg&#10;AAAAIgAAAGRycy9kb3ducmV2LnhtbFBLAQIUABQAAAAIAIdO4kD9j6/uCwIAAFoEAAAOAAAAAAAA&#10;AAEAIAAAACoBAABkcnMvZTJvRG9jLnhtbFBLBQYAAAAABgAGAFkBAACnBQAAAAA=&#10;">
                <v:fill on="t" focussize="0,0"/>
                <v:stroke weight="1.25pt" color="#808080" joinstyle="round"/>
                <v:imagedata o:title=""/>
                <o:lock v:ext="edit" aspectratio="f"/>
                <v:textbox>
                  <w:txbxContent>
                    <w:p w14:paraId="6BEDBD20">
                      <w:pPr>
                        <w:jc w:val="center"/>
                        <w:rPr>
                          <w:rFonts w:hAnsi="宋体"/>
                        </w:rPr>
                      </w:pPr>
                    </w:p>
                    <w:p w14:paraId="37815FB9">
                      <w:pPr>
                        <w:rPr>
                          <w:rFonts w:hAnsi="宋体"/>
                        </w:rPr>
                      </w:pPr>
                    </w:p>
                    <w:p w14:paraId="54128345">
                      <w:pPr>
                        <w:jc w:val="center"/>
                      </w:pPr>
                      <w:r>
                        <w:rPr>
                          <w:rFonts w:hint="eastAsia" w:hAnsi="宋体" w:cs="宋体"/>
                        </w:rPr>
                        <w:t>法定代表人身份证复印件</w:t>
                      </w:r>
                    </w:p>
                    <w:p w14:paraId="78808E77"/>
                  </w:txbxContent>
                </v:textbox>
              </v:roundrect>
            </w:pict>
          </mc:Fallback>
        </mc:AlternateContent>
      </w:r>
      <w:r>
        <w:rPr>
          <w:rFonts w:hint="eastAsia" w:ascii="微软雅黑" w:hAnsi="微软雅黑" w:eastAsia="微软雅黑" w:cs="微软雅黑"/>
          <w:color w:val="000000" w:themeColor="text1"/>
          <w:sz w:val="24"/>
          <w14:textFill>
            <w14:solidFill>
              <w14:schemeClr w14:val="tx1"/>
            </w14:solidFill>
          </w14:textFill>
        </w:rPr>
        <mc:AlternateContent>
          <mc:Choice Requires="wps">
            <w:drawing>
              <wp:anchor distT="0" distB="0" distL="0" distR="0" simplePos="0" relativeHeight="251665408" behindDoc="0" locked="0" layoutInCell="1" allowOverlap="1">
                <wp:simplePos x="0" y="0"/>
                <wp:positionH relativeFrom="column">
                  <wp:posOffset>-10795</wp:posOffset>
                </wp:positionH>
                <wp:positionV relativeFrom="paragraph">
                  <wp:posOffset>29845</wp:posOffset>
                </wp:positionV>
                <wp:extent cx="2555240" cy="1024890"/>
                <wp:effectExtent l="7620" t="7620" r="12700" b="19050"/>
                <wp:wrapNone/>
                <wp:docPr id="1032" name="1031"/>
                <wp:cNvGraphicFramePr/>
                <a:graphic xmlns:a="http://schemas.openxmlformats.org/drawingml/2006/main">
                  <a:graphicData uri="http://schemas.microsoft.com/office/word/2010/wordprocessingShape">
                    <wps:wsp>
                      <wps:cNvSpPr/>
                      <wps:spPr>
                        <a:xfrm>
                          <a:off x="0" y="0"/>
                          <a:ext cx="2555240" cy="1024888"/>
                        </a:xfrm>
                        <a:prstGeom prst="roundRect">
                          <a:avLst>
                            <a:gd name="adj" fmla="val 16667"/>
                          </a:avLst>
                        </a:prstGeom>
                        <a:solidFill>
                          <a:srgbClr val="FFFFFF"/>
                        </a:solidFill>
                        <a:ln w="15875" cap="flat" cmpd="sng">
                          <a:solidFill>
                            <a:srgbClr val="808080"/>
                          </a:solidFill>
                          <a:prstDash val="solid"/>
                          <a:round/>
                          <a:headEnd type="none" w="med" len="med"/>
                          <a:tailEnd type="none" w="med" len="med"/>
                        </a:ln>
                      </wps:spPr>
                      <wps:txbx>
                        <w:txbxContent>
                          <w:p w14:paraId="30664614">
                            <w:pPr>
                              <w:jc w:val="center"/>
                              <w:rPr>
                                <w:rFonts w:hAnsi="宋体"/>
                              </w:rPr>
                            </w:pPr>
                          </w:p>
                          <w:p w14:paraId="518AF7A2">
                            <w:pPr>
                              <w:rPr>
                                <w:rFonts w:hAnsi="宋体"/>
                              </w:rPr>
                            </w:pPr>
                          </w:p>
                          <w:p w14:paraId="0E9D1E36">
                            <w:pPr>
                              <w:jc w:val="center"/>
                            </w:pPr>
                            <w:r>
                              <w:rPr>
                                <w:rFonts w:hint="eastAsia" w:hAnsi="宋体" w:cs="宋体"/>
                              </w:rPr>
                              <w:t>法定代表人身份证复印件</w:t>
                            </w:r>
                          </w:p>
                          <w:p w14:paraId="41BB0471"/>
                        </w:txbxContent>
                      </wps:txbx>
                      <wps:bodyPr upright="1"/>
                    </wps:wsp>
                  </a:graphicData>
                </a:graphic>
              </wp:anchor>
            </w:drawing>
          </mc:Choice>
          <mc:Fallback>
            <w:pict>
              <v:roundrect id="1031" o:spid="_x0000_s1026" o:spt="2" style="position:absolute;left:0pt;margin-left:-0.85pt;margin-top:2.35pt;height:80.7pt;width:201.2pt;z-index:251665408;mso-width-relative:page;mso-height-relative:page;" fillcolor="#FFFFFF" filled="t" stroked="t" coordsize="21600,21600" arcsize="0.166666666666667" o:gfxdata="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Tvgt72AAAAAgBAAAPAAAAAAAAAAEA&#10;IAAAACIAAABkcnMvZG93bnJldi54bWxQSwECFAAUAAAACACHTuJAlNOR2g8CAABbBAAADgAAAAAA&#10;AAABACAAAAAnAQAAZHJzL2Uyb0RvYy54bWxQSwUGAAAAAAYABgBZAQAAqAUAAAAA&#10;">
                <v:fill on="t" focussize="0,0"/>
                <v:stroke weight="1.25pt" color="#808080" joinstyle="round"/>
                <v:imagedata o:title=""/>
                <o:lock v:ext="edit" aspectratio="f"/>
                <v:textbox>
                  <w:txbxContent>
                    <w:p w14:paraId="30664614">
                      <w:pPr>
                        <w:jc w:val="center"/>
                        <w:rPr>
                          <w:rFonts w:hAnsi="宋体"/>
                        </w:rPr>
                      </w:pPr>
                    </w:p>
                    <w:p w14:paraId="518AF7A2">
                      <w:pPr>
                        <w:rPr>
                          <w:rFonts w:hAnsi="宋体"/>
                        </w:rPr>
                      </w:pPr>
                    </w:p>
                    <w:p w14:paraId="0E9D1E36">
                      <w:pPr>
                        <w:jc w:val="center"/>
                      </w:pPr>
                      <w:r>
                        <w:rPr>
                          <w:rFonts w:hint="eastAsia" w:hAnsi="宋体" w:cs="宋体"/>
                        </w:rPr>
                        <w:t>法定代表人身份证复印件</w:t>
                      </w:r>
                    </w:p>
                    <w:p w14:paraId="41BB0471"/>
                  </w:txbxContent>
                </v:textbox>
              </v:roundrect>
            </w:pict>
          </mc:Fallback>
        </mc:AlternateContent>
      </w:r>
    </w:p>
    <w:p w14:paraId="040C7320">
      <w:pPr>
        <w:spacing w:line="360" w:lineRule="auto"/>
        <w:ind w:firstLine="240" w:firstLineChars="100"/>
        <w:rPr>
          <w:rFonts w:ascii="微软雅黑" w:hAnsi="微软雅黑" w:eastAsia="微软雅黑" w:cs="微软雅黑"/>
          <w:color w:val="000000" w:themeColor="text1"/>
          <w:sz w:val="24"/>
          <w14:textFill>
            <w14:solidFill>
              <w14:schemeClr w14:val="tx1"/>
            </w14:solidFill>
          </w14:textFill>
        </w:rPr>
      </w:pPr>
    </w:p>
    <w:p w14:paraId="3ECA9DE6">
      <w:pPr>
        <w:spacing w:line="360" w:lineRule="auto"/>
        <w:ind w:firstLine="240" w:firstLineChars="100"/>
        <w:rPr>
          <w:rFonts w:ascii="微软雅黑" w:hAnsi="微软雅黑" w:eastAsia="微软雅黑" w:cs="微软雅黑"/>
          <w:color w:val="000000" w:themeColor="text1"/>
          <w:sz w:val="24"/>
          <w14:textFill>
            <w14:solidFill>
              <w14:schemeClr w14:val="tx1"/>
            </w14:solidFill>
          </w14:textFill>
        </w:rPr>
      </w:pPr>
    </w:p>
    <w:p w14:paraId="7D712D30">
      <w:pPr>
        <w:spacing w:line="360" w:lineRule="auto"/>
        <w:ind w:firstLine="240" w:firstLineChars="100"/>
        <w:rPr>
          <w:rFonts w:ascii="微软雅黑" w:hAnsi="微软雅黑" w:eastAsia="微软雅黑" w:cs="微软雅黑"/>
          <w:color w:val="000000" w:themeColor="text1"/>
          <w:sz w:val="24"/>
          <w14:textFill>
            <w14:solidFill>
              <w14:schemeClr w14:val="tx1"/>
            </w14:solidFill>
          </w14:textFill>
        </w:rPr>
      </w:pPr>
    </w:p>
    <w:p w14:paraId="753A4663">
      <w:pPr>
        <w:spacing w:line="360" w:lineRule="exact"/>
        <w:ind w:firstLine="220" w:firstLineChars="100"/>
        <w:rPr>
          <w:rFonts w:ascii="微软雅黑" w:hAnsi="微软雅黑" w:eastAsia="微软雅黑" w:cs="微软雅黑"/>
          <w:color w:val="000000" w:themeColor="text1"/>
          <w:sz w:val="22"/>
          <w:szCs w:val="22"/>
          <w14:textFill>
            <w14:solidFill>
              <w14:schemeClr w14:val="tx1"/>
            </w14:solidFill>
          </w14:textFill>
        </w:rPr>
      </w:pPr>
    </w:p>
    <w:p w14:paraId="1EAFB73C">
      <w:pPr>
        <w:spacing w:line="360" w:lineRule="exact"/>
        <w:ind w:firstLine="220" w:firstLineChars="100"/>
        <w:rPr>
          <w:rFonts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供应商（公章）;</w:t>
      </w:r>
    </w:p>
    <w:p w14:paraId="3DC426D2">
      <w:pPr>
        <w:spacing w:line="360" w:lineRule="exact"/>
        <w:ind w:firstLine="220" w:firstLineChars="100"/>
        <w:rPr>
          <w:rFonts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法定代表人（签字或盖章）：</w:t>
      </w:r>
    </w:p>
    <w:p w14:paraId="45DDBD78">
      <w:pPr>
        <w:spacing w:line="360" w:lineRule="exact"/>
        <w:ind w:firstLine="220" w:firstLineChars="100"/>
        <w:rPr>
          <w:rFonts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身份证号码：</w:t>
      </w:r>
    </w:p>
    <w:p w14:paraId="3C05133E">
      <w:pPr>
        <w:spacing w:line="360" w:lineRule="exact"/>
        <w:ind w:firstLine="220" w:firstLineChars="100"/>
        <w:rPr>
          <w:rFonts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委托代理人（签字或盖章）：</w:t>
      </w:r>
    </w:p>
    <w:p w14:paraId="21803753">
      <w:pPr>
        <w:spacing w:line="360" w:lineRule="exact"/>
        <w:ind w:firstLine="220" w:firstLineChars="100"/>
        <w:rPr>
          <w:rFonts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身份证号码：</w:t>
      </w:r>
    </w:p>
    <w:p w14:paraId="31E973C8">
      <w:pPr>
        <w:spacing w:line="360" w:lineRule="exact"/>
        <w:ind w:firstLine="220" w:firstLineChars="100"/>
        <w:rPr>
          <w:rFonts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详细通讯地址：</w:t>
      </w:r>
    </w:p>
    <w:p w14:paraId="60DC9BB9">
      <w:pPr>
        <w:spacing w:line="360" w:lineRule="exact"/>
        <w:ind w:firstLine="220" w:firstLineChars="100"/>
        <w:rPr>
          <w:rFonts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邮政编码：</w:t>
      </w:r>
    </w:p>
    <w:p w14:paraId="4AC0F6B7">
      <w:pPr>
        <w:spacing w:line="360" w:lineRule="exact"/>
        <w:ind w:firstLine="220" w:firstLineChars="100"/>
        <w:rPr>
          <w:rFonts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传　　　　真：</w:t>
      </w:r>
    </w:p>
    <w:p w14:paraId="2CBEF12D">
      <w:pPr>
        <w:spacing w:line="360" w:lineRule="exact"/>
        <w:ind w:firstLine="220" w:firstLineChars="100"/>
        <w:rPr>
          <w:rFonts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电　　　　话：</w:t>
      </w:r>
    </w:p>
    <w:p w14:paraId="137A4EB1">
      <w:pPr>
        <w:keepNext w:val="0"/>
        <w:keepLines w:val="0"/>
        <w:pageBreakBefore w:val="0"/>
        <w:widowControl w:val="0"/>
        <w:kinsoku/>
        <w:wordWrap/>
        <w:overflowPunct/>
        <w:topLinePunct w:val="0"/>
        <w:bidi w:val="0"/>
        <w:adjustRightInd w:val="0"/>
        <w:snapToGrid w:val="0"/>
        <w:spacing w:line="500" w:lineRule="atLeast"/>
        <w:ind w:firstLine="719" w:firstLineChars="327"/>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 xml:space="preserve">                                  </w:t>
      </w:r>
    </w:p>
    <w:p w14:paraId="240044A2">
      <w:pPr>
        <w:pStyle w:val="15"/>
        <w:tabs>
          <w:tab w:val="left" w:pos="5580"/>
        </w:tabs>
        <w:spacing w:line="400" w:lineRule="exact"/>
        <w:ind w:firstLine="440" w:firstLineChars="200"/>
        <w:outlineLvl w:val="1"/>
        <w:rPr>
          <w:rFonts w:hint="eastAsia" w:ascii="微软雅黑" w:hAnsi="微软雅黑" w:eastAsia="微软雅黑" w:cs="微软雅黑"/>
          <w:b/>
          <w:color w:val="auto"/>
          <w:kern w:val="0"/>
          <w:sz w:val="22"/>
          <w:szCs w:val="22"/>
          <w:highlight w:val="none"/>
          <w:lang w:val="en-US" w:eastAsia="zh-CN" w:bidi="ar-SA"/>
        </w:rPr>
      </w:pPr>
      <w:bookmarkStart w:id="1497" w:name="_Toc26119"/>
      <w:bookmarkStart w:id="1498" w:name="_Toc19998"/>
      <w:r>
        <w:rPr>
          <w:rFonts w:hint="eastAsia" w:ascii="微软雅黑" w:hAnsi="微软雅黑" w:eastAsia="微软雅黑" w:cs="微软雅黑"/>
          <w:b/>
          <w:color w:val="auto"/>
          <w:kern w:val="0"/>
          <w:sz w:val="22"/>
          <w:szCs w:val="22"/>
          <w:highlight w:val="none"/>
          <w:lang w:val="en-US" w:eastAsia="zh-CN" w:bidi="ar-SA"/>
        </w:rPr>
        <w:t>4、</w:t>
      </w:r>
      <w:bookmarkEnd w:id="1497"/>
      <w:bookmarkEnd w:id="1498"/>
      <w:r>
        <w:rPr>
          <w:rFonts w:hint="eastAsia" w:ascii="微软雅黑" w:hAnsi="微软雅黑" w:eastAsia="微软雅黑" w:cs="微软雅黑"/>
          <w:b/>
          <w:color w:val="auto"/>
          <w:kern w:val="0"/>
          <w:sz w:val="22"/>
          <w:szCs w:val="22"/>
          <w:highlight w:val="none"/>
          <w:lang w:val="en-US" w:eastAsia="zh-CN" w:bidi="ar-SA"/>
        </w:rPr>
        <w:t>【标项一、二、三】：投标人是生产企业的须具备《药品生产许可证》（中药饮片）、投标人为经营企业或代理公司的须提供《药品经营许可证》（中药饮片）；所有证件均应在有效期内。所投产品中含有毒性饮片的，《药品生产许可证》内须含有医疗用毒性药品（中药饮片）；《药品经营许可证》内须含有医疗用毒性药品（中药饮片）。</w:t>
      </w:r>
    </w:p>
    <w:p w14:paraId="04807CF6">
      <w:pPr>
        <w:pStyle w:val="15"/>
        <w:tabs>
          <w:tab w:val="left" w:pos="5580"/>
        </w:tabs>
        <w:spacing w:line="400" w:lineRule="exact"/>
        <w:ind w:firstLine="440" w:firstLineChars="200"/>
        <w:outlineLvl w:val="1"/>
        <w:rPr>
          <w:rFonts w:hint="eastAsia" w:ascii="微软雅黑" w:hAnsi="微软雅黑" w:eastAsia="微软雅黑" w:cs="微软雅黑"/>
          <w:b/>
          <w:color w:val="auto"/>
          <w:kern w:val="0"/>
          <w:sz w:val="22"/>
          <w:szCs w:val="22"/>
          <w:highlight w:val="none"/>
          <w:lang w:val="en-US" w:eastAsia="zh-CN" w:bidi="ar-SA"/>
        </w:rPr>
      </w:pPr>
      <w:r>
        <w:rPr>
          <w:rFonts w:hint="eastAsia" w:ascii="微软雅黑" w:hAnsi="微软雅黑" w:eastAsia="微软雅黑" w:cs="微软雅黑"/>
          <w:b/>
          <w:color w:val="auto"/>
          <w:kern w:val="0"/>
          <w:sz w:val="22"/>
          <w:szCs w:val="22"/>
          <w:highlight w:val="none"/>
          <w:lang w:val="en-US" w:eastAsia="zh-CN" w:bidi="ar-SA"/>
        </w:rPr>
        <w:t>所投产品中含麻黄的，还须投标人提供有效的《麻黄草收购许可证》或相关批准文件，所有证件均应在有效期内</w:t>
      </w:r>
    </w:p>
    <w:p w14:paraId="420B940B">
      <w:pPr>
        <w:pStyle w:val="15"/>
        <w:tabs>
          <w:tab w:val="left" w:pos="5580"/>
        </w:tabs>
        <w:spacing w:line="400" w:lineRule="exact"/>
        <w:ind w:firstLine="440" w:firstLineChars="200"/>
        <w:outlineLvl w:val="1"/>
        <w:rPr>
          <w:rFonts w:hint="eastAsia" w:ascii="微软雅黑" w:hAnsi="微软雅黑" w:eastAsia="微软雅黑" w:cs="微软雅黑"/>
          <w:b/>
          <w:color w:val="auto"/>
          <w:kern w:val="0"/>
          <w:sz w:val="22"/>
          <w:szCs w:val="22"/>
          <w:highlight w:val="none"/>
          <w:lang w:val="en-US" w:eastAsia="zh-CN" w:bidi="ar-SA"/>
        </w:rPr>
      </w:pPr>
      <w:r>
        <w:rPr>
          <w:rFonts w:hint="eastAsia" w:ascii="微软雅黑" w:hAnsi="微软雅黑" w:eastAsia="微软雅黑" w:cs="微软雅黑"/>
          <w:b/>
          <w:bCs/>
          <w:i w:val="0"/>
          <w:caps w:val="0"/>
          <w:color w:val="auto"/>
          <w:spacing w:val="0"/>
          <w:w w:val="100"/>
          <w:sz w:val="22"/>
          <w:szCs w:val="22"/>
          <w:highlight w:val="none"/>
          <w:lang w:val="en-US" w:eastAsia="zh-CN"/>
        </w:rPr>
        <w:t>【标项四】：投标人须提供符合国家药用标准且在国家药品监督管理局药品审评中心备案结果为“A”的药包材或提供《药品包装材料和容器注册证》（所有证件均应在有效期内）。</w:t>
      </w:r>
    </w:p>
    <w:p w14:paraId="299028E4">
      <w:pPr>
        <w:pStyle w:val="15"/>
        <w:tabs>
          <w:tab w:val="left" w:pos="5580"/>
        </w:tabs>
        <w:spacing w:line="400" w:lineRule="exact"/>
        <w:ind w:left="1080" w:leftChars="257" w:hanging="540"/>
        <w:rPr>
          <w:rFonts w:hint="eastAsia" w:ascii="微软雅黑" w:hAnsi="微软雅黑" w:eastAsia="微软雅黑" w:cs="微软雅黑"/>
          <w:b/>
          <w:color w:val="auto"/>
          <w:kern w:val="0"/>
          <w:sz w:val="22"/>
          <w:szCs w:val="22"/>
          <w:highlight w:val="none"/>
        </w:rPr>
      </w:pPr>
    </w:p>
    <w:p w14:paraId="108292AF">
      <w:pPr>
        <w:pStyle w:val="15"/>
        <w:tabs>
          <w:tab w:val="left" w:pos="5580"/>
        </w:tabs>
        <w:spacing w:line="400" w:lineRule="exact"/>
        <w:rPr>
          <w:rFonts w:hint="eastAsia" w:ascii="微软雅黑" w:hAnsi="微软雅黑" w:eastAsia="微软雅黑" w:cs="微软雅黑"/>
          <w:b/>
          <w:color w:val="auto"/>
          <w:kern w:val="0"/>
          <w:sz w:val="22"/>
          <w:szCs w:val="22"/>
          <w:highlight w:val="none"/>
        </w:rPr>
      </w:pPr>
    </w:p>
    <w:p w14:paraId="33D2F8A1">
      <w:pPr>
        <w:pStyle w:val="31"/>
        <w:numPr>
          <w:ilvl w:val="0"/>
          <w:numId w:val="0"/>
        </w:numPr>
        <w:spacing w:line="400" w:lineRule="exact"/>
        <w:outlineLvl w:val="1"/>
        <w:rPr>
          <w:rFonts w:hint="eastAsia" w:ascii="微软雅黑" w:hAnsi="微软雅黑" w:eastAsia="微软雅黑" w:cs="微软雅黑"/>
          <w:b/>
          <w:color w:val="auto"/>
          <w:kern w:val="0"/>
          <w:sz w:val="22"/>
          <w:szCs w:val="22"/>
          <w:highlight w:val="none"/>
        </w:rPr>
      </w:pPr>
      <w:bookmarkStart w:id="1499" w:name="_Toc15796"/>
      <w:bookmarkStart w:id="1500" w:name="_Toc10838"/>
      <w:r>
        <w:rPr>
          <w:rFonts w:hint="eastAsia" w:ascii="微软雅黑" w:hAnsi="微软雅黑" w:eastAsia="微软雅黑" w:cs="微软雅黑"/>
          <w:b/>
          <w:color w:val="auto"/>
          <w:kern w:val="0"/>
          <w:sz w:val="22"/>
          <w:szCs w:val="22"/>
          <w:highlight w:val="none"/>
          <w:lang w:val="en-US" w:eastAsia="zh-CN"/>
        </w:rPr>
        <w:t>5、</w:t>
      </w:r>
      <w:bookmarkEnd w:id="1499"/>
      <w:r>
        <w:rPr>
          <w:rFonts w:hint="eastAsia" w:ascii="微软雅黑" w:hAnsi="微软雅黑" w:eastAsia="微软雅黑" w:cs="微软雅黑"/>
          <w:b/>
          <w:color w:val="auto"/>
          <w:kern w:val="0"/>
          <w:sz w:val="22"/>
          <w:szCs w:val="22"/>
          <w:highlight w:val="none"/>
          <w:lang w:eastAsia="zh-CN"/>
        </w:rPr>
        <w:t>提供202</w:t>
      </w:r>
      <w:r>
        <w:rPr>
          <w:rFonts w:hint="eastAsia" w:ascii="微软雅黑" w:hAnsi="微软雅黑" w:eastAsia="微软雅黑" w:cs="微软雅黑"/>
          <w:b/>
          <w:color w:val="auto"/>
          <w:kern w:val="0"/>
          <w:sz w:val="22"/>
          <w:szCs w:val="22"/>
          <w:highlight w:val="none"/>
          <w:lang w:val="en-US" w:eastAsia="zh-CN"/>
        </w:rPr>
        <w:t>4</w:t>
      </w:r>
      <w:r>
        <w:rPr>
          <w:rFonts w:hint="eastAsia" w:ascii="微软雅黑" w:hAnsi="微软雅黑" w:eastAsia="微软雅黑" w:cs="微软雅黑"/>
          <w:b/>
          <w:color w:val="auto"/>
          <w:kern w:val="0"/>
          <w:sz w:val="22"/>
          <w:szCs w:val="22"/>
          <w:highlight w:val="none"/>
          <w:lang w:eastAsia="zh-CN"/>
        </w:rPr>
        <w:t>年或202</w:t>
      </w:r>
      <w:r>
        <w:rPr>
          <w:rFonts w:hint="eastAsia" w:ascii="微软雅黑" w:hAnsi="微软雅黑" w:eastAsia="微软雅黑" w:cs="微软雅黑"/>
          <w:b/>
          <w:color w:val="auto"/>
          <w:kern w:val="0"/>
          <w:sz w:val="22"/>
          <w:szCs w:val="22"/>
          <w:highlight w:val="none"/>
          <w:lang w:val="en-US" w:eastAsia="zh-CN"/>
        </w:rPr>
        <w:t>5</w:t>
      </w:r>
      <w:r>
        <w:rPr>
          <w:rFonts w:hint="eastAsia" w:ascii="微软雅黑" w:hAnsi="微软雅黑" w:eastAsia="微软雅黑" w:cs="微软雅黑"/>
          <w:b/>
          <w:color w:val="auto"/>
          <w:kern w:val="0"/>
          <w:sz w:val="22"/>
          <w:szCs w:val="22"/>
          <w:highlight w:val="none"/>
          <w:lang w:eastAsia="zh-CN"/>
        </w:rPr>
        <w:t>年任意一年的财务审计报告，成立未满12个月的新公司可提供近三个月内任意一个月的银行资信证明；</w:t>
      </w:r>
      <w:bookmarkEnd w:id="1500"/>
    </w:p>
    <w:p w14:paraId="39C4FADA">
      <w:pPr>
        <w:pStyle w:val="31"/>
        <w:spacing w:line="400" w:lineRule="exact"/>
        <w:ind w:firstLine="0" w:firstLineChars="0"/>
        <w:rPr>
          <w:rFonts w:hint="eastAsia" w:ascii="微软雅黑" w:hAnsi="微软雅黑" w:eastAsia="微软雅黑" w:cs="微软雅黑"/>
          <w:b/>
          <w:color w:val="auto"/>
          <w:kern w:val="0"/>
          <w:sz w:val="22"/>
          <w:szCs w:val="22"/>
          <w:highlight w:val="none"/>
        </w:rPr>
      </w:pPr>
    </w:p>
    <w:p w14:paraId="3545D879">
      <w:pPr>
        <w:pStyle w:val="31"/>
        <w:spacing w:line="400" w:lineRule="exact"/>
        <w:ind w:firstLine="0" w:firstLineChars="0"/>
        <w:rPr>
          <w:rFonts w:hint="eastAsia" w:ascii="微软雅黑" w:hAnsi="微软雅黑" w:eastAsia="微软雅黑" w:cs="微软雅黑"/>
          <w:b/>
          <w:color w:val="auto"/>
          <w:kern w:val="0"/>
          <w:sz w:val="22"/>
          <w:szCs w:val="22"/>
          <w:highlight w:val="none"/>
        </w:rPr>
      </w:pPr>
    </w:p>
    <w:p w14:paraId="3D38A441">
      <w:pPr>
        <w:pStyle w:val="31"/>
        <w:numPr>
          <w:ilvl w:val="0"/>
          <w:numId w:val="0"/>
        </w:numPr>
        <w:spacing w:line="400" w:lineRule="exact"/>
        <w:outlineLvl w:val="1"/>
        <w:rPr>
          <w:rFonts w:hint="eastAsia" w:ascii="微软雅黑" w:hAnsi="微软雅黑" w:eastAsia="微软雅黑" w:cs="微软雅黑"/>
          <w:b/>
          <w:color w:val="auto"/>
          <w:kern w:val="0"/>
          <w:sz w:val="22"/>
          <w:szCs w:val="22"/>
          <w:highlight w:val="none"/>
        </w:rPr>
      </w:pPr>
      <w:bookmarkStart w:id="1501" w:name="_Toc4214"/>
      <w:bookmarkStart w:id="1502" w:name="_Toc22192"/>
      <w:r>
        <w:rPr>
          <w:rFonts w:hint="eastAsia" w:ascii="微软雅黑" w:hAnsi="微软雅黑" w:eastAsia="微软雅黑" w:cs="微软雅黑"/>
          <w:b/>
          <w:color w:val="auto"/>
          <w:kern w:val="0"/>
          <w:sz w:val="22"/>
          <w:szCs w:val="22"/>
          <w:highlight w:val="none"/>
          <w:lang w:val="en-US" w:eastAsia="zh-CN"/>
        </w:rPr>
        <w:t>6、</w:t>
      </w:r>
      <w:r>
        <w:rPr>
          <w:rFonts w:hint="eastAsia" w:ascii="微软雅黑" w:hAnsi="微软雅黑" w:eastAsia="微软雅黑" w:cs="微软雅黑"/>
          <w:b/>
          <w:color w:val="auto"/>
          <w:kern w:val="0"/>
          <w:sz w:val="22"/>
          <w:szCs w:val="22"/>
          <w:highlight w:val="none"/>
          <w:lang w:eastAsia="zh-CN"/>
        </w:rPr>
        <w:t>提供依法缴纳近6个月任意1个月社会保险的证明</w:t>
      </w:r>
      <w:r>
        <w:rPr>
          <w:rFonts w:hint="eastAsia" w:ascii="微软雅黑" w:hAnsi="微软雅黑" w:eastAsia="微软雅黑" w:cs="微软雅黑"/>
          <w:b/>
          <w:color w:val="auto"/>
          <w:kern w:val="0"/>
          <w:sz w:val="22"/>
          <w:szCs w:val="22"/>
          <w:highlight w:val="none"/>
        </w:rPr>
        <w:t>；</w:t>
      </w:r>
      <w:bookmarkEnd w:id="1501"/>
      <w:bookmarkEnd w:id="1502"/>
    </w:p>
    <w:p w14:paraId="5EA14B37">
      <w:pPr>
        <w:pStyle w:val="31"/>
        <w:widowControl w:val="0"/>
        <w:numPr>
          <w:ilvl w:val="0"/>
          <w:numId w:val="0"/>
        </w:numPr>
        <w:spacing w:line="400" w:lineRule="exact"/>
        <w:jc w:val="both"/>
        <w:rPr>
          <w:rFonts w:hint="eastAsia" w:ascii="微软雅黑" w:hAnsi="微软雅黑" w:eastAsia="微软雅黑" w:cs="微软雅黑"/>
          <w:b/>
          <w:color w:val="auto"/>
          <w:kern w:val="0"/>
          <w:sz w:val="22"/>
          <w:szCs w:val="22"/>
          <w:highlight w:val="none"/>
        </w:rPr>
      </w:pPr>
    </w:p>
    <w:p w14:paraId="3EC4FF23">
      <w:pPr>
        <w:pStyle w:val="31"/>
        <w:widowControl w:val="0"/>
        <w:numPr>
          <w:ilvl w:val="0"/>
          <w:numId w:val="0"/>
        </w:numPr>
        <w:spacing w:line="400" w:lineRule="exact"/>
        <w:jc w:val="both"/>
        <w:rPr>
          <w:rFonts w:hint="eastAsia" w:ascii="微软雅黑" w:hAnsi="微软雅黑" w:eastAsia="微软雅黑" w:cs="微软雅黑"/>
          <w:b/>
          <w:color w:val="auto"/>
          <w:kern w:val="0"/>
          <w:sz w:val="22"/>
          <w:szCs w:val="22"/>
          <w:highlight w:val="none"/>
        </w:rPr>
      </w:pPr>
    </w:p>
    <w:p w14:paraId="179DA378">
      <w:pPr>
        <w:pStyle w:val="5"/>
        <w:rPr>
          <w:rFonts w:hint="eastAsia" w:ascii="微软雅黑" w:hAnsi="微软雅黑" w:eastAsia="微软雅黑" w:cs="微软雅黑"/>
          <w:sz w:val="22"/>
          <w:szCs w:val="18"/>
          <w:highlight w:val="none"/>
        </w:rPr>
      </w:pPr>
    </w:p>
    <w:p w14:paraId="6825D102">
      <w:pPr>
        <w:pStyle w:val="31"/>
        <w:spacing w:line="400" w:lineRule="exact"/>
        <w:ind w:firstLine="0" w:firstLineChars="0"/>
        <w:outlineLvl w:val="1"/>
        <w:rPr>
          <w:rFonts w:hint="eastAsia" w:ascii="微软雅黑" w:hAnsi="微软雅黑" w:eastAsia="微软雅黑" w:cs="微软雅黑"/>
          <w:color w:val="auto"/>
          <w:sz w:val="22"/>
          <w:szCs w:val="22"/>
          <w:highlight w:val="none"/>
        </w:rPr>
      </w:pPr>
      <w:bookmarkStart w:id="1503" w:name="_Toc30357"/>
      <w:bookmarkStart w:id="1504" w:name="_Toc32625"/>
      <w:r>
        <w:rPr>
          <w:rFonts w:hint="eastAsia" w:ascii="微软雅黑" w:hAnsi="微软雅黑" w:eastAsia="微软雅黑" w:cs="微软雅黑"/>
          <w:b/>
          <w:color w:val="auto"/>
          <w:kern w:val="0"/>
          <w:sz w:val="22"/>
          <w:szCs w:val="22"/>
          <w:highlight w:val="none"/>
          <w:lang w:val="en-US" w:eastAsia="zh-CN"/>
        </w:rPr>
        <w:t>7</w:t>
      </w:r>
      <w:r>
        <w:rPr>
          <w:rFonts w:hint="eastAsia" w:ascii="微软雅黑" w:hAnsi="微软雅黑" w:eastAsia="微软雅黑" w:cs="微软雅黑"/>
          <w:b/>
          <w:color w:val="auto"/>
          <w:kern w:val="0"/>
          <w:sz w:val="22"/>
          <w:szCs w:val="22"/>
          <w:highlight w:val="none"/>
        </w:rPr>
        <w:t>、</w:t>
      </w:r>
      <w:r>
        <w:rPr>
          <w:rFonts w:hint="eastAsia" w:ascii="微软雅黑" w:hAnsi="微软雅黑" w:eastAsia="微软雅黑" w:cs="微软雅黑"/>
          <w:b/>
          <w:color w:val="auto"/>
          <w:kern w:val="0"/>
          <w:sz w:val="22"/>
          <w:szCs w:val="22"/>
          <w:highlight w:val="none"/>
          <w:lang w:eastAsia="zh-CN"/>
        </w:rPr>
        <w:t>提供依法缴纳近6个月任意1个月的税收证明</w:t>
      </w:r>
      <w:r>
        <w:rPr>
          <w:rFonts w:hint="eastAsia" w:ascii="微软雅黑" w:hAnsi="微软雅黑" w:eastAsia="微软雅黑" w:cs="微软雅黑"/>
          <w:b/>
          <w:bCs/>
          <w:color w:val="auto"/>
          <w:sz w:val="22"/>
          <w:szCs w:val="22"/>
          <w:highlight w:val="none"/>
          <w:lang w:val="en-US" w:eastAsia="zh-CN"/>
        </w:rPr>
        <w:t>；</w:t>
      </w:r>
      <w:bookmarkEnd w:id="1503"/>
      <w:bookmarkEnd w:id="1504"/>
    </w:p>
    <w:p w14:paraId="01BA2B78">
      <w:pPr>
        <w:pStyle w:val="15"/>
        <w:tabs>
          <w:tab w:val="left" w:pos="5580"/>
        </w:tabs>
        <w:spacing w:line="400" w:lineRule="exact"/>
        <w:rPr>
          <w:rFonts w:hint="eastAsia" w:ascii="微软雅黑" w:hAnsi="微软雅黑" w:eastAsia="微软雅黑" w:cs="微软雅黑"/>
          <w:b/>
          <w:color w:val="auto"/>
          <w:kern w:val="0"/>
          <w:sz w:val="22"/>
          <w:szCs w:val="22"/>
          <w:highlight w:val="none"/>
        </w:rPr>
      </w:pPr>
    </w:p>
    <w:p w14:paraId="0A7D3339">
      <w:pPr>
        <w:pStyle w:val="15"/>
        <w:tabs>
          <w:tab w:val="left" w:pos="5580"/>
        </w:tabs>
        <w:spacing w:line="400" w:lineRule="exact"/>
        <w:ind w:left="1080" w:leftChars="257" w:hanging="540"/>
        <w:rPr>
          <w:rFonts w:hint="eastAsia" w:ascii="微软雅黑" w:hAnsi="微软雅黑" w:eastAsia="微软雅黑" w:cs="微软雅黑"/>
          <w:b/>
          <w:color w:val="auto"/>
          <w:kern w:val="0"/>
          <w:sz w:val="22"/>
          <w:szCs w:val="22"/>
          <w:highlight w:val="none"/>
        </w:rPr>
      </w:pPr>
    </w:p>
    <w:p w14:paraId="27BC99EF">
      <w:pPr>
        <w:pStyle w:val="15"/>
        <w:tabs>
          <w:tab w:val="left" w:pos="5580"/>
        </w:tabs>
        <w:spacing w:line="400" w:lineRule="exact"/>
        <w:ind w:left="1080" w:leftChars="257" w:hanging="540"/>
        <w:rPr>
          <w:rFonts w:hint="eastAsia" w:ascii="微软雅黑" w:hAnsi="微软雅黑" w:eastAsia="微软雅黑" w:cs="微软雅黑"/>
          <w:b/>
          <w:color w:val="auto"/>
          <w:kern w:val="0"/>
          <w:sz w:val="22"/>
          <w:szCs w:val="22"/>
          <w:highlight w:val="none"/>
        </w:rPr>
      </w:pPr>
    </w:p>
    <w:p w14:paraId="182F1D07">
      <w:pPr>
        <w:spacing w:line="400" w:lineRule="exact"/>
        <w:outlineLvl w:val="1"/>
        <w:rPr>
          <w:rFonts w:hint="eastAsia" w:ascii="微软雅黑" w:hAnsi="微软雅黑" w:eastAsia="微软雅黑" w:cs="微软雅黑"/>
          <w:b/>
          <w:color w:val="auto"/>
          <w:kern w:val="0"/>
          <w:sz w:val="22"/>
          <w:szCs w:val="22"/>
          <w:highlight w:val="none"/>
          <w:lang w:val="en-US" w:eastAsia="zh-CN"/>
        </w:rPr>
      </w:pPr>
      <w:bookmarkStart w:id="1505" w:name="_Toc5258"/>
      <w:bookmarkStart w:id="1506" w:name="_Toc30684"/>
      <w:r>
        <w:rPr>
          <w:rFonts w:hint="eastAsia" w:ascii="微软雅黑" w:hAnsi="微软雅黑" w:eastAsia="微软雅黑" w:cs="微软雅黑"/>
          <w:b/>
          <w:color w:val="auto"/>
          <w:kern w:val="0"/>
          <w:sz w:val="22"/>
          <w:szCs w:val="22"/>
          <w:highlight w:val="none"/>
          <w:lang w:val="en-US" w:eastAsia="zh-CN"/>
        </w:rPr>
        <w:t>8</w:t>
      </w:r>
      <w:r>
        <w:rPr>
          <w:rFonts w:hint="eastAsia" w:ascii="微软雅黑" w:hAnsi="微软雅黑" w:eastAsia="微软雅黑" w:cs="微软雅黑"/>
          <w:b/>
          <w:color w:val="auto"/>
          <w:kern w:val="0"/>
          <w:sz w:val="22"/>
          <w:szCs w:val="22"/>
          <w:highlight w:val="none"/>
        </w:rPr>
        <w:t>、</w:t>
      </w:r>
      <w:bookmarkEnd w:id="1505"/>
      <w:r>
        <w:rPr>
          <w:rFonts w:hint="eastAsia" w:ascii="微软雅黑" w:hAnsi="微软雅黑" w:eastAsia="微软雅黑" w:cs="微软雅黑"/>
          <w:b/>
          <w:color w:val="auto"/>
          <w:kern w:val="0"/>
          <w:sz w:val="22"/>
          <w:szCs w:val="22"/>
          <w:highlight w:val="none"/>
          <w:lang w:val="en-US" w:eastAsia="zh-CN"/>
        </w:rPr>
        <w:t>根据《财政部关于在政府采购活动中查询及使用信用记录有关问题的通知》（财库﹝2016﹞125号）的要求，凡拟参加本次招标项目的供应商，如</w:t>
      </w:r>
      <w:r>
        <w:rPr>
          <w:rFonts w:hint="eastAsia" w:ascii="微软雅黑" w:hAnsi="微软雅黑" w:eastAsia="微软雅黑" w:cs="微软雅黑"/>
          <w:b/>
          <w:bCs/>
          <w:i w:val="0"/>
          <w:caps w:val="0"/>
          <w:color w:val="auto"/>
          <w:spacing w:val="0"/>
          <w:w w:val="100"/>
          <w:sz w:val="22"/>
          <w:szCs w:val="22"/>
          <w:highlight w:val="none"/>
          <w:lang w:val="en-US" w:eastAsia="zh-CN"/>
        </w:rPr>
        <w:t>在“信用中国（https://www.creditchina.gov.cn/）”被列入严重失信主体名单、重大税收违法失信主体名单（首页-信用公示-严重失信主体名单查询/重大税收违法失信主体名单-搜索栏输入单位全称）、“中国政府采购网（https://www.ccgp.gov.cn/search/cr/）”严重违法失信行为信息记录名单（尚在处罚期内的）、“国家企业信用信息公示系统（https://www.gsxt.gov.cn/）”列入经营异常名录信息、严重违法失信名单（黑名单）信息的</w:t>
      </w:r>
      <w:r>
        <w:rPr>
          <w:rFonts w:hint="eastAsia" w:ascii="微软雅黑" w:hAnsi="微软雅黑" w:eastAsia="微软雅黑" w:cs="微软雅黑"/>
          <w:b/>
          <w:color w:val="auto"/>
          <w:kern w:val="0"/>
          <w:sz w:val="22"/>
          <w:szCs w:val="22"/>
          <w:highlight w:val="none"/>
          <w:lang w:val="en-US" w:eastAsia="zh-CN"/>
        </w:rPr>
        <w:t>，将拒绝其参加本次招标活动（以代理机构或采购人查询为准）</w:t>
      </w:r>
      <w:bookmarkEnd w:id="1506"/>
    </w:p>
    <w:p w14:paraId="5BDCD48B">
      <w:pPr>
        <w:pStyle w:val="15"/>
        <w:tabs>
          <w:tab w:val="left" w:pos="5580"/>
        </w:tabs>
        <w:spacing w:line="400" w:lineRule="exact"/>
        <w:ind w:left="1080" w:leftChars="257" w:hanging="540"/>
        <w:rPr>
          <w:rFonts w:hint="eastAsia" w:ascii="微软雅黑" w:hAnsi="微软雅黑" w:eastAsia="微软雅黑" w:cs="微软雅黑"/>
          <w:b/>
          <w:color w:val="auto"/>
          <w:kern w:val="0"/>
          <w:sz w:val="22"/>
          <w:szCs w:val="22"/>
          <w:highlight w:val="none"/>
        </w:rPr>
      </w:pPr>
    </w:p>
    <w:p w14:paraId="582B279F">
      <w:pPr>
        <w:pStyle w:val="15"/>
        <w:tabs>
          <w:tab w:val="left" w:pos="5580"/>
        </w:tabs>
        <w:spacing w:line="400" w:lineRule="exact"/>
        <w:ind w:left="1080" w:leftChars="257" w:hanging="540"/>
        <w:rPr>
          <w:rFonts w:hint="eastAsia" w:ascii="微软雅黑" w:hAnsi="微软雅黑" w:eastAsia="微软雅黑" w:cs="微软雅黑"/>
          <w:b/>
          <w:color w:val="auto"/>
          <w:kern w:val="0"/>
          <w:sz w:val="22"/>
          <w:szCs w:val="22"/>
          <w:highlight w:val="none"/>
        </w:rPr>
      </w:pPr>
    </w:p>
    <w:p w14:paraId="23394B81">
      <w:pPr>
        <w:pStyle w:val="15"/>
        <w:tabs>
          <w:tab w:val="left" w:pos="5580"/>
        </w:tabs>
        <w:spacing w:line="400" w:lineRule="exact"/>
        <w:ind w:left="1080" w:leftChars="257" w:hanging="540"/>
        <w:rPr>
          <w:rFonts w:hint="eastAsia" w:ascii="微软雅黑" w:hAnsi="微软雅黑" w:eastAsia="微软雅黑" w:cs="微软雅黑"/>
          <w:b/>
          <w:color w:val="auto"/>
          <w:kern w:val="0"/>
          <w:sz w:val="22"/>
          <w:szCs w:val="22"/>
          <w:highlight w:val="none"/>
        </w:rPr>
      </w:pPr>
    </w:p>
    <w:p w14:paraId="7F533652">
      <w:pPr>
        <w:pStyle w:val="15"/>
        <w:tabs>
          <w:tab w:val="left" w:pos="5580"/>
        </w:tabs>
        <w:spacing w:line="400" w:lineRule="exact"/>
        <w:rPr>
          <w:rFonts w:hint="eastAsia" w:ascii="微软雅黑" w:hAnsi="微软雅黑" w:eastAsia="微软雅黑" w:cs="微软雅黑"/>
          <w:b/>
          <w:color w:val="auto"/>
          <w:kern w:val="0"/>
          <w:sz w:val="22"/>
          <w:szCs w:val="22"/>
          <w:highlight w:val="none"/>
        </w:rPr>
      </w:pPr>
    </w:p>
    <w:p w14:paraId="59E05EDE">
      <w:pPr>
        <w:pageBreakBefore w:val="0"/>
        <w:widowControl w:val="0"/>
        <w:kinsoku/>
        <w:wordWrap/>
        <w:overflowPunct/>
        <w:topLinePunct w:val="0"/>
        <w:bidi w:val="0"/>
        <w:spacing w:line="360" w:lineRule="exact"/>
        <w:textAlignment w:val="auto"/>
        <w:outlineLvl w:val="1"/>
        <w:rPr>
          <w:rFonts w:hint="eastAsia" w:ascii="微软雅黑" w:hAnsi="微软雅黑" w:eastAsia="微软雅黑" w:cs="微软雅黑"/>
          <w:b/>
          <w:bCs/>
          <w:color w:val="auto"/>
          <w:sz w:val="22"/>
          <w:szCs w:val="22"/>
          <w:highlight w:val="none"/>
          <w:lang w:val="en-US" w:eastAsia="zh-CN"/>
        </w:rPr>
      </w:pPr>
      <w:bookmarkStart w:id="1507" w:name="_Toc18226"/>
      <w:bookmarkStart w:id="1508" w:name="_Toc564"/>
      <w:r>
        <w:rPr>
          <w:rFonts w:hint="eastAsia" w:ascii="微软雅黑" w:hAnsi="微软雅黑" w:eastAsia="微软雅黑" w:cs="微软雅黑"/>
          <w:b/>
          <w:color w:val="auto"/>
          <w:kern w:val="0"/>
          <w:sz w:val="22"/>
          <w:szCs w:val="22"/>
          <w:highlight w:val="none"/>
          <w:lang w:val="en-US" w:eastAsia="zh-CN"/>
        </w:rPr>
        <w:t>9</w:t>
      </w:r>
      <w:r>
        <w:rPr>
          <w:rFonts w:hint="eastAsia" w:ascii="微软雅黑" w:hAnsi="微软雅黑" w:eastAsia="微软雅黑" w:cs="微软雅黑"/>
          <w:b/>
          <w:color w:val="auto"/>
          <w:kern w:val="0"/>
          <w:sz w:val="22"/>
          <w:szCs w:val="22"/>
          <w:highlight w:val="none"/>
        </w:rPr>
        <w:t>、</w:t>
      </w:r>
      <w:r>
        <w:rPr>
          <w:rFonts w:hint="eastAsia" w:ascii="微软雅黑" w:hAnsi="微软雅黑" w:eastAsia="微软雅黑" w:cs="微软雅黑"/>
          <w:b/>
          <w:color w:val="auto"/>
          <w:kern w:val="0"/>
          <w:sz w:val="22"/>
          <w:szCs w:val="22"/>
          <w:highlight w:val="none"/>
          <w:lang w:eastAsia="zh-CN"/>
        </w:rPr>
        <w:t>提供参加政府采购活动前3年内在经营活动中没有重大违法记录的书面声明函</w:t>
      </w:r>
      <w:r>
        <w:rPr>
          <w:rFonts w:hint="eastAsia" w:ascii="微软雅黑" w:hAnsi="微软雅黑" w:eastAsia="微软雅黑" w:cs="微软雅黑"/>
          <w:b/>
          <w:bCs/>
          <w:color w:val="auto"/>
          <w:sz w:val="22"/>
          <w:szCs w:val="22"/>
          <w:highlight w:val="none"/>
          <w:lang w:val="en-US" w:eastAsia="zh-CN"/>
        </w:rPr>
        <w:t>；</w:t>
      </w:r>
      <w:bookmarkEnd w:id="1507"/>
      <w:bookmarkEnd w:id="1508"/>
    </w:p>
    <w:p w14:paraId="553FF9F2">
      <w:pPr>
        <w:pStyle w:val="15"/>
        <w:tabs>
          <w:tab w:val="left" w:pos="5580"/>
        </w:tabs>
        <w:spacing w:line="400" w:lineRule="exact"/>
        <w:rPr>
          <w:rFonts w:hint="eastAsia" w:ascii="微软雅黑" w:hAnsi="微软雅黑" w:eastAsia="微软雅黑" w:cs="微软雅黑"/>
          <w:b/>
          <w:color w:val="auto"/>
          <w:kern w:val="0"/>
          <w:sz w:val="22"/>
          <w:szCs w:val="22"/>
          <w:highlight w:val="none"/>
        </w:rPr>
      </w:pPr>
    </w:p>
    <w:p w14:paraId="77E9CC37">
      <w:pPr>
        <w:pStyle w:val="15"/>
        <w:tabs>
          <w:tab w:val="left" w:pos="5580"/>
        </w:tabs>
        <w:spacing w:line="400" w:lineRule="exact"/>
        <w:rPr>
          <w:rFonts w:hint="eastAsia" w:ascii="微软雅黑" w:hAnsi="微软雅黑" w:eastAsia="微软雅黑" w:cs="微软雅黑"/>
          <w:b/>
          <w:color w:val="auto"/>
          <w:kern w:val="0"/>
          <w:sz w:val="22"/>
          <w:szCs w:val="22"/>
          <w:highlight w:val="none"/>
        </w:rPr>
      </w:pPr>
    </w:p>
    <w:p w14:paraId="0B801B96">
      <w:pPr>
        <w:pStyle w:val="15"/>
        <w:tabs>
          <w:tab w:val="left" w:pos="5580"/>
        </w:tabs>
        <w:spacing w:line="400" w:lineRule="exact"/>
        <w:rPr>
          <w:rFonts w:hint="eastAsia" w:ascii="微软雅黑" w:hAnsi="微软雅黑" w:eastAsia="微软雅黑" w:cs="微软雅黑"/>
          <w:b/>
          <w:color w:val="auto"/>
          <w:kern w:val="0"/>
          <w:sz w:val="22"/>
          <w:szCs w:val="22"/>
          <w:highlight w:val="none"/>
        </w:rPr>
      </w:pPr>
    </w:p>
    <w:p w14:paraId="0A9BDB69">
      <w:pPr>
        <w:pStyle w:val="15"/>
        <w:tabs>
          <w:tab w:val="left" w:pos="5580"/>
        </w:tabs>
        <w:spacing w:line="400" w:lineRule="exact"/>
        <w:rPr>
          <w:rFonts w:hint="eastAsia" w:ascii="微软雅黑" w:hAnsi="微软雅黑" w:eastAsia="微软雅黑" w:cs="微软雅黑"/>
          <w:b/>
          <w:color w:val="auto"/>
          <w:kern w:val="0"/>
          <w:sz w:val="22"/>
          <w:szCs w:val="22"/>
          <w:highlight w:val="none"/>
        </w:rPr>
      </w:pPr>
    </w:p>
    <w:p w14:paraId="4F9392D1">
      <w:pPr>
        <w:numPr>
          <w:ilvl w:val="0"/>
          <w:numId w:val="0"/>
        </w:numPr>
        <w:outlineLvl w:val="1"/>
        <w:rPr>
          <w:rFonts w:hint="eastAsia" w:ascii="微软雅黑" w:hAnsi="微软雅黑" w:eastAsia="微软雅黑" w:cs="微软雅黑"/>
          <w:color w:val="auto"/>
          <w:sz w:val="22"/>
          <w:szCs w:val="22"/>
          <w:highlight w:val="none"/>
        </w:rPr>
      </w:pPr>
      <w:bookmarkStart w:id="1509" w:name="_Toc30110"/>
      <w:bookmarkStart w:id="1510" w:name="_Toc32082"/>
      <w:r>
        <w:rPr>
          <w:rFonts w:hint="eastAsia" w:ascii="微软雅黑" w:hAnsi="微软雅黑" w:eastAsia="微软雅黑" w:cs="微软雅黑"/>
          <w:b/>
          <w:color w:val="auto"/>
          <w:kern w:val="0"/>
          <w:sz w:val="22"/>
          <w:szCs w:val="22"/>
          <w:highlight w:val="none"/>
          <w:lang w:val="en-US" w:eastAsia="zh-CN"/>
        </w:rPr>
        <w:t>10</w:t>
      </w:r>
      <w:r>
        <w:rPr>
          <w:rFonts w:hint="eastAsia" w:ascii="微软雅黑" w:hAnsi="微软雅黑" w:eastAsia="微软雅黑" w:cs="微软雅黑"/>
          <w:b/>
          <w:color w:val="auto"/>
          <w:kern w:val="0"/>
          <w:sz w:val="22"/>
          <w:szCs w:val="22"/>
          <w:highlight w:val="none"/>
        </w:rPr>
        <w:t>、</w:t>
      </w:r>
      <w:bookmarkEnd w:id="1509"/>
      <w:r>
        <w:rPr>
          <w:rFonts w:hint="eastAsia" w:ascii="微软雅黑" w:hAnsi="微软雅黑" w:eastAsia="微软雅黑" w:cs="微软雅黑"/>
          <w:b/>
          <w:bCs/>
          <w:color w:val="auto"/>
          <w:sz w:val="22"/>
          <w:szCs w:val="22"/>
          <w:highlight w:val="none"/>
          <w:lang w:val="en-US" w:eastAsia="zh-CN"/>
        </w:rPr>
        <w:t>缴纳投标保证金有效凭证；</w:t>
      </w:r>
      <w:bookmarkEnd w:id="1510"/>
    </w:p>
    <w:tbl>
      <w:tblPr>
        <w:tblStyle w:val="32"/>
        <w:tblpPr w:leftFromText="180" w:rightFromText="180" w:vertAnchor="text" w:horzAnchor="page" w:tblpXSpec="center" w:tblpY="393"/>
        <w:tblOverlap w:val="never"/>
        <w:tblW w:w="78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79"/>
      </w:tblGrid>
      <w:tr w14:paraId="7D8BB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6" w:hRule="atLeast"/>
        </w:trPr>
        <w:tc>
          <w:tcPr>
            <w:tcW w:w="7879" w:type="dxa"/>
          </w:tcPr>
          <w:p w14:paraId="75C80A77">
            <w:pPr>
              <w:shd w:val="clear" w:color="auto" w:fill="auto"/>
              <w:snapToGrid w:val="0"/>
              <w:spacing w:before="0" w:beforeAutospacing="0" w:after="0" w:afterAutospacing="0" w:line="360" w:lineRule="exact"/>
              <w:jc w:val="both"/>
              <w:textAlignment w:val="baseline"/>
              <w:rPr>
                <w:rFonts w:hint="eastAsia" w:ascii="微软雅黑" w:hAnsi="微软雅黑" w:eastAsia="微软雅黑" w:cs="微软雅黑"/>
                <w:b w:val="0"/>
                <w:i w:val="0"/>
                <w:caps w:val="0"/>
                <w:color w:val="auto"/>
                <w:spacing w:val="0"/>
                <w:w w:val="100"/>
                <w:sz w:val="22"/>
                <w:szCs w:val="22"/>
                <w:highlight w:val="none"/>
              </w:rPr>
            </w:pPr>
          </w:p>
          <w:p w14:paraId="76D80EBD">
            <w:pPr>
              <w:shd w:val="clear" w:color="auto" w:fill="auto"/>
              <w:snapToGrid w:val="0"/>
              <w:spacing w:before="0" w:beforeAutospacing="0" w:after="0" w:afterAutospacing="0" w:line="360" w:lineRule="exact"/>
              <w:jc w:val="both"/>
              <w:textAlignment w:val="baseline"/>
              <w:rPr>
                <w:rFonts w:hint="eastAsia" w:ascii="微软雅黑" w:hAnsi="微软雅黑" w:eastAsia="微软雅黑" w:cs="微软雅黑"/>
                <w:b w:val="0"/>
                <w:i w:val="0"/>
                <w:caps w:val="0"/>
                <w:color w:val="auto"/>
                <w:spacing w:val="0"/>
                <w:w w:val="100"/>
                <w:sz w:val="22"/>
                <w:szCs w:val="22"/>
                <w:highlight w:val="none"/>
              </w:rPr>
            </w:pPr>
          </w:p>
          <w:p w14:paraId="65278BC8">
            <w:pPr>
              <w:shd w:val="clear" w:color="auto" w:fill="auto"/>
              <w:snapToGrid w:val="0"/>
              <w:spacing w:before="0" w:beforeAutospacing="0" w:after="0" w:afterAutospacing="0" w:line="360" w:lineRule="exact"/>
              <w:jc w:val="center"/>
              <w:textAlignment w:val="baseline"/>
              <w:rPr>
                <w:rFonts w:hint="eastAsia" w:ascii="微软雅黑" w:hAnsi="微软雅黑" w:eastAsia="微软雅黑" w:cs="微软雅黑"/>
                <w:b w:val="0"/>
                <w:i w:val="0"/>
                <w:caps w:val="0"/>
                <w:color w:val="auto"/>
                <w:spacing w:val="0"/>
                <w:w w:val="100"/>
                <w:sz w:val="22"/>
                <w:szCs w:val="22"/>
                <w:highlight w:val="none"/>
                <w:lang w:eastAsia="zh-CN"/>
              </w:rPr>
            </w:pPr>
            <w:r>
              <w:rPr>
                <w:rFonts w:hint="eastAsia" w:ascii="微软雅黑" w:hAnsi="微软雅黑" w:eastAsia="微软雅黑" w:cs="微软雅黑"/>
                <w:b w:val="0"/>
                <w:i w:val="0"/>
                <w:caps w:val="0"/>
                <w:color w:val="auto"/>
                <w:spacing w:val="0"/>
                <w:w w:val="100"/>
                <w:sz w:val="22"/>
                <w:szCs w:val="22"/>
                <w:highlight w:val="none"/>
                <w:lang w:eastAsia="zh-CN"/>
              </w:rPr>
              <w:t>缴纳投标保证金的有效凭证</w:t>
            </w:r>
            <w:r>
              <w:rPr>
                <w:rFonts w:hint="eastAsia" w:ascii="微软雅黑" w:hAnsi="微软雅黑" w:eastAsia="微软雅黑" w:cs="微软雅黑"/>
                <w:b w:val="0"/>
                <w:i w:val="0"/>
                <w:caps w:val="0"/>
                <w:color w:val="auto"/>
                <w:spacing w:val="0"/>
                <w:w w:val="100"/>
                <w:sz w:val="22"/>
                <w:szCs w:val="22"/>
                <w:highlight w:val="none"/>
              </w:rPr>
              <w:t>复印件</w:t>
            </w:r>
            <w:r>
              <w:rPr>
                <w:rFonts w:hint="eastAsia" w:ascii="微软雅黑" w:hAnsi="微软雅黑" w:eastAsia="微软雅黑" w:cs="微软雅黑"/>
                <w:b w:val="0"/>
                <w:i w:val="0"/>
                <w:caps w:val="0"/>
                <w:color w:val="auto"/>
                <w:spacing w:val="0"/>
                <w:w w:val="100"/>
                <w:sz w:val="22"/>
                <w:szCs w:val="22"/>
                <w:highlight w:val="none"/>
                <w:lang w:eastAsia="zh-CN"/>
              </w:rPr>
              <w:t>（</w:t>
            </w:r>
            <w:r>
              <w:rPr>
                <w:rFonts w:hint="eastAsia" w:ascii="微软雅黑" w:hAnsi="微软雅黑" w:eastAsia="微软雅黑" w:cs="微软雅黑"/>
                <w:b/>
                <w:bCs/>
                <w:i w:val="0"/>
                <w:caps w:val="0"/>
                <w:color w:val="auto"/>
                <w:spacing w:val="0"/>
                <w:w w:val="100"/>
                <w:sz w:val="22"/>
                <w:szCs w:val="22"/>
                <w:highlight w:val="none"/>
                <w:lang w:eastAsia="zh-CN"/>
              </w:rPr>
              <w:t>银行回执单</w:t>
            </w:r>
            <w:r>
              <w:rPr>
                <w:rFonts w:hint="eastAsia" w:ascii="微软雅黑" w:hAnsi="微软雅黑" w:eastAsia="微软雅黑" w:cs="微软雅黑"/>
                <w:b/>
                <w:bCs/>
                <w:i w:val="0"/>
                <w:caps w:val="0"/>
                <w:color w:val="auto"/>
                <w:spacing w:val="0"/>
                <w:w w:val="100"/>
                <w:sz w:val="22"/>
                <w:szCs w:val="22"/>
                <w:highlight w:val="none"/>
                <w:lang w:val="en-US" w:eastAsia="zh-CN"/>
              </w:rPr>
              <w:t>或保函等</w:t>
            </w:r>
            <w:r>
              <w:rPr>
                <w:rFonts w:hint="eastAsia" w:ascii="微软雅黑" w:hAnsi="微软雅黑" w:eastAsia="微软雅黑" w:cs="微软雅黑"/>
                <w:b w:val="0"/>
                <w:i w:val="0"/>
                <w:caps w:val="0"/>
                <w:color w:val="auto"/>
                <w:spacing w:val="0"/>
                <w:w w:val="100"/>
                <w:sz w:val="22"/>
                <w:szCs w:val="22"/>
                <w:highlight w:val="none"/>
                <w:lang w:eastAsia="zh-CN"/>
              </w:rPr>
              <w:t>）</w:t>
            </w:r>
          </w:p>
        </w:tc>
      </w:tr>
    </w:tbl>
    <w:p w14:paraId="5C02AAD5">
      <w:pPr>
        <w:pStyle w:val="25"/>
        <w:rPr>
          <w:rFonts w:hint="eastAsia" w:ascii="微软雅黑" w:hAnsi="微软雅黑" w:eastAsia="微软雅黑" w:cs="微软雅黑"/>
          <w:color w:val="auto"/>
          <w:sz w:val="22"/>
          <w:szCs w:val="22"/>
          <w:highlight w:val="none"/>
        </w:rPr>
      </w:pPr>
    </w:p>
    <w:p w14:paraId="171587CB">
      <w:pPr>
        <w:shd w:val="clear" w:color="auto" w:fill="auto"/>
        <w:snapToGrid w:val="0"/>
        <w:spacing w:before="0" w:beforeAutospacing="0" w:after="0" w:afterAutospacing="0" w:line="360" w:lineRule="exact"/>
        <w:jc w:val="both"/>
        <w:textAlignment w:val="baseline"/>
        <w:rPr>
          <w:rFonts w:hint="eastAsia" w:ascii="微软雅黑" w:hAnsi="微软雅黑" w:eastAsia="微软雅黑" w:cs="微软雅黑"/>
          <w:b/>
          <w:bCs/>
          <w:i w:val="0"/>
          <w:caps w:val="0"/>
          <w:color w:val="auto"/>
          <w:spacing w:val="0"/>
          <w:w w:val="100"/>
          <w:sz w:val="22"/>
          <w:szCs w:val="22"/>
          <w:highlight w:val="none"/>
        </w:rPr>
      </w:pPr>
      <w:r>
        <w:rPr>
          <w:rFonts w:hint="eastAsia" w:ascii="微软雅黑" w:hAnsi="微软雅黑" w:eastAsia="微软雅黑" w:cs="微软雅黑"/>
          <w:b/>
          <w:bCs/>
          <w:i w:val="0"/>
          <w:caps w:val="0"/>
          <w:color w:val="auto"/>
          <w:spacing w:val="0"/>
          <w:w w:val="100"/>
          <w:sz w:val="22"/>
          <w:szCs w:val="22"/>
          <w:highlight w:val="none"/>
        </w:rPr>
        <w:t>注：本项目以</w:t>
      </w:r>
      <w:r>
        <w:rPr>
          <w:rFonts w:hint="eastAsia" w:ascii="微软雅黑" w:hAnsi="微软雅黑" w:eastAsia="微软雅黑" w:cs="微软雅黑"/>
          <w:b/>
          <w:bCs/>
          <w:i w:val="0"/>
          <w:caps w:val="0"/>
          <w:color w:val="auto"/>
          <w:spacing w:val="0"/>
          <w:w w:val="100"/>
          <w:sz w:val="22"/>
          <w:szCs w:val="22"/>
          <w:highlight w:val="none"/>
          <w:lang w:eastAsia="zh-CN"/>
        </w:rPr>
        <w:t>缴纳投标保证金的有效凭证</w:t>
      </w:r>
      <w:r>
        <w:rPr>
          <w:rFonts w:hint="eastAsia" w:ascii="微软雅黑" w:hAnsi="微软雅黑" w:eastAsia="微软雅黑" w:cs="微软雅黑"/>
          <w:b/>
          <w:bCs/>
          <w:i w:val="0"/>
          <w:caps w:val="0"/>
          <w:color w:val="auto"/>
          <w:spacing w:val="0"/>
          <w:w w:val="100"/>
          <w:sz w:val="22"/>
          <w:szCs w:val="22"/>
          <w:highlight w:val="none"/>
        </w:rPr>
        <w:t>复印件盖公章为准；</w:t>
      </w:r>
    </w:p>
    <w:p w14:paraId="6EC0A803">
      <w:pPr>
        <w:pStyle w:val="15"/>
        <w:tabs>
          <w:tab w:val="left" w:pos="5580"/>
        </w:tabs>
        <w:spacing w:line="400" w:lineRule="exact"/>
        <w:ind w:left="540" w:leftChars="257"/>
        <w:rPr>
          <w:rFonts w:hint="eastAsia" w:ascii="微软雅黑" w:hAnsi="微软雅黑" w:eastAsia="微软雅黑" w:cs="微软雅黑"/>
          <w:b/>
          <w:color w:val="auto"/>
          <w:kern w:val="0"/>
          <w:sz w:val="22"/>
          <w:szCs w:val="22"/>
          <w:highlight w:val="none"/>
        </w:rPr>
      </w:pPr>
    </w:p>
    <w:p w14:paraId="532B3AEF">
      <w:pPr>
        <w:pStyle w:val="15"/>
        <w:tabs>
          <w:tab w:val="left" w:pos="5580"/>
        </w:tabs>
        <w:spacing w:line="400" w:lineRule="exact"/>
        <w:ind w:left="540" w:leftChars="257"/>
        <w:rPr>
          <w:rFonts w:hint="eastAsia" w:ascii="微软雅黑" w:hAnsi="微软雅黑" w:eastAsia="微软雅黑" w:cs="微软雅黑"/>
          <w:b/>
          <w:color w:val="auto"/>
          <w:kern w:val="0"/>
          <w:sz w:val="22"/>
          <w:szCs w:val="22"/>
          <w:highlight w:val="none"/>
        </w:rPr>
      </w:pPr>
    </w:p>
    <w:p w14:paraId="2F135E48">
      <w:pPr>
        <w:pStyle w:val="15"/>
        <w:tabs>
          <w:tab w:val="left" w:pos="5580"/>
        </w:tabs>
        <w:spacing w:line="400" w:lineRule="exact"/>
        <w:ind w:left="540" w:leftChars="257"/>
        <w:rPr>
          <w:rFonts w:hint="eastAsia" w:ascii="微软雅黑" w:hAnsi="微软雅黑" w:eastAsia="微软雅黑" w:cs="微软雅黑"/>
          <w:b/>
          <w:color w:val="auto"/>
          <w:kern w:val="0"/>
          <w:sz w:val="22"/>
          <w:szCs w:val="22"/>
          <w:highlight w:val="none"/>
        </w:rPr>
      </w:pPr>
    </w:p>
    <w:p w14:paraId="6E22A272">
      <w:pPr>
        <w:pStyle w:val="15"/>
        <w:tabs>
          <w:tab w:val="left" w:pos="5580"/>
        </w:tabs>
        <w:spacing w:line="400" w:lineRule="exact"/>
        <w:ind w:left="540" w:leftChars="257"/>
        <w:rPr>
          <w:rFonts w:hint="eastAsia" w:ascii="微软雅黑" w:hAnsi="微软雅黑" w:eastAsia="微软雅黑" w:cs="微软雅黑"/>
          <w:b/>
          <w:color w:val="auto"/>
          <w:kern w:val="0"/>
          <w:sz w:val="22"/>
          <w:szCs w:val="22"/>
          <w:highlight w:val="none"/>
        </w:rPr>
      </w:pPr>
    </w:p>
    <w:p w14:paraId="719282DF">
      <w:pPr>
        <w:pStyle w:val="15"/>
        <w:tabs>
          <w:tab w:val="left" w:pos="5580"/>
        </w:tabs>
        <w:spacing w:line="400" w:lineRule="exact"/>
        <w:rPr>
          <w:rFonts w:hint="eastAsia" w:ascii="微软雅黑" w:hAnsi="微软雅黑" w:eastAsia="微软雅黑" w:cs="微软雅黑"/>
          <w:b/>
          <w:color w:val="auto"/>
          <w:kern w:val="0"/>
          <w:sz w:val="22"/>
          <w:szCs w:val="22"/>
          <w:highlight w:val="none"/>
        </w:rPr>
      </w:pPr>
    </w:p>
    <w:p w14:paraId="79588D3C">
      <w:pPr>
        <w:pStyle w:val="15"/>
        <w:tabs>
          <w:tab w:val="left" w:pos="5580"/>
        </w:tabs>
        <w:spacing w:line="400" w:lineRule="exact"/>
        <w:outlineLvl w:val="1"/>
        <w:rPr>
          <w:rFonts w:hint="eastAsia" w:ascii="微软雅黑" w:hAnsi="微软雅黑" w:eastAsia="微软雅黑" w:cs="微软雅黑"/>
          <w:b/>
          <w:color w:val="auto"/>
          <w:kern w:val="0"/>
          <w:sz w:val="22"/>
          <w:szCs w:val="22"/>
          <w:highlight w:val="none"/>
          <w:lang w:eastAsia="zh-CN"/>
        </w:rPr>
      </w:pPr>
      <w:bookmarkStart w:id="1511" w:name="_Toc7862"/>
      <w:bookmarkStart w:id="1512" w:name="_Toc13801"/>
      <w:r>
        <w:rPr>
          <w:rFonts w:hint="eastAsia" w:ascii="微软雅黑" w:hAnsi="微软雅黑" w:eastAsia="微软雅黑" w:cs="微软雅黑"/>
          <w:b/>
          <w:bCs/>
          <w:color w:val="auto"/>
          <w:sz w:val="22"/>
          <w:szCs w:val="22"/>
          <w:highlight w:val="none"/>
          <w:lang w:val="en-US" w:eastAsia="zh-CN"/>
        </w:rPr>
        <w:t>11、</w:t>
      </w:r>
      <w:r>
        <w:rPr>
          <w:rFonts w:hint="eastAsia" w:ascii="微软雅黑" w:hAnsi="微软雅黑" w:eastAsia="微软雅黑" w:cs="微软雅黑"/>
          <w:b/>
          <w:color w:val="auto"/>
          <w:kern w:val="0"/>
          <w:sz w:val="22"/>
          <w:szCs w:val="22"/>
          <w:highlight w:val="none"/>
        </w:rPr>
        <w:t>银行开户许可证复印件或银行基本账户信息(包含：银行账号及开户行名称）</w:t>
      </w:r>
      <w:r>
        <w:rPr>
          <w:rFonts w:hint="eastAsia" w:ascii="微软雅黑" w:hAnsi="微软雅黑" w:eastAsia="微软雅黑" w:cs="微软雅黑"/>
          <w:b/>
          <w:color w:val="auto"/>
          <w:kern w:val="0"/>
          <w:sz w:val="22"/>
          <w:szCs w:val="22"/>
          <w:highlight w:val="none"/>
          <w:lang w:eastAsia="zh-CN"/>
        </w:rPr>
        <w:t>；</w:t>
      </w:r>
      <w:bookmarkEnd w:id="1511"/>
    </w:p>
    <w:bookmarkEnd w:id="1512"/>
    <w:p w14:paraId="275D3529">
      <w:pPr>
        <w:pStyle w:val="25"/>
        <w:rPr>
          <w:rFonts w:hint="eastAsia" w:ascii="微软雅黑" w:hAnsi="微软雅黑" w:eastAsia="微软雅黑" w:cs="微软雅黑"/>
          <w:color w:val="auto"/>
          <w:sz w:val="22"/>
          <w:szCs w:val="22"/>
          <w:highlight w:val="none"/>
        </w:rPr>
      </w:pPr>
    </w:p>
    <w:p w14:paraId="423C765C">
      <w:pPr>
        <w:pStyle w:val="25"/>
        <w:rPr>
          <w:rFonts w:hint="eastAsia" w:ascii="微软雅黑" w:hAnsi="微软雅黑" w:eastAsia="微软雅黑" w:cs="微软雅黑"/>
          <w:color w:val="auto"/>
          <w:sz w:val="22"/>
          <w:szCs w:val="22"/>
          <w:highlight w:val="none"/>
        </w:rPr>
      </w:pPr>
    </w:p>
    <w:p w14:paraId="5B900913">
      <w:pPr>
        <w:pStyle w:val="25"/>
        <w:rPr>
          <w:rFonts w:hint="eastAsia" w:ascii="微软雅黑" w:hAnsi="微软雅黑" w:eastAsia="微软雅黑" w:cs="微软雅黑"/>
          <w:color w:val="auto"/>
          <w:sz w:val="22"/>
          <w:szCs w:val="22"/>
          <w:highlight w:val="none"/>
        </w:rPr>
      </w:pPr>
    </w:p>
    <w:p w14:paraId="54C044A6">
      <w:pPr>
        <w:pStyle w:val="25"/>
        <w:rPr>
          <w:rFonts w:hint="eastAsia" w:ascii="微软雅黑" w:hAnsi="微软雅黑" w:eastAsia="微软雅黑" w:cs="微软雅黑"/>
          <w:color w:val="auto"/>
          <w:sz w:val="22"/>
          <w:szCs w:val="22"/>
          <w:highlight w:val="none"/>
        </w:rPr>
      </w:pPr>
    </w:p>
    <w:p w14:paraId="79F31CA8">
      <w:pPr>
        <w:numPr>
          <w:ilvl w:val="0"/>
          <w:numId w:val="0"/>
        </w:numPr>
        <w:outlineLvl w:val="1"/>
        <w:rPr>
          <w:rFonts w:hint="eastAsia" w:ascii="微软雅黑" w:hAnsi="微软雅黑" w:eastAsia="微软雅黑" w:cs="微软雅黑"/>
          <w:b/>
          <w:color w:val="auto"/>
          <w:kern w:val="0"/>
          <w:sz w:val="22"/>
          <w:szCs w:val="22"/>
          <w:highlight w:val="none"/>
          <w:lang w:val="en-US" w:eastAsia="zh-CN" w:bidi="ar-SA"/>
        </w:rPr>
      </w:pPr>
      <w:bookmarkStart w:id="1513" w:name="_Toc19935"/>
      <w:bookmarkStart w:id="1514" w:name="_Toc7876"/>
      <w:r>
        <w:rPr>
          <w:rFonts w:hint="eastAsia" w:ascii="微软雅黑" w:hAnsi="微软雅黑" w:eastAsia="微软雅黑" w:cs="微软雅黑"/>
          <w:b/>
          <w:bCs/>
          <w:color w:val="auto"/>
          <w:sz w:val="22"/>
          <w:szCs w:val="22"/>
          <w:highlight w:val="none"/>
          <w:lang w:val="en-US" w:eastAsia="zh-CN"/>
        </w:rPr>
        <w:t>12</w:t>
      </w:r>
      <w:r>
        <w:rPr>
          <w:rFonts w:hint="eastAsia" w:ascii="微软雅黑" w:hAnsi="微软雅黑" w:eastAsia="微软雅黑" w:cs="微软雅黑"/>
          <w:b/>
          <w:bCs/>
          <w:color w:val="auto"/>
          <w:sz w:val="22"/>
          <w:szCs w:val="22"/>
          <w:highlight w:val="none"/>
        </w:rPr>
        <w:t>、</w:t>
      </w:r>
      <w:r>
        <w:rPr>
          <w:rFonts w:hint="eastAsia" w:ascii="微软雅黑" w:hAnsi="微软雅黑" w:eastAsia="微软雅黑" w:cs="微软雅黑"/>
          <w:b/>
          <w:color w:val="auto"/>
          <w:kern w:val="0"/>
          <w:sz w:val="22"/>
          <w:szCs w:val="22"/>
          <w:highlight w:val="none"/>
          <w:lang w:val="en-US" w:eastAsia="zh-CN" w:bidi="ar-SA"/>
        </w:rPr>
        <w:t>供应商可提供有利于投标的其他资格证明材料。</w:t>
      </w:r>
      <w:bookmarkEnd w:id="1513"/>
      <w:bookmarkEnd w:id="1514"/>
    </w:p>
    <w:p w14:paraId="3CC6DE80">
      <w:pPr>
        <w:rPr>
          <w:rFonts w:hint="eastAsia" w:ascii="微软雅黑" w:hAnsi="微软雅黑" w:eastAsia="微软雅黑" w:cs="微软雅黑"/>
          <w:b/>
          <w:color w:val="auto"/>
          <w:kern w:val="0"/>
          <w:sz w:val="22"/>
          <w:szCs w:val="22"/>
          <w:highlight w:val="none"/>
        </w:rPr>
      </w:pPr>
    </w:p>
    <w:p w14:paraId="3A731888">
      <w:pPr>
        <w:rPr>
          <w:rFonts w:hint="eastAsia" w:ascii="微软雅黑" w:hAnsi="微软雅黑" w:eastAsia="微软雅黑" w:cs="微软雅黑"/>
          <w:color w:val="auto"/>
          <w:sz w:val="22"/>
          <w:szCs w:val="22"/>
          <w:highlight w:val="none"/>
        </w:rPr>
      </w:pPr>
    </w:p>
    <w:p w14:paraId="19A1D9C6">
      <w:pPr>
        <w:rPr>
          <w:rFonts w:hint="eastAsia" w:ascii="微软雅黑" w:hAnsi="微软雅黑" w:eastAsia="微软雅黑" w:cs="微软雅黑"/>
          <w:color w:val="auto"/>
          <w:sz w:val="22"/>
          <w:szCs w:val="22"/>
          <w:highlight w:val="none"/>
        </w:rPr>
      </w:pPr>
    </w:p>
    <w:p w14:paraId="66388B55">
      <w:pPr>
        <w:rPr>
          <w:rFonts w:hint="eastAsia" w:ascii="微软雅黑" w:hAnsi="微软雅黑" w:eastAsia="微软雅黑" w:cs="微软雅黑"/>
          <w:color w:val="auto"/>
          <w:sz w:val="22"/>
          <w:szCs w:val="22"/>
          <w:highlight w:val="none"/>
        </w:rPr>
      </w:pPr>
    </w:p>
    <w:p w14:paraId="7180A5A7">
      <w:pPr>
        <w:rPr>
          <w:rFonts w:hint="eastAsia" w:ascii="微软雅黑" w:hAnsi="微软雅黑" w:eastAsia="微软雅黑" w:cs="微软雅黑"/>
          <w:color w:val="auto"/>
          <w:sz w:val="22"/>
          <w:szCs w:val="22"/>
          <w:highlight w:val="none"/>
        </w:rPr>
      </w:pPr>
    </w:p>
    <w:p w14:paraId="71CDEAB6">
      <w:pPr>
        <w:pStyle w:val="25"/>
        <w:rPr>
          <w:rFonts w:hint="eastAsia" w:ascii="微软雅黑" w:hAnsi="微软雅黑" w:eastAsia="微软雅黑" w:cs="微软雅黑"/>
          <w:color w:val="auto"/>
          <w:sz w:val="22"/>
          <w:szCs w:val="22"/>
          <w:highlight w:val="none"/>
        </w:rPr>
      </w:pPr>
    </w:p>
    <w:p w14:paraId="77F595C2">
      <w:pPr>
        <w:pStyle w:val="3"/>
        <w:spacing w:before="0" w:line="400" w:lineRule="exact"/>
        <w:ind w:left="540" w:leftChars="257"/>
        <w:jc w:val="center"/>
        <w:rPr>
          <w:rFonts w:hint="eastAsia" w:ascii="微软雅黑" w:hAnsi="微软雅黑" w:eastAsia="微软雅黑" w:cs="微软雅黑"/>
          <w:color w:val="auto"/>
          <w:sz w:val="22"/>
          <w:szCs w:val="22"/>
          <w:highlight w:val="none"/>
        </w:rPr>
      </w:pPr>
      <w:bookmarkStart w:id="1515" w:name="_Toc23704"/>
      <w:bookmarkStart w:id="1516" w:name="_Toc4650"/>
      <w:r>
        <w:rPr>
          <w:rFonts w:hint="eastAsia" w:ascii="微软雅黑" w:hAnsi="微软雅黑" w:eastAsia="微软雅黑" w:cs="微软雅黑"/>
          <w:color w:val="auto"/>
          <w:sz w:val="22"/>
          <w:szCs w:val="22"/>
          <w:highlight w:val="none"/>
        </w:rPr>
        <w:t>第二部分  商务及技术文件</w:t>
      </w:r>
      <w:bookmarkEnd w:id="1515"/>
      <w:bookmarkEnd w:id="1516"/>
    </w:p>
    <w:p w14:paraId="26AEA46A">
      <w:pPr>
        <w:pStyle w:val="15"/>
        <w:spacing w:line="400" w:lineRule="exact"/>
        <w:ind w:left="1079" w:leftChars="257" w:hanging="539"/>
        <w:rPr>
          <w:rFonts w:hint="eastAsia" w:ascii="微软雅黑" w:hAnsi="微软雅黑" w:eastAsia="微软雅黑" w:cs="微软雅黑"/>
          <w:color w:val="auto"/>
          <w:sz w:val="22"/>
          <w:szCs w:val="22"/>
          <w:highlight w:val="none"/>
        </w:rPr>
      </w:pPr>
      <w:bookmarkStart w:id="1517" w:name="_Toc2041"/>
      <w:bookmarkStart w:id="1518" w:name="_Toc515647817"/>
      <w:bookmarkStart w:id="1519" w:name="_Toc14915"/>
      <w:r>
        <w:rPr>
          <w:rFonts w:hint="eastAsia" w:ascii="微软雅黑" w:hAnsi="微软雅黑" w:eastAsia="微软雅黑" w:cs="微软雅黑"/>
          <w:color w:val="auto"/>
          <w:sz w:val="22"/>
          <w:szCs w:val="22"/>
          <w:highlight w:val="none"/>
        </w:rPr>
        <w:t>1、投标书</w:t>
      </w:r>
    </w:p>
    <w:p w14:paraId="721CC6F7">
      <w:pPr>
        <w:pStyle w:val="15"/>
        <w:spacing w:line="400" w:lineRule="exact"/>
        <w:ind w:left="1080" w:leftChars="257" w:hanging="540"/>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2、投标分项报价表</w:t>
      </w:r>
    </w:p>
    <w:p w14:paraId="4701B1E0">
      <w:pPr>
        <w:pStyle w:val="15"/>
        <w:spacing w:line="400" w:lineRule="exact"/>
        <w:ind w:left="1080" w:leftChars="257" w:hanging="540"/>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3、</w:t>
      </w:r>
      <w:r>
        <w:rPr>
          <w:rFonts w:hint="eastAsia" w:ascii="微软雅黑" w:hAnsi="微软雅黑" w:eastAsia="微软雅黑" w:cs="微软雅黑"/>
          <w:color w:val="auto"/>
          <w:sz w:val="22"/>
          <w:szCs w:val="22"/>
          <w:highlight w:val="none"/>
          <w:lang w:val="en-US" w:eastAsia="zh-CN"/>
        </w:rPr>
        <w:t>货物</w:t>
      </w:r>
      <w:r>
        <w:rPr>
          <w:rFonts w:hint="eastAsia" w:ascii="微软雅黑" w:hAnsi="微软雅黑" w:eastAsia="微软雅黑" w:cs="微软雅黑"/>
          <w:color w:val="auto"/>
          <w:sz w:val="22"/>
          <w:szCs w:val="22"/>
          <w:highlight w:val="none"/>
        </w:rPr>
        <w:t>说明一览表</w:t>
      </w:r>
    </w:p>
    <w:p w14:paraId="452BB285">
      <w:pPr>
        <w:pStyle w:val="15"/>
        <w:spacing w:line="400" w:lineRule="exact"/>
        <w:ind w:left="1080" w:leftChars="257" w:hanging="540"/>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4、</w:t>
      </w:r>
      <w:r>
        <w:rPr>
          <w:rFonts w:hint="eastAsia" w:ascii="微软雅黑" w:hAnsi="微软雅黑" w:eastAsia="微软雅黑" w:cs="微软雅黑"/>
          <w:color w:val="auto"/>
          <w:sz w:val="22"/>
          <w:szCs w:val="22"/>
          <w:highlight w:val="none"/>
          <w:lang w:val="en-US" w:eastAsia="zh-CN"/>
        </w:rPr>
        <w:t>技术</w:t>
      </w:r>
      <w:r>
        <w:rPr>
          <w:rFonts w:hint="eastAsia" w:ascii="微软雅黑" w:hAnsi="微软雅黑" w:eastAsia="微软雅黑" w:cs="微软雅黑"/>
          <w:color w:val="auto"/>
          <w:sz w:val="22"/>
          <w:szCs w:val="22"/>
          <w:highlight w:val="none"/>
        </w:rPr>
        <w:t>规格偏离表</w:t>
      </w:r>
    </w:p>
    <w:p w14:paraId="15D90FD5">
      <w:pPr>
        <w:pStyle w:val="15"/>
        <w:spacing w:line="400" w:lineRule="exact"/>
        <w:ind w:left="1080" w:leftChars="257" w:hanging="540"/>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5、商务条款偏离表</w:t>
      </w:r>
    </w:p>
    <w:p w14:paraId="701CC69E">
      <w:pPr>
        <w:pStyle w:val="15"/>
        <w:spacing w:line="400" w:lineRule="exact"/>
        <w:ind w:left="311" w:leftChars="148" w:firstLine="228"/>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6-1中小企业声明函</w:t>
      </w:r>
    </w:p>
    <w:p w14:paraId="016A6E61">
      <w:pPr>
        <w:pStyle w:val="15"/>
        <w:spacing w:line="400" w:lineRule="exact"/>
        <w:ind w:left="311" w:leftChars="148" w:firstLine="228"/>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6-2《残疾人福利性单位声明函》</w:t>
      </w:r>
    </w:p>
    <w:p w14:paraId="71A14E0B">
      <w:pPr>
        <w:pStyle w:val="15"/>
        <w:numPr>
          <w:ilvl w:val="0"/>
          <w:numId w:val="5"/>
        </w:numPr>
        <w:spacing w:line="400" w:lineRule="exact"/>
        <w:ind w:left="311" w:leftChars="148" w:firstLine="228"/>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关于符合本国产品标准的声明函或财政部规定的其他证明文件</w:t>
      </w:r>
    </w:p>
    <w:p w14:paraId="4B59510E">
      <w:pPr>
        <w:pStyle w:val="15"/>
        <w:numPr>
          <w:ilvl w:val="0"/>
          <w:numId w:val="5"/>
        </w:numPr>
        <w:spacing w:line="400" w:lineRule="exact"/>
        <w:ind w:left="311" w:leftChars="148" w:firstLine="228"/>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供应商关联单位的说明</w:t>
      </w:r>
    </w:p>
    <w:p w14:paraId="7CBCA502">
      <w:pPr>
        <w:pStyle w:val="15"/>
        <w:spacing w:line="400" w:lineRule="exact"/>
        <w:ind w:left="1080" w:leftChars="257" w:hanging="540"/>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lang w:val="en-US" w:eastAsia="zh-CN"/>
        </w:rPr>
        <w:t>9</w:t>
      </w:r>
      <w:r>
        <w:rPr>
          <w:rFonts w:hint="eastAsia" w:ascii="微软雅黑" w:hAnsi="微软雅黑" w:eastAsia="微软雅黑" w:cs="微软雅黑"/>
          <w:color w:val="auto"/>
          <w:sz w:val="22"/>
          <w:szCs w:val="22"/>
          <w:highlight w:val="none"/>
        </w:rPr>
        <w:t>、供应商可提供有利于投标的其他资格证明材料</w:t>
      </w:r>
    </w:p>
    <w:p w14:paraId="413BE1DF">
      <w:pPr>
        <w:pStyle w:val="15"/>
        <w:spacing w:line="400" w:lineRule="exact"/>
        <w:ind w:left="1080" w:leftChars="257" w:hanging="540"/>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lang w:val="en-US" w:eastAsia="zh-CN"/>
        </w:rPr>
        <w:t>10</w:t>
      </w:r>
      <w:r>
        <w:rPr>
          <w:rFonts w:hint="eastAsia" w:ascii="微软雅黑" w:hAnsi="微软雅黑" w:eastAsia="微软雅黑" w:cs="微软雅黑"/>
          <w:color w:val="auto"/>
          <w:sz w:val="22"/>
          <w:szCs w:val="22"/>
          <w:highlight w:val="none"/>
          <w:lang w:eastAsia="zh-CN"/>
        </w:rPr>
        <w:t>、</w:t>
      </w:r>
      <w:r>
        <w:rPr>
          <w:rFonts w:hint="eastAsia" w:ascii="微软雅黑" w:hAnsi="微软雅黑" w:eastAsia="微软雅黑" w:cs="微软雅黑"/>
          <w:color w:val="auto"/>
          <w:sz w:val="22"/>
          <w:szCs w:val="22"/>
          <w:highlight w:val="none"/>
        </w:rPr>
        <w:t>投标文件格式范本</w:t>
      </w:r>
    </w:p>
    <w:p w14:paraId="658E2C51">
      <w:pPr>
        <w:spacing w:line="360" w:lineRule="auto"/>
        <w:rPr>
          <w:rFonts w:hint="eastAsia" w:ascii="微软雅黑" w:hAnsi="微软雅黑" w:eastAsia="微软雅黑" w:cs="微软雅黑"/>
          <w:b/>
          <w:bCs/>
          <w:color w:val="auto"/>
          <w:sz w:val="22"/>
          <w:szCs w:val="22"/>
          <w:highlight w:val="none"/>
        </w:rPr>
      </w:pPr>
    </w:p>
    <w:p w14:paraId="2ADAC9CC">
      <w:pPr>
        <w:pStyle w:val="5"/>
        <w:rPr>
          <w:rFonts w:hint="eastAsia" w:ascii="微软雅黑" w:hAnsi="微软雅黑" w:eastAsia="微软雅黑" w:cs="微软雅黑"/>
          <w:b/>
          <w:bCs/>
          <w:color w:val="auto"/>
          <w:sz w:val="22"/>
          <w:szCs w:val="22"/>
          <w:highlight w:val="none"/>
        </w:rPr>
      </w:pPr>
    </w:p>
    <w:p w14:paraId="53397F21">
      <w:pPr>
        <w:pStyle w:val="5"/>
        <w:rPr>
          <w:rFonts w:hint="eastAsia" w:ascii="微软雅黑" w:hAnsi="微软雅黑" w:eastAsia="微软雅黑" w:cs="微软雅黑"/>
          <w:b/>
          <w:bCs/>
          <w:color w:val="auto"/>
          <w:sz w:val="22"/>
          <w:szCs w:val="22"/>
          <w:highlight w:val="none"/>
        </w:rPr>
      </w:pPr>
    </w:p>
    <w:p w14:paraId="3DE3EE7D">
      <w:pPr>
        <w:pStyle w:val="5"/>
        <w:rPr>
          <w:rFonts w:hint="eastAsia" w:ascii="微软雅黑" w:hAnsi="微软雅黑" w:eastAsia="微软雅黑" w:cs="微软雅黑"/>
          <w:b/>
          <w:bCs/>
          <w:color w:val="auto"/>
          <w:sz w:val="22"/>
          <w:szCs w:val="22"/>
          <w:highlight w:val="none"/>
        </w:rPr>
      </w:pPr>
    </w:p>
    <w:p w14:paraId="47302DA3">
      <w:pPr>
        <w:pStyle w:val="5"/>
        <w:rPr>
          <w:rFonts w:hint="eastAsia" w:ascii="微软雅黑" w:hAnsi="微软雅黑" w:eastAsia="微软雅黑" w:cs="微软雅黑"/>
          <w:b/>
          <w:bCs/>
          <w:color w:val="auto"/>
          <w:sz w:val="22"/>
          <w:szCs w:val="22"/>
          <w:highlight w:val="none"/>
        </w:rPr>
      </w:pPr>
    </w:p>
    <w:p w14:paraId="632DC9F8">
      <w:pPr>
        <w:pStyle w:val="5"/>
        <w:rPr>
          <w:rFonts w:hint="eastAsia" w:ascii="微软雅黑" w:hAnsi="微软雅黑" w:eastAsia="微软雅黑" w:cs="微软雅黑"/>
          <w:b/>
          <w:bCs/>
          <w:color w:val="auto"/>
          <w:sz w:val="22"/>
          <w:szCs w:val="22"/>
          <w:highlight w:val="none"/>
        </w:rPr>
      </w:pPr>
    </w:p>
    <w:p w14:paraId="46887B68">
      <w:pPr>
        <w:pStyle w:val="5"/>
        <w:rPr>
          <w:rFonts w:hint="eastAsia" w:ascii="微软雅黑" w:hAnsi="微软雅黑" w:eastAsia="微软雅黑" w:cs="微软雅黑"/>
          <w:b/>
          <w:bCs/>
          <w:color w:val="auto"/>
          <w:sz w:val="22"/>
          <w:szCs w:val="22"/>
          <w:highlight w:val="none"/>
        </w:rPr>
      </w:pPr>
    </w:p>
    <w:p w14:paraId="78A6109A">
      <w:pPr>
        <w:spacing w:line="360" w:lineRule="auto"/>
        <w:rPr>
          <w:rFonts w:hint="eastAsia" w:ascii="微软雅黑" w:hAnsi="微软雅黑" w:eastAsia="微软雅黑" w:cs="微软雅黑"/>
          <w:color w:val="auto"/>
          <w:sz w:val="22"/>
          <w:szCs w:val="22"/>
          <w:highlight w:val="none"/>
        </w:rPr>
      </w:pPr>
    </w:p>
    <w:p w14:paraId="76A0A0E2">
      <w:pPr>
        <w:pStyle w:val="15"/>
        <w:tabs>
          <w:tab w:val="left" w:pos="5580"/>
        </w:tabs>
        <w:spacing w:line="240" w:lineRule="atLeast"/>
        <w:rPr>
          <w:rFonts w:hint="eastAsia" w:ascii="微软雅黑" w:hAnsi="微软雅黑" w:eastAsia="微软雅黑" w:cs="微软雅黑"/>
          <w:color w:val="auto"/>
          <w:sz w:val="22"/>
          <w:szCs w:val="22"/>
          <w:highlight w:val="none"/>
        </w:rPr>
      </w:pPr>
    </w:p>
    <w:p w14:paraId="0A6CDA5F">
      <w:pPr>
        <w:pStyle w:val="15"/>
        <w:tabs>
          <w:tab w:val="left" w:pos="5580"/>
        </w:tabs>
        <w:spacing w:line="240" w:lineRule="atLeast"/>
        <w:rPr>
          <w:rFonts w:hint="eastAsia" w:ascii="微软雅黑" w:hAnsi="微软雅黑" w:eastAsia="微软雅黑" w:cs="微软雅黑"/>
          <w:color w:val="auto"/>
          <w:sz w:val="22"/>
          <w:szCs w:val="22"/>
          <w:highlight w:val="none"/>
        </w:rPr>
      </w:pPr>
    </w:p>
    <w:p w14:paraId="224E831F">
      <w:pPr>
        <w:pStyle w:val="15"/>
        <w:tabs>
          <w:tab w:val="left" w:pos="5580"/>
        </w:tabs>
        <w:spacing w:line="240" w:lineRule="atLeast"/>
        <w:rPr>
          <w:rFonts w:hint="eastAsia" w:ascii="微软雅黑" w:hAnsi="微软雅黑" w:eastAsia="微软雅黑" w:cs="微软雅黑"/>
          <w:color w:val="auto"/>
          <w:sz w:val="22"/>
          <w:szCs w:val="22"/>
          <w:highlight w:val="none"/>
        </w:rPr>
      </w:pPr>
    </w:p>
    <w:p w14:paraId="311CCADD">
      <w:pPr>
        <w:pStyle w:val="15"/>
        <w:tabs>
          <w:tab w:val="left" w:pos="5580"/>
        </w:tabs>
        <w:spacing w:line="240" w:lineRule="atLeast"/>
        <w:rPr>
          <w:rFonts w:hint="eastAsia" w:ascii="微软雅黑" w:hAnsi="微软雅黑" w:eastAsia="微软雅黑" w:cs="微软雅黑"/>
          <w:color w:val="auto"/>
          <w:sz w:val="22"/>
          <w:szCs w:val="22"/>
          <w:highlight w:val="none"/>
        </w:rPr>
      </w:pPr>
    </w:p>
    <w:p w14:paraId="15D8DA29">
      <w:pPr>
        <w:pStyle w:val="15"/>
        <w:tabs>
          <w:tab w:val="left" w:pos="5580"/>
        </w:tabs>
        <w:spacing w:line="240" w:lineRule="atLeast"/>
        <w:rPr>
          <w:rFonts w:hint="eastAsia" w:ascii="微软雅黑" w:hAnsi="微软雅黑" w:eastAsia="微软雅黑" w:cs="微软雅黑"/>
          <w:color w:val="auto"/>
          <w:sz w:val="22"/>
          <w:szCs w:val="22"/>
          <w:highlight w:val="none"/>
        </w:rPr>
      </w:pPr>
    </w:p>
    <w:p w14:paraId="3B5D2270">
      <w:pPr>
        <w:pStyle w:val="15"/>
        <w:tabs>
          <w:tab w:val="left" w:pos="5580"/>
        </w:tabs>
        <w:spacing w:line="400" w:lineRule="exact"/>
        <w:jc w:val="center"/>
        <w:outlineLvl w:val="1"/>
        <w:rPr>
          <w:rFonts w:hint="eastAsia" w:ascii="微软雅黑" w:hAnsi="微软雅黑" w:eastAsia="微软雅黑" w:cs="微软雅黑"/>
          <w:color w:val="auto"/>
          <w:sz w:val="22"/>
          <w:szCs w:val="22"/>
          <w:highlight w:val="none"/>
        </w:rPr>
      </w:pPr>
      <w:bookmarkStart w:id="1520" w:name="_Toc29625"/>
      <w:bookmarkStart w:id="1521" w:name="_Toc30408"/>
      <w:bookmarkStart w:id="1522" w:name="_Toc25918"/>
      <w:bookmarkStart w:id="1523" w:name="_Toc26896"/>
      <w:bookmarkStart w:id="1524" w:name="_Toc7342"/>
      <w:bookmarkStart w:id="1525" w:name="_Toc21772"/>
      <w:r>
        <w:rPr>
          <w:rFonts w:hint="eastAsia" w:ascii="微软雅黑" w:hAnsi="微软雅黑" w:eastAsia="微软雅黑" w:cs="微软雅黑"/>
          <w:b/>
          <w:bCs/>
          <w:color w:val="auto"/>
          <w:sz w:val="22"/>
          <w:szCs w:val="22"/>
          <w:highlight w:val="none"/>
        </w:rPr>
        <w:t>1</w:t>
      </w:r>
      <w:r>
        <w:rPr>
          <w:rFonts w:hint="eastAsia" w:ascii="微软雅黑" w:hAnsi="微软雅黑" w:eastAsia="微软雅黑" w:cs="微软雅黑"/>
          <w:b/>
          <w:bCs/>
          <w:color w:val="auto"/>
          <w:sz w:val="22"/>
          <w:szCs w:val="22"/>
          <w:highlight w:val="none"/>
          <w:lang w:eastAsia="zh-CN"/>
        </w:rPr>
        <w:t>、</w:t>
      </w:r>
      <w:r>
        <w:rPr>
          <w:rFonts w:hint="eastAsia" w:ascii="微软雅黑" w:hAnsi="微软雅黑" w:eastAsia="微软雅黑" w:cs="微软雅黑"/>
          <w:b/>
          <w:bCs/>
          <w:color w:val="auto"/>
          <w:sz w:val="22"/>
          <w:szCs w:val="22"/>
          <w:highlight w:val="none"/>
        </w:rPr>
        <w:t>投标书</w:t>
      </w:r>
      <w:bookmarkEnd w:id="1517"/>
      <w:bookmarkEnd w:id="1518"/>
      <w:bookmarkEnd w:id="1519"/>
      <w:bookmarkEnd w:id="1520"/>
      <w:bookmarkEnd w:id="1521"/>
      <w:bookmarkEnd w:id="1522"/>
      <w:bookmarkEnd w:id="1523"/>
      <w:bookmarkEnd w:id="1524"/>
      <w:bookmarkEnd w:id="1525"/>
    </w:p>
    <w:p w14:paraId="23C89EDE">
      <w:pPr>
        <w:tabs>
          <w:tab w:val="left" w:pos="5580"/>
        </w:tabs>
        <w:spacing w:line="400" w:lineRule="exact"/>
        <w:ind w:left="1080" w:hanging="1080"/>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rPr>
        <w:t>致：</w:t>
      </w:r>
      <w:r>
        <w:rPr>
          <w:rFonts w:hint="eastAsia" w:ascii="微软雅黑" w:hAnsi="微软雅黑" w:eastAsia="微软雅黑" w:cs="微软雅黑"/>
          <w:color w:val="auto"/>
          <w:sz w:val="22"/>
          <w:szCs w:val="22"/>
          <w:highlight w:val="none"/>
          <w:lang w:eastAsia="zh-CN"/>
        </w:rPr>
        <w:t>（</w:t>
      </w:r>
      <w:r>
        <w:rPr>
          <w:rFonts w:hint="eastAsia" w:ascii="微软雅黑" w:hAnsi="微软雅黑" w:eastAsia="微软雅黑" w:cs="微软雅黑"/>
          <w:color w:val="auto"/>
          <w:sz w:val="22"/>
          <w:szCs w:val="22"/>
          <w:highlight w:val="none"/>
          <w:lang w:val="en-US" w:eastAsia="zh-CN"/>
        </w:rPr>
        <w:t>采购单位或代理机构</w:t>
      </w:r>
      <w:r>
        <w:rPr>
          <w:rFonts w:hint="eastAsia" w:ascii="微软雅黑" w:hAnsi="微软雅黑" w:eastAsia="微软雅黑" w:cs="微软雅黑"/>
          <w:color w:val="auto"/>
          <w:sz w:val="22"/>
          <w:szCs w:val="22"/>
          <w:highlight w:val="none"/>
          <w:lang w:eastAsia="zh-CN"/>
        </w:rPr>
        <w:t>）</w:t>
      </w:r>
    </w:p>
    <w:p w14:paraId="43957DCE">
      <w:pPr>
        <w:pStyle w:val="15"/>
        <w:tabs>
          <w:tab w:val="left" w:pos="5580"/>
        </w:tabs>
        <w:spacing w:line="400" w:lineRule="exact"/>
        <w:ind w:left="1080" w:leftChars="257" w:hanging="540"/>
        <w:rPr>
          <w:rFonts w:hint="eastAsia" w:ascii="微软雅黑" w:hAnsi="微软雅黑" w:eastAsia="微软雅黑" w:cs="微软雅黑"/>
          <w:color w:val="auto"/>
          <w:sz w:val="22"/>
          <w:szCs w:val="22"/>
          <w:highlight w:val="none"/>
        </w:rPr>
      </w:pPr>
    </w:p>
    <w:p w14:paraId="3859163D">
      <w:pPr>
        <w:pStyle w:val="15"/>
        <w:tabs>
          <w:tab w:val="left" w:pos="5580"/>
        </w:tabs>
        <w:spacing w:line="400" w:lineRule="exact"/>
        <w:ind w:left="2" w:leftChars="1" w:firstLine="440" w:firstLineChars="200"/>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根据贵方(</w:t>
      </w:r>
      <w:r>
        <w:rPr>
          <w:rFonts w:hint="eastAsia" w:ascii="微软雅黑" w:hAnsi="微软雅黑" w:eastAsia="微软雅黑" w:cs="微软雅黑"/>
          <w:i/>
          <w:color w:val="auto"/>
          <w:sz w:val="22"/>
          <w:szCs w:val="22"/>
          <w:highlight w:val="none"/>
          <w:u w:val="single"/>
        </w:rPr>
        <w:t>项目名称</w:t>
      </w:r>
      <w:r>
        <w:rPr>
          <w:rFonts w:hint="eastAsia" w:ascii="微软雅黑" w:hAnsi="微软雅黑" w:eastAsia="微软雅黑" w:cs="微软雅黑"/>
          <w:color w:val="auto"/>
          <w:sz w:val="22"/>
          <w:szCs w:val="22"/>
          <w:highlight w:val="none"/>
        </w:rPr>
        <w:t>)项目的投标邀请(</w:t>
      </w:r>
      <w:r>
        <w:rPr>
          <w:rFonts w:hint="eastAsia" w:ascii="微软雅黑" w:hAnsi="微软雅黑" w:eastAsia="微软雅黑" w:cs="微软雅黑"/>
          <w:i/>
          <w:color w:val="auto"/>
          <w:sz w:val="22"/>
          <w:szCs w:val="22"/>
          <w:highlight w:val="none"/>
          <w:u w:val="single"/>
        </w:rPr>
        <w:t>项目编号</w:t>
      </w:r>
      <w:r>
        <w:rPr>
          <w:rFonts w:hint="eastAsia" w:ascii="微软雅黑" w:hAnsi="微软雅黑" w:eastAsia="微软雅黑" w:cs="微软雅黑"/>
          <w:color w:val="auto"/>
          <w:sz w:val="22"/>
          <w:szCs w:val="22"/>
          <w:highlight w:val="none"/>
        </w:rPr>
        <w:t>),签字代表(</w:t>
      </w:r>
      <w:r>
        <w:rPr>
          <w:rFonts w:hint="eastAsia" w:ascii="微软雅黑" w:hAnsi="微软雅黑" w:eastAsia="微软雅黑" w:cs="微软雅黑"/>
          <w:i/>
          <w:color w:val="auto"/>
          <w:sz w:val="22"/>
          <w:szCs w:val="22"/>
          <w:highlight w:val="none"/>
          <w:u w:val="single"/>
        </w:rPr>
        <w:t>姓名、职务</w:t>
      </w:r>
      <w:r>
        <w:rPr>
          <w:rFonts w:hint="eastAsia" w:ascii="微软雅黑" w:hAnsi="微软雅黑" w:eastAsia="微软雅黑" w:cs="微软雅黑"/>
          <w:color w:val="auto"/>
          <w:sz w:val="22"/>
          <w:szCs w:val="22"/>
          <w:highlight w:val="none"/>
        </w:rPr>
        <w:t>)经正式授权并代表供应商（</w:t>
      </w:r>
      <w:r>
        <w:rPr>
          <w:rFonts w:hint="eastAsia" w:ascii="微软雅黑" w:hAnsi="微软雅黑" w:eastAsia="微软雅黑" w:cs="微软雅黑"/>
          <w:i/>
          <w:color w:val="auto"/>
          <w:sz w:val="22"/>
          <w:szCs w:val="22"/>
          <w:highlight w:val="none"/>
          <w:u w:val="single"/>
        </w:rPr>
        <w:t>名称、地址</w:t>
      </w:r>
      <w:r>
        <w:rPr>
          <w:rFonts w:hint="eastAsia" w:ascii="微软雅黑" w:hAnsi="微软雅黑" w:eastAsia="微软雅黑" w:cs="微软雅黑"/>
          <w:color w:val="auto"/>
          <w:sz w:val="22"/>
          <w:szCs w:val="22"/>
          <w:highlight w:val="none"/>
        </w:rPr>
        <w:t>）</w:t>
      </w:r>
      <w:r>
        <w:rPr>
          <w:rFonts w:hint="eastAsia" w:ascii="微软雅黑" w:hAnsi="微软雅黑" w:eastAsia="微软雅黑" w:cs="微软雅黑"/>
          <w:color w:val="auto"/>
          <w:sz w:val="22"/>
          <w:szCs w:val="22"/>
          <w:highlight w:val="none"/>
          <w:lang w:val="en-US" w:eastAsia="zh-CN"/>
        </w:rPr>
        <w:t>上传投标</w:t>
      </w:r>
      <w:r>
        <w:rPr>
          <w:rFonts w:hint="eastAsia" w:ascii="微软雅黑" w:hAnsi="微软雅黑" w:eastAsia="微软雅黑" w:cs="微软雅黑"/>
          <w:color w:val="auto"/>
          <w:sz w:val="22"/>
          <w:szCs w:val="22"/>
          <w:highlight w:val="none"/>
        </w:rPr>
        <w:t>文件，并以</w:t>
      </w:r>
      <w:r>
        <w:rPr>
          <w:rFonts w:hint="eastAsia" w:ascii="微软雅黑" w:hAnsi="微软雅黑" w:eastAsia="微软雅黑" w:cs="微软雅黑"/>
          <w:color w:val="auto"/>
          <w:sz w:val="22"/>
          <w:szCs w:val="22"/>
          <w:highlight w:val="none"/>
          <w:u w:val="single"/>
        </w:rPr>
        <w:t xml:space="preserve">         </w:t>
      </w:r>
      <w:r>
        <w:rPr>
          <w:rFonts w:hint="eastAsia" w:ascii="微软雅黑" w:hAnsi="微软雅黑" w:eastAsia="微软雅黑" w:cs="微软雅黑"/>
          <w:color w:val="auto"/>
          <w:sz w:val="22"/>
          <w:szCs w:val="22"/>
          <w:highlight w:val="none"/>
        </w:rPr>
        <w:t>形式出具的金额为人民币</w:t>
      </w:r>
      <w:r>
        <w:rPr>
          <w:rFonts w:hint="eastAsia" w:ascii="微软雅黑" w:hAnsi="微软雅黑" w:eastAsia="微软雅黑" w:cs="微软雅黑"/>
          <w:color w:val="auto"/>
          <w:sz w:val="22"/>
          <w:szCs w:val="22"/>
          <w:highlight w:val="none"/>
          <w:u w:val="single"/>
        </w:rPr>
        <w:t>　　　　</w:t>
      </w:r>
      <w:r>
        <w:rPr>
          <w:rFonts w:hint="eastAsia" w:ascii="微软雅黑" w:hAnsi="微软雅黑" w:eastAsia="微软雅黑" w:cs="微软雅黑"/>
          <w:color w:val="auto"/>
          <w:sz w:val="22"/>
          <w:szCs w:val="22"/>
          <w:highlight w:val="none"/>
        </w:rPr>
        <w:t>元的投标保证金。</w:t>
      </w:r>
    </w:p>
    <w:p w14:paraId="155D1183">
      <w:pPr>
        <w:pStyle w:val="15"/>
        <w:tabs>
          <w:tab w:val="left" w:pos="5580"/>
        </w:tabs>
        <w:spacing w:line="400" w:lineRule="exact"/>
        <w:ind w:left="1080" w:leftChars="257" w:hanging="540"/>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据此，签字代表宣布同意如下：</w:t>
      </w:r>
    </w:p>
    <w:p w14:paraId="55A7B261">
      <w:pPr>
        <w:pStyle w:val="15"/>
        <w:tabs>
          <w:tab w:val="left" w:pos="720"/>
          <w:tab w:val="left" w:pos="900"/>
        </w:tabs>
        <w:spacing w:line="400" w:lineRule="exact"/>
        <w:ind w:left="769" w:leftChars="257" w:hanging="229"/>
        <w:rPr>
          <w:rFonts w:hint="eastAsia" w:ascii="微软雅黑" w:hAnsi="微软雅黑" w:eastAsia="微软雅黑" w:cs="微软雅黑"/>
          <w:color w:val="auto"/>
          <w:sz w:val="22"/>
          <w:szCs w:val="22"/>
          <w:highlight w:val="none"/>
          <w:u w:val="single"/>
        </w:rPr>
      </w:pPr>
      <w:r>
        <w:rPr>
          <w:rFonts w:hint="eastAsia" w:ascii="微软雅黑" w:hAnsi="微软雅黑" w:eastAsia="微软雅黑" w:cs="微软雅黑"/>
          <w:color w:val="auto"/>
          <w:sz w:val="22"/>
          <w:szCs w:val="22"/>
          <w:highlight w:val="none"/>
        </w:rPr>
        <w:t>（1）附投标价格表中规定的应提供</w:t>
      </w:r>
      <w:r>
        <w:rPr>
          <w:rFonts w:hint="eastAsia" w:ascii="微软雅黑" w:hAnsi="微软雅黑" w:eastAsia="微软雅黑" w:cs="微软雅黑"/>
          <w:color w:val="auto"/>
          <w:sz w:val="22"/>
          <w:szCs w:val="22"/>
          <w:highlight w:val="none"/>
          <w:lang w:val="en-US" w:eastAsia="zh-CN"/>
        </w:rPr>
        <w:t>货物</w:t>
      </w:r>
      <w:r>
        <w:rPr>
          <w:rFonts w:hint="eastAsia" w:ascii="微软雅黑" w:hAnsi="微软雅黑" w:eastAsia="微软雅黑" w:cs="微软雅黑"/>
          <w:color w:val="auto"/>
          <w:sz w:val="22"/>
          <w:szCs w:val="22"/>
          <w:highlight w:val="none"/>
        </w:rPr>
        <w:t>的投标总价详见开标一览表，</w:t>
      </w:r>
      <w:r>
        <w:rPr>
          <w:rFonts w:hint="eastAsia" w:ascii="微软雅黑" w:hAnsi="微软雅黑" w:eastAsia="微软雅黑" w:cs="微软雅黑"/>
          <w:color w:val="auto"/>
          <w:sz w:val="22"/>
          <w:szCs w:val="22"/>
          <w:highlight w:val="none"/>
          <w:u w:val="single"/>
        </w:rPr>
        <w:t>其中由小型和</w:t>
      </w:r>
      <w:r>
        <w:rPr>
          <w:rFonts w:hint="eastAsia" w:ascii="微软雅黑" w:hAnsi="微软雅黑" w:eastAsia="微软雅黑" w:cs="微软雅黑"/>
          <w:color w:val="auto"/>
          <w:sz w:val="22"/>
          <w:szCs w:val="22"/>
          <w:highlight w:val="none"/>
        </w:rPr>
        <w:t>微型企业制造产品的价格为</w:t>
      </w:r>
      <w:r>
        <w:rPr>
          <w:rFonts w:hint="eastAsia" w:ascii="微软雅黑" w:hAnsi="微软雅黑" w:eastAsia="微软雅黑" w:cs="微软雅黑"/>
          <w:color w:val="auto"/>
          <w:sz w:val="22"/>
          <w:szCs w:val="22"/>
          <w:highlight w:val="none"/>
          <w:u w:val="single"/>
        </w:rPr>
        <w:t>　　  （用文字和数字表示），占投标总价   %</w:t>
      </w:r>
      <w:r>
        <w:rPr>
          <w:rFonts w:hint="eastAsia" w:ascii="微软雅黑" w:hAnsi="微软雅黑" w:eastAsia="微软雅黑" w:cs="微软雅黑"/>
          <w:color w:val="auto"/>
          <w:sz w:val="22"/>
          <w:szCs w:val="22"/>
          <w:highlight w:val="none"/>
        </w:rPr>
        <w:t>。</w:t>
      </w:r>
    </w:p>
    <w:p w14:paraId="1867F2DD">
      <w:pPr>
        <w:pStyle w:val="15"/>
        <w:tabs>
          <w:tab w:val="left" w:pos="5580"/>
        </w:tabs>
        <w:spacing w:line="400" w:lineRule="exact"/>
        <w:ind w:left="1080" w:leftChars="257" w:hanging="540"/>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（2）本投标有效期为自投标截止之日起</w:t>
      </w:r>
      <w:r>
        <w:rPr>
          <w:rFonts w:hint="eastAsia" w:ascii="微软雅黑" w:hAnsi="微软雅黑" w:eastAsia="微软雅黑" w:cs="微软雅黑"/>
          <w:color w:val="auto"/>
          <w:sz w:val="22"/>
          <w:szCs w:val="22"/>
          <w:highlight w:val="none"/>
          <w:u w:val="single"/>
        </w:rPr>
        <w:t xml:space="preserve">          </w:t>
      </w:r>
      <w:r>
        <w:rPr>
          <w:rFonts w:hint="eastAsia" w:ascii="微软雅黑" w:hAnsi="微软雅黑" w:eastAsia="微软雅黑" w:cs="微软雅黑"/>
          <w:color w:val="auto"/>
          <w:sz w:val="22"/>
          <w:szCs w:val="22"/>
          <w:highlight w:val="none"/>
        </w:rPr>
        <w:t>个日历日。</w:t>
      </w:r>
    </w:p>
    <w:p w14:paraId="06656B1D">
      <w:pPr>
        <w:pStyle w:val="15"/>
        <w:tabs>
          <w:tab w:val="left" w:pos="5580"/>
        </w:tabs>
        <w:spacing w:line="400" w:lineRule="exact"/>
        <w:ind w:left="1080" w:leftChars="257" w:hanging="540"/>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（3）联合体中的大中型企业和其他自然人、法人或者非法人组织，与联合体中的小型、微型企业之间</w:t>
      </w:r>
      <w:r>
        <w:rPr>
          <w:rFonts w:hint="eastAsia" w:ascii="微软雅黑" w:hAnsi="微软雅黑" w:eastAsia="微软雅黑" w:cs="微软雅黑"/>
          <w:color w:val="auto"/>
          <w:sz w:val="22"/>
          <w:szCs w:val="22"/>
          <w:highlight w:val="none"/>
          <w:u w:val="single"/>
        </w:rPr>
        <w:t xml:space="preserve">     （</w:t>
      </w:r>
      <w:r>
        <w:rPr>
          <w:rFonts w:hint="eastAsia" w:ascii="微软雅黑" w:hAnsi="微软雅黑" w:eastAsia="微软雅黑" w:cs="微软雅黑"/>
          <w:color w:val="auto"/>
          <w:sz w:val="22"/>
          <w:szCs w:val="22"/>
          <w:highlight w:val="none"/>
        </w:rPr>
        <w:t>存在、不存在）投资关系（如果是联合体的话）。</w:t>
      </w:r>
    </w:p>
    <w:p w14:paraId="0005FE85">
      <w:pPr>
        <w:pStyle w:val="15"/>
        <w:tabs>
          <w:tab w:val="left" w:pos="5580"/>
        </w:tabs>
        <w:spacing w:line="400" w:lineRule="exact"/>
        <w:ind w:left="1080" w:leftChars="257" w:hanging="540"/>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（4）已详细审查全部招标文件，包括所有补充通知（如果有的话），完全理解并同意放弃对这方面有不明、误解和质疑的权力。</w:t>
      </w:r>
    </w:p>
    <w:p w14:paraId="59B7CAEA">
      <w:pPr>
        <w:pStyle w:val="15"/>
        <w:tabs>
          <w:tab w:val="left" w:pos="5580"/>
        </w:tabs>
        <w:spacing w:line="400" w:lineRule="exact"/>
        <w:ind w:left="1080" w:leftChars="257" w:hanging="540"/>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（5）在规定的开标时间后，遵守招标文件中有关保证金的规定。</w:t>
      </w:r>
    </w:p>
    <w:p w14:paraId="47C7B73E">
      <w:pPr>
        <w:pStyle w:val="15"/>
        <w:tabs>
          <w:tab w:val="left" w:pos="5580"/>
        </w:tabs>
        <w:spacing w:line="400" w:lineRule="exact"/>
        <w:ind w:left="1080" w:leftChars="257" w:hanging="540"/>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（6）我方不是为本项目提供整体设计、规范编制或者项目管理、监理、检测等</w:t>
      </w:r>
      <w:r>
        <w:rPr>
          <w:rFonts w:hint="eastAsia" w:ascii="微软雅黑" w:hAnsi="微软雅黑" w:eastAsia="微软雅黑" w:cs="微软雅黑"/>
          <w:color w:val="auto"/>
          <w:sz w:val="22"/>
          <w:szCs w:val="22"/>
          <w:highlight w:val="none"/>
          <w:lang w:val="en-US" w:eastAsia="zh-CN"/>
        </w:rPr>
        <w:t>货物</w:t>
      </w:r>
      <w:r>
        <w:rPr>
          <w:rFonts w:hint="eastAsia" w:ascii="微软雅黑" w:hAnsi="微软雅黑" w:eastAsia="微软雅黑" w:cs="微软雅黑"/>
          <w:color w:val="auto"/>
          <w:sz w:val="22"/>
          <w:szCs w:val="22"/>
          <w:highlight w:val="none"/>
        </w:rPr>
        <w:t>的供应商，我方不是采购代理机构的附属机构。</w:t>
      </w:r>
    </w:p>
    <w:p w14:paraId="0C9F7CF1">
      <w:pPr>
        <w:pStyle w:val="15"/>
        <w:tabs>
          <w:tab w:val="left" w:pos="5580"/>
        </w:tabs>
        <w:spacing w:line="400" w:lineRule="exact"/>
        <w:ind w:left="1080" w:leftChars="257" w:hanging="540"/>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（7）在领取中标通知书的同时按招标文件规定的形式，向贵方一次性支付中标服务费。</w:t>
      </w:r>
    </w:p>
    <w:p w14:paraId="783BC0E4">
      <w:pPr>
        <w:pStyle w:val="15"/>
        <w:tabs>
          <w:tab w:val="left" w:pos="5580"/>
        </w:tabs>
        <w:spacing w:line="400" w:lineRule="exact"/>
        <w:ind w:left="1080" w:leftChars="257" w:hanging="540"/>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（8）按照贵方可能要求，提供与其投标有关的一切数据或资料，完全理解贵方不一定接受最低价的投标或收到的任何投标。</w:t>
      </w:r>
    </w:p>
    <w:p w14:paraId="4E363C32">
      <w:pPr>
        <w:pStyle w:val="15"/>
        <w:tabs>
          <w:tab w:val="left" w:pos="5580"/>
        </w:tabs>
        <w:spacing w:line="400" w:lineRule="exact"/>
        <w:ind w:left="1080" w:leftChars="257" w:hanging="540"/>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（9）按照招标文件的规定履行合同责任和义务。</w:t>
      </w:r>
    </w:p>
    <w:p w14:paraId="3E03D9B2">
      <w:pPr>
        <w:pStyle w:val="15"/>
        <w:tabs>
          <w:tab w:val="left" w:pos="5580"/>
        </w:tabs>
        <w:spacing w:line="400" w:lineRule="exact"/>
        <w:ind w:left="341" w:leftChars="68" w:hanging="198" w:hangingChars="90"/>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 xml:space="preserve">  与本投标有关的一切正式往来信函请寄：</w:t>
      </w:r>
    </w:p>
    <w:p w14:paraId="5AC57F43">
      <w:pPr>
        <w:pStyle w:val="15"/>
        <w:tabs>
          <w:tab w:val="left" w:pos="5580"/>
        </w:tabs>
        <w:spacing w:line="400" w:lineRule="exact"/>
        <w:ind w:left="1080" w:leftChars="257" w:hanging="540"/>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地址</w:t>
      </w:r>
      <w:r>
        <w:rPr>
          <w:rFonts w:hint="eastAsia" w:ascii="微软雅黑" w:hAnsi="微软雅黑" w:eastAsia="微软雅黑" w:cs="微软雅黑"/>
          <w:color w:val="auto"/>
          <w:sz w:val="22"/>
          <w:szCs w:val="22"/>
          <w:highlight w:val="none"/>
          <w:u w:val="single"/>
        </w:rPr>
        <w:t xml:space="preserve">                         </w:t>
      </w:r>
      <w:r>
        <w:rPr>
          <w:rFonts w:hint="eastAsia" w:ascii="微软雅黑" w:hAnsi="微软雅黑" w:eastAsia="微软雅黑" w:cs="微软雅黑"/>
          <w:color w:val="auto"/>
          <w:sz w:val="22"/>
          <w:szCs w:val="22"/>
          <w:highlight w:val="none"/>
        </w:rPr>
        <w:t xml:space="preserve">     传真</w:t>
      </w:r>
      <w:r>
        <w:rPr>
          <w:rFonts w:hint="eastAsia" w:ascii="微软雅黑" w:hAnsi="微软雅黑" w:eastAsia="微软雅黑" w:cs="微软雅黑"/>
          <w:color w:val="auto"/>
          <w:sz w:val="22"/>
          <w:szCs w:val="22"/>
          <w:highlight w:val="none"/>
          <w:u w:val="single"/>
        </w:rPr>
        <w:t xml:space="preserve">                             </w:t>
      </w:r>
    </w:p>
    <w:p w14:paraId="0F407BA9">
      <w:pPr>
        <w:pStyle w:val="15"/>
        <w:tabs>
          <w:tab w:val="left" w:pos="5580"/>
        </w:tabs>
        <w:spacing w:line="400" w:lineRule="exact"/>
        <w:ind w:left="1080" w:leftChars="257" w:hanging="540"/>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电话</w:t>
      </w:r>
      <w:r>
        <w:rPr>
          <w:rFonts w:hint="eastAsia" w:ascii="微软雅黑" w:hAnsi="微软雅黑" w:eastAsia="微软雅黑" w:cs="微软雅黑"/>
          <w:color w:val="auto"/>
          <w:sz w:val="22"/>
          <w:szCs w:val="22"/>
          <w:highlight w:val="none"/>
          <w:u w:val="single"/>
        </w:rPr>
        <w:t xml:space="preserve">                         </w:t>
      </w:r>
      <w:r>
        <w:rPr>
          <w:rFonts w:hint="eastAsia" w:ascii="微软雅黑" w:hAnsi="微软雅黑" w:eastAsia="微软雅黑" w:cs="微软雅黑"/>
          <w:color w:val="auto"/>
          <w:sz w:val="22"/>
          <w:szCs w:val="22"/>
          <w:highlight w:val="none"/>
        </w:rPr>
        <w:t xml:space="preserve">     电子函件</w:t>
      </w:r>
      <w:r>
        <w:rPr>
          <w:rFonts w:hint="eastAsia" w:ascii="微软雅黑" w:hAnsi="微软雅黑" w:eastAsia="微软雅黑" w:cs="微软雅黑"/>
          <w:color w:val="auto"/>
          <w:sz w:val="22"/>
          <w:szCs w:val="22"/>
          <w:highlight w:val="none"/>
          <w:u w:val="single"/>
        </w:rPr>
        <w:t xml:space="preserve">                         </w:t>
      </w:r>
    </w:p>
    <w:p w14:paraId="778A8702">
      <w:pPr>
        <w:pStyle w:val="15"/>
        <w:tabs>
          <w:tab w:val="left" w:pos="5580"/>
        </w:tabs>
        <w:spacing w:line="400" w:lineRule="exact"/>
        <w:ind w:left="1080" w:leftChars="257" w:hanging="540"/>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法定代表人</w:t>
      </w:r>
      <w:r>
        <w:rPr>
          <w:rFonts w:hint="eastAsia" w:ascii="微软雅黑" w:hAnsi="微软雅黑" w:eastAsia="微软雅黑" w:cs="微软雅黑"/>
          <w:color w:val="auto"/>
          <w:sz w:val="22"/>
          <w:szCs w:val="22"/>
          <w:highlight w:val="none"/>
          <w:lang w:eastAsia="zh-CN"/>
        </w:rPr>
        <w:t>或委托代理人</w:t>
      </w:r>
      <w:r>
        <w:rPr>
          <w:rFonts w:hint="eastAsia" w:ascii="微软雅黑" w:hAnsi="微软雅黑" w:eastAsia="微软雅黑" w:cs="微软雅黑"/>
          <w:color w:val="auto"/>
          <w:sz w:val="22"/>
          <w:szCs w:val="22"/>
          <w:highlight w:val="none"/>
        </w:rPr>
        <w:t>（签/章）</w:t>
      </w:r>
      <w:r>
        <w:rPr>
          <w:rFonts w:hint="eastAsia" w:ascii="微软雅黑" w:hAnsi="微软雅黑" w:eastAsia="微软雅黑" w:cs="微软雅黑"/>
          <w:color w:val="auto"/>
          <w:sz w:val="22"/>
          <w:szCs w:val="22"/>
          <w:highlight w:val="none"/>
          <w:u w:val="single"/>
        </w:rPr>
        <w:t xml:space="preserve">       </w:t>
      </w:r>
    </w:p>
    <w:p w14:paraId="74C4C9FC">
      <w:pPr>
        <w:pStyle w:val="15"/>
        <w:tabs>
          <w:tab w:val="left" w:pos="5580"/>
        </w:tabs>
        <w:spacing w:line="400" w:lineRule="exact"/>
        <w:ind w:left="1080" w:leftChars="257" w:hanging="540"/>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供应商</w:t>
      </w:r>
      <w:r>
        <w:rPr>
          <w:rFonts w:hint="eastAsia" w:ascii="微软雅黑" w:hAnsi="微软雅黑" w:eastAsia="微软雅黑" w:cs="微软雅黑"/>
          <w:color w:val="auto"/>
          <w:sz w:val="22"/>
          <w:szCs w:val="22"/>
          <w:highlight w:val="none"/>
          <w:lang w:eastAsia="zh-CN"/>
        </w:rPr>
        <w:t>名称</w:t>
      </w:r>
      <w:r>
        <w:rPr>
          <w:rFonts w:hint="eastAsia" w:ascii="微软雅黑" w:hAnsi="微软雅黑" w:eastAsia="微软雅黑" w:cs="微软雅黑"/>
          <w:color w:val="auto"/>
          <w:sz w:val="22"/>
          <w:szCs w:val="22"/>
          <w:highlight w:val="none"/>
        </w:rPr>
        <w:t>（公章）</w:t>
      </w:r>
      <w:r>
        <w:rPr>
          <w:rFonts w:hint="eastAsia" w:ascii="微软雅黑" w:hAnsi="微软雅黑" w:eastAsia="微软雅黑" w:cs="微软雅黑"/>
          <w:color w:val="auto"/>
          <w:sz w:val="22"/>
          <w:szCs w:val="22"/>
          <w:highlight w:val="none"/>
          <w:u w:val="single"/>
        </w:rPr>
        <w:t xml:space="preserve">               </w:t>
      </w:r>
    </w:p>
    <w:p w14:paraId="229EF98E">
      <w:pPr>
        <w:pStyle w:val="15"/>
        <w:tabs>
          <w:tab w:val="left" w:pos="5580"/>
        </w:tabs>
        <w:spacing w:line="400" w:lineRule="exact"/>
        <w:ind w:left="1080" w:leftChars="257" w:hanging="540"/>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供应商开户银行（全称）</w:t>
      </w:r>
      <w:r>
        <w:rPr>
          <w:rFonts w:hint="eastAsia" w:ascii="微软雅黑" w:hAnsi="微软雅黑" w:eastAsia="微软雅黑" w:cs="微软雅黑"/>
          <w:color w:val="auto"/>
          <w:sz w:val="22"/>
          <w:szCs w:val="22"/>
          <w:highlight w:val="none"/>
          <w:u w:val="single"/>
        </w:rPr>
        <w:t xml:space="preserve">　　　　　　 </w:t>
      </w:r>
    </w:p>
    <w:p w14:paraId="18BD7BD4">
      <w:pPr>
        <w:pStyle w:val="15"/>
        <w:tabs>
          <w:tab w:val="left" w:pos="5580"/>
        </w:tabs>
        <w:spacing w:line="400" w:lineRule="exact"/>
        <w:ind w:left="1080" w:leftChars="257" w:hanging="540"/>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供应商银行帐号</w:t>
      </w:r>
      <w:r>
        <w:rPr>
          <w:rFonts w:hint="eastAsia" w:ascii="微软雅黑" w:hAnsi="微软雅黑" w:eastAsia="微软雅黑" w:cs="微软雅黑"/>
          <w:color w:val="auto"/>
          <w:sz w:val="22"/>
          <w:szCs w:val="22"/>
          <w:highlight w:val="none"/>
          <w:u w:val="single"/>
        </w:rPr>
        <w:t>　　　　　　　　 　　</w:t>
      </w:r>
    </w:p>
    <w:p w14:paraId="1071CD60">
      <w:pPr>
        <w:pStyle w:val="15"/>
        <w:tabs>
          <w:tab w:val="left" w:pos="5580"/>
        </w:tabs>
        <w:spacing w:line="400" w:lineRule="exact"/>
        <w:ind w:left="1080" w:leftChars="257" w:hanging="540"/>
        <w:rPr>
          <w:rFonts w:hint="eastAsia" w:ascii="微软雅黑" w:hAnsi="微软雅黑" w:eastAsia="微软雅黑" w:cs="微软雅黑"/>
          <w:color w:val="auto"/>
          <w:sz w:val="22"/>
          <w:szCs w:val="22"/>
          <w:highlight w:val="none"/>
          <w:u w:val="single"/>
        </w:rPr>
      </w:pPr>
      <w:r>
        <w:rPr>
          <w:rFonts w:hint="eastAsia" w:ascii="微软雅黑" w:hAnsi="微软雅黑" w:eastAsia="微软雅黑" w:cs="微软雅黑"/>
          <w:color w:val="auto"/>
          <w:sz w:val="22"/>
          <w:szCs w:val="22"/>
          <w:highlight w:val="none"/>
        </w:rPr>
        <w:t>日</w:t>
      </w:r>
      <w:r>
        <w:rPr>
          <w:rFonts w:hint="eastAsia" w:ascii="微软雅黑" w:hAnsi="微软雅黑" w:eastAsia="微软雅黑" w:cs="微软雅黑"/>
          <w:color w:val="auto"/>
          <w:sz w:val="22"/>
          <w:szCs w:val="22"/>
          <w:highlight w:val="none"/>
          <w:lang w:val="en-US" w:eastAsia="zh-CN"/>
        </w:rPr>
        <w:t xml:space="preserve"> </w:t>
      </w:r>
      <w:r>
        <w:rPr>
          <w:rFonts w:hint="eastAsia" w:ascii="微软雅黑" w:hAnsi="微软雅黑" w:eastAsia="微软雅黑" w:cs="微软雅黑"/>
          <w:color w:val="auto"/>
          <w:sz w:val="22"/>
          <w:szCs w:val="22"/>
          <w:highlight w:val="none"/>
        </w:rPr>
        <w:t>期</w:t>
      </w:r>
      <w:r>
        <w:rPr>
          <w:rFonts w:hint="eastAsia" w:ascii="微软雅黑" w:hAnsi="微软雅黑" w:eastAsia="微软雅黑" w:cs="微软雅黑"/>
          <w:color w:val="auto"/>
          <w:sz w:val="22"/>
          <w:szCs w:val="22"/>
          <w:highlight w:val="none"/>
          <w:u w:val="single"/>
        </w:rPr>
        <w:t xml:space="preserve">                </w:t>
      </w:r>
      <w:bookmarkStart w:id="1526" w:name="_Toc19819"/>
      <w:bookmarkStart w:id="1527" w:name="_Toc23473"/>
      <w:bookmarkStart w:id="1528" w:name="_Toc30947"/>
      <w:bookmarkStart w:id="1529" w:name="_Toc6738"/>
      <w:bookmarkStart w:id="1530" w:name="_Toc1266"/>
      <w:bookmarkStart w:id="1531" w:name="_Toc14219"/>
    </w:p>
    <w:p w14:paraId="17BA4FCD">
      <w:pPr>
        <w:rPr>
          <w:rFonts w:hint="eastAsia" w:ascii="微软雅黑" w:hAnsi="微软雅黑" w:eastAsia="微软雅黑" w:cs="微软雅黑"/>
          <w:b/>
          <w:bCs/>
          <w:color w:val="auto"/>
          <w:sz w:val="22"/>
          <w:szCs w:val="22"/>
          <w:highlight w:val="none"/>
        </w:rPr>
      </w:pPr>
      <w:bookmarkStart w:id="1532" w:name="_Toc17187"/>
      <w:r>
        <w:rPr>
          <w:rFonts w:hint="eastAsia" w:ascii="微软雅黑" w:hAnsi="微软雅黑" w:eastAsia="微软雅黑" w:cs="微软雅黑"/>
          <w:b/>
          <w:bCs/>
          <w:color w:val="auto"/>
          <w:sz w:val="22"/>
          <w:szCs w:val="22"/>
          <w:highlight w:val="none"/>
        </w:rPr>
        <w:br w:type="page"/>
      </w:r>
    </w:p>
    <w:p w14:paraId="12FDB224">
      <w:pPr>
        <w:pStyle w:val="15"/>
        <w:spacing w:line="240" w:lineRule="atLeast"/>
        <w:jc w:val="center"/>
        <w:outlineLvl w:val="1"/>
        <w:rPr>
          <w:rFonts w:hint="eastAsia" w:ascii="微软雅黑" w:hAnsi="微软雅黑" w:eastAsia="微软雅黑" w:cs="微软雅黑"/>
          <w:color w:val="auto"/>
          <w:sz w:val="22"/>
          <w:szCs w:val="22"/>
          <w:highlight w:val="none"/>
          <w:lang w:eastAsia="zh-CN"/>
        </w:rPr>
      </w:pPr>
      <w:bookmarkStart w:id="1533" w:name="_Toc12801"/>
      <w:r>
        <w:rPr>
          <w:rFonts w:hint="eastAsia" w:ascii="微软雅黑" w:hAnsi="微软雅黑" w:eastAsia="微软雅黑" w:cs="微软雅黑"/>
          <w:b/>
          <w:bCs/>
          <w:color w:val="auto"/>
          <w:sz w:val="22"/>
          <w:szCs w:val="22"/>
          <w:highlight w:val="none"/>
        </w:rPr>
        <w:t>2</w:t>
      </w:r>
      <w:bookmarkEnd w:id="1526"/>
      <w:bookmarkEnd w:id="1527"/>
      <w:bookmarkEnd w:id="1528"/>
      <w:bookmarkEnd w:id="1529"/>
      <w:bookmarkEnd w:id="1530"/>
      <w:bookmarkEnd w:id="1531"/>
      <w:bookmarkStart w:id="1534" w:name="_Toc22563"/>
      <w:bookmarkStart w:id="1535" w:name="_Toc515647820"/>
      <w:bookmarkStart w:id="1536" w:name="_Toc216582817"/>
      <w:bookmarkStart w:id="1537" w:name="_Toc28959"/>
      <w:r>
        <w:rPr>
          <w:rFonts w:hint="eastAsia" w:ascii="微软雅黑" w:hAnsi="微软雅黑" w:eastAsia="微软雅黑" w:cs="微软雅黑"/>
          <w:b/>
          <w:bCs/>
          <w:color w:val="auto"/>
          <w:sz w:val="22"/>
          <w:szCs w:val="22"/>
          <w:highlight w:val="none"/>
          <w:lang w:eastAsia="zh-CN"/>
        </w:rPr>
        <w:t>、</w:t>
      </w:r>
      <w:r>
        <w:rPr>
          <w:rFonts w:hint="eastAsia" w:ascii="微软雅黑" w:hAnsi="微软雅黑" w:eastAsia="微软雅黑" w:cs="微软雅黑"/>
          <w:b/>
          <w:bCs/>
          <w:color w:val="auto"/>
          <w:sz w:val="22"/>
          <w:szCs w:val="22"/>
          <w:highlight w:val="none"/>
        </w:rPr>
        <w:t>投标分项报价表</w:t>
      </w:r>
      <w:bookmarkEnd w:id="1532"/>
      <w:bookmarkEnd w:id="1533"/>
    </w:p>
    <w:p w14:paraId="567872F8">
      <w:pPr>
        <w:pStyle w:val="15"/>
        <w:keepNext w:val="0"/>
        <w:keepLines w:val="0"/>
        <w:pageBreakBefore w:val="0"/>
        <w:widowControl w:val="0"/>
        <w:kinsoku/>
        <w:wordWrap/>
        <w:overflowPunct/>
        <w:topLinePunct w:val="0"/>
        <w:autoSpaceDE/>
        <w:autoSpaceDN/>
        <w:bidi w:val="0"/>
        <w:adjustRightInd/>
        <w:snapToGrid/>
        <w:spacing w:line="400" w:lineRule="exact"/>
        <w:ind w:left="540" w:leftChars="257" w:firstLine="0"/>
        <w:jc w:val="left"/>
        <w:textAlignment w:val="auto"/>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rPr>
        <w:t>项目名称:                      项目编号:                       　 　          报价单位：人民币</w:t>
      </w:r>
      <w:r>
        <w:rPr>
          <w:rFonts w:hint="eastAsia" w:ascii="微软雅黑" w:hAnsi="微软雅黑" w:eastAsia="微软雅黑" w:cs="微软雅黑"/>
          <w:color w:val="auto"/>
          <w:sz w:val="22"/>
          <w:szCs w:val="22"/>
          <w:highlight w:val="none"/>
          <w:lang w:val="en-US" w:eastAsia="zh-CN"/>
        </w:rPr>
        <w:t xml:space="preserve"> </w:t>
      </w:r>
      <w:r>
        <w:rPr>
          <w:rFonts w:hint="eastAsia" w:ascii="微软雅黑" w:hAnsi="微软雅黑" w:eastAsia="微软雅黑" w:cs="微软雅黑"/>
          <w:b/>
          <w:bCs/>
          <w:color w:val="auto"/>
          <w:sz w:val="22"/>
          <w:szCs w:val="22"/>
          <w:highlight w:val="none"/>
        </w:rPr>
        <w:t>元</w:t>
      </w:r>
      <w:r>
        <w:rPr>
          <w:rFonts w:hint="eastAsia" w:ascii="微软雅黑" w:hAnsi="微软雅黑" w:eastAsia="微软雅黑" w:cs="微软雅黑"/>
          <w:b/>
          <w:bCs/>
          <w:color w:val="auto"/>
          <w:sz w:val="22"/>
          <w:szCs w:val="22"/>
          <w:highlight w:val="none"/>
          <w:lang w:val="en-US" w:eastAsia="zh-CN"/>
        </w:rPr>
        <w:t xml:space="preserve">           </w:t>
      </w:r>
      <w:r>
        <w:rPr>
          <w:rFonts w:hint="eastAsia" w:ascii="微软雅黑" w:hAnsi="微软雅黑" w:eastAsia="微软雅黑" w:cs="微软雅黑"/>
          <w:b w:val="0"/>
          <w:bCs w:val="0"/>
          <w:color w:val="auto"/>
          <w:sz w:val="22"/>
          <w:szCs w:val="22"/>
          <w:highlight w:val="none"/>
          <w:lang w:val="en-US" w:eastAsia="zh-CN"/>
        </w:rPr>
        <w:t xml:space="preserve"> </w:t>
      </w:r>
      <w:r>
        <w:rPr>
          <w:rFonts w:hint="eastAsia" w:ascii="微软雅黑" w:hAnsi="微软雅黑" w:eastAsia="微软雅黑" w:cs="微软雅黑"/>
          <w:color w:val="auto"/>
          <w:sz w:val="22"/>
          <w:szCs w:val="22"/>
          <w:highlight w:val="none"/>
          <w:lang w:val="en-US" w:eastAsia="zh-CN"/>
        </w:rPr>
        <w:t>标项：（如有）</w:t>
      </w:r>
    </w:p>
    <w:tbl>
      <w:tblPr>
        <w:tblStyle w:val="32"/>
        <w:tblW w:w="9755" w:type="dxa"/>
        <w:tblInd w:w="-57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5"/>
        <w:gridCol w:w="1195"/>
        <w:gridCol w:w="915"/>
        <w:gridCol w:w="901"/>
        <w:gridCol w:w="729"/>
        <w:gridCol w:w="1137"/>
        <w:gridCol w:w="989"/>
        <w:gridCol w:w="669"/>
        <w:gridCol w:w="832"/>
        <w:gridCol w:w="736"/>
        <w:gridCol w:w="807"/>
      </w:tblGrid>
      <w:tr w14:paraId="6A1E2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6" w:hRule="atLeast"/>
        </w:trPr>
        <w:tc>
          <w:tcPr>
            <w:tcW w:w="845" w:type="dxa"/>
            <w:vAlign w:val="center"/>
          </w:tcPr>
          <w:p w14:paraId="2F01C4DA">
            <w:pPr>
              <w:spacing w:line="360" w:lineRule="auto"/>
              <w:jc w:val="center"/>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lang w:val="en-US" w:eastAsia="zh-CN"/>
              </w:rPr>
              <w:t>序号</w:t>
            </w:r>
          </w:p>
        </w:tc>
        <w:tc>
          <w:tcPr>
            <w:tcW w:w="1195" w:type="dxa"/>
            <w:vAlign w:val="center"/>
          </w:tcPr>
          <w:p w14:paraId="66F42DF5">
            <w:pPr>
              <w:spacing w:line="360" w:lineRule="auto"/>
              <w:jc w:val="center"/>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药品名称</w:t>
            </w:r>
          </w:p>
        </w:tc>
        <w:tc>
          <w:tcPr>
            <w:tcW w:w="915" w:type="dxa"/>
            <w:vAlign w:val="center"/>
          </w:tcPr>
          <w:p w14:paraId="69EA6B40">
            <w:pPr>
              <w:spacing w:line="360" w:lineRule="auto"/>
              <w:jc w:val="center"/>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品牌</w:t>
            </w:r>
          </w:p>
        </w:tc>
        <w:tc>
          <w:tcPr>
            <w:tcW w:w="901" w:type="dxa"/>
            <w:vAlign w:val="center"/>
          </w:tcPr>
          <w:p w14:paraId="7546C9A2">
            <w:pPr>
              <w:spacing w:line="360" w:lineRule="auto"/>
              <w:jc w:val="center"/>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lang w:eastAsia="zh-CN"/>
              </w:rPr>
              <w:t>药品参数</w:t>
            </w:r>
          </w:p>
        </w:tc>
        <w:tc>
          <w:tcPr>
            <w:tcW w:w="729" w:type="dxa"/>
            <w:vAlign w:val="center"/>
          </w:tcPr>
          <w:p w14:paraId="53B8E5EE">
            <w:pPr>
              <w:spacing w:line="360" w:lineRule="auto"/>
              <w:jc w:val="center"/>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规格</w:t>
            </w:r>
          </w:p>
        </w:tc>
        <w:tc>
          <w:tcPr>
            <w:tcW w:w="1137" w:type="dxa"/>
            <w:vAlign w:val="center"/>
          </w:tcPr>
          <w:p w14:paraId="69DCE0B3">
            <w:pPr>
              <w:spacing w:line="360" w:lineRule="auto"/>
              <w:jc w:val="center"/>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lang w:val="en-US" w:eastAsia="zh-CN"/>
              </w:rPr>
              <w:t>生产厂家</w:t>
            </w:r>
            <w:r>
              <w:rPr>
                <w:rFonts w:hint="eastAsia" w:ascii="微软雅黑" w:hAnsi="微软雅黑" w:eastAsia="微软雅黑" w:cs="微软雅黑"/>
                <w:color w:val="auto"/>
                <w:sz w:val="22"/>
                <w:szCs w:val="22"/>
                <w:highlight w:val="none"/>
              </w:rPr>
              <w:t>名称</w:t>
            </w:r>
          </w:p>
        </w:tc>
        <w:tc>
          <w:tcPr>
            <w:tcW w:w="989" w:type="dxa"/>
            <w:vAlign w:val="center"/>
          </w:tcPr>
          <w:p w14:paraId="7F4E0017">
            <w:pPr>
              <w:spacing w:line="360" w:lineRule="auto"/>
              <w:jc w:val="center"/>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产地</w:t>
            </w:r>
          </w:p>
        </w:tc>
        <w:tc>
          <w:tcPr>
            <w:tcW w:w="669" w:type="dxa"/>
            <w:vAlign w:val="center"/>
          </w:tcPr>
          <w:p w14:paraId="701E76F3">
            <w:pPr>
              <w:spacing w:line="360" w:lineRule="auto"/>
              <w:jc w:val="center"/>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数量</w:t>
            </w:r>
          </w:p>
        </w:tc>
        <w:tc>
          <w:tcPr>
            <w:tcW w:w="832" w:type="dxa"/>
            <w:vAlign w:val="center"/>
          </w:tcPr>
          <w:p w14:paraId="22928404">
            <w:pPr>
              <w:spacing w:line="360" w:lineRule="auto"/>
              <w:jc w:val="center"/>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单位</w:t>
            </w:r>
          </w:p>
        </w:tc>
        <w:tc>
          <w:tcPr>
            <w:tcW w:w="736" w:type="dxa"/>
            <w:vAlign w:val="center"/>
          </w:tcPr>
          <w:p w14:paraId="1AF2299A">
            <w:pPr>
              <w:spacing w:line="360" w:lineRule="auto"/>
              <w:jc w:val="center"/>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单价</w:t>
            </w:r>
          </w:p>
        </w:tc>
        <w:tc>
          <w:tcPr>
            <w:tcW w:w="807" w:type="dxa"/>
            <w:vAlign w:val="center"/>
          </w:tcPr>
          <w:p w14:paraId="6DF69F24">
            <w:pPr>
              <w:spacing w:line="360" w:lineRule="auto"/>
              <w:jc w:val="center"/>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备注</w:t>
            </w:r>
          </w:p>
        </w:tc>
      </w:tr>
      <w:tr w14:paraId="19777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845" w:type="dxa"/>
            <w:vAlign w:val="center"/>
          </w:tcPr>
          <w:p w14:paraId="5D91AA82">
            <w:pPr>
              <w:spacing w:line="360" w:lineRule="auto"/>
              <w:jc w:val="center"/>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w:t>
            </w:r>
          </w:p>
        </w:tc>
        <w:tc>
          <w:tcPr>
            <w:tcW w:w="1195" w:type="dxa"/>
            <w:vAlign w:val="center"/>
          </w:tcPr>
          <w:p w14:paraId="5D07990F">
            <w:pPr>
              <w:spacing w:line="360" w:lineRule="auto"/>
              <w:jc w:val="center"/>
              <w:rPr>
                <w:rFonts w:hint="eastAsia" w:ascii="微软雅黑" w:hAnsi="微软雅黑" w:eastAsia="微软雅黑" w:cs="微软雅黑"/>
                <w:color w:val="auto"/>
                <w:sz w:val="22"/>
                <w:szCs w:val="22"/>
                <w:highlight w:val="none"/>
              </w:rPr>
            </w:pPr>
          </w:p>
        </w:tc>
        <w:tc>
          <w:tcPr>
            <w:tcW w:w="915" w:type="dxa"/>
            <w:vAlign w:val="center"/>
          </w:tcPr>
          <w:p w14:paraId="543415C5">
            <w:pPr>
              <w:spacing w:line="360" w:lineRule="auto"/>
              <w:jc w:val="center"/>
              <w:rPr>
                <w:rFonts w:hint="eastAsia" w:ascii="微软雅黑" w:hAnsi="微软雅黑" w:eastAsia="微软雅黑" w:cs="微软雅黑"/>
                <w:color w:val="auto"/>
                <w:sz w:val="22"/>
                <w:szCs w:val="22"/>
                <w:highlight w:val="none"/>
              </w:rPr>
            </w:pPr>
          </w:p>
        </w:tc>
        <w:tc>
          <w:tcPr>
            <w:tcW w:w="901" w:type="dxa"/>
            <w:vAlign w:val="center"/>
          </w:tcPr>
          <w:p w14:paraId="6811D9A6">
            <w:pPr>
              <w:spacing w:line="360" w:lineRule="auto"/>
              <w:jc w:val="center"/>
              <w:rPr>
                <w:rFonts w:hint="eastAsia" w:ascii="微软雅黑" w:hAnsi="微软雅黑" w:eastAsia="微软雅黑" w:cs="微软雅黑"/>
                <w:color w:val="auto"/>
                <w:sz w:val="22"/>
                <w:szCs w:val="22"/>
                <w:highlight w:val="none"/>
              </w:rPr>
            </w:pPr>
          </w:p>
        </w:tc>
        <w:tc>
          <w:tcPr>
            <w:tcW w:w="729" w:type="dxa"/>
            <w:vAlign w:val="center"/>
          </w:tcPr>
          <w:p w14:paraId="103C4AB1">
            <w:pPr>
              <w:spacing w:line="360" w:lineRule="auto"/>
              <w:jc w:val="center"/>
              <w:rPr>
                <w:rFonts w:hint="eastAsia" w:ascii="微软雅黑" w:hAnsi="微软雅黑" w:eastAsia="微软雅黑" w:cs="微软雅黑"/>
                <w:color w:val="auto"/>
                <w:sz w:val="22"/>
                <w:szCs w:val="22"/>
                <w:highlight w:val="none"/>
              </w:rPr>
            </w:pPr>
          </w:p>
        </w:tc>
        <w:tc>
          <w:tcPr>
            <w:tcW w:w="1137" w:type="dxa"/>
            <w:vAlign w:val="center"/>
          </w:tcPr>
          <w:p w14:paraId="64011B08">
            <w:pPr>
              <w:spacing w:line="360" w:lineRule="auto"/>
              <w:jc w:val="center"/>
              <w:rPr>
                <w:rFonts w:hint="eastAsia" w:ascii="微软雅黑" w:hAnsi="微软雅黑" w:eastAsia="微软雅黑" w:cs="微软雅黑"/>
                <w:color w:val="auto"/>
                <w:sz w:val="22"/>
                <w:szCs w:val="22"/>
                <w:highlight w:val="none"/>
              </w:rPr>
            </w:pPr>
          </w:p>
        </w:tc>
        <w:tc>
          <w:tcPr>
            <w:tcW w:w="989" w:type="dxa"/>
            <w:vAlign w:val="center"/>
          </w:tcPr>
          <w:p w14:paraId="41D7F3B0">
            <w:pPr>
              <w:spacing w:line="360" w:lineRule="auto"/>
              <w:jc w:val="center"/>
              <w:rPr>
                <w:rFonts w:hint="eastAsia" w:ascii="微软雅黑" w:hAnsi="微软雅黑" w:eastAsia="微软雅黑" w:cs="微软雅黑"/>
                <w:color w:val="auto"/>
                <w:sz w:val="22"/>
                <w:szCs w:val="22"/>
                <w:highlight w:val="none"/>
              </w:rPr>
            </w:pPr>
          </w:p>
        </w:tc>
        <w:tc>
          <w:tcPr>
            <w:tcW w:w="669" w:type="dxa"/>
            <w:vAlign w:val="center"/>
          </w:tcPr>
          <w:p w14:paraId="65678752">
            <w:pPr>
              <w:spacing w:line="360" w:lineRule="auto"/>
              <w:jc w:val="center"/>
              <w:rPr>
                <w:rFonts w:hint="eastAsia" w:ascii="微软雅黑" w:hAnsi="微软雅黑" w:eastAsia="微软雅黑" w:cs="微软雅黑"/>
                <w:color w:val="auto"/>
                <w:sz w:val="22"/>
                <w:szCs w:val="22"/>
                <w:highlight w:val="none"/>
              </w:rPr>
            </w:pPr>
          </w:p>
        </w:tc>
        <w:tc>
          <w:tcPr>
            <w:tcW w:w="832" w:type="dxa"/>
            <w:vAlign w:val="center"/>
          </w:tcPr>
          <w:p w14:paraId="06F00F88">
            <w:pPr>
              <w:spacing w:line="360" w:lineRule="auto"/>
              <w:jc w:val="center"/>
              <w:rPr>
                <w:rFonts w:hint="eastAsia" w:ascii="微软雅黑" w:hAnsi="微软雅黑" w:eastAsia="微软雅黑" w:cs="微软雅黑"/>
                <w:color w:val="auto"/>
                <w:sz w:val="22"/>
                <w:szCs w:val="22"/>
                <w:highlight w:val="none"/>
              </w:rPr>
            </w:pPr>
          </w:p>
        </w:tc>
        <w:tc>
          <w:tcPr>
            <w:tcW w:w="736" w:type="dxa"/>
            <w:vAlign w:val="center"/>
          </w:tcPr>
          <w:p w14:paraId="5935A08F">
            <w:pPr>
              <w:spacing w:line="360" w:lineRule="auto"/>
              <w:jc w:val="center"/>
              <w:rPr>
                <w:rFonts w:hint="eastAsia" w:ascii="微软雅黑" w:hAnsi="微软雅黑" w:eastAsia="微软雅黑" w:cs="微软雅黑"/>
                <w:color w:val="auto"/>
                <w:sz w:val="22"/>
                <w:szCs w:val="22"/>
                <w:highlight w:val="none"/>
              </w:rPr>
            </w:pPr>
          </w:p>
        </w:tc>
        <w:tc>
          <w:tcPr>
            <w:tcW w:w="807" w:type="dxa"/>
            <w:vAlign w:val="center"/>
          </w:tcPr>
          <w:p w14:paraId="16A13DD3">
            <w:pPr>
              <w:spacing w:line="360" w:lineRule="auto"/>
              <w:jc w:val="center"/>
              <w:rPr>
                <w:rFonts w:hint="eastAsia" w:ascii="微软雅黑" w:hAnsi="微软雅黑" w:eastAsia="微软雅黑" w:cs="微软雅黑"/>
                <w:color w:val="auto"/>
                <w:sz w:val="22"/>
                <w:szCs w:val="22"/>
                <w:highlight w:val="none"/>
              </w:rPr>
            </w:pPr>
          </w:p>
        </w:tc>
      </w:tr>
      <w:tr w14:paraId="533E6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845" w:type="dxa"/>
            <w:vAlign w:val="center"/>
          </w:tcPr>
          <w:p w14:paraId="3CC9C8E1">
            <w:pPr>
              <w:spacing w:line="360" w:lineRule="auto"/>
              <w:jc w:val="center"/>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2</w:t>
            </w:r>
          </w:p>
        </w:tc>
        <w:tc>
          <w:tcPr>
            <w:tcW w:w="1195" w:type="dxa"/>
            <w:vAlign w:val="center"/>
          </w:tcPr>
          <w:p w14:paraId="75C3FA93">
            <w:pPr>
              <w:spacing w:line="360" w:lineRule="auto"/>
              <w:jc w:val="center"/>
              <w:rPr>
                <w:rFonts w:hint="eastAsia" w:ascii="微软雅黑" w:hAnsi="微软雅黑" w:eastAsia="微软雅黑" w:cs="微软雅黑"/>
                <w:color w:val="auto"/>
                <w:sz w:val="22"/>
                <w:szCs w:val="22"/>
                <w:highlight w:val="none"/>
              </w:rPr>
            </w:pPr>
          </w:p>
        </w:tc>
        <w:tc>
          <w:tcPr>
            <w:tcW w:w="915" w:type="dxa"/>
            <w:vAlign w:val="center"/>
          </w:tcPr>
          <w:p w14:paraId="5645B491">
            <w:pPr>
              <w:spacing w:line="360" w:lineRule="auto"/>
              <w:jc w:val="center"/>
              <w:rPr>
                <w:rFonts w:hint="eastAsia" w:ascii="微软雅黑" w:hAnsi="微软雅黑" w:eastAsia="微软雅黑" w:cs="微软雅黑"/>
                <w:color w:val="auto"/>
                <w:sz w:val="22"/>
                <w:szCs w:val="22"/>
                <w:highlight w:val="none"/>
              </w:rPr>
            </w:pPr>
          </w:p>
        </w:tc>
        <w:tc>
          <w:tcPr>
            <w:tcW w:w="901" w:type="dxa"/>
            <w:vAlign w:val="center"/>
          </w:tcPr>
          <w:p w14:paraId="7BF019A9">
            <w:pPr>
              <w:spacing w:line="360" w:lineRule="auto"/>
              <w:jc w:val="center"/>
              <w:rPr>
                <w:rFonts w:hint="eastAsia" w:ascii="微软雅黑" w:hAnsi="微软雅黑" w:eastAsia="微软雅黑" w:cs="微软雅黑"/>
                <w:color w:val="auto"/>
                <w:sz w:val="22"/>
                <w:szCs w:val="22"/>
                <w:highlight w:val="none"/>
              </w:rPr>
            </w:pPr>
          </w:p>
        </w:tc>
        <w:tc>
          <w:tcPr>
            <w:tcW w:w="729" w:type="dxa"/>
            <w:vAlign w:val="center"/>
          </w:tcPr>
          <w:p w14:paraId="19D5D9F5">
            <w:pPr>
              <w:spacing w:line="360" w:lineRule="auto"/>
              <w:jc w:val="center"/>
              <w:rPr>
                <w:rFonts w:hint="eastAsia" w:ascii="微软雅黑" w:hAnsi="微软雅黑" w:eastAsia="微软雅黑" w:cs="微软雅黑"/>
                <w:color w:val="auto"/>
                <w:sz w:val="22"/>
                <w:szCs w:val="22"/>
                <w:highlight w:val="none"/>
              </w:rPr>
            </w:pPr>
          </w:p>
        </w:tc>
        <w:tc>
          <w:tcPr>
            <w:tcW w:w="1137" w:type="dxa"/>
            <w:vAlign w:val="center"/>
          </w:tcPr>
          <w:p w14:paraId="0B9BD478">
            <w:pPr>
              <w:spacing w:line="360" w:lineRule="auto"/>
              <w:jc w:val="center"/>
              <w:rPr>
                <w:rFonts w:hint="eastAsia" w:ascii="微软雅黑" w:hAnsi="微软雅黑" w:eastAsia="微软雅黑" w:cs="微软雅黑"/>
                <w:color w:val="auto"/>
                <w:sz w:val="22"/>
                <w:szCs w:val="22"/>
                <w:highlight w:val="none"/>
              </w:rPr>
            </w:pPr>
          </w:p>
        </w:tc>
        <w:tc>
          <w:tcPr>
            <w:tcW w:w="989" w:type="dxa"/>
            <w:vAlign w:val="center"/>
          </w:tcPr>
          <w:p w14:paraId="19F42DEA">
            <w:pPr>
              <w:spacing w:line="360" w:lineRule="auto"/>
              <w:jc w:val="center"/>
              <w:rPr>
                <w:rFonts w:hint="eastAsia" w:ascii="微软雅黑" w:hAnsi="微软雅黑" w:eastAsia="微软雅黑" w:cs="微软雅黑"/>
                <w:color w:val="auto"/>
                <w:sz w:val="22"/>
                <w:szCs w:val="22"/>
                <w:highlight w:val="none"/>
              </w:rPr>
            </w:pPr>
          </w:p>
        </w:tc>
        <w:tc>
          <w:tcPr>
            <w:tcW w:w="669" w:type="dxa"/>
            <w:vAlign w:val="center"/>
          </w:tcPr>
          <w:p w14:paraId="58E535CB">
            <w:pPr>
              <w:spacing w:line="360" w:lineRule="auto"/>
              <w:jc w:val="center"/>
              <w:rPr>
                <w:rFonts w:hint="eastAsia" w:ascii="微软雅黑" w:hAnsi="微软雅黑" w:eastAsia="微软雅黑" w:cs="微软雅黑"/>
                <w:color w:val="auto"/>
                <w:sz w:val="22"/>
                <w:szCs w:val="22"/>
                <w:highlight w:val="none"/>
              </w:rPr>
            </w:pPr>
          </w:p>
        </w:tc>
        <w:tc>
          <w:tcPr>
            <w:tcW w:w="832" w:type="dxa"/>
            <w:vAlign w:val="center"/>
          </w:tcPr>
          <w:p w14:paraId="2CEA548B">
            <w:pPr>
              <w:spacing w:line="360" w:lineRule="auto"/>
              <w:jc w:val="center"/>
              <w:rPr>
                <w:rFonts w:hint="eastAsia" w:ascii="微软雅黑" w:hAnsi="微软雅黑" w:eastAsia="微软雅黑" w:cs="微软雅黑"/>
                <w:color w:val="auto"/>
                <w:sz w:val="22"/>
                <w:szCs w:val="22"/>
                <w:highlight w:val="none"/>
              </w:rPr>
            </w:pPr>
          </w:p>
        </w:tc>
        <w:tc>
          <w:tcPr>
            <w:tcW w:w="736" w:type="dxa"/>
            <w:vAlign w:val="center"/>
          </w:tcPr>
          <w:p w14:paraId="1B7522E3">
            <w:pPr>
              <w:spacing w:line="360" w:lineRule="auto"/>
              <w:jc w:val="center"/>
              <w:rPr>
                <w:rFonts w:hint="eastAsia" w:ascii="微软雅黑" w:hAnsi="微软雅黑" w:eastAsia="微软雅黑" w:cs="微软雅黑"/>
                <w:color w:val="auto"/>
                <w:sz w:val="22"/>
                <w:szCs w:val="22"/>
                <w:highlight w:val="none"/>
              </w:rPr>
            </w:pPr>
          </w:p>
        </w:tc>
        <w:tc>
          <w:tcPr>
            <w:tcW w:w="807" w:type="dxa"/>
            <w:vAlign w:val="center"/>
          </w:tcPr>
          <w:p w14:paraId="6BA1EF06">
            <w:pPr>
              <w:spacing w:line="360" w:lineRule="auto"/>
              <w:jc w:val="center"/>
              <w:rPr>
                <w:rFonts w:hint="eastAsia" w:ascii="微软雅黑" w:hAnsi="微软雅黑" w:eastAsia="微软雅黑" w:cs="微软雅黑"/>
                <w:color w:val="auto"/>
                <w:sz w:val="22"/>
                <w:szCs w:val="22"/>
                <w:highlight w:val="none"/>
              </w:rPr>
            </w:pPr>
          </w:p>
        </w:tc>
      </w:tr>
      <w:tr w14:paraId="5DE29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845" w:type="dxa"/>
            <w:vAlign w:val="center"/>
          </w:tcPr>
          <w:p w14:paraId="1A10EB18">
            <w:pPr>
              <w:spacing w:line="360" w:lineRule="auto"/>
              <w:jc w:val="center"/>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3</w:t>
            </w:r>
          </w:p>
        </w:tc>
        <w:tc>
          <w:tcPr>
            <w:tcW w:w="1195" w:type="dxa"/>
            <w:vAlign w:val="center"/>
          </w:tcPr>
          <w:p w14:paraId="5EB44479">
            <w:pPr>
              <w:spacing w:line="360" w:lineRule="auto"/>
              <w:jc w:val="center"/>
              <w:rPr>
                <w:rFonts w:hint="eastAsia" w:ascii="微软雅黑" w:hAnsi="微软雅黑" w:eastAsia="微软雅黑" w:cs="微软雅黑"/>
                <w:color w:val="auto"/>
                <w:sz w:val="22"/>
                <w:szCs w:val="22"/>
                <w:highlight w:val="none"/>
              </w:rPr>
            </w:pPr>
          </w:p>
        </w:tc>
        <w:tc>
          <w:tcPr>
            <w:tcW w:w="915" w:type="dxa"/>
            <w:vAlign w:val="center"/>
          </w:tcPr>
          <w:p w14:paraId="220FB430">
            <w:pPr>
              <w:spacing w:line="360" w:lineRule="auto"/>
              <w:jc w:val="center"/>
              <w:rPr>
                <w:rFonts w:hint="eastAsia" w:ascii="微软雅黑" w:hAnsi="微软雅黑" w:eastAsia="微软雅黑" w:cs="微软雅黑"/>
                <w:color w:val="auto"/>
                <w:sz w:val="22"/>
                <w:szCs w:val="22"/>
                <w:highlight w:val="none"/>
              </w:rPr>
            </w:pPr>
          </w:p>
        </w:tc>
        <w:tc>
          <w:tcPr>
            <w:tcW w:w="901" w:type="dxa"/>
            <w:vAlign w:val="center"/>
          </w:tcPr>
          <w:p w14:paraId="254D52FA">
            <w:pPr>
              <w:spacing w:line="360" w:lineRule="auto"/>
              <w:jc w:val="center"/>
              <w:rPr>
                <w:rFonts w:hint="eastAsia" w:ascii="微软雅黑" w:hAnsi="微软雅黑" w:eastAsia="微软雅黑" w:cs="微软雅黑"/>
                <w:color w:val="auto"/>
                <w:sz w:val="22"/>
                <w:szCs w:val="22"/>
                <w:highlight w:val="none"/>
              </w:rPr>
            </w:pPr>
          </w:p>
        </w:tc>
        <w:tc>
          <w:tcPr>
            <w:tcW w:w="729" w:type="dxa"/>
            <w:vAlign w:val="center"/>
          </w:tcPr>
          <w:p w14:paraId="0284E70D">
            <w:pPr>
              <w:spacing w:line="360" w:lineRule="auto"/>
              <w:jc w:val="center"/>
              <w:rPr>
                <w:rFonts w:hint="eastAsia" w:ascii="微软雅黑" w:hAnsi="微软雅黑" w:eastAsia="微软雅黑" w:cs="微软雅黑"/>
                <w:color w:val="auto"/>
                <w:sz w:val="22"/>
                <w:szCs w:val="22"/>
                <w:highlight w:val="none"/>
              </w:rPr>
            </w:pPr>
          </w:p>
        </w:tc>
        <w:tc>
          <w:tcPr>
            <w:tcW w:w="1137" w:type="dxa"/>
            <w:vAlign w:val="center"/>
          </w:tcPr>
          <w:p w14:paraId="53BC5B01">
            <w:pPr>
              <w:spacing w:line="360" w:lineRule="auto"/>
              <w:jc w:val="center"/>
              <w:rPr>
                <w:rFonts w:hint="eastAsia" w:ascii="微软雅黑" w:hAnsi="微软雅黑" w:eastAsia="微软雅黑" w:cs="微软雅黑"/>
                <w:color w:val="auto"/>
                <w:sz w:val="22"/>
                <w:szCs w:val="22"/>
                <w:highlight w:val="none"/>
              </w:rPr>
            </w:pPr>
          </w:p>
        </w:tc>
        <w:tc>
          <w:tcPr>
            <w:tcW w:w="989" w:type="dxa"/>
            <w:vAlign w:val="center"/>
          </w:tcPr>
          <w:p w14:paraId="5FCBA23C">
            <w:pPr>
              <w:spacing w:line="360" w:lineRule="auto"/>
              <w:jc w:val="center"/>
              <w:rPr>
                <w:rFonts w:hint="eastAsia" w:ascii="微软雅黑" w:hAnsi="微软雅黑" w:eastAsia="微软雅黑" w:cs="微软雅黑"/>
                <w:color w:val="auto"/>
                <w:sz w:val="22"/>
                <w:szCs w:val="22"/>
                <w:highlight w:val="none"/>
              </w:rPr>
            </w:pPr>
          </w:p>
        </w:tc>
        <w:tc>
          <w:tcPr>
            <w:tcW w:w="669" w:type="dxa"/>
            <w:vAlign w:val="center"/>
          </w:tcPr>
          <w:p w14:paraId="1A85A3EB">
            <w:pPr>
              <w:spacing w:line="360" w:lineRule="auto"/>
              <w:jc w:val="center"/>
              <w:rPr>
                <w:rFonts w:hint="eastAsia" w:ascii="微软雅黑" w:hAnsi="微软雅黑" w:eastAsia="微软雅黑" w:cs="微软雅黑"/>
                <w:color w:val="auto"/>
                <w:sz w:val="22"/>
                <w:szCs w:val="22"/>
                <w:highlight w:val="none"/>
              </w:rPr>
            </w:pPr>
          </w:p>
        </w:tc>
        <w:tc>
          <w:tcPr>
            <w:tcW w:w="832" w:type="dxa"/>
            <w:vAlign w:val="center"/>
          </w:tcPr>
          <w:p w14:paraId="0AD81B84">
            <w:pPr>
              <w:spacing w:line="360" w:lineRule="auto"/>
              <w:jc w:val="center"/>
              <w:rPr>
                <w:rFonts w:hint="eastAsia" w:ascii="微软雅黑" w:hAnsi="微软雅黑" w:eastAsia="微软雅黑" w:cs="微软雅黑"/>
                <w:color w:val="auto"/>
                <w:sz w:val="22"/>
                <w:szCs w:val="22"/>
                <w:highlight w:val="none"/>
              </w:rPr>
            </w:pPr>
          </w:p>
        </w:tc>
        <w:tc>
          <w:tcPr>
            <w:tcW w:w="736" w:type="dxa"/>
            <w:vAlign w:val="center"/>
          </w:tcPr>
          <w:p w14:paraId="4752DB14">
            <w:pPr>
              <w:spacing w:line="360" w:lineRule="auto"/>
              <w:jc w:val="center"/>
              <w:rPr>
                <w:rFonts w:hint="eastAsia" w:ascii="微软雅黑" w:hAnsi="微软雅黑" w:eastAsia="微软雅黑" w:cs="微软雅黑"/>
                <w:color w:val="auto"/>
                <w:sz w:val="22"/>
                <w:szCs w:val="22"/>
                <w:highlight w:val="none"/>
              </w:rPr>
            </w:pPr>
          </w:p>
        </w:tc>
        <w:tc>
          <w:tcPr>
            <w:tcW w:w="807" w:type="dxa"/>
            <w:vAlign w:val="center"/>
          </w:tcPr>
          <w:p w14:paraId="40176E72">
            <w:pPr>
              <w:spacing w:line="360" w:lineRule="auto"/>
              <w:jc w:val="center"/>
              <w:rPr>
                <w:rFonts w:hint="eastAsia" w:ascii="微软雅黑" w:hAnsi="微软雅黑" w:eastAsia="微软雅黑" w:cs="微软雅黑"/>
                <w:color w:val="auto"/>
                <w:sz w:val="22"/>
                <w:szCs w:val="22"/>
                <w:highlight w:val="none"/>
              </w:rPr>
            </w:pPr>
          </w:p>
        </w:tc>
      </w:tr>
      <w:tr w14:paraId="15033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845" w:type="dxa"/>
            <w:vAlign w:val="center"/>
          </w:tcPr>
          <w:p w14:paraId="587727D2">
            <w:pPr>
              <w:spacing w:line="360" w:lineRule="auto"/>
              <w:jc w:val="center"/>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4</w:t>
            </w:r>
          </w:p>
        </w:tc>
        <w:tc>
          <w:tcPr>
            <w:tcW w:w="1195" w:type="dxa"/>
            <w:vAlign w:val="center"/>
          </w:tcPr>
          <w:p w14:paraId="552F8D1D">
            <w:pPr>
              <w:spacing w:line="360" w:lineRule="auto"/>
              <w:jc w:val="center"/>
              <w:rPr>
                <w:rFonts w:hint="eastAsia" w:ascii="微软雅黑" w:hAnsi="微软雅黑" w:eastAsia="微软雅黑" w:cs="微软雅黑"/>
                <w:color w:val="auto"/>
                <w:sz w:val="22"/>
                <w:szCs w:val="22"/>
                <w:highlight w:val="none"/>
              </w:rPr>
            </w:pPr>
          </w:p>
        </w:tc>
        <w:tc>
          <w:tcPr>
            <w:tcW w:w="915" w:type="dxa"/>
            <w:vAlign w:val="center"/>
          </w:tcPr>
          <w:p w14:paraId="05AB31A1">
            <w:pPr>
              <w:spacing w:line="360" w:lineRule="auto"/>
              <w:jc w:val="center"/>
              <w:rPr>
                <w:rFonts w:hint="eastAsia" w:ascii="微软雅黑" w:hAnsi="微软雅黑" w:eastAsia="微软雅黑" w:cs="微软雅黑"/>
                <w:color w:val="auto"/>
                <w:sz w:val="22"/>
                <w:szCs w:val="22"/>
                <w:highlight w:val="none"/>
              </w:rPr>
            </w:pPr>
          </w:p>
        </w:tc>
        <w:tc>
          <w:tcPr>
            <w:tcW w:w="901" w:type="dxa"/>
            <w:vAlign w:val="center"/>
          </w:tcPr>
          <w:p w14:paraId="21D67BD3">
            <w:pPr>
              <w:spacing w:line="360" w:lineRule="auto"/>
              <w:jc w:val="center"/>
              <w:rPr>
                <w:rFonts w:hint="eastAsia" w:ascii="微软雅黑" w:hAnsi="微软雅黑" w:eastAsia="微软雅黑" w:cs="微软雅黑"/>
                <w:color w:val="auto"/>
                <w:sz w:val="22"/>
                <w:szCs w:val="22"/>
                <w:highlight w:val="none"/>
              </w:rPr>
            </w:pPr>
          </w:p>
        </w:tc>
        <w:tc>
          <w:tcPr>
            <w:tcW w:w="729" w:type="dxa"/>
            <w:vAlign w:val="center"/>
          </w:tcPr>
          <w:p w14:paraId="3F64CC79">
            <w:pPr>
              <w:spacing w:line="360" w:lineRule="auto"/>
              <w:jc w:val="center"/>
              <w:rPr>
                <w:rFonts w:hint="eastAsia" w:ascii="微软雅黑" w:hAnsi="微软雅黑" w:eastAsia="微软雅黑" w:cs="微软雅黑"/>
                <w:color w:val="auto"/>
                <w:sz w:val="22"/>
                <w:szCs w:val="22"/>
                <w:highlight w:val="none"/>
              </w:rPr>
            </w:pPr>
          </w:p>
        </w:tc>
        <w:tc>
          <w:tcPr>
            <w:tcW w:w="1137" w:type="dxa"/>
            <w:vAlign w:val="center"/>
          </w:tcPr>
          <w:p w14:paraId="6A3CDC50">
            <w:pPr>
              <w:spacing w:line="360" w:lineRule="auto"/>
              <w:jc w:val="center"/>
              <w:rPr>
                <w:rFonts w:hint="eastAsia" w:ascii="微软雅黑" w:hAnsi="微软雅黑" w:eastAsia="微软雅黑" w:cs="微软雅黑"/>
                <w:color w:val="auto"/>
                <w:sz w:val="22"/>
                <w:szCs w:val="22"/>
                <w:highlight w:val="none"/>
              </w:rPr>
            </w:pPr>
          </w:p>
        </w:tc>
        <w:tc>
          <w:tcPr>
            <w:tcW w:w="989" w:type="dxa"/>
            <w:vAlign w:val="center"/>
          </w:tcPr>
          <w:p w14:paraId="1A49779D">
            <w:pPr>
              <w:spacing w:line="360" w:lineRule="auto"/>
              <w:jc w:val="center"/>
              <w:rPr>
                <w:rFonts w:hint="eastAsia" w:ascii="微软雅黑" w:hAnsi="微软雅黑" w:eastAsia="微软雅黑" w:cs="微软雅黑"/>
                <w:color w:val="auto"/>
                <w:sz w:val="22"/>
                <w:szCs w:val="22"/>
                <w:highlight w:val="none"/>
              </w:rPr>
            </w:pPr>
          </w:p>
        </w:tc>
        <w:tc>
          <w:tcPr>
            <w:tcW w:w="669" w:type="dxa"/>
            <w:vAlign w:val="center"/>
          </w:tcPr>
          <w:p w14:paraId="14BE2F51">
            <w:pPr>
              <w:spacing w:line="360" w:lineRule="auto"/>
              <w:jc w:val="center"/>
              <w:rPr>
                <w:rFonts w:hint="eastAsia" w:ascii="微软雅黑" w:hAnsi="微软雅黑" w:eastAsia="微软雅黑" w:cs="微软雅黑"/>
                <w:color w:val="auto"/>
                <w:sz w:val="22"/>
                <w:szCs w:val="22"/>
                <w:highlight w:val="none"/>
              </w:rPr>
            </w:pPr>
          </w:p>
        </w:tc>
        <w:tc>
          <w:tcPr>
            <w:tcW w:w="832" w:type="dxa"/>
            <w:vAlign w:val="center"/>
          </w:tcPr>
          <w:p w14:paraId="2B129E81">
            <w:pPr>
              <w:spacing w:line="360" w:lineRule="auto"/>
              <w:jc w:val="center"/>
              <w:rPr>
                <w:rFonts w:hint="eastAsia" w:ascii="微软雅黑" w:hAnsi="微软雅黑" w:eastAsia="微软雅黑" w:cs="微软雅黑"/>
                <w:color w:val="auto"/>
                <w:sz w:val="22"/>
                <w:szCs w:val="22"/>
                <w:highlight w:val="none"/>
              </w:rPr>
            </w:pPr>
          </w:p>
        </w:tc>
        <w:tc>
          <w:tcPr>
            <w:tcW w:w="736" w:type="dxa"/>
            <w:vAlign w:val="center"/>
          </w:tcPr>
          <w:p w14:paraId="35B5CA59">
            <w:pPr>
              <w:spacing w:line="360" w:lineRule="auto"/>
              <w:jc w:val="center"/>
              <w:rPr>
                <w:rFonts w:hint="eastAsia" w:ascii="微软雅黑" w:hAnsi="微软雅黑" w:eastAsia="微软雅黑" w:cs="微软雅黑"/>
                <w:color w:val="auto"/>
                <w:sz w:val="22"/>
                <w:szCs w:val="22"/>
                <w:highlight w:val="none"/>
              </w:rPr>
            </w:pPr>
          </w:p>
        </w:tc>
        <w:tc>
          <w:tcPr>
            <w:tcW w:w="807" w:type="dxa"/>
            <w:vAlign w:val="center"/>
          </w:tcPr>
          <w:p w14:paraId="1FB01E13">
            <w:pPr>
              <w:spacing w:line="360" w:lineRule="auto"/>
              <w:jc w:val="center"/>
              <w:rPr>
                <w:rFonts w:hint="eastAsia" w:ascii="微软雅黑" w:hAnsi="微软雅黑" w:eastAsia="微软雅黑" w:cs="微软雅黑"/>
                <w:color w:val="auto"/>
                <w:sz w:val="22"/>
                <w:szCs w:val="22"/>
                <w:highlight w:val="none"/>
              </w:rPr>
            </w:pPr>
          </w:p>
        </w:tc>
      </w:tr>
      <w:tr w14:paraId="5A21B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845" w:type="dxa"/>
            <w:vAlign w:val="center"/>
          </w:tcPr>
          <w:p w14:paraId="5867F17D">
            <w:pPr>
              <w:spacing w:line="360" w:lineRule="auto"/>
              <w:jc w:val="center"/>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5</w:t>
            </w:r>
          </w:p>
        </w:tc>
        <w:tc>
          <w:tcPr>
            <w:tcW w:w="1195" w:type="dxa"/>
            <w:vAlign w:val="center"/>
          </w:tcPr>
          <w:p w14:paraId="6AB2FB78">
            <w:pPr>
              <w:spacing w:line="360" w:lineRule="auto"/>
              <w:jc w:val="center"/>
              <w:rPr>
                <w:rFonts w:hint="eastAsia" w:ascii="微软雅黑" w:hAnsi="微软雅黑" w:eastAsia="微软雅黑" w:cs="微软雅黑"/>
                <w:color w:val="auto"/>
                <w:sz w:val="22"/>
                <w:szCs w:val="22"/>
                <w:highlight w:val="none"/>
              </w:rPr>
            </w:pPr>
          </w:p>
        </w:tc>
        <w:tc>
          <w:tcPr>
            <w:tcW w:w="915" w:type="dxa"/>
            <w:vAlign w:val="center"/>
          </w:tcPr>
          <w:p w14:paraId="751937B5">
            <w:pPr>
              <w:spacing w:line="360" w:lineRule="auto"/>
              <w:jc w:val="center"/>
              <w:rPr>
                <w:rFonts w:hint="eastAsia" w:ascii="微软雅黑" w:hAnsi="微软雅黑" w:eastAsia="微软雅黑" w:cs="微软雅黑"/>
                <w:color w:val="auto"/>
                <w:sz w:val="22"/>
                <w:szCs w:val="22"/>
                <w:highlight w:val="none"/>
              </w:rPr>
            </w:pPr>
          </w:p>
        </w:tc>
        <w:tc>
          <w:tcPr>
            <w:tcW w:w="901" w:type="dxa"/>
            <w:vAlign w:val="center"/>
          </w:tcPr>
          <w:p w14:paraId="626FD02A">
            <w:pPr>
              <w:spacing w:line="360" w:lineRule="auto"/>
              <w:jc w:val="center"/>
              <w:rPr>
                <w:rFonts w:hint="eastAsia" w:ascii="微软雅黑" w:hAnsi="微软雅黑" w:eastAsia="微软雅黑" w:cs="微软雅黑"/>
                <w:color w:val="auto"/>
                <w:sz w:val="22"/>
                <w:szCs w:val="22"/>
                <w:highlight w:val="none"/>
              </w:rPr>
            </w:pPr>
          </w:p>
        </w:tc>
        <w:tc>
          <w:tcPr>
            <w:tcW w:w="729" w:type="dxa"/>
            <w:vAlign w:val="center"/>
          </w:tcPr>
          <w:p w14:paraId="6926E90C">
            <w:pPr>
              <w:spacing w:line="360" w:lineRule="auto"/>
              <w:jc w:val="center"/>
              <w:rPr>
                <w:rFonts w:hint="eastAsia" w:ascii="微软雅黑" w:hAnsi="微软雅黑" w:eastAsia="微软雅黑" w:cs="微软雅黑"/>
                <w:color w:val="auto"/>
                <w:sz w:val="22"/>
                <w:szCs w:val="22"/>
                <w:highlight w:val="none"/>
              </w:rPr>
            </w:pPr>
          </w:p>
        </w:tc>
        <w:tc>
          <w:tcPr>
            <w:tcW w:w="1137" w:type="dxa"/>
            <w:vAlign w:val="center"/>
          </w:tcPr>
          <w:p w14:paraId="3E696B3A">
            <w:pPr>
              <w:spacing w:line="360" w:lineRule="auto"/>
              <w:jc w:val="center"/>
              <w:rPr>
                <w:rFonts w:hint="eastAsia" w:ascii="微软雅黑" w:hAnsi="微软雅黑" w:eastAsia="微软雅黑" w:cs="微软雅黑"/>
                <w:color w:val="auto"/>
                <w:sz w:val="22"/>
                <w:szCs w:val="22"/>
                <w:highlight w:val="none"/>
              </w:rPr>
            </w:pPr>
          </w:p>
        </w:tc>
        <w:tc>
          <w:tcPr>
            <w:tcW w:w="989" w:type="dxa"/>
            <w:vAlign w:val="center"/>
          </w:tcPr>
          <w:p w14:paraId="6DFCD8F1">
            <w:pPr>
              <w:spacing w:line="360" w:lineRule="auto"/>
              <w:jc w:val="center"/>
              <w:rPr>
                <w:rFonts w:hint="eastAsia" w:ascii="微软雅黑" w:hAnsi="微软雅黑" w:eastAsia="微软雅黑" w:cs="微软雅黑"/>
                <w:color w:val="auto"/>
                <w:sz w:val="22"/>
                <w:szCs w:val="22"/>
                <w:highlight w:val="none"/>
              </w:rPr>
            </w:pPr>
          </w:p>
        </w:tc>
        <w:tc>
          <w:tcPr>
            <w:tcW w:w="669" w:type="dxa"/>
            <w:vAlign w:val="center"/>
          </w:tcPr>
          <w:p w14:paraId="15ADBF47">
            <w:pPr>
              <w:spacing w:line="360" w:lineRule="auto"/>
              <w:jc w:val="center"/>
              <w:rPr>
                <w:rFonts w:hint="eastAsia" w:ascii="微软雅黑" w:hAnsi="微软雅黑" w:eastAsia="微软雅黑" w:cs="微软雅黑"/>
                <w:color w:val="auto"/>
                <w:sz w:val="22"/>
                <w:szCs w:val="22"/>
                <w:highlight w:val="none"/>
              </w:rPr>
            </w:pPr>
          </w:p>
        </w:tc>
        <w:tc>
          <w:tcPr>
            <w:tcW w:w="832" w:type="dxa"/>
            <w:vAlign w:val="center"/>
          </w:tcPr>
          <w:p w14:paraId="065CC2A8">
            <w:pPr>
              <w:spacing w:line="360" w:lineRule="auto"/>
              <w:jc w:val="center"/>
              <w:rPr>
                <w:rFonts w:hint="eastAsia" w:ascii="微软雅黑" w:hAnsi="微软雅黑" w:eastAsia="微软雅黑" w:cs="微软雅黑"/>
                <w:color w:val="auto"/>
                <w:sz w:val="22"/>
                <w:szCs w:val="22"/>
                <w:highlight w:val="none"/>
              </w:rPr>
            </w:pPr>
          </w:p>
        </w:tc>
        <w:tc>
          <w:tcPr>
            <w:tcW w:w="736" w:type="dxa"/>
            <w:vAlign w:val="center"/>
          </w:tcPr>
          <w:p w14:paraId="3C709897">
            <w:pPr>
              <w:spacing w:line="360" w:lineRule="auto"/>
              <w:jc w:val="center"/>
              <w:rPr>
                <w:rFonts w:hint="eastAsia" w:ascii="微软雅黑" w:hAnsi="微软雅黑" w:eastAsia="微软雅黑" w:cs="微软雅黑"/>
                <w:color w:val="auto"/>
                <w:sz w:val="22"/>
                <w:szCs w:val="22"/>
                <w:highlight w:val="none"/>
              </w:rPr>
            </w:pPr>
          </w:p>
        </w:tc>
        <w:tc>
          <w:tcPr>
            <w:tcW w:w="807" w:type="dxa"/>
            <w:vAlign w:val="center"/>
          </w:tcPr>
          <w:p w14:paraId="7C88A38F">
            <w:pPr>
              <w:spacing w:line="360" w:lineRule="auto"/>
              <w:jc w:val="center"/>
              <w:rPr>
                <w:rFonts w:hint="eastAsia" w:ascii="微软雅黑" w:hAnsi="微软雅黑" w:eastAsia="微软雅黑" w:cs="微软雅黑"/>
                <w:color w:val="auto"/>
                <w:sz w:val="22"/>
                <w:szCs w:val="22"/>
                <w:highlight w:val="none"/>
              </w:rPr>
            </w:pPr>
          </w:p>
        </w:tc>
      </w:tr>
      <w:tr w14:paraId="46D27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845" w:type="dxa"/>
            <w:vAlign w:val="center"/>
          </w:tcPr>
          <w:p w14:paraId="29DAB1C9">
            <w:pPr>
              <w:spacing w:line="360" w:lineRule="auto"/>
              <w:jc w:val="center"/>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6</w:t>
            </w:r>
          </w:p>
        </w:tc>
        <w:tc>
          <w:tcPr>
            <w:tcW w:w="1195" w:type="dxa"/>
            <w:vAlign w:val="center"/>
          </w:tcPr>
          <w:p w14:paraId="476C6FB9">
            <w:pPr>
              <w:spacing w:line="360" w:lineRule="auto"/>
              <w:jc w:val="center"/>
              <w:rPr>
                <w:rFonts w:hint="eastAsia" w:ascii="微软雅黑" w:hAnsi="微软雅黑" w:eastAsia="微软雅黑" w:cs="微软雅黑"/>
                <w:color w:val="auto"/>
                <w:sz w:val="22"/>
                <w:szCs w:val="22"/>
                <w:highlight w:val="none"/>
              </w:rPr>
            </w:pPr>
          </w:p>
        </w:tc>
        <w:tc>
          <w:tcPr>
            <w:tcW w:w="915" w:type="dxa"/>
            <w:vAlign w:val="center"/>
          </w:tcPr>
          <w:p w14:paraId="79C264DA">
            <w:pPr>
              <w:spacing w:line="360" w:lineRule="auto"/>
              <w:jc w:val="center"/>
              <w:rPr>
                <w:rFonts w:hint="eastAsia" w:ascii="微软雅黑" w:hAnsi="微软雅黑" w:eastAsia="微软雅黑" w:cs="微软雅黑"/>
                <w:color w:val="auto"/>
                <w:sz w:val="22"/>
                <w:szCs w:val="22"/>
                <w:highlight w:val="none"/>
              </w:rPr>
            </w:pPr>
          </w:p>
        </w:tc>
        <w:tc>
          <w:tcPr>
            <w:tcW w:w="901" w:type="dxa"/>
            <w:vAlign w:val="center"/>
          </w:tcPr>
          <w:p w14:paraId="3C669B4C">
            <w:pPr>
              <w:spacing w:line="360" w:lineRule="auto"/>
              <w:jc w:val="center"/>
              <w:rPr>
                <w:rFonts w:hint="eastAsia" w:ascii="微软雅黑" w:hAnsi="微软雅黑" w:eastAsia="微软雅黑" w:cs="微软雅黑"/>
                <w:color w:val="auto"/>
                <w:sz w:val="22"/>
                <w:szCs w:val="22"/>
                <w:highlight w:val="none"/>
              </w:rPr>
            </w:pPr>
          </w:p>
        </w:tc>
        <w:tc>
          <w:tcPr>
            <w:tcW w:w="729" w:type="dxa"/>
            <w:vAlign w:val="center"/>
          </w:tcPr>
          <w:p w14:paraId="4E0E61D6">
            <w:pPr>
              <w:spacing w:line="360" w:lineRule="auto"/>
              <w:jc w:val="center"/>
              <w:rPr>
                <w:rFonts w:hint="eastAsia" w:ascii="微软雅黑" w:hAnsi="微软雅黑" w:eastAsia="微软雅黑" w:cs="微软雅黑"/>
                <w:color w:val="auto"/>
                <w:sz w:val="22"/>
                <w:szCs w:val="22"/>
                <w:highlight w:val="none"/>
              </w:rPr>
            </w:pPr>
          </w:p>
        </w:tc>
        <w:tc>
          <w:tcPr>
            <w:tcW w:w="1137" w:type="dxa"/>
            <w:vAlign w:val="center"/>
          </w:tcPr>
          <w:p w14:paraId="17D4E2BD">
            <w:pPr>
              <w:spacing w:line="360" w:lineRule="auto"/>
              <w:jc w:val="center"/>
              <w:rPr>
                <w:rFonts w:hint="eastAsia" w:ascii="微软雅黑" w:hAnsi="微软雅黑" w:eastAsia="微软雅黑" w:cs="微软雅黑"/>
                <w:color w:val="auto"/>
                <w:sz w:val="22"/>
                <w:szCs w:val="22"/>
                <w:highlight w:val="none"/>
              </w:rPr>
            </w:pPr>
          </w:p>
        </w:tc>
        <w:tc>
          <w:tcPr>
            <w:tcW w:w="989" w:type="dxa"/>
            <w:vAlign w:val="center"/>
          </w:tcPr>
          <w:p w14:paraId="68F2DEED">
            <w:pPr>
              <w:spacing w:line="360" w:lineRule="auto"/>
              <w:jc w:val="center"/>
              <w:rPr>
                <w:rFonts w:hint="eastAsia" w:ascii="微软雅黑" w:hAnsi="微软雅黑" w:eastAsia="微软雅黑" w:cs="微软雅黑"/>
                <w:color w:val="auto"/>
                <w:sz w:val="22"/>
                <w:szCs w:val="22"/>
                <w:highlight w:val="none"/>
              </w:rPr>
            </w:pPr>
          </w:p>
        </w:tc>
        <w:tc>
          <w:tcPr>
            <w:tcW w:w="669" w:type="dxa"/>
            <w:vAlign w:val="center"/>
          </w:tcPr>
          <w:p w14:paraId="2E7CE492">
            <w:pPr>
              <w:spacing w:line="360" w:lineRule="auto"/>
              <w:jc w:val="center"/>
              <w:rPr>
                <w:rFonts w:hint="eastAsia" w:ascii="微软雅黑" w:hAnsi="微软雅黑" w:eastAsia="微软雅黑" w:cs="微软雅黑"/>
                <w:color w:val="auto"/>
                <w:sz w:val="22"/>
                <w:szCs w:val="22"/>
                <w:highlight w:val="none"/>
              </w:rPr>
            </w:pPr>
          </w:p>
        </w:tc>
        <w:tc>
          <w:tcPr>
            <w:tcW w:w="832" w:type="dxa"/>
            <w:vAlign w:val="center"/>
          </w:tcPr>
          <w:p w14:paraId="086D0B1B">
            <w:pPr>
              <w:spacing w:line="360" w:lineRule="auto"/>
              <w:jc w:val="center"/>
              <w:rPr>
                <w:rFonts w:hint="eastAsia" w:ascii="微软雅黑" w:hAnsi="微软雅黑" w:eastAsia="微软雅黑" w:cs="微软雅黑"/>
                <w:color w:val="auto"/>
                <w:sz w:val="22"/>
                <w:szCs w:val="22"/>
                <w:highlight w:val="none"/>
              </w:rPr>
            </w:pPr>
          </w:p>
        </w:tc>
        <w:tc>
          <w:tcPr>
            <w:tcW w:w="736" w:type="dxa"/>
            <w:vAlign w:val="center"/>
          </w:tcPr>
          <w:p w14:paraId="68AC3A79">
            <w:pPr>
              <w:spacing w:line="360" w:lineRule="auto"/>
              <w:jc w:val="center"/>
              <w:rPr>
                <w:rFonts w:hint="eastAsia" w:ascii="微软雅黑" w:hAnsi="微软雅黑" w:eastAsia="微软雅黑" w:cs="微软雅黑"/>
                <w:color w:val="auto"/>
                <w:sz w:val="22"/>
                <w:szCs w:val="22"/>
                <w:highlight w:val="none"/>
              </w:rPr>
            </w:pPr>
          </w:p>
        </w:tc>
        <w:tc>
          <w:tcPr>
            <w:tcW w:w="807" w:type="dxa"/>
            <w:vAlign w:val="center"/>
          </w:tcPr>
          <w:p w14:paraId="48742CD2">
            <w:pPr>
              <w:spacing w:line="360" w:lineRule="auto"/>
              <w:jc w:val="center"/>
              <w:rPr>
                <w:rFonts w:hint="eastAsia" w:ascii="微软雅黑" w:hAnsi="微软雅黑" w:eastAsia="微软雅黑" w:cs="微软雅黑"/>
                <w:color w:val="auto"/>
                <w:sz w:val="22"/>
                <w:szCs w:val="22"/>
                <w:highlight w:val="none"/>
              </w:rPr>
            </w:pPr>
          </w:p>
        </w:tc>
      </w:tr>
      <w:tr w14:paraId="4B91C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845" w:type="dxa"/>
            <w:vAlign w:val="center"/>
          </w:tcPr>
          <w:p w14:paraId="3F954DF7">
            <w:pPr>
              <w:spacing w:line="360" w:lineRule="auto"/>
              <w:jc w:val="center"/>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7</w:t>
            </w:r>
          </w:p>
        </w:tc>
        <w:tc>
          <w:tcPr>
            <w:tcW w:w="1195" w:type="dxa"/>
            <w:vAlign w:val="center"/>
          </w:tcPr>
          <w:p w14:paraId="119CB9BD">
            <w:pPr>
              <w:spacing w:line="360" w:lineRule="auto"/>
              <w:jc w:val="center"/>
              <w:rPr>
                <w:rFonts w:hint="eastAsia" w:ascii="微软雅黑" w:hAnsi="微软雅黑" w:eastAsia="微软雅黑" w:cs="微软雅黑"/>
                <w:color w:val="auto"/>
                <w:sz w:val="22"/>
                <w:szCs w:val="22"/>
                <w:highlight w:val="none"/>
              </w:rPr>
            </w:pPr>
          </w:p>
        </w:tc>
        <w:tc>
          <w:tcPr>
            <w:tcW w:w="915" w:type="dxa"/>
            <w:vAlign w:val="center"/>
          </w:tcPr>
          <w:p w14:paraId="269B5511">
            <w:pPr>
              <w:spacing w:line="360" w:lineRule="auto"/>
              <w:jc w:val="center"/>
              <w:rPr>
                <w:rFonts w:hint="eastAsia" w:ascii="微软雅黑" w:hAnsi="微软雅黑" w:eastAsia="微软雅黑" w:cs="微软雅黑"/>
                <w:color w:val="auto"/>
                <w:sz w:val="22"/>
                <w:szCs w:val="22"/>
                <w:highlight w:val="none"/>
              </w:rPr>
            </w:pPr>
          </w:p>
        </w:tc>
        <w:tc>
          <w:tcPr>
            <w:tcW w:w="901" w:type="dxa"/>
            <w:vAlign w:val="center"/>
          </w:tcPr>
          <w:p w14:paraId="7B372DBB">
            <w:pPr>
              <w:spacing w:line="360" w:lineRule="auto"/>
              <w:jc w:val="center"/>
              <w:rPr>
                <w:rFonts w:hint="eastAsia" w:ascii="微软雅黑" w:hAnsi="微软雅黑" w:eastAsia="微软雅黑" w:cs="微软雅黑"/>
                <w:color w:val="auto"/>
                <w:sz w:val="22"/>
                <w:szCs w:val="22"/>
                <w:highlight w:val="none"/>
              </w:rPr>
            </w:pPr>
          </w:p>
        </w:tc>
        <w:tc>
          <w:tcPr>
            <w:tcW w:w="729" w:type="dxa"/>
            <w:vAlign w:val="center"/>
          </w:tcPr>
          <w:p w14:paraId="51959789">
            <w:pPr>
              <w:spacing w:line="360" w:lineRule="auto"/>
              <w:jc w:val="center"/>
              <w:rPr>
                <w:rFonts w:hint="eastAsia" w:ascii="微软雅黑" w:hAnsi="微软雅黑" w:eastAsia="微软雅黑" w:cs="微软雅黑"/>
                <w:color w:val="auto"/>
                <w:sz w:val="22"/>
                <w:szCs w:val="22"/>
                <w:highlight w:val="none"/>
              </w:rPr>
            </w:pPr>
          </w:p>
        </w:tc>
        <w:tc>
          <w:tcPr>
            <w:tcW w:w="1137" w:type="dxa"/>
            <w:vAlign w:val="center"/>
          </w:tcPr>
          <w:p w14:paraId="22DF79D1">
            <w:pPr>
              <w:spacing w:line="360" w:lineRule="auto"/>
              <w:jc w:val="center"/>
              <w:rPr>
                <w:rFonts w:hint="eastAsia" w:ascii="微软雅黑" w:hAnsi="微软雅黑" w:eastAsia="微软雅黑" w:cs="微软雅黑"/>
                <w:color w:val="auto"/>
                <w:sz w:val="22"/>
                <w:szCs w:val="22"/>
                <w:highlight w:val="none"/>
              </w:rPr>
            </w:pPr>
          </w:p>
        </w:tc>
        <w:tc>
          <w:tcPr>
            <w:tcW w:w="989" w:type="dxa"/>
            <w:vAlign w:val="center"/>
          </w:tcPr>
          <w:p w14:paraId="26F8ABFE">
            <w:pPr>
              <w:spacing w:line="360" w:lineRule="auto"/>
              <w:jc w:val="center"/>
              <w:rPr>
                <w:rFonts w:hint="eastAsia" w:ascii="微软雅黑" w:hAnsi="微软雅黑" w:eastAsia="微软雅黑" w:cs="微软雅黑"/>
                <w:color w:val="auto"/>
                <w:sz w:val="22"/>
                <w:szCs w:val="22"/>
                <w:highlight w:val="none"/>
              </w:rPr>
            </w:pPr>
          </w:p>
        </w:tc>
        <w:tc>
          <w:tcPr>
            <w:tcW w:w="669" w:type="dxa"/>
            <w:vAlign w:val="center"/>
          </w:tcPr>
          <w:p w14:paraId="0F3846A0">
            <w:pPr>
              <w:spacing w:line="360" w:lineRule="auto"/>
              <w:jc w:val="center"/>
              <w:rPr>
                <w:rFonts w:hint="eastAsia" w:ascii="微软雅黑" w:hAnsi="微软雅黑" w:eastAsia="微软雅黑" w:cs="微软雅黑"/>
                <w:color w:val="auto"/>
                <w:sz w:val="22"/>
                <w:szCs w:val="22"/>
                <w:highlight w:val="none"/>
              </w:rPr>
            </w:pPr>
          </w:p>
        </w:tc>
        <w:tc>
          <w:tcPr>
            <w:tcW w:w="832" w:type="dxa"/>
            <w:vAlign w:val="center"/>
          </w:tcPr>
          <w:p w14:paraId="5C835D67">
            <w:pPr>
              <w:spacing w:line="360" w:lineRule="auto"/>
              <w:jc w:val="center"/>
              <w:rPr>
                <w:rFonts w:hint="eastAsia" w:ascii="微软雅黑" w:hAnsi="微软雅黑" w:eastAsia="微软雅黑" w:cs="微软雅黑"/>
                <w:color w:val="auto"/>
                <w:sz w:val="22"/>
                <w:szCs w:val="22"/>
                <w:highlight w:val="none"/>
              </w:rPr>
            </w:pPr>
          </w:p>
        </w:tc>
        <w:tc>
          <w:tcPr>
            <w:tcW w:w="736" w:type="dxa"/>
            <w:vAlign w:val="center"/>
          </w:tcPr>
          <w:p w14:paraId="6A704B50">
            <w:pPr>
              <w:spacing w:line="360" w:lineRule="auto"/>
              <w:jc w:val="center"/>
              <w:rPr>
                <w:rFonts w:hint="eastAsia" w:ascii="微软雅黑" w:hAnsi="微软雅黑" w:eastAsia="微软雅黑" w:cs="微软雅黑"/>
                <w:color w:val="auto"/>
                <w:sz w:val="22"/>
                <w:szCs w:val="22"/>
                <w:highlight w:val="none"/>
              </w:rPr>
            </w:pPr>
          </w:p>
        </w:tc>
        <w:tc>
          <w:tcPr>
            <w:tcW w:w="807" w:type="dxa"/>
            <w:vAlign w:val="center"/>
          </w:tcPr>
          <w:p w14:paraId="3DBC073E">
            <w:pPr>
              <w:spacing w:line="360" w:lineRule="auto"/>
              <w:jc w:val="center"/>
              <w:rPr>
                <w:rFonts w:hint="eastAsia" w:ascii="微软雅黑" w:hAnsi="微软雅黑" w:eastAsia="微软雅黑" w:cs="微软雅黑"/>
                <w:color w:val="auto"/>
                <w:sz w:val="22"/>
                <w:szCs w:val="22"/>
                <w:highlight w:val="none"/>
              </w:rPr>
            </w:pPr>
          </w:p>
        </w:tc>
      </w:tr>
      <w:tr w14:paraId="186A8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trPr>
        <w:tc>
          <w:tcPr>
            <w:tcW w:w="845" w:type="dxa"/>
            <w:vAlign w:val="center"/>
          </w:tcPr>
          <w:p w14:paraId="46487811">
            <w:pPr>
              <w:spacing w:line="360" w:lineRule="auto"/>
              <w:jc w:val="center"/>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lang w:val="en-US" w:eastAsia="zh-CN"/>
              </w:rPr>
              <w:t>8</w:t>
            </w:r>
          </w:p>
        </w:tc>
        <w:tc>
          <w:tcPr>
            <w:tcW w:w="1195" w:type="dxa"/>
            <w:vAlign w:val="center"/>
          </w:tcPr>
          <w:p w14:paraId="7AED744F">
            <w:pPr>
              <w:spacing w:line="360" w:lineRule="auto"/>
              <w:jc w:val="center"/>
              <w:rPr>
                <w:rFonts w:hint="eastAsia" w:ascii="微软雅黑" w:hAnsi="微软雅黑" w:eastAsia="微软雅黑" w:cs="微软雅黑"/>
                <w:color w:val="auto"/>
                <w:sz w:val="22"/>
                <w:szCs w:val="22"/>
                <w:highlight w:val="none"/>
              </w:rPr>
            </w:pPr>
          </w:p>
        </w:tc>
        <w:tc>
          <w:tcPr>
            <w:tcW w:w="915" w:type="dxa"/>
            <w:vAlign w:val="center"/>
          </w:tcPr>
          <w:p w14:paraId="34DF37D0">
            <w:pPr>
              <w:spacing w:line="360" w:lineRule="auto"/>
              <w:jc w:val="center"/>
              <w:rPr>
                <w:rFonts w:hint="eastAsia" w:ascii="微软雅黑" w:hAnsi="微软雅黑" w:eastAsia="微软雅黑" w:cs="微软雅黑"/>
                <w:color w:val="auto"/>
                <w:sz w:val="22"/>
                <w:szCs w:val="22"/>
                <w:highlight w:val="none"/>
              </w:rPr>
            </w:pPr>
          </w:p>
        </w:tc>
        <w:tc>
          <w:tcPr>
            <w:tcW w:w="901" w:type="dxa"/>
            <w:vAlign w:val="center"/>
          </w:tcPr>
          <w:p w14:paraId="484FEF80">
            <w:pPr>
              <w:spacing w:line="360" w:lineRule="auto"/>
              <w:jc w:val="center"/>
              <w:rPr>
                <w:rFonts w:hint="eastAsia" w:ascii="微软雅黑" w:hAnsi="微软雅黑" w:eastAsia="微软雅黑" w:cs="微软雅黑"/>
                <w:color w:val="auto"/>
                <w:sz w:val="22"/>
                <w:szCs w:val="22"/>
                <w:highlight w:val="none"/>
              </w:rPr>
            </w:pPr>
          </w:p>
        </w:tc>
        <w:tc>
          <w:tcPr>
            <w:tcW w:w="729" w:type="dxa"/>
            <w:vAlign w:val="center"/>
          </w:tcPr>
          <w:p w14:paraId="5C2F42D1">
            <w:pPr>
              <w:spacing w:line="360" w:lineRule="auto"/>
              <w:jc w:val="center"/>
              <w:rPr>
                <w:rFonts w:hint="eastAsia" w:ascii="微软雅黑" w:hAnsi="微软雅黑" w:eastAsia="微软雅黑" w:cs="微软雅黑"/>
                <w:color w:val="auto"/>
                <w:sz w:val="22"/>
                <w:szCs w:val="22"/>
                <w:highlight w:val="none"/>
              </w:rPr>
            </w:pPr>
          </w:p>
        </w:tc>
        <w:tc>
          <w:tcPr>
            <w:tcW w:w="1137" w:type="dxa"/>
            <w:vAlign w:val="center"/>
          </w:tcPr>
          <w:p w14:paraId="1C756C54">
            <w:pPr>
              <w:spacing w:line="360" w:lineRule="auto"/>
              <w:jc w:val="center"/>
              <w:rPr>
                <w:rFonts w:hint="eastAsia" w:ascii="微软雅黑" w:hAnsi="微软雅黑" w:eastAsia="微软雅黑" w:cs="微软雅黑"/>
                <w:color w:val="auto"/>
                <w:sz w:val="22"/>
                <w:szCs w:val="22"/>
                <w:highlight w:val="none"/>
              </w:rPr>
            </w:pPr>
          </w:p>
        </w:tc>
        <w:tc>
          <w:tcPr>
            <w:tcW w:w="989" w:type="dxa"/>
            <w:vAlign w:val="center"/>
          </w:tcPr>
          <w:p w14:paraId="319105F2">
            <w:pPr>
              <w:spacing w:line="360" w:lineRule="auto"/>
              <w:jc w:val="center"/>
              <w:rPr>
                <w:rFonts w:hint="eastAsia" w:ascii="微软雅黑" w:hAnsi="微软雅黑" w:eastAsia="微软雅黑" w:cs="微软雅黑"/>
                <w:color w:val="auto"/>
                <w:sz w:val="22"/>
                <w:szCs w:val="22"/>
                <w:highlight w:val="none"/>
              </w:rPr>
            </w:pPr>
          </w:p>
        </w:tc>
        <w:tc>
          <w:tcPr>
            <w:tcW w:w="669" w:type="dxa"/>
            <w:vAlign w:val="center"/>
          </w:tcPr>
          <w:p w14:paraId="55E8996E">
            <w:pPr>
              <w:spacing w:line="360" w:lineRule="auto"/>
              <w:jc w:val="center"/>
              <w:rPr>
                <w:rFonts w:hint="eastAsia" w:ascii="微软雅黑" w:hAnsi="微软雅黑" w:eastAsia="微软雅黑" w:cs="微软雅黑"/>
                <w:color w:val="auto"/>
                <w:sz w:val="22"/>
                <w:szCs w:val="22"/>
                <w:highlight w:val="none"/>
              </w:rPr>
            </w:pPr>
          </w:p>
        </w:tc>
        <w:tc>
          <w:tcPr>
            <w:tcW w:w="832" w:type="dxa"/>
            <w:vAlign w:val="center"/>
          </w:tcPr>
          <w:p w14:paraId="274FE7CB">
            <w:pPr>
              <w:spacing w:line="360" w:lineRule="auto"/>
              <w:jc w:val="center"/>
              <w:rPr>
                <w:rFonts w:hint="eastAsia" w:ascii="微软雅黑" w:hAnsi="微软雅黑" w:eastAsia="微软雅黑" w:cs="微软雅黑"/>
                <w:color w:val="auto"/>
                <w:sz w:val="22"/>
                <w:szCs w:val="22"/>
                <w:highlight w:val="none"/>
              </w:rPr>
            </w:pPr>
          </w:p>
        </w:tc>
        <w:tc>
          <w:tcPr>
            <w:tcW w:w="736" w:type="dxa"/>
            <w:vAlign w:val="center"/>
          </w:tcPr>
          <w:p w14:paraId="3D3E7BBE">
            <w:pPr>
              <w:spacing w:line="360" w:lineRule="auto"/>
              <w:jc w:val="center"/>
              <w:rPr>
                <w:rFonts w:hint="eastAsia" w:ascii="微软雅黑" w:hAnsi="微软雅黑" w:eastAsia="微软雅黑" w:cs="微软雅黑"/>
                <w:color w:val="auto"/>
                <w:sz w:val="22"/>
                <w:szCs w:val="22"/>
                <w:highlight w:val="none"/>
              </w:rPr>
            </w:pPr>
          </w:p>
        </w:tc>
        <w:tc>
          <w:tcPr>
            <w:tcW w:w="807" w:type="dxa"/>
            <w:vAlign w:val="center"/>
          </w:tcPr>
          <w:p w14:paraId="3ADF419C">
            <w:pPr>
              <w:spacing w:line="360" w:lineRule="auto"/>
              <w:jc w:val="center"/>
              <w:rPr>
                <w:rFonts w:hint="eastAsia" w:ascii="微软雅黑" w:hAnsi="微软雅黑" w:eastAsia="微软雅黑" w:cs="微软雅黑"/>
                <w:color w:val="auto"/>
                <w:sz w:val="22"/>
                <w:szCs w:val="22"/>
                <w:highlight w:val="none"/>
              </w:rPr>
            </w:pPr>
          </w:p>
        </w:tc>
      </w:tr>
    </w:tbl>
    <w:p w14:paraId="5411858F">
      <w:pPr>
        <w:pStyle w:val="15"/>
        <w:spacing w:line="400" w:lineRule="exact"/>
        <w:ind w:left="1080" w:leftChars="257" w:hanging="540"/>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法定代表人</w:t>
      </w:r>
      <w:r>
        <w:rPr>
          <w:rFonts w:hint="eastAsia" w:ascii="微软雅黑" w:hAnsi="微软雅黑" w:eastAsia="微软雅黑" w:cs="微软雅黑"/>
          <w:color w:val="auto"/>
          <w:sz w:val="22"/>
          <w:szCs w:val="22"/>
          <w:highlight w:val="none"/>
          <w:lang w:eastAsia="zh-CN"/>
        </w:rPr>
        <w:t>或委托代理人</w:t>
      </w:r>
      <w:r>
        <w:rPr>
          <w:rFonts w:hint="eastAsia" w:ascii="微软雅黑" w:hAnsi="微软雅黑" w:eastAsia="微软雅黑" w:cs="微软雅黑"/>
          <w:color w:val="auto"/>
          <w:sz w:val="22"/>
          <w:szCs w:val="22"/>
          <w:highlight w:val="none"/>
        </w:rPr>
        <w:t>（签/章）:</w:t>
      </w:r>
      <w:r>
        <w:rPr>
          <w:rFonts w:hint="eastAsia" w:ascii="微软雅黑" w:hAnsi="微软雅黑" w:eastAsia="微软雅黑" w:cs="微软雅黑"/>
          <w:color w:val="auto"/>
          <w:sz w:val="22"/>
          <w:szCs w:val="22"/>
          <w:highlight w:val="none"/>
          <w:u w:val="single"/>
        </w:rPr>
        <w:t xml:space="preserve"> </w:t>
      </w:r>
      <w:r>
        <w:rPr>
          <w:rFonts w:hint="eastAsia" w:ascii="微软雅黑" w:hAnsi="微软雅黑" w:eastAsia="微软雅黑" w:cs="微软雅黑"/>
          <w:color w:val="auto"/>
          <w:sz w:val="22"/>
          <w:szCs w:val="22"/>
          <w:highlight w:val="none"/>
          <w:u w:val="single"/>
        </w:rPr>
        <w:tab/>
      </w:r>
      <w:r>
        <w:rPr>
          <w:rFonts w:hint="eastAsia" w:ascii="微软雅黑" w:hAnsi="微软雅黑" w:eastAsia="微软雅黑" w:cs="微软雅黑"/>
          <w:color w:val="auto"/>
          <w:sz w:val="22"/>
          <w:szCs w:val="22"/>
          <w:highlight w:val="none"/>
          <w:u w:val="single"/>
        </w:rPr>
        <w:t xml:space="preserve">                 </w:t>
      </w:r>
    </w:p>
    <w:p w14:paraId="5F392858">
      <w:pPr>
        <w:pStyle w:val="15"/>
        <w:tabs>
          <w:tab w:val="left" w:pos="5370"/>
        </w:tabs>
        <w:spacing w:line="400" w:lineRule="exact"/>
        <w:ind w:left="1080" w:leftChars="257" w:hanging="540"/>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供应商</w:t>
      </w:r>
      <w:r>
        <w:rPr>
          <w:rFonts w:hint="eastAsia" w:ascii="微软雅黑" w:hAnsi="微软雅黑" w:eastAsia="微软雅黑" w:cs="微软雅黑"/>
          <w:color w:val="auto"/>
          <w:sz w:val="22"/>
          <w:szCs w:val="22"/>
          <w:highlight w:val="none"/>
          <w:lang w:eastAsia="zh-CN"/>
        </w:rPr>
        <w:t>名称</w:t>
      </w:r>
      <w:r>
        <w:rPr>
          <w:rFonts w:hint="eastAsia" w:ascii="微软雅黑" w:hAnsi="微软雅黑" w:eastAsia="微软雅黑" w:cs="微软雅黑"/>
          <w:color w:val="auto"/>
          <w:sz w:val="22"/>
          <w:szCs w:val="22"/>
          <w:highlight w:val="none"/>
        </w:rPr>
        <w:t>(公章):</w:t>
      </w:r>
      <w:r>
        <w:rPr>
          <w:rFonts w:hint="eastAsia" w:ascii="微软雅黑" w:hAnsi="微软雅黑" w:eastAsia="微软雅黑" w:cs="微软雅黑"/>
          <w:color w:val="auto"/>
          <w:sz w:val="22"/>
          <w:szCs w:val="22"/>
          <w:highlight w:val="none"/>
          <w:u w:val="single"/>
        </w:rPr>
        <w:tab/>
      </w:r>
    </w:p>
    <w:p w14:paraId="3A475347">
      <w:pPr>
        <w:pStyle w:val="15"/>
        <w:spacing w:line="400" w:lineRule="exact"/>
        <w:ind w:left="1080" w:leftChars="257" w:hanging="540"/>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注:1.如果供应商认为需要，每种</w:t>
      </w:r>
      <w:r>
        <w:rPr>
          <w:rFonts w:hint="eastAsia" w:ascii="微软雅黑" w:hAnsi="微软雅黑" w:eastAsia="微软雅黑" w:cs="微软雅黑"/>
          <w:color w:val="auto"/>
          <w:sz w:val="22"/>
          <w:szCs w:val="22"/>
          <w:highlight w:val="none"/>
          <w:lang w:val="en-US" w:eastAsia="zh-CN"/>
        </w:rPr>
        <w:t>货物</w:t>
      </w:r>
      <w:r>
        <w:rPr>
          <w:rFonts w:hint="eastAsia" w:ascii="微软雅黑" w:hAnsi="微软雅黑" w:eastAsia="微软雅黑" w:cs="微软雅黑"/>
          <w:color w:val="auto"/>
          <w:sz w:val="22"/>
          <w:szCs w:val="22"/>
          <w:highlight w:val="none"/>
        </w:rPr>
        <w:t>填写一份该表。</w:t>
      </w:r>
    </w:p>
    <w:p w14:paraId="07542F98">
      <w:pPr>
        <w:pStyle w:val="15"/>
        <w:spacing w:line="400" w:lineRule="exact"/>
        <w:ind w:left="1080" w:leftChars="257" w:hanging="540"/>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 xml:space="preserve">   </w:t>
      </w:r>
      <w:r>
        <w:rPr>
          <w:rFonts w:hint="eastAsia" w:ascii="微软雅黑" w:hAnsi="微软雅黑" w:eastAsia="微软雅黑" w:cs="微软雅黑"/>
          <w:color w:val="auto"/>
          <w:sz w:val="22"/>
          <w:szCs w:val="22"/>
          <w:highlight w:val="none"/>
          <w:lang w:val="en-US" w:eastAsia="zh-CN"/>
        </w:rPr>
        <w:t>2</w:t>
      </w:r>
      <w:r>
        <w:rPr>
          <w:rFonts w:hint="eastAsia" w:ascii="微软雅黑" w:hAnsi="微软雅黑" w:eastAsia="微软雅黑" w:cs="微软雅黑"/>
          <w:color w:val="auto"/>
          <w:sz w:val="22"/>
          <w:szCs w:val="22"/>
          <w:highlight w:val="none"/>
        </w:rPr>
        <w:t>.如果不提供详细分项报价将视为没有实质性响应招标文件。</w:t>
      </w:r>
    </w:p>
    <w:p w14:paraId="6B0834C5">
      <w:pPr>
        <w:pStyle w:val="15"/>
        <w:spacing w:line="400" w:lineRule="exact"/>
        <w:ind w:left="1080" w:leftChars="257" w:hanging="540"/>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 xml:space="preserve">   </w:t>
      </w:r>
      <w:r>
        <w:rPr>
          <w:rFonts w:hint="eastAsia" w:ascii="微软雅黑" w:hAnsi="微软雅黑" w:eastAsia="微软雅黑" w:cs="微软雅黑"/>
          <w:color w:val="auto"/>
          <w:sz w:val="22"/>
          <w:szCs w:val="22"/>
          <w:highlight w:val="none"/>
          <w:lang w:val="en-US" w:eastAsia="zh-CN"/>
        </w:rPr>
        <w:t>3</w:t>
      </w:r>
      <w:r>
        <w:rPr>
          <w:rFonts w:hint="eastAsia" w:ascii="微软雅黑" w:hAnsi="微软雅黑" w:eastAsia="微软雅黑" w:cs="微软雅黑"/>
          <w:color w:val="auto"/>
          <w:sz w:val="22"/>
          <w:szCs w:val="22"/>
          <w:highlight w:val="none"/>
        </w:rPr>
        <w:t>.上述各项的详细分项报价，应另页描述。</w:t>
      </w:r>
    </w:p>
    <w:p w14:paraId="1C6CA42C">
      <w:pPr>
        <w:pStyle w:val="15"/>
        <w:spacing w:line="400" w:lineRule="exact"/>
        <w:ind w:left="1080" w:leftChars="257" w:hanging="540"/>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 xml:space="preserve"> </w:t>
      </w:r>
      <w:r>
        <w:rPr>
          <w:rFonts w:hint="eastAsia" w:ascii="微软雅黑" w:hAnsi="微软雅黑" w:eastAsia="微软雅黑" w:cs="微软雅黑"/>
          <w:color w:val="auto"/>
          <w:sz w:val="22"/>
          <w:szCs w:val="22"/>
          <w:highlight w:val="none"/>
          <w:lang w:val="en-US" w:eastAsia="zh-CN"/>
        </w:rPr>
        <w:t xml:space="preserve">  4</w:t>
      </w:r>
      <w:r>
        <w:rPr>
          <w:rFonts w:hint="eastAsia" w:ascii="微软雅黑" w:hAnsi="微软雅黑" w:eastAsia="微软雅黑" w:cs="微软雅黑"/>
          <w:color w:val="auto"/>
          <w:sz w:val="22"/>
          <w:szCs w:val="22"/>
          <w:highlight w:val="none"/>
        </w:rPr>
        <w:t>.如果开标一览表(报价表)内容与投标文件中明细表内容不一致的以开标一览表(报价表)内容为准。</w:t>
      </w:r>
    </w:p>
    <w:p w14:paraId="1C30A4D5">
      <w:pPr>
        <w:pStyle w:val="15"/>
        <w:spacing w:line="400" w:lineRule="exact"/>
        <w:ind w:left="1080" w:leftChars="257" w:hanging="540"/>
        <w:rPr>
          <w:rFonts w:hint="eastAsia" w:ascii="微软雅黑" w:hAnsi="微软雅黑" w:eastAsia="微软雅黑" w:cs="微软雅黑"/>
          <w:color w:val="auto"/>
          <w:sz w:val="22"/>
          <w:szCs w:val="22"/>
          <w:highlight w:val="none"/>
        </w:rPr>
      </w:pPr>
    </w:p>
    <w:p w14:paraId="463C569D">
      <w:pPr>
        <w:pStyle w:val="15"/>
        <w:spacing w:line="400" w:lineRule="exact"/>
        <w:ind w:left="1080" w:leftChars="257" w:hanging="540"/>
        <w:rPr>
          <w:rFonts w:hint="eastAsia" w:ascii="微软雅黑" w:hAnsi="微软雅黑" w:eastAsia="微软雅黑" w:cs="微软雅黑"/>
          <w:color w:val="auto"/>
          <w:sz w:val="22"/>
          <w:szCs w:val="22"/>
          <w:highlight w:val="none"/>
        </w:rPr>
      </w:pPr>
    </w:p>
    <w:p w14:paraId="3F83B761">
      <w:pPr>
        <w:pStyle w:val="15"/>
        <w:spacing w:line="400" w:lineRule="exact"/>
        <w:ind w:left="1080" w:leftChars="257" w:hanging="540"/>
        <w:rPr>
          <w:rFonts w:hint="eastAsia" w:ascii="微软雅黑" w:hAnsi="微软雅黑" w:eastAsia="微软雅黑" w:cs="微软雅黑"/>
          <w:color w:val="auto"/>
          <w:sz w:val="22"/>
          <w:szCs w:val="22"/>
          <w:highlight w:val="none"/>
        </w:rPr>
      </w:pPr>
    </w:p>
    <w:p w14:paraId="0717940E">
      <w:pPr>
        <w:pStyle w:val="15"/>
        <w:spacing w:line="400" w:lineRule="exact"/>
        <w:ind w:left="1080" w:leftChars="257" w:hanging="540"/>
        <w:rPr>
          <w:rFonts w:hint="eastAsia" w:ascii="微软雅黑" w:hAnsi="微软雅黑" w:eastAsia="微软雅黑" w:cs="微软雅黑"/>
          <w:color w:val="auto"/>
          <w:sz w:val="22"/>
          <w:szCs w:val="22"/>
          <w:highlight w:val="none"/>
        </w:rPr>
      </w:pPr>
    </w:p>
    <w:p w14:paraId="07CA7052">
      <w:pPr>
        <w:pStyle w:val="15"/>
        <w:spacing w:line="400" w:lineRule="exact"/>
        <w:ind w:left="1080" w:leftChars="257" w:hanging="540"/>
        <w:rPr>
          <w:rFonts w:hint="eastAsia" w:ascii="微软雅黑" w:hAnsi="微软雅黑" w:eastAsia="微软雅黑" w:cs="微软雅黑"/>
          <w:color w:val="auto"/>
          <w:sz w:val="22"/>
          <w:szCs w:val="22"/>
          <w:highlight w:val="none"/>
        </w:rPr>
      </w:pPr>
    </w:p>
    <w:p w14:paraId="11E7136D">
      <w:pPr>
        <w:jc w:val="center"/>
        <w:rPr>
          <w:rFonts w:hint="eastAsia" w:ascii="微软雅黑" w:hAnsi="微软雅黑" w:eastAsia="微软雅黑" w:cs="微软雅黑"/>
          <w:b/>
          <w:bCs/>
          <w:color w:val="auto"/>
          <w:sz w:val="22"/>
          <w:szCs w:val="22"/>
          <w:highlight w:val="none"/>
        </w:rPr>
      </w:pPr>
      <w:bookmarkStart w:id="1538" w:name="_Toc3096"/>
      <w:bookmarkStart w:id="1539" w:name="_Toc26185"/>
      <w:bookmarkStart w:id="1540" w:name="_Toc32439"/>
      <w:bookmarkStart w:id="1541" w:name="_Toc22837"/>
      <w:r>
        <w:rPr>
          <w:rFonts w:hint="eastAsia" w:ascii="微软雅黑" w:hAnsi="微软雅黑" w:eastAsia="微软雅黑" w:cs="微软雅黑"/>
          <w:b/>
          <w:bCs/>
          <w:color w:val="auto"/>
          <w:sz w:val="22"/>
          <w:szCs w:val="22"/>
          <w:highlight w:val="none"/>
        </w:rPr>
        <w:br w:type="page"/>
      </w:r>
      <w:r>
        <w:rPr>
          <w:rFonts w:hint="eastAsia" w:ascii="微软雅黑" w:hAnsi="微软雅黑" w:eastAsia="微软雅黑" w:cs="微软雅黑"/>
          <w:b/>
          <w:bCs/>
          <w:color w:val="auto"/>
          <w:sz w:val="22"/>
          <w:szCs w:val="22"/>
          <w:highlight w:val="none"/>
        </w:rPr>
        <w:t>3</w:t>
      </w:r>
      <w:bookmarkEnd w:id="1538"/>
      <w:bookmarkEnd w:id="1539"/>
      <w:bookmarkEnd w:id="1540"/>
      <w:r>
        <w:rPr>
          <w:rFonts w:hint="eastAsia" w:ascii="微软雅黑" w:hAnsi="微软雅黑" w:eastAsia="微软雅黑" w:cs="微软雅黑"/>
          <w:b/>
          <w:bCs/>
          <w:color w:val="auto"/>
          <w:sz w:val="22"/>
          <w:szCs w:val="22"/>
          <w:highlight w:val="none"/>
          <w:lang w:eastAsia="zh-CN"/>
        </w:rPr>
        <w:t>、</w:t>
      </w:r>
      <w:r>
        <w:rPr>
          <w:rFonts w:hint="eastAsia" w:ascii="微软雅黑" w:hAnsi="微软雅黑" w:eastAsia="微软雅黑" w:cs="微软雅黑"/>
          <w:b/>
          <w:bCs/>
          <w:color w:val="auto"/>
          <w:sz w:val="22"/>
          <w:szCs w:val="22"/>
          <w:highlight w:val="none"/>
          <w:lang w:val="en-US" w:eastAsia="zh-CN"/>
        </w:rPr>
        <w:t>货物</w:t>
      </w:r>
      <w:r>
        <w:rPr>
          <w:rFonts w:hint="eastAsia" w:ascii="微软雅黑" w:hAnsi="微软雅黑" w:eastAsia="微软雅黑" w:cs="微软雅黑"/>
          <w:b/>
          <w:bCs/>
          <w:color w:val="auto"/>
          <w:sz w:val="22"/>
          <w:szCs w:val="22"/>
          <w:highlight w:val="none"/>
        </w:rPr>
        <w:t>说明一览表</w:t>
      </w:r>
      <w:bookmarkEnd w:id="1541"/>
    </w:p>
    <w:p w14:paraId="46301882">
      <w:pPr>
        <w:pStyle w:val="15"/>
        <w:spacing w:line="360" w:lineRule="exact"/>
        <w:ind w:left="1080" w:leftChars="257" w:hanging="540"/>
        <w:jc w:val="left"/>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 xml:space="preserve">项目名称:                    </w:t>
      </w:r>
      <w:r>
        <w:rPr>
          <w:rFonts w:hint="eastAsia" w:ascii="微软雅黑" w:hAnsi="微软雅黑" w:eastAsia="微软雅黑" w:cs="微软雅黑"/>
          <w:color w:val="auto"/>
          <w:sz w:val="22"/>
          <w:szCs w:val="22"/>
          <w:highlight w:val="none"/>
          <w:lang w:eastAsia="zh-CN"/>
        </w:rPr>
        <w:t>项目编号</w:t>
      </w:r>
      <w:r>
        <w:rPr>
          <w:rFonts w:hint="eastAsia" w:ascii="微软雅黑" w:hAnsi="微软雅黑" w:eastAsia="微软雅黑" w:cs="微软雅黑"/>
          <w:color w:val="auto"/>
          <w:sz w:val="22"/>
          <w:szCs w:val="22"/>
          <w:highlight w:val="none"/>
        </w:rPr>
        <w:t xml:space="preserve">:         </w:t>
      </w:r>
      <w:r>
        <w:rPr>
          <w:rFonts w:hint="eastAsia" w:ascii="微软雅黑" w:hAnsi="微软雅黑" w:eastAsia="微软雅黑" w:cs="微软雅黑"/>
          <w:color w:val="auto"/>
          <w:sz w:val="22"/>
          <w:szCs w:val="22"/>
          <w:highlight w:val="none"/>
          <w:lang w:val="en-US" w:eastAsia="zh-CN"/>
        </w:rPr>
        <w:t>标项：（如有）</w:t>
      </w:r>
      <w:r>
        <w:rPr>
          <w:rFonts w:hint="eastAsia" w:ascii="微软雅黑" w:hAnsi="微软雅黑" w:eastAsia="微软雅黑" w:cs="微软雅黑"/>
          <w:color w:val="auto"/>
          <w:sz w:val="22"/>
          <w:szCs w:val="22"/>
          <w:highlight w:val="none"/>
        </w:rPr>
        <w:t xml:space="preserve">                            </w:t>
      </w:r>
    </w:p>
    <w:tbl>
      <w:tblPr>
        <w:tblStyle w:val="32"/>
        <w:tblpPr w:leftFromText="180" w:rightFromText="180" w:vertAnchor="text" w:horzAnchor="page" w:tblpX="1350" w:tblpY="242"/>
        <w:tblOverlap w:val="never"/>
        <w:tblW w:w="97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2"/>
        <w:gridCol w:w="1751"/>
        <w:gridCol w:w="1463"/>
        <w:gridCol w:w="1547"/>
        <w:gridCol w:w="1153"/>
        <w:gridCol w:w="1042"/>
        <w:gridCol w:w="1125"/>
        <w:gridCol w:w="972"/>
      </w:tblGrid>
      <w:tr w14:paraId="0711F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742" w:type="dxa"/>
            <w:vAlign w:val="center"/>
          </w:tcPr>
          <w:p w14:paraId="768AE0F1">
            <w:pPr>
              <w:pStyle w:val="15"/>
              <w:spacing w:line="360" w:lineRule="exact"/>
              <w:jc w:val="center"/>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序号</w:t>
            </w:r>
          </w:p>
        </w:tc>
        <w:tc>
          <w:tcPr>
            <w:tcW w:w="1751" w:type="dxa"/>
            <w:vAlign w:val="center"/>
          </w:tcPr>
          <w:p w14:paraId="2DC20F76">
            <w:pPr>
              <w:pStyle w:val="15"/>
              <w:spacing w:line="360" w:lineRule="exact"/>
              <w:jc w:val="center"/>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lang w:eastAsia="zh-CN"/>
              </w:rPr>
              <w:t>药品</w:t>
            </w:r>
            <w:r>
              <w:rPr>
                <w:rFonts w:hint="eastAsia" w:ascii="微软雅黑" w:hAnsi="微软雅黑" w:eastAsia="微软雅黑" w:cs="微软雅黑"/>
                <w:color w:val="auto"/>
                <w:sz w:val="22"/>
                <w:szCs w:val="22"/>
                <w:highlight w:val="none"/>
              </w:rPr>
              <w:t>名称</w:t>
            </w:r>
          </w:p>
        </w:tc>
        <w:tc>
          <w:tcPr>
            <w:tcW w:w="1463" w:type="dxa"/>
            <w:vAlign w:val="center"/>
          </w:tcPr>
          <w:p w14:paraId="22043BBF">
            <w:pPr>
              <w:pStyle w:val="15"/>
              <w:spacing w:line="360" w:lineRule="exact"/>
              <w:jc w:val="center"/>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主要规格</w:t>
            </w:r>
          </w:p>
        </w:tc>
        <w:tc>
          <w:tcPr>
            <w:tcW w:w="1547" w:type="dxa"/>
            <w:vAlign w:val="center"/>
          </w:tcPr>
          <w:p w14:paraId="7FC445DA">
            <w:pPr>
              <w:pStyle w:val="15"/>
              <w:spacing w:line="360" w:lineRule="exact"/>
              <w:jc w:val="center"/>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数量</w:t>
            </w:r>
          </w:p>
        </w:tc>
        <w:tc>
          <w:tcPr>
            <w:tcW w:w="1153" w:type="dxa"/>
            <w:vAlign w:val="center"/>
          </w:tcPr>
          <w:p w14:paraId="0C0D72FE">
            <w:pPr>
              <w:pStyle w:val="15"/>
              <w:spacing w:line="360" w:lineRule="exact"/>
              <w:jc w:val="center"/>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lang w:val="en-US" w:eastAsia="zh-CN"/>
              </w:rPr>
              <w:t>交货期</w:t>
            </w:r>
          </w:p>
        </w:tc>
        <w:tc>
          <w:tcPr>
            <w:tcW w:w="1042" w:type="dxa"/>
            <w:vAlign w:val="center"/>
          </w:tcPr>
          <w:p w14:paraId="0EAD0DB9">
            <w:pPr>
              <w:pStyle w:val="15"/>
              <w:spacing w:line="360" w:lineRule="exact"/>
              <w:jc w:val="center"/>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lang w:val="en-US" w:eastAsia="zh-CN"/>
              </w:rPr>
              <w:t>质保期</w:t>
            </w:r>
          </w:p>
        </w:tc>
        <w:tc>
          <w:tcPr>
            <w:tcW w:w="1125" w:type="dxa"/>
            <w:vAlign w:val="center"/>
          </w:tcPr>
          <w:p w14:paraId="49D144DE">
            <w:pPr>
              <w:pStyle w:val="15"/>
              <w:spacing w:line="360" w:lineRule="exact"/>
              <w:jc w:val="center"/>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lang w:val="en-US" w:eastAsia="zh-CN"/>
              </w:rPr>
              <w:t>交货地点</w:t>
            </w:r>
          </w:p>
        </w:tc>
        <w:tc>
          <w:tcPr>
            <w:tcW w:w="972" w:type="dxa"/>
            <w:vAlign w:val="center"/>
          </w:tcPr>
          <w:p w14:paraId="105968D0">
            <w:pPr>
              <w:pStyle w:val="15"/>
              <w:spacing w:line="360" w:lineRule="exact"/>
              <w:jc w:val="center"/>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lang w:val="en-US" w:eastAsia="zh-CN"/>
              </w:rPr>
              <w:t>备注</w:t>
            </w:r>
          </w:p>
        </w:tc>
      </w:tr>
      <w:tr w14:paraId="0014F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742" w:type="dxa"/>
          </w:tcPr>
          <w:p w14:paraId="6BFCFCD7">
            <w:pPr>
              <w:pStyle w:val="15"/>
              <w:spacing w:line="360" w:lineRule="exact"/>
              <w:ind w:left="1080" w:leftChars="257" w:hanging="540"/>
              <w:rPr>
                <w:rFonts w:hint="eastAsia" w:ascii="微软雅黑" w:hAnsi="微软雅黑" w:eastAsia="微软雅黑" w:cs="微软雅黑"/>
                <w:color w:val="auto"/>
                <w:sz w:val="22"/>
                <w:szCs w:val="22"/>
                <w:highlight w:val="none"/>
              </w:rPr>
            </w:pPr>
          </w:p>
        </w:tc>
        <w:tc>
          <w:tcPr>
            <w:tcW w:w="1751" w:type="dxa"/>
          </w:tcPr>
          <w:p w14:paraId="0E2DC082">
            <w:pPr>
              <w:pStyle w:val="15"/>
              <w:spacing w:line="360" w:lineRule="exact"/>
              <w:ind w:left="1080" w:leftChars="257" w:hanging="540"/>
              <w:rPr>
                <w:rFonts w:hint="eastAsia" w:ascii="微软雅黑" w:hAnsi="微软雅黑" w:eastAsia="微软雅黑" w:cs="微软雅黑"/>
                <w:color w:val="auto"/>
                <w:sz w:val="22"/>
                <w:szCs w:val="22"/>
                <w:highlight w:val="none"/>
              </w:rPr>
            </w:pPr>
          </w:p>
        </w:tc>
        <w:tc>
          <w:tcPr>
            <w:tcW w:w="1463" w:type="dxa"/>
          </w:tcPr>
          <w:p w14:paraId="799DAE09">
            <w:pPr>
              <w:pStyle w:val="15"/>
              <w:spacing w:line="360" w:lineRule="exact"/>
              <w:ind w:left="1080" w:leftChars="257" w:hanging="540"/>
              <w:rPr>
                <w:rFonts w:hint="eastAsia" w:ascii="微软雅黑" w:hAnsi="微软雅黑" w:eastAsia="微软雅黑" w:cs="微软雅黑"/>
                <w:color w:val="auto"/>
                <w:sz w:val="22"/>
                <w:szCs w:val="22"/>
                <w:highlight w:val="none"/>
              </w:rPr>
            </w:pPr>
          </w:p>
        </w:tc>
        <w:tc>
          <w:tcPr>
            <w:tcW w:w="1547" w:type="dxa"/>
          </w:tcPr>
          <w:p w14:paraId="6799739D">
            <w:pPr>
              <w:pStyle w:val="15"/>
              <w:spacing w:line="360" w:lineRule="exact"/>
              <w:ind w:left="1080" w:leftChars="257" w:hanging="540"/>
              <w:rPr>
                <w:rFonts w:hint="eastAsia" w:ascii="微软雅黑" w:hAnsi="微软雅黑" w:eastAsia="微软雅黑" w:cs="微软雅黑"/>
                <w:color w:val="auto"/>
                <w:sz w:val="22"/>
                <w:szCs w:val="22"/>
                <w:highlight w:val="none"/>
              </w:rPr>
            </w:pPr>
          </w:p>
        </w:tc>
        <w:tc>
          <w:tcPr>
            <w:tcW w:w="1153" w:type="dxa"/>
          </w:tcPr>
          <w:p w14:paraId="1EAAD0BA">
            <w:pPr>
              <w:pStyle w:val="15"/>
              <w:spacing w:line="360" w:lineRule="exact"/>
              <w:ind w:left="1080" w:leftChars="257" w:hanging="540"/>
              <w:rPr>
                <w:rFonts w:hint="eastAsia" w:ascii="微软雅黑" w:hAnsi="微软雅黑" w:eastAsia="微软雅黑" w:cs="微软雅黑"/>
                <w:color w:val="auto"/>
                <w:sz w:val="22"/>
                <w:szCs w:val="22"/>
                <w:highlight w:val="none"/>
              </w:rPr>
            </w:pPr>
          </w:p>
        </w:tc>
        <w:tc>
          <w:tcPr>
            <w:tcW w:w="1042" w:type="dxa"/>
          </w:tcPr>
          <w:p w14:paraId="4B13ECEB">
            <w:pPr>
              <w:pStyle w:val="15"/>
              <w:spacing w:line="360" w:lineRule="exact"/>
              <w:ind w:left="1080" w:leftChars="257" w:hanging="540"/>
              <w:rPr>
                <w:rFonts w:hint="eastAsia" w:ascii="微软雅黑" w:hAnsi="微软雅黑" w:eastAsia="微软雅黑" w:cs="微软雅黑"/>
                <w:color w:val="auto"/>
                <w:sz w:val="22"/>
                <w:szCs w:val="22"/>
                <w:highlight w:val="none"/>
              </w:rPr>
            </w:pPr>
          </w:p>
        </w:tc>
        <w:tc>
          <w:tcPr>
            <w:tcW w:w="1125" w:type="dxa"/>
          </w:tcPr>
          <w:p w14:paraId="7AF32337">
            <w:pPr>
              <w:pStyle w:val="15"/>
              <w:spacing w:line="360" w:lineRule="exact"/>
              <w:ind w:left="1080" w:leftChars="257" w:hanging="540"/>
              <w:rPr>
                <w:rFonts w:hint="eastAsia" w:ascii="微软雅黑" w:hAnsi="微软雅黑" w:eastAsia="微软雅黑" w:cs="微软雅黑"/>
                <w:color w:val="auto"/>
                <w:sz w:val="22"/>
                <w:szCs w:val="22"/>
                <w:highlight w:val="none"/>
              </w:rPr>
            </w:pPr>
          </w:p>
        </w:tc>
        <w:tc>
          <w:tcPr>
            <w:tcW w:w="972" w:type="dxa"/>
          </w:tcPr>
          <w:p w14:paraId="068B3DC0">
            <w:pPr>
              <w:pStyle w:val="15"/>
              <w:spacing w:line="360" w:lineRule="exact"/>
              <w:ind w:left="1080" w:leftChars="257" w:hanging="540"/>
              <w:rPr>
                <w:rFonts w:hint="eastAsia" w:ascii="微软雅黑" w:hAnsi="微软雅黑" w:eastAsia="微软雅黑" w:cs="微软雅黑"/>
                <w:color w:val="auto"/>
                <w:sz w:val="22"/>
                <w:szCs w:val="22"/>
                <w:highlight w:val="none"/>
              </w:rPr>
            </w:pPr>
          </w:p>
        </w:tc>
      </w:tr>
      <w:tr w14:paraId="5C454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742" w:type="dxa"/>
          </w:tcPr>
          <w:p w14:paraId="31A5D2B0">
            <w:pPr>
              <w:pStyle w:val="15"/>
              <w:spacing w:line="360" w:lineRule="exact"/>
              <w:ind w:left="1080" w:leftChars="257" w:hanging="540"/>
              <w:rPr>
                <w:rFonts w:hint="eastAsia" w:ascii="微软雅黑" w:hAnsi="微软雅黑" w:eastAsia="微软雅黑" w:cs="微软雅黑"/>
                <w:color w:val="auto"/>
                <w:sz w:val="22"/>
                <w:szCs w:val="22"/>
                <w:highlight w:val="none"/>
              </w:rPr>
            </w:pPr>
          </w:p>
        </w:tc>
        <w:tc>
          <w:tcPr>
            <w:tcW w:w="1751" w:type="dxa"/>
          </w:tcPr>
          <w:p w14:paraId="25C57728">
            <w:pPr>
              <w:pStyle w:val="15"/>
              <w:spacing w:line="360" w:lineRule="exact"/>
              <w:ind w:left="1080" w:leftChars="257" w:hanging="540"/>
              <w:rPr>
                <w:rFonts w:hint="eastAsia" w:ascii="微软雅黑" w:hAnsi="微软雅黑" w:eastAsia="微软雅黑" w:cs="微软雅黑"/>
                <w:color w:val="auto"/>
                <w:sz w:val="22"/>
                <w:szCs w:val="22"/>
                <w:highlight w:val="none"/>
              </w:rPr>
            </w:pPr>
          </w:p>
        </w:tc>
        <w:tc>
          <w:tcPr>
            <w:tcW w:w="1463" w:type="dxa"/>
          </w:tcPr>
          <w:p w14:paraId="0D9D4433">
            <w:pPr>
              <w:pStyle w:val="15"/>
              <w:spacing w:line="360" w:lineRule="exact"/>
              <w:ind w:left="1080" w:leftChars="257" w:hanging="540"/>
              <w:rPr>
                <w:rFonts w:hint="eastAsia" w:ascii="微软雅黑" w:hAnsi="微软雅黑" w:eastAsia="微软雅黑" w:cs="微软雅黑"/>
                <w:color w:val="auto"/>
                <w:sz w:val="22"/>
                <w:szCs w:val="22"/>
                <w:highlight w:val="none"/>
              </w:rPr>
            </w:pPr>
          </w:p>
        </w:tc>
        <w:tc>
          <w:tcPr>
            <w:tcW w:w="1547" w:type="dxa"/>
          </w:tcPr>
          <w:p w14:paraId="7AEB3163">
            <w:pPr>
              <w:pStyle w:val="15"/>
              <w:spacing w:line="360" w:lineRule="exact"/>
              <w:ind w:left="1080" w:leftChars="257" w:hanging="540"/>
              <w:rPr>
                <w:rFonts w:hint="eastAsia" w:ascii="微软雅黑" w:hAnsi="微软雅黑" w:eastAsia="微软雅黑" w:cs="微软雅黑"/>
                <w:color w:val="auto"/>
                <w:sz w:val="22"/>
                <w:szCs w:val="22"/>
                <w:highlight w:val="none"/>
              </w:rPr>
            </w:pPr>
          </w:p>
        </w:tc>
        <w:tc>
          <w:tcPr>
            <w:tcW w:w="1153" w:type="dxa"/>
          </w:tcPr>
          <w:p w14:paraId="32C547D2">
            <w:pPr>
              <w:pStyle w:val="15"/>
              <w:spacing w:line="360" w:lineRule="exact"/>
              <w:ind w:left="1080" w:leftChars="257" w:hanging="540"/>
              <w:rPr>
                <w:rFonts w:hint="eastAsia" w:ascii="微软雅黑" w:hAnsi="微软雅黑" w:eastAsia="微软雅黑" w:cs="微软雅黑"/>
                <w:color w:val="auto"/>
                <w:sz w:val="22"/>
                <w:szCs w:val="22"/>
                <w:highlight w:val="none"/>
              </w:rPr>
            </w:pPr>
          </w:p>
        </w:tc>
        <w:tc>
          <w:tcPr>
            <w:tcW w:w="1042" w:type="dxa"/>
          </w:tcPr>
          <w:p w14:paraId="1BDFEE7E">
            <w:pPr>
              <w:pStyle w:val="15"/>
              <w:spacing w:line="360" w:lineRule="exact"/>
              <w:ind w:left="1080" w:leftChars="257" w:hanging="540"/>
              <w:rPr>
                <w:rFonts w:hint="eastAsia" w:ascii="微软雅黑" w:hAnsi="微软雅黑" w:eastAsia="微软雅黑" w:cs="微软雅黑"/>
                <w:color w:val="auto"/>
                <w:sz w:val="22"/>
                <w:szCs w:val="22"/>
                <w:highlight w:val="none"/>
              </w:rPr>
            </w:pPr>
          </w:p>
        </w:tc>
        <w:tc>
          <w:tcPr>
            <w:tcW w:w="1125" w:type="dxa"/>
          </w:tcPr>
          <w:p w14:paraId="2CA4DFB1">
            <w:pPr>
              <w:pStyle w:val="15"/>
              <w:spacing w:line="360" w:lineRule="exact"/>
              <w:ind w:left="1080" w:leftChars="257" w:hanging="540"/>
              <w:rPr>
                <w:rFonts w:hint="eastAsia" w:ascii="微软雅黑" w:hAnsi="微软雅黑" w:eastAsia="微软雅黑" w:cs="微软雅黑"/>
                <w:color w:val="auto"/>
                <w:sz w:val="22"/>
                <w:szCs w:val="22"/>
                <w:highlight w:val="none"/>
              </w:rPr>
            </w:pPr>
          </w:p>
        </w:tc>
        <w:tc>
          <w:tcPr>
            <w:tcW w:w="972" w:type="dxa"/>
          </w:tcPr>
          <w:p w14:paraId="288E3EAD">
            <w:pPr>
              <w:pStyle w:val="15"/>
              <w:spacing w:line="360" w:lineRule="exact"/>
              <w:ind w:left="1080" w:leftChars="257" w:hanging="540"/>
              <w:rPr>
                <w:rFonts w:hint="eastAsia" w:ascii="微软雅黑" w:hAnsi="微软雅黑" w:eastAsia="微软雅黑" w:cs="微软雅黑"/>
                <w:color w:val="auto"/>
                <w:sz w:val="22"/>
                <w:szCs w:val="22"/>
                <w:highlight w:val="none"/>
              </w:rPr>
            </w:pPr>
          </w:p>
        </w:tc>
      </w:tr>
      <w:tr w14:paraId="5AC23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742" w:type="dxa"/>
          </w:tcPr>
          <w:p w14:paraId="211B79A8">
            <w:pPr>
              <w:pStyle w:val="15"/>
              <w:spacing w:line="360" w:lineRule="exact"/>
              <w:ind w:left="1080" w:leftChars="257" w:hanging="540"/>
              <w:rPr>
                <w:rFonts w:hint="eastAsia" w:ascii="微软雅黑" w:hAnsi="微软雅黑" w:eastAsia="微软雅黑" w:cs="微软雅黑"/>
                <w:color w:val="auto"/>
                <w:sz w:val="22"/>
                <w:szCs w:val="22"/>
                <w:highlight w:val="none"/>
              </w:rPr>
            </w:pPr>
          </w:p>
        </w:tc>
        <w:tc>
          <w:tcPr>
            <w:tcW w:w="1751" w:type="dxa"/>
          </w:tcPr>
          <w:p w14:paraId="28F01AD3">
            <w:pPr>
              <w:pStyle w:val="15"/>
              <w:spacing w:line="360" w:lineRule="exact"/>
              <w:ind w:left="1080" w:leftChars="257" w:hanging="540"/>
              <w:rPr>
                <w:rFonts w:hint="eastAsia" w:ascii="微软雅黑" w:hAnsi="微软雅黑" w:eastAsia="微软雅黑" w:cs="微软雅黑"/>
                <w:color w:val="auto"/>
                <w:sz w:val="22"/>
                <w:szCs w:val="22"/>
                <w:highlight w:val="none"/>
              </w:rPr>
            </w:pPr>
          </w:p>
        </w:tc>
        <w:tc>
          <w:tcPr>
            <w:tcW w:w="1463" w:type="dxa"/>
          </w:tcPr>
          <w:p w14:paraId="6B64EF99">
            <w:pPr>
              <w:pStyle w:val="15"/>
              <w:spacing w:line="360" w:lineRule="exact"/>
              <w:ind w:left="1080" w:leftChars="257" w:hanging="540"/>
              <w:rPr>
                <w:rFonts w:hint="eastAsia" w:ascii="微软雅黑" w:hAnsi="微软雅黑" w:eastAsia="微软雅黑" w:cs="微软雅黑"/>
                <w:color w:val="auto"/>
                <w:sz w:val="22"/>
                <w:szCs w:val="22"/>
                <w:highlight w:val="none"/>
              </w:rPr>
            </w:pPr>
          </w:p>
        </w:tc>
        <w:tc>
          <w:tcPr>
            <w:tcW w:w="1547" w:type="dxa"/>
          </w:tcPr>
          <w:p w14:paraId="46FCDC5D">
            <w:pPr>
              <w:pStyle w:val="15"/>
              <w:spacing w:line="360" w:lineRule="exact"/>
              <w:ind w:left="1080" w:leftChars="257" w:hanging="540"/>
              <w:rPr>
                <w:rFonts w:hint="eastAsia" w:ascii="微软雅黑" w:hAnsi="微软雅黑" w:eastAsia="微软雅黑" w:cs="微软雅黑"/>
                <w:color w:val="auto"/>
                <w:sz w:val="22"/>
                <w:szCs w:val="22"/>
                <w:highlight w:val="none"/>
              </w:rPr>
            </w:pPr>
          </w:p>
        </w:tc>
        <w:tc>
          <w:tcPr>
            <w:tcW w:w="1153" w:type="dxa"/>
          </w:tcPr>
          <w:p w14:paraId="555849F8">
            <w:pPr>
              <w:pStyle w:val="15"/>
              <w:spacing w:line="360" w:lineRule="exact"/>
              <w:ind w:left="1080" w:leftChars="257" w:hanging="540"/>
              <w:rPr>
                <w:rFonts w:hint="eastAsia" w:ascii="微软雅黑" w:hAnsi="微软雅黑" w:eastAsia="微软雅黑" w:cs="微软雅黑"/>
                <w:color w:val="auto"/>
                <w:sz w:val="22"/>
                <w:szCs w:val="22"/>
                <w:highlight w:val="none"/>
              </w:rPr>
            </w:pPr>
          </w:p>
        </w:tc>
        <w:tc>
          <w:tcPr>
            <w:tcW w:w="1042" w:type="dxa"/>
          </w:tcPr>
          <w:p w14:paraId="465B9182">
            <w:pPr>
              <w:pStyle w:val="15"/>
              <w:spacing w:line="360" w:lineRule="exact"/>
              <w:ind w:left="1080" w:leftChars="257" w:hanging="540"/>
              <w:rPr>
                <w:rFonts w:hint="eastAsia" w:ascii="微软雅黑" w:hAnsi="微软雅黑" w:eastAsia="微软雅黑" w:cs="微软雅黑"/>
                <w:color w:val="auto"/>
                <w:sz w:val="22"/>
                <w:szCs w:val="22"/>
                <w:highlight w:val="none"/>
              </w:rPr>
            </w:pPr>
          </w:p>
        </w:tc>
        <w:tc>
          <w:tcPr>
            <w:tcW w:w="1125" w:type="dxa"/>
          </w:tcPr>
          <w:p w14:paraId="7D374F08">
            <w:pPr>
              <w:pStyle w:val="15"/>
              <w:spacing w:line="360" w:lineRule="exact"/>
              <w:ind w:left="1080" w:leftChars="257" w:hanging="540"/>
              <w:rPr>
                <w:rFonts w:hint="eastAsia" w:ascii="微软雅黑" w:hAnsi="微软雅黑" w:eastAsia="微软雅黑" w:cs="微软雅黑"/>
                <w:color w:val="auto"/>
                <w:sz w:val="22"/>
                <w:szCs w:val="22"/>
                <w:highlight w:val="none"/>
              </w:rPr>
            </w:pPr>
          </w:p>
        </w:tc>
        <w:tc>
          <w:tcPr>
            <w:tcW w:w="972" w:type="dxa"/>
          </w:tcPr>
          <w:p w14:paraId="70D76F90">
            <w:pPr>
              <w:pStyle w:val="15"/>
              <w:spacing w:line="360" w:lineRule="exact"/>
              <w:ind w:left="1080" w:leftChars="257" w:hanging="540"/>
              <w:rPr>
                <w:rFonts w:hint="eastAsia" w:ascii="微软雅黑" w:hAnsi="微软雅黑" w:eastAsia="微软雅黑" w:cs="微软雅黑"/>
                <w:color w:val="auto"/>
                <w:sz w:val="22"/>
                <w:szCs w:val="22"/>
                <w:highlight w:val="none"/>
              </w:rPr>
            </w:pPr>
          </w:p>
        </w:tc>
      </w:tr>
      <w:tr w14:paraId="31AF2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742" w:type="dxa"/>
          </w:tcPr>
          <w:p w14:paraId="7FE25BFF">
            <w:pPr>
              <w:pStyle w:val="15"/>
              <w:spacing w:line="360" w:lineRule="exact"/>
              <w:ind w:left="1080" w:leftChars="257" w:hanging="540"/>
              <w:rPr>
                <w:rFonts w:hint="eastAsia" w:ascii="微软雅黑" w:hAnsi="微软雅黑" w:eastAsia="微软雅黑" w:cs="微软雅黑"/>
                <w:color w:val="auto"/>
                <w:sz w:val="22"/>
                <w:szCs w:val="22"/>
                <w:highlight w:val="none"/>
              </w:rPr>
            </w:pPr>
          </w:p>
        </w:tc>
        <w:tc>
          <w:tcPr>
            <w:tcW w:w="1751" w:type="dxa"/>
          </w:tcPr>
          <w:p w14:paraId="52587109">
            <w:pPr>
              <w:pStyle w:val="15"/>
              <w:spacing w:line="360" w:lineRule="exact"/>
              <w:ind w:left="1080" w:leftChars="257" w:hanging="540"/>
              <w:rPr>
                <w:rFonts w:hint="eastAsia" w:ascii="微软雅黑" w:hAnsi="微软雅黑" w:eastAsia="微软雅黑" w:cs="微软雅黑"/>
                <w:color w:val="auto"/>
                <w:sz w:val="22"/>
                <w:szCs w:val="22"/>
                <w:highlight w:val="none"/>
              </w:rPr>
            </w:pPr>
          </w:p>
        </w:tc>
        <w:tc>
          <w:tcPr>
            <w:tcW w:w="1463" w:type="dxa"/>
          </w:tcPr>
          <w:p w14:paraId="5976FB0E">
            <w:pPr>
              <w:pStyle w:val="15"/>
              <w:spacing w:line="360" w:lineRule="exact"/>
              <w:ind w:left="1080" w:leftChars="257" w:hanging="540"/>
              <w:rPr>
                <w:rFonts w:hint="eastAsia" w:ascii="微软雅黑" w:hAnsi="微软雅黑" w:eastAsia="微软雅黑" w:cs="微软雅黑"/>
                <w:color w:val="auto"/>
                <w:sz w:val="22"/>
                <w:szCs w:val="22"/>
                <w:highlight w:val="none"/>
              </w:rPr>
            </w:pPr>
          </w:p>
        </w:tc>
        <w:tc>
          <w:tcPr>
            <w:tcW w:w="1547" w:type="dxa"/>
          </w:tcPr>
          <w:p w14:paraId="24407668">
            <w:pPr>
              <w:pStyle w:val="15"/>
              <w:spacing w:line="360" w:lineRule="exact"/>
              <w:ind w:left="1080" w:leftChars="257" w:hanging="540"/>
              <w:rPr>
                <w:rFonts w:hint="eastAsia" w:ascii="微软雅黑" w:hAnsi="微软雅黑" w:eastAsia="微软雅黑" w:cs="微软雅黑"/>
                <w:color w:val="auto"/>
                <w:sz w:val="22"/>
                <w:szCs w:val="22"/>
                <w:highlight w:val="none"/>
              </w:rPr>
            </w:pPr>
          </w:p>
        </w:tc>
        <w:tc>
          <w:tcPr>
            <w:tcW w:w="1153" w:type="dxa"/>
          </w:tcPr>
          <w:p w14:paraId="2BCD00E0">
            <w:pPr>
              <w:pStyle w:val="15"/>
              <w:spacing w:line="360" w:lineRule="exact"/>
              <w:ind w:left="1080" w:leftChars="257" w:hanging="540"/>
              <w:rPr>
                <w:rFonts w:hint="eastAsia" w:ascii="微软雅黑" w:hAnsi="微软雅黑" w:eastAsia="微软雅黑" w:cs="微软雅黑"/>
                <w:color w:val="auto"/>
                <w:sz w:val="22"/>
                <w:szCs w:val="22"/>
                <w:highlight w:val="none"/>
              </w:rPr>
            </w:pPr>
          </w:p>
        </w:tc>
        <w:tc>
          <w:tcPr>
            <w:tcW w:w="1042" w:type="dxa"/>
          </w:tcPr>
          <w:p w14:paraId="62B6A25D">
            <w:pPr>
              <w:pStyle w:val="15"/>
              <w:spacing w:line="360" w:lineRule="exact"/>
              <w:ind w:left="1080" w:leftChars="257" w:hanging="540"/>
              <w:rPr>
                <w:rFonts w:hint="eastAsia" w:ascii="微软雅黑" w:hAnsi="微软雅黑" w:eastAsia="微软雅黑" w:cs="微软雅黑"/>
                <w:color w:val="auto"/>
                <w:sz w:val="22"/>
                <w:szCs w:val="22"/>
                <w:highlight w:val="none"/>
              </w:rPr>
            </w:pPr>
          </w:p>
        </w:tc>
        <w:tc>
          <w:tcPr>
            <w:tcW w:w="1125" w:type="dxa"/>
          </w:tcPr>
          <w:p w14:paraId="512020C7">
            <w:pPr>
              <w:pStyle w:val="15"/>
              <w:spacing w:line="360" w:lineRule="exact"/>
              <w:ind w:left="1080" w:leftChars="257" w:hanging="540"/>
              <w:rPr>
                <w:rFonts w:hint="eastAsia" w:ascii="微软雅黑" w:hAnsi="微软雅黑" w:eastAsia="微软雅黑" w:cs="微软雅黑"/>
                <w:color w:val="auto"/>
                <w:sz w:val="22"/>
                <w:szCs w:val="22"/>
                <w:highlight w:val="none"/>
              </w:rPr>
            </w:pPr>
          </w:p>
        </w:tc>
        <w:tc>
          <w:tcPr>
            <w:tcW w:w="972" w:type="dxa"/>
          </w:tcPr>
          <w:p w14:paraId="46C7F2F5">
            <w:pPr>
              <w:pStyle w:val="15"/>
              <w:spacing w:line="360" w:lineRule="exact"/>
              <w:ind w:left="1080" w:leftChars="257" w:hanging="540"/>
              <w:rPr>
                <w:rFonts w:hint="eastAsia" w:ascii="微软雅黑" w:hAnsi="微软雅黑" w:eastAsia="微软雅黑" w:cs="微软雅黑"/>
                <w:color w:val="auto"/>
                <w:sz w:val="22"/>
                <w:szCs w:val="22"/>
                <w:highlight w:val="none"/>
              </w:rPr>
            </w:pPr>
          </w:p>
        </w:tc>
      </w:tr>
      <w:tr w14:paraId="03A7D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742" w:type="dxa"/>
          </w:tcPr>
          <w:p w14:paraId="78B40195">
            <w:pPr>
              <w:pStyle w:val="15"/>
              <w:spacing w:line="360" w:lineRule="exact"/>
              <w:ind w:left="1080" w:leftChars="257" w:hanging="540"/>
              <w:rPr>
                <w:rFonts w:hint="eastAsia" w:ascii="微软雅黑" w:hAnsi="微软雅黑" w:eastAsia="微软雅黑" w:cs="微软雅黑"/>
                <w:color w:val="auto"/>
                <w:sz w:val="22"/>
                <w:szCs w:val="22"/>
                <w:highlight w:val="none"/>
              </w:rPr>
            </w:pPr>
          </w:p>
        </w:tc>
        <w:tc>
          <w:tcPr>
            <w:tcW w:w="1751" w:type="dxa"/>
          </w:tcPr>
          <w:p w14:paraId="39B22EAC">
            <w:pPr>
              <w:pStyle w:val="15"/>
              <w:spacing w:line="360" w:lineRule="exact"/>
              <w:ind w:left="1080" w:leftChars="257" w:hanging="540"/>
              <w:rPr>
                <w:rFonts w:hint="eastAsia" w:ascii="微软雅黑" w:hAnsi="微软雅黑" w:eastAsia="微软雅黑" w:cs="微软雅黑"/>
                <w:color w:val="auto"/>
                <w:sz w:val="22"/>
                <w:szCs w:val="22"/>
                <w:highlight w:val="none"/>
              </w:rPr>
            </w:pPr>
          </w:p>
        </w:tc>
        <w:tc>
          <w:tcPr>
            <w:tcW w:w="1463" w:type="dxa"/>
          </w:tcPr>
          <w:p w14:paraId="4DC378D1">
            <w:pPr>
              <w:pStyle w:val="15"/>
              <w:spacing w:line="360" w:lineRule="exact"/>
              <w:ind w:left="1080" w:leftChars="257" w:hanging="540"/>
              <w:rPr>
                <w:rFonts w:hint="eastAsia" w:ascii="微软雅黑" w:hAnsi="微软雅黑" w:eastAsia="微软雅黑" w:cs="微软雅黑"/>
                <w:color w:val="auto"/>
                <w:sz w:val="22"/>
                <w:szCs w:val="22"/>
                <w:highlight w:val="none"/>
              </w:rPr>
            </w:pPr>
          </w:p>
        </w:tc>
        <w:tc>
          <w:tcPr>
            <w:tcW w:w="1547" w:type="dxa"/>
          </w:tcPr>
          <w:p w14:paraId="68563879">
            <w:pPr>
              <w:pStyle w:val="15"/>
              <w:spacing w:line="360" w:lineRule="exact"/>
              <w:ind w:left="1080" w:leftChars="257" w:hanging="540"/>
              <w:rPr>
                <w:rFonts w:hint="eastAsia" w:ascii="微软雅黑" w:hAnsi="微软雅黑" w:eastAsia="微软雅黑" w:cs="微软雅黑"/>
                <w:color w:val="auto"/>
                <w:sz w:val="22"/>
                <w:szCs w:val="22"/>
                <w:highlight w:val="none"/>
              </w:rPr>
            </w:pPr>
          </w:p>
        </w:tc>
        <w:tc>
          <w:tcPr>
            <w:tcW w:w="1153" w:type="dxa"/>
          </w:tcPr>
          <w:p w14:paraId="03F00DDC">
            <w:pPr>
              <w:pStyle w:val="15"/>
              <w:spacing w:line="360" w:lineRule="exact"/>
              <w:ind w:left="1080" w:leftChars="257" w:hanging="540"/>
              <w:rPr>
                <w:rFonts w:hint="eastAsia" w:ascii="微软雅黑" w:hAnsi="微软雅黑" w:eastAsia="微软雅黑" w:cs="微软雅黑"/>
                <w:color w:val="auto"/>
                <w:sz w:val="22"/>
                <w:szCs w:val="22"/>
                <w:highlight w:val="none"/>
              </w:rPr>
            </w:pPr>
          </w:p>
        </w:tc>
        <w:tc>
          <w:tcPr>
            <w:tcW w:w="1042" w:type="dxa"/>
          </w:tcPr>
          <w:p w14:paraId="0A4908CF">
            <w:pPr>
              <w:pStyle w:val="15"/>
              <w:spacing w:line="360" w:lineRule="exact"/>
              <w:ind w:left="1080" w:leftChars="257" w:hanging="540"/>
              <w:rPr>
                <w:rFonts w:hint="eastAsia" w:ascii="微软雅黑" w:hAnsi="微软雅黑" w:eastAsia="微软雅黑" w:cs="微软雅黑"/>
                <w:color w:val="auto"/>
                <w:sz w:val="22"/>
                <w:szCs w:val="22"/>
                <w:highlight w:val="none"/>
              </w:rPr>
            </w:pPr>
          </w:p>
        </w:tc>
        <w:tc>
          <w:tcPr>
            <w:tcW w:w="1125" w:type="dxa"/>
          </w:tcPr>
          <w:p w14:paraId="71196824">
            <w:pPr>
              <w:pStyle w:val="15"/>
              <w:spacing w:line="360" w:lineRule="exact"/>
              <w:ind w:left="1080" w:leftChars="257" w:hanging="540"/>
              <w:rPr>
                <w:rFonts w:hint="eastAsia" w:ascii="微软雅黑" w:hAnsi="微软雅黑" w:eastAsia="微软雅黑" w:cs="微软雅黑"/>
                <w:color w:val="auto"/>
                <w:sz w:val="22"/>
                <w:szCs w:val="22"/>
                <w:highlight w:val="none"/>
              </w:rPr>
            </w:pPr>
          </w:p>
        </w:tc>
        <w:tc>
          <w:tcPr>
            <w:tcW w:w="972" w:type="dxa"/>
          </w:tcPr>
          <w:p w14:paraId="03549DBF">
            <w:pPr>
              <w:pStyle w:val="15"/>
              <w:spacing w:line="360" w:lineRule="exact"/>
              <w:ind w:left="1080" w:leftChars="257" w:hanging="540"/>
              <w:rPr>
                <w:rFonts w:hint="eastAsia" w:ascii="微软雅黑" w:hAnsi="微软雅黑" w:eastAsia="微软雅黑" w:cs="微软雅黑"/>
                <w:color w:val="auto"/>
                <w:sz w:val="22"/>
                <w:szCs w:val="22"/>
                <w:highlight w:val="none"/>
              </w:rPr>
            </w:pPr>
          </w:p>
        </w:tc>
      </w:tr>
      <w:tr w14:paraId="52DF0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742" w:type="dxa"/>
          </w:tcPr>
          <w:p w14:paraId="248BBB8D">
            <w:pPr>
              <w:pStyle w:val="15"/>
              <w:spacing w:line="360" w:lineRule="exact"/>
              <w:ind w:left="1080" w:leftChars="257" w:hanging="540"/>
              <w:rPr>
                <w:rFonts w:hint="eastAsia" w:ascii="微软雅黑" w:hAnsi="微软雅黑" w:eastAsia="微软雅黑" w:cs="微软雅黑"/>
                <w:color w:val="auto"/>
                <w:sz w:val="22"/>
                <w:szCs w:val="22"/>
                <w:highlight w:val="none"/>
              </w:rPr>
            </w:pPr>
          </w:p>
        </w:tc>
        <w:tc>
          <w:tcPr>
            <w:tcW w:w="1751" w:type="dxa"/>
          </w:tcPr>
          <w:p w14:paraId="69BF1CA5">
            <w:pPr>
              <w:pStyle w:val="15"/>
              <w:spacing w:line="360" w:lineRule="exact"/>
              <w:ind w:left="1080" w:leftChars="257" w:hanging="540"/>
              <w:rPr>
                <w:rFonts w:hint="eastAsia" w:ascii="微软雅黑" w:hAnsi="微软雅黑" w:eastAsia="微软雅黑" w:cs="微软雅黑"/>
                <w:color w:val="auto"/>
                <w:sz w:val="22"/>
                <w:szCs w:val="22"/>
                <w:highlight w:val="none"/>
              </w:rPr>
            </w:pPr>
          </w:p>
        </w:tc>
        <w:tc>
          <w:tcPr>
            <w:tcW w:w="1463" w:type="dxa"/>
          </w:tcPr>
          <w:p w14:paraId="0E39F16F">
            <w:pPr>
              <w:pStyle w:val="15"/>
              <w:spacing w:line="360" w:lineRule="exact"/>
              <w:ind w:left="1080" w:leftChars="257" w:hanging="540"/>
              <w:rPr>
                <w:rFonts w:hint="eastAsia" w:ascii="微软雅黑" w:hAnsi="微软雅黑" w:eastAsia="微软雅黑" w:cs="微软雅黑"/>
                <w:color w:val="auto"/>
                <w:sz w:val="22"/>
                <w:szCs w:val="22"/>
                <w:highlight w:val="none"/>
              </w:rPr>
            </w:pPr>
          </w:p>
        </w:tc>
        <w:tc>
          <w:tcPr>
            <w:tcW w:w="1547" w:type="dxa"/>
          </w:tcPr>
          <w:p w14:paraId="39A6FCCF">
            <w:pPr>
              <w:pStyle w:val="15"/>
              <w:spacing w:line="360" w:lineRule="exact"/>
              <w:ind w:left="1080" w:leftChars="257" w:hanging="540"/>
              <w:rPr>
                <w:rFonts w:hint="eastAsia" w:ascii="微软雅黑" w:hAnsi="微软雅黑" w:eastAsia="微软雅黑" w:cs="微软雅黑"/>
                <w:color w:val="auto"/>
                <w:sz w:val="22"/>
                <w:szCs w:val="22"/>
                <w:highlight w:val="none"/>
              </w:rPr>
            </w:pPr>
          </w:p>
        </w:tc>
        <w:tc>
          <w:tcPr>
            <w:tcW w:w="1153" w:type="dxa"/>
          </w:tcPr>
          <w:p w14:paraId="51617C79">
            <w:pPr>
              <w:pStyle w:val="15"/>
              <w:spacing w:line="360" w:lineRule="exact"/>
              <w:ind w:left="1080" w:leftChars="257" w:hanging="540"/>
              <w:rPr>
                <w:rFonts w:hint="eastAsia" w:ascii="微软雅黑" w:hAnsi="微软雅黑" w:eastAsia="微软雅黑" w:cs="微软雅黑"/>
                <w:color w:val="auto"/>
                <w:sz w:val="22"/>
                <w:szCs w:val="22"/>
                <w:highlight w:val="none"/>
              </w:rPr>
            </w:pPr>
          </w:p>
        </w:tc>
        <w:tc>
          <w:tcPr>
            <w:tcW w:w="1042" w:type="dxa"/>
          </w:tcPr>
          <w:p w14:paraId="404FF5E9">
            <w:pPr>
              <w:pStyle w:val="15"/>
              <w:spacing w:line="360" w:lineRule="exact"/>
              <w:ind w:left="1080" w:leftChars="257" w:hanging="540"/>
              <w:rPr>
                <w:rFonts w:hint="eastAsia" w:ascii="微软雅黑" w:hAnsi="微软雅黑" w:eastAsia="微软雅黑" w:cs="微软雅黑"/>
                <w:color w:val="auto"/>
                <w:sz w:val="22"/>
                <w:szCs w:val="22"/>
                <w:highlight w:val="none"/>
              </w:rPr>
            </w:pPr>
          </w:p>
        </w:tc>
        <w:tc>
          <w:tcPr>
            <w:tcW w:w="1125" w:type="dxa"/>
          </w:tcPr>
          <w:p w14:paraId="50479562">
            <w:pPr>
              <w:pStyle w:val="15"/>
              <w:spacing w:line="360" w:lineRule="exact"/>
              <w:ind w:left="1080" w:leftChars="257" w:hanging="540"/>
              <w:rPr>
                <w:rFonts w:hint="eastAsia" w:ascii="微软雅黑" w:hAnsi="微软雅黑" w:eastAsia="微软雅黑" w:cs="微软雅黑"/>
                <w:color w:val="auto"/>
                <w:sz w:val="22"/>
                <w:szCs w:val="22"/>
                <w:highlight w:val="none"/>
              </w:rPr>
            </w:pPr>
          </w:p>
        </w:tc>
        <w:tc>
          <w:tcPr>
            <w:tcW w:w="972" w:type="dxa"/>
          </w:tcPr>
          <w:p w14:paraId="10AB8AC5">
            <w:pPr>
              <w:pStyle w:val="15"/>
              <w:spacing w:line="360" w:lineRule="exact"/>
              <w:ind w:left="1080" w:leftChars="257" w:hanging="540"/>
              <w:rPr>
                <w:rFonts w:hint="eastAsia" w:ascii="微软雅黑" w:hAnsi="微软雅黑" w:eastAsia="微软雅黑" w:cs="微软雅黑"/>
                <w:color w:val="auto"/>
                <w:sz w:val="22"/>
                <w:szCs w:val="22"/>
                <w:highlight w:val="none"/>
              </w:rPr>
            </w:pPr>
          </w:p>
        </w:tc>
      </w:tr>
      <w:tr w14:paraId="7D881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742" w:type="dxa"/>
          </w:tcPr>
          <w:p w14:paraId="5DAD7E00">
            <w:pPr>
              <w:pStyle w:val="15"/>
              <w:spacing w:line="360" w:lineRule="exact"/>
              <w:ind w:left="1080" w:leftChars="257" w:hanging="540"/>
              <w:rPr>
                <w:rFonts w:hint="eastAsia" w:ascii="微软雅黑" w:hAnsi="微软雅黑" w:eastAsia="微软雅黑" w:cs="微软雅黑"/>
                <w:color w:val="auto"/>
                <w:sz w:val="22"/>
                <w:szCs w:val="22"/>
                <w:highlight w:val="none"/>
              </w:rPr>
            </w:pPr>
          </w:p>
        </w:tc>
        <w:tc>
          <w:tcPr>
            <w:tcW w:w="1751" w:type="dxa"/>
          </w:tcPr>
          <w:p w14:paraId="056A00A4">
            <w:pPr>
              <w:pStyle w:val="15"/>
              <w:spacing w:line="360" w:lineRule="exact"/>
              <w:ind w:left="1080" w:leftChars="257" w:hanging="540"/>
              <w:rPr>
                <w:rFonts w:hint="eastAsia" w:ascii="微软雅黑" w:hAnsi="微软雅黑" w:eastAsia="微软雅黑" w:cs="微软雅黑"/>
                <w:color w:val="auto"/>
                <w:sz w:val="22"/>
                <w:szCs w:val="22"/>
                <w:highlight w:val="none"/>
              </w:rPr>
            </w:pPr>
          </w:p>
        </w:tc>
        <w:tc>
          <w:tcPr>
            <w:tcW w:w="1463" w:type="dxa"/>
          </w:tcPr>
          <w:p w14:paraId="4F6CBBF3">
            <w:pPr>
              <w:pStyle w:val="15"/>
              <w:spacing w:line="360" w:lineRule="exact"/>
              <w:ind w:left="1080" w:leftChars="257" w:hanging="540"/>
              <w:rPr>
                <w:rFonts w:hint="eastAsia" w:ascii="微软雅黑" w:hAnsi="微软雅黑" w:eastAsia="微软雅黑" w:cs="微软雅黑"/>
                <w:color w:val="auto"/>
                <w:sz w:val="22"/>
                <w:szCs w:val="22"/>
                <w:highlight w:val="none"/>
              </w:rPr>
            </w:pPr>
          </w:p>
        </w:tc>
        <w:tc>
          <w:tcPr>
            <w:tcW w:w="1547" w:type="dxa"/>
          </w:tcPr>
          <w:p w14:paraId="40C7879E">
            <w:pPr>
              <w:pStyle w:val="15"/>
              <w:spacing w:line="360" w:lineRule="exact"/>
              <w:ind w:left="1080" w:leftChars="257" w:hanging="540"/>
              <w:rPr>
                <w:rFonts w:hint="eastAsia" w:ascii="微软雅黑" w:hAnsi="微软雅黑" w:eastAsia="微软雅黑" w:cs="微软雅黑"/>
                <w:color w:val="auto"/>
                <w:sz w:val="22"/>
                <w:szCs w:val="22"/>
                <w:highlight w:val="none"/>
              </w:rPr>
            </w:pPr>
          </w:p>
        </w:tc>
        <w:tc>
          <w:tcPr>
            <w:tcW w:w="1153" w:type="dxa"/>
          </w:tcPr>
          <w:p w14:paraId="45F445E0">
            <w:pPr>
              <w:pStyle w:val="15"/>
              <w:spacing w:line="360" w:lineRule="exact"/>
              <w:ind w:left="1080" w:leftChars="257" w:hanging="540"/>
              <w:rPr>
                <w:rFonts w:hint="eastAsia" w:ascii="微软雅黑" w:hAnsi="微软雅黑" w:eastAsia="微软雅黑" w:cs="微软雅黑"/>
                <w:color w:val="auto"/>
                <w:sz w:val="22"/>
                <w:szCs w:val="22"/>
                <w:highlight w:val="none"/>
              </w:rPr>
            </w:pPr>
          </w:p>
        </w:tc>
        <w:tc>
          <w:tcPr>
            <w:tcW w:w="1042" w:type="dxa"/>
          </w:tcPr>
          <w:p w14:paraId="33B10D77">
            <w:pPr>
              <w:pStyle w:val="15"/>
              <w:spacing w:line="360" w:lineRule="exact"/>
              <w:ind w:left="1080" w:leftChars="257" w:hanging="540"/>
              <w:rPr>
                <w:rFonts w:hint="eastAsia" w:ascii="微软雅黑" w:hAnsi="微软雅黑" w:eastAsia="微软雅黑" w:cs="微软雅黑"/>
                <w:color w:val="auto"/>
                <w:sz w:val="22"/>
                <w:szCs w:val="22"/>
                <w:highlight w:val="none"/>
              </w:rPr>
            </w:pPr>
          </w:p>
        </w:tc>
        <w:tc>
          <w:tcPr>
            <w:tcW w:w="1125" w:type="dxa"/>
          </w:tcPr>
          <w:p w14:paraId="5F326C68">
            <w:pPr>
              <w:pStyle w:val="15"/>
              <w:spacing w:line="360" w:lineRule="exact"/>
              <w:ind w:left="1080" w:leftChars="257" w:hanging="540"/>
              <w:rPr>
                <w:rFonts w:hint="eastAsia" w:ascii="微软雅黑" w:hAnsi="微软雅黑" w:eastAsia="微软雅黑" w:cs="微软雅黑"/>
                <w:color w:val="auto"/>
                <w:sz w:val="22"/>
                <w:szCs w:val="22"/>
                <w:highlight w:val="none"/>
              </w:rPr>
            </w:pPr>
          </w:p>
        </w:tc>
        <w:tc>
          <w:tcPr>
            <w:tcW w:w="972" w:type="dxa"/>
          </w:tcPr>
          <w:p w14:paraId="50D8AD8C">
            <w:pPr>
              <w:pStyle w:val="15"/>
              <w:spacing w:line="360" w:lineRule="exact"/>
              <w:ind w:left="1080" w:leftChars="257" w:hanging="540"/>
              <w:rPr>
                <w:rFonts w:hint="eastAsia" w:ascii="微软雅黑" w:hAnsi="微软雅黑" w:eastAsia="微软雅黑" w:cs="微软雅黑"/>
                <w:color w:val="auto"/>
                <w:sz w:val="22"/>
                <w:szCs w:val="22"/>
                <w:highlight w:val="none"/>
              </w:rPr>
            </w:pPr>
          </w:p>
        </w:tc>
      </w:tr>
      <w:tr w14:paraId="40ED5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742" w:type="dxa"/>
          </w:tcPr>
          <w:p w14:paraId="09E8729B">
            <w:pPr>
              <w:pStyle w:val="15"/>
              <w:spacing w:line="360" w:lineRule="exact"/>
              <w:ind w:left="1080" w:leftChars="257" w:hanging="540"/>
              <w:rPr>
                <w:rFonts w:hint="eastAsia" w:ascii="微软雅黑" w:hAnsi="微软雅黑" w:eastAsia="微软雅黑" w:cs="微软雅黑"/>
                <w:color w:val="auto"/>
                <w:sz w:val="22"/>
                <w:szCs w:val="22"/>
                <w:highlight w:val="none"/>
              </w:rPr>
            </w:pPr>
          </w:p>
        </w:tc>
        <w:tc>
          <w:tcPr>
            <w:tcW w:w="1751" w:type="dxa"/>
          </w:tcPr>
          <w:p w14:paraId="0B1DAEEB">
            <w:pPr>
              <w:pStyle w:val="15"/>
              <w:spacing w:line="360" w:lineRule="exact"/>
              <w:ind w:left="1080" w:leftChars="257" w:hanging="540"/>
              <w:rPr>
                <w:rFonts w:hint="eastAsia" w:ascii="微软雅黑" w:hAnsi="微软雅黑" w:eastAsia="微软雅黑" w:cs="微软雅黑"/>
                <w:color w:val="auto"/>
                <w:sz w:val="22"/>
                <w:szCs w:val="22"/>
                <w:highlight w:val="none"/>
              </w:rPr>
            </w:pPr>
          </w:p>
        </w:tc>
        <w:tc>
          <w:tcPr>
            <w:tcW w:w="1463" w:type="dxa"/>
          </w:tcPr>
          <w:p w14:paraId="4DB87721">
            <w:pPr>
              <w:pStyle w:val="15"/>
              <w:spacing w:line="360" w:lineRule="exact"/>
              <w:ind w:left="1080" w:leftChars="257" w:hanging="540"/>
              <w:rPr>
                <w:rFonts w:hint="eastAsia" w:ascii="微软雅黑" w:hAnsi="微软雅黑" w:eastAsia="微软雅黑" w:cs="微软雅黑"/>
                <w:color w:val="auto"/>
                <w:sz w:val="22"/>
                <w:szCs w:val="22"/>
                <w:highlight w:val="none"/>
              </w:rPr>
            </w:pPr>
          </w:p>
        </w:tc>
        <w:tc>
          <w:tcPr>
            <w:tcW w:w="1547" w:type="dxa"/>
          </w:tcPr>
          <w:p w14:paraId="1F6567BC">
            <w:pPr>
              <w:pStyle w:val="15"/>
              <w:spacing w:line="360" w:lineRule="exact"/>
              <w:ind w:left="1080" w:leftChars="257" w:hanging="540"/>
              <w:rPr>
                <w:rFonts w:hint="eastAsia" w:ascii="微软雅黑" w:hAnsi="微软雅黑" w:eastAsia="微软雅黑" w:cs="微软雅黑"/>
                <w:color w:val="auto"/>
                <w:sz w:val="22"/>
                <w:szCs w:val="22"/>
                <w:highlight w:val="none"/>
              </w:rPr>
            </w:pPr>
          </w:p>
        </w:tc>
        <w:tc>
          <w:tcPr>
            <w:tcW w:w="1153" w:type="dxa"/>
          </w:tcPr>
          <w:p w14:paraId="35D46087">
            <w:pPr>
              <w:pStyle w:val="15"/>
              <w:spacing w:line="360" w:lineRule="exact"/>
              <w:ind w:left="1080" w:leftChars="257" w:hanging="540"/>
              <w:rPr>
                <w:rFonts w:hint="eastAsia" w:ascii="微软雅黑" w:hAnsi="微软雅黑" w:eastAsia="微软雅黑" w:cs="微软雅黑"/>
                <w:color w:val="auto"/>
                <w:sz w:val="22"/>
                <w:szCs w:val="22"/>
                <w:highlight w:val="none"/>
              </w:rPr>
            </w:pPr>
          </w:p>
        </w:tc>
        <w:tc>
          <w:tcPr>
            <w:tcW w:w="1042" w:type="dxa"/>
          </w:tcPr>
          <w:p w14:paraId="72887605">
            <w:pPr>
              <w:pStyle w:val="15"/>
              <w:spacing w:line="360" w:lineRule="exact"/>
              <w:ind w:left="1080" w:leftChars="257" w:hanging="540"/>
              <w:rPr>
                <w:rFonts w:hint="eastAsia" w:ascii="微软雅黑" w:hAnsi="微软雅黑" w:eastAsia="微软雅黑" w:cs="微软雅黑"/>
                <w:color w:val="auto"/>
                <w:sz w:val="22"/>
                <w:szCs w:val="22"/>
                <w:highlight w:val="none"/>
              </w:rPr>
            </w:pPr>
          </w:p>
        </w:tc>
        <w:tc>
          <w:tcPr>
            <w:tcW w:w="1125" w:type="dxa"/>
          </w:tcPr>
          <w:p w14:paraId="28E789A8">
            <w:pPr>
              <w:pStyle w:val="15"/>
              <w:spacing w:line="360" w:lineRule="exact"/>
              <w:ind w:left="1080" w:leftChars="257" w:hanging="540"/>
              <w:rPr>
                <w:rFonts w:hint="eastAsia" w:ascii="微软雅黑" w:hAnsi="微软雅黑" w:eastAsia="微软雅黑" w:cs="微软雅黑"/>
                <w:color w:val="auto"/>
                <w:sz w:val="22"/>
                <w:szCs w:val="22"/>
                <w:highlight w:val="none"/>
              </w:rPr>
            </w:pPr>
          </w:p>
        </w:tc>
        <w:tc>
          <w:tcPr>
            <w:tcW w:w="972" w:type="dxa"/>
          </w:tcPr>
          <w:p w14:paraId="3F7E9253">
            <w:pPr>
              <w:pStyle w:val="15"/>
              <w:spacing w:line="360" w:lineRule="exact"/>
              <w:ind w:left="1080" w:leftChars="257" w:hanging="540"/>
              <w:rPr>
                <w:rFonts w:hint="eastAsia" w:ascii="微软雅黑" w:hAnsi="微软雅黑" w:eastAsia="微软雅黑" w:cs="微软雅黑"/>
                <w:color w:val="auto"/>
                <w:sz w:val="22"/>
                <w:szCs w:val="22"/>
                <w:highlight w:val="none"/>
              </w:rPr>
            </w:pPr>
          </w:p>
        </w:tc>
      </w:tr>
    </w:tbl>
    <w:p w14:paraId="78A7D215">
      <w:pPr>
        <w:pStyle w:val="15"/>
        <w:spacing w:line="360" w:lineRule="exact"/>
        <w:ind w:left="1080" w:leftChars="257" w:hanging="540"/>
        <w:rPr>
          <w:rFonts w:hint="eastAsia" w:ascii="微软雅黑" w:hAnsi="微软雅黑" w:eastAsia="微软雅黑" w:cs="微软雅黑"/>
          <w:color w:val="auto"/>
          <w:sz w:val="22"/>
          <w:szCs w:val="22"/>
          <w:highlight w:val="none"/>
        </w:rPr>
      </w:pPr>
    </w:p>
    <w:p w14:paraId="13311E46">
      <w:pPr>
        <w:pStyle w:val="15"/>
        <w:spacing w:line="400" w:lineRule="exact"/>
        <w:ind w:left="1080" w:leftChars="257" w:hanging="540"/>
        <w:rPr>
          <w:rFonts w:hint="eastAsia" w:ascii="微软雅黑" w:hAnsi="微软雅黑" w:eastAsia="微软雅黑" w:cs="微软雅黑"/>
          <w:color w:val="auto"/>
          <w:sz w:val="22"/>
          <w:szCs w:val="22"/>
          <w:highlight w:val="none"/>
        </w:rPr>
      </w:pPr>
    </w:p>
    <w:p w14:paraId="40C2C8FA">
      <w:pPr>
        <w:pStyle w:val="15"/>
        <w:spacing w:line="400" w:lineRule="exact"/>
        <w:ind w:left="1080" w:leftChars="257" w:hanging="540"/>
        <w:rPr>
          <w:rFonts w:hint="eastAsia" w:ascii="微软雅黑" w:hAnsi="微软雅黑" w:eastAsia="微软雅黑" w:cs="微软雅黑"/>
          <w:color w:val="auto"/>
          <w:sz w:val="22"/>
          <w:szCs w:val="22"/>
          <w:highlight w:val="none"/>
        </w:rPr>
      </w:pPr>
    </w:p>
    <w:p w14:paraId="095925EB">
      <w:pPr>
        <w:pStyle w:val="15"/>
        <w:spacing w:line="400" w:lineRule="exact"/>
        <w:ind w:left="1080" w:leftChars="257" w:hanging="540"/>
        <w:rPr>
          <w:rFonts w:hint="eastAsia" w:ascii="微软雅黑" w:hAnsi="微软雅黑" w:eastAsia="微软雅黑" w:cs="微软雅黑"/>
          <w:color w:val="auto"/>
          <w:sz w:val="22"/>
          <w:szCs w:val="22"/>
          <w:highlight w:val="none"/>
        </w:rPr>
      </w:pPr>
    </w:p>
    <w:p w14:paraId="713CA0C1">
      <w:pPr>
        <w:pStyle w:val="15"/>
        <w:spacing w:line="400" w:lineRule="exact"/>
        <w:ind w:left="1080" w:leftChars="257" w:hanging="540"/>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法定代表人</w:t>
      </w:r>
      <w:r>
        <w:rPr>
          <w:rFonts w:hint="eastAsia" w:ascii="微软雅黑" w:hAnsi="微软雅黑" w:eastAsia="微软雅黑" w:cs="微软雅黑"/>
          <w:color w:val="auto"/>
          <w:sz w:val="22"/>
          <w:szCs w:val="22"/>
          <w:highlight w:val="none"/>
          <w:lang w:eastAsia="zh-CN"/>
        </w:rPr>
        <w:t>或委托代理人</w:t>
      </w:r>
      <w:r>
        <w:rPr>
          <w:rFonts w:hint="eastAsia" w:ascii="微软雅黑" w:hAnsi="微软雅黑" w:eastAsia="微软雅黑" w:cs="微软雅黑"/>
          <w:color w:val="auto"/>
          <w:sz w:val="22"/>
          <w:szCs w:val="22"/>
          <w:highlight w:val="none"/>
        </w:rPr>
        <w:t>（签/章）:</w:t>
      </w:r>
      <w:r>
        <w:rPr>
          <w:rFonts w:hint="eastAsia" w:ascii="微软雅黑" w:hAnsi="微软雅黑" w:eastAsia="微软雅黑" w:cs="微软雅黑"/>
          <w:color w:val="auto"/>
          <w:sz w:val="22"/>
          <w:szCs w:val="22"/>
          <w:highlight w:val="none"/>
          <w:u w:val="single"/>
        </w:rPr>
        <w:t xml:space="preserve"> </w:t>
      </w:r>
      <w:r>
        <w:rPr>
          <w:rFonts w:hint="eastAsia" w:ascii="微软雅黑" w:hAnsi="微软雅黑" w:eastAsia="微软雅黑" w:cs="微软雅黑"/>
          <w:color w:val="auto"/>
          <w:sz w:val="22"/>
          <w:szCs w:val="22"/>
          <w:highlight w:val="none"/>
          <w:u w:val="single"/>
        </w:rPr>
        <w:tab/>
      </w:r>
      <w:r>
        <w:rPr>
          <w:rFonts w:hint="eastAsia" w:ascii="微软雅黑" w:hAnsi="微软雅黑" w:eastAsia="微软雅黑" w:cs="微软雅黑"/>
          <w:color w:val="auto"/>
          <w:sz w:val="22"/>
          <w:szCs w:val="22"/>
          <w:highlight w:val="none"/>
          <w:u w:val="single"/>
        </w:rPr>
        <w:t xml:space="preserve">                 </w:t>
      </w:r>
    </w:p>
    <w:p w14:paraId="27597373">
      <w:pPr>
        <w:pStyle w:val="15"/>
        <w:tabs>
          <w:tab w:val="left" w:pos="5370"/>
        </w:tabs>
        <w:spacing w:line="400" w:lineRule="exact"/>
        <w:ind w:left="1080" w:leftChars="257" w:hanging="540"/>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供应商</w:t>
      </w:r>
      <w:r>
        <w:rPr>
          <w:rFonts w:hint="eastAsia" w:ascii="微软雅黑" w:hAnsi="微软雅黑" w:eastAsia="微软雅黑" w:cs="微软雅黑"/>
          <w:color w:val="auto"/>
          <w:sz w:val="22"/>
          <w:szCs w:val="22"/>
          <w:highlight w:val="none"/>
          <w:lang w:eastAsia="zh-CN"/>
        </w:rPr>
        <w:t>名称</w:t>
      </w:r>
      <w:r>
        <w:rPr>
          <w:rFonts w:hint="eastAsia" w:ascii="微软雅黑" w:hAnsi="微软雅黑" w:eastAsia="微软雅黑" w:cs="微软雅黑"/>
          <w:color w:val="auto"/>
          <w:sz w:val="22"/>
          <w:szCs w:val="22"/>
          <w:highlight w:val="none"/>
        </w:rPr>
        <w:t>(公章):</w:t>
      </w:r>
      <w:r>
        <w:rPr>
          <w:rFonts w:hint="eastAsia" w:ascii="微软雅黑" w:hAnsi="微软雅黑" w:eastAsia="微软雅黑" w:cs="微软雅黑"/>
          <w:color w:val="auto"/>
          <w:sz w:val="22"/>
          <w:szCs w:val="22"/>
          <w:highlight w:val="none"/>
          <w:u w:val="single"/>
        </w:rPr>
        <w:tab/>
      </w:r>
    </w:p>
    <w:p w14:paraId="65A0505C">
      <w:pPr>
        <w:pStyle w:val="15"/>
        <w:spacing w:line="400" w:lineRule="exact"/>
        <w:ind w:left="1080" w:leftChars="257" w:hanging="540"/>
        <w:rPr>
          <w:rFonts w:hint="eastAsia" w:ascii="微软雅黑" w:hAnsi="微软雅黑" w:eastAsia="微软雅黑" w:cs="微软雅黑"/>
          <w:b/>
          <w:bCs/>
          <w:color w:val="auto"/>
          <w:sz w:val="22"/>
          <w:szCs w:val="22"/>
          <w:highlight w:val="none"/>
          <w:lang w:eastAsia="zh-CN"/>
        </w:rPr>
      </w:pPr>
      <w:r>
        <w:rPr>
          <w:rFonts w:hint="eastAsia" w:ascii="微软雅黑" w:hAnsi="微软雅黑" w:eastAsia="微软雅黑" w:cs="微软雅黑"/>
          <w:color w:val="auto"/>
          <w:sz w:val="22"/>
          <w:szCs w:val="22"/>
          <w:highlight w:val="none"/>
        </w:rPr>
        <w:t>注: 各项</w:t>
      </w:r>
      <w:r>
        <w:rPr>
          <w:rFonts w:hint="eastAsia" w:ascii="微软雅黑" w:hAnsi="微软雅黑" w:eastAsia="微软雅黑" w:cs="微软雅黑"/>
          <w:color w:val="auto"/>
          <w:sz w:val="22"/>
          <w:szCs w:val="22"/>
          <w:highlight w:val="none"/>
          <w:lang w:val="en-US" w:eastAsia="zh-CN"/>
        </w:rPr>
        <w:t>货物</w:t>
      </w:r>
      <w:r>
        <w:rPr>
          <w:rFonts w:hint="eastAsia" w:ascii="微软雅黑" w:hAnsi="微软雅黑" w:eastAsia="微软雅黑" w:cs="微软雅黑"/>
          <w:color w:val="auto"/>
          <w:sz w:val="22"/>
          <w:szCs w:val="22"/>
          <w:highlight w:val="none"/>
        </w:rPr>
        <w:t>详细技术性能应另页描述</w:t>
      </w:r>
      <w:r>
        <w:rPr>
          <w:rFonts w:hint="eastAsia" w:ascii="微软雅黑" w:hAnsi="微软雅黑" w:eastAsia="微软雅黑" w:cs="微软雅黑"/>
          <w:color w:val="auto"/>
          <w:sz w:val="22"/>
          <w:szCs w:val="22"/>
          <w:highlight w:val="none"/>
          <w:lang w:eastAsia="zh-CN"/>
        </w:rPr>
        <w:t>。</w:t>
      </w:r>
    </w:p>
    <w:p w14:paraId="4DA7EDDE">
      <w:pPr>
        <w:pStyle w:val="15"/>
        <w:spacing w:line="240" w:lineRule="atLeast"/>
        <w:rPr>
          <w:rFonts w:hint="eastAsia" w:ascii="微软雅黑" w:hAnsi="微软雅黑" w:eastAsia="微软雅黑" w:cs="微软雅黑"/>
          <w:b/>
          <w:bCs/>
          <w:color w:val="auto"/>
          <w:sz w:val="22"/>
          <w:szCs w:val="22"/>
          <w:highlight w:val="none"/>
        </w:rPr>
      </w:pPr>
    </w:p>
    <w:p w14:paraId="100E58D6">
      <w:pPr>
        <w:pStyle w:val="15"/>
        <w:spacing w:line="240" w:lineRule="atLeast"/>
        <w:rPr>
          <w:rFonts w:hint="eastAsia" w:ascii="微软雅黑" w:hAnsi="微软雅黑" w:eastAsia="微软雅黑" w:cs="微软雅黑"/>
          <w:b/>
          <w:bCs/>
          <w:color w:val="auto"/>
          <w:sz w:val="22"/>
          <w:szCs w:val="22"/>
          <w:highlight w:val="none"/>
        </w:rPr>
      </w:pPr>
    </w:p>
    <w:p w14:paraId="40D700CC">
      <w:pPr>
        <w:pStyle w:val="15"/>
        <w:spacing w:line="240" w:lineRule="atLeast"/>
        <w:rPr>
          <w:rFonts w:hint="eastAsia" w:ascii="微软雅黑" w:hAnsi="微软雅黑" w:eastAsia="微软雅黑" w:cs="微软雅黑"/>
          <w:b/>
          <w:bCs/>
          <w:color w:val="auto"/>
          <w:sz w:val="22"/>
          <w:szCs w:val="22"/>
          <w:highlight w:val="none"/>
        </w:rPr>
      </w:pPr>
    </w:p>
    <w:p w14:paraId="28C235FC">
      <w:pPr>
        <w:pStyle w:val="15"/>
        <w:spacing w:line="240" w:lineRule="atLeast"/>
        <w:rPr>
          <w:rFonts w:hint="eastAsia" w:ascii="微软雅黑" w:hAnsi="微软雅黑" w:eastAsia="微软雅黑" w:cs="微软雅黑"/>
          <w:b/>
          <w:bCs/>
          <w:color w:val="auto"/>
          <w:sz w:val="22"/>
          <w:szCs w:val="22"/>
          <w:highlight w:val="none"/>
        </w:rPr>
      </w:pPr>
    </w:p>
    <w:p w14:paraId="3935CC2D">
      <w:pPr>
        <w:pStyle w:val="15"/>
        <w:spacing w:line="240" w:lineRule="atLeast"/>
        <w:rPr>
          <w:rFonts w:hint="eastAsia" w:ascii="微软雅黑" w:hAnsi="微软雅黑" w:eastAsia="微软雅黑" w:cs="微软雅黑"/>
          <w:b/>
          <w:bCs/>
          <w:color w:val="auto"/>
          <w:sz w:val="22"/>
          <w:szCs w:val="22"/>
          <w:highlight w:val="none"/>
        </w:rPr>
      </w:pPr>
    </w:p>
    <w:p w14:paraId="0BBB4FFE">
      <w:pPr>
        <w:pStyle w:val="15"/>
        <w:spacing w:line="240" w:lineRule="atLeast"/>
        <w:rPr>
          <w:rFonts w:hint="eastAsia" w:ascii="微软雅黑" w:hAnsi="微软雅黑" w:eastAsia="微软雅黑" w:cs="微软雅黑"/>
          <w:b/>
          <w:bCs/>
          <w:color w:val="auto"/>
          <w:sz w:val="22"/>
          <w:szCs w:val="22"/>
          <w:highlight w:val="none"/>
        </w:rPr>
      </w:pPr>
    </w:p>
    <w:p w14:paraId="687F77F8">
      <w:pPr>
        <w:rPr>
          <w:rFonts w:hint="eastAsia" w:ascii="微软雅黑" w:hAnsi="微软雅黑" w:eastAsia="微软雅黑" w:cs="微软雅黑"/>
          <w:b/>
          <w:bCs/>
          <w:color w:val="auto"/>
          <w:sz w:val="22"/>
          <w:szCs w:val="22"/>
          <w:highlight w:val="none"/>
        </w:rPr>
      </w:pPr>
      <w:r>
        <w:rPr>
          <w:rFonts w:hint="eastAsia" w:ascii="微软雅黑" w:hAnsi="微软雅黑" w:eastAsia="微软雅黑" w:cs="微软雅黑"/>
          <w:b/>
          <w:bCs/>
          <w:color w:val="auto"/>
          <w:sz w:val="22"/>
          <w:szCs w:val="22"/>
          <w:highlight w:val="none"/>
        </w:rPr>
        <w:br w:type="page"/>
      </w:r>
    </w:p>
    <w:p w14:paraId="3C437091">
      <w:pPr>
        <w:pStyle w:val="15"/>
        <w:spacing w:line="240" w:lineRule="atLeast"/>
        <w:ind w:left="1080" w:leftChars="257" w:hanging="540"/>
        <w:jc w:val="center"/>
        <w:outlineLvl w:val="1"/>
        <w:rPr>
          <w:rFonts w:hint="eastAsia" w:ascii="微软雅黑" w:hAnsi="微软雅黑" w:eastAsia="微软雅黑" w:cs="微软雅黑"/>
          <w:color w:val="auto"/>
          <w:sz w:val="22"/>
          <w:szCs w:val="22"/>
          <w:highlight w:val="none"/>
        </w:rPr>
      </w:pPr>
      <w:bookmarkStart w:id="1542" w:name="_Toc10335"/>
      <w:bookmarkStart w:id="1543" w:name="_Toc2963"/>
      <w:r>
        <w:rPr>
          <w:rFonts w:hint="eastAsia" w:ascii="微软雅黑" w:hAnsi="微软雅黑" w:eastAsia="微软雅黑" w:cs="微软雅黑"/>
          <w:b/>
          <w:bCs/>
          <w:color w:val="auto"/>
          <w:sz w:val="22"/>
          <w:szCs w:val="22"/>
          <w:highlight w:val="none"/>
        </w:rPr>
        <w:t>4</w:t>
      </w:r>
      <w:r>
        <w:rPr>
          <w:rFonts w:hint="eastAsia" w:ascii="微软雅黑" w:hAnsi="微软雅黑" w:eastAsia="微软雅黑" w:cs="微软雅黑"/>
          <w:b/>
          <w:bCs/>
          <w:color w:val="auto"/>
          <w:sz w:val="22"/>
          <w:szCs w:val="22"/>
          <w:highlight w:val="none"/>
          <w:lang w:eastAsia="zh-CN"/>
        </w:rPr>
        <w:t>、</w:t>
      </w:r>
      <w:r>
        <w:rPr>
          <w:rFonts w:hint="eastAsia" w:ascii="微软雅黑" w:hAnsi="微软雅黑" w:eastAsia="微软雅黑" w:cs="微软雅黑"/>
          <w:b/>
          <w:bCs/>
          <w:color w:val="auto"/>
          <w:sz w:val="22"/>
          <w:szCs w:val="22"/>
          <w:highlight w:val="none"/>
          <w:lang w:val="en-US" w:eastAsia="zh-CN"/>
        </w:rPr>
        <w:t>技术</w:t>
      </w:r>
      <w:r>
        <w:rPr>
          <w:rFonts w:hint="eastAsia" w:ascii="微软雅黑" w:hAnsi="微软雅黑" w:eastAsia="微软雅黑" w:cs="微软雅黑"/>
          <w:b/>
          <w:bCs/>
          <w:color w:val="auto"/>
          <w:sz w:val="22"/>
          <w:szCs w:val="22"/>
          <w:highlight w:val="none"/>
        </w:rPr>
        <w:t>规格偏离表</w:t>
      </w:r>
      <w:bookmarkEnd w:id="1542"/>
      <w:bookmarkEnd w:id="1543"/>
    </w:p>
    <w:p w14:paraId="6B46CDCB">
      <w:pPr>
        <w:pStyle w:val="15"/>
        <w:spacing w:line="400" w:lineRule="exact"/>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rPr>
        <w:t xml:space="preserve">项目名称:                       项目编号:                  </w:t>
      </w:r>
      <w:r>
        <w:rPr>
          <w:rFonts w:hint="eastAsia" w:ascii="微软雅黑" w:hAnsi="微软雅黑" w:eastAsia="微软雅黑" w:cs="微软雅黑"/>
          <w:color w:val="auto"/>
          <w:sz w:val="22"/>
          <w:szCs w:val="22"/>
          <w:highlight w:val="none"/>
          <w:lang w:val="en-US" w:eastAsia="zh-CN"/>
        </w:rPr>
        <w:t>标项：（如有）</w:t>
      </w:r>
    </w:p>
    <w:tbl>
      <w:tblPr>
        <w:tblStyle w:val="3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330"/>
        <w:gridCol w:w="2472"/>
        <w:gridCol w:w="1331"/>
        <w:gridCol w:w="1331"/>
        <w:gridCol w:w="950"/>
        <w:gridCol w:w="951"/>
      </w:tblGrid>
      <w:tr w14:paraId="65A4E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875" w:type="dxa"/>
            <w:vAlign w:val="center"/>
          </w:tcPr>
          <w:p w14:paraId="1DD931D9">
            <w:pPr>
              <w:pStyle w:val="15"/>
              <w:spacing w:line="400" w:lineRule="exact"/>
              <w:jc w:val="center"/>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序号</w:t>
            </w:r>
          </w:p>
        </w:tc>
        <w:tc>
          <w:tcPr>
            <w:tcW w:w="1330" w:type="dxa"/>
            <w:vAlign w:val="center"/>
          </w:tcPr>
          <w:p w14:paraId="3A07E773">
            <w:pPr>
              <w:pStyle w:val="15"/>
              <w:spacing w:line="400" w:lineRule="exact"/>
              <w:jc w:val="center"/>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lang w:val="en-US" w:eastAsia="zh-CN"/>
              </w:rPr>
              <w:t>药品</w:t>
            </w:r>
            <w:r>
              <w:rPr>
                <w:rFonts w:hint="eastAsia" w:ascii="微软雅黑" w:hAnsi="微软雅黑" w:eastAsia="微软雅黑" w:cs="微软雅黑"/>
                <w:color w:val="auto"/>
                <w:sz w:val="22"/>
                <w:szCs w:val="22"/>
                <w:highlight w:val="none"/>
              </w:rPr>
              <w:t>名称</w:t>
            </w:r>
          </w:p>
        </w:tc>
        <w:tc>
          <w:tcPr>
            <w:tcW w:w="2472" w:type="dxa"/>
            <w:vAlign w:val="center"/>
          </w:tcPr>
          <w:p w14:paraId="38BF7D86">
            <w:pPr>
              <w:pStyle w:val="15"/>
              <w:spacing w:line="400" w:lineRule="exact"/>
              <w:ind w:left="269" w:leftChars="128"/>
              <w:jc w:val="center"/>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招标文件条款号</w:t>
            </w:r>
          </w:p>
        </w:tc>
        <w:tc>
          <w:tcPr>
            <w:tcW w:w="1331" w:type="dxa"/>
            <w:vAlign w:val="center"/>
          </w:tcPr>
          <w:p w14:paraId="20D742D7">
            <w:pPr>
              <w:pStyle w:val="15"/>
              <w:spacing w:line="400" w:lineRule="exact"/>
              <w:jc w:val="center"/>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招标规格</w:t>
            </w:r>
          </w:p>
        </w:tc>
        <w:tc>
          <w:tcPr>
            <w:tcW w:w="1331" w:type="dxa"/>
            <w:vAlign w:val="center"/>
          </w:tcPr>
          <w:p w14:paraId="4DF02B21">
            <w:pPr>
              <w:pStyle w:val="15"/>
              <w:spacing w:line="400" w:lineRule="exact"/>
              <w:jc w:val="center"/>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投标规格</w:t>
            </w:r>
          </w:p>
        </w:tc>
        <w:tc>
          <w:tcPr>
            <w:tcW w:w="950" w:type="dxa"/>
            <w:vAlign w:val="center"/>
          </w:tcPr>
          <w:p w14:paraId="3FDA4CBF">
            <w:pPr>
              <w:pStyle w:val="15"/>
              <w:spacing w:line="400" w:lineRule="exact"/>
              <w:jc w:val="center"/>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偏离</w:t>
            </w:r>
          </w:p>
        </w:tc>
        <w:tc>
          <w:tcPr>
            <w:tcW w:w="951" w:type="dxa"/>
            <w:vAlign w:val="center"/>
          </w:tcPr>
          <w:p w14:paraId="26766BAD">
            <w:pPr>
              <w:pStyle w:val="15"/>
              <w:spacing w:line="400" w:lineRule="exact"/>
              <w:jc w:val="center"/>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说明</w:t>
            </w:r>
          </w:p>
        </w:tc>
      </w:tr>
      <w:tr w14:paraId="5F593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875" w:type="dxa"/>
          </w:tcPr>
          <w:p w14:paraId="6D8E033A">
            <w:pPr>
              <w:pStyle w:val="15"/>
              <w:spacing w:line="400" w:lineRule="exact"/>
              <w:ind w:left="1080" w:leftChars="257" w:hanging="540"/>
              <w:rPr>
                <w:rFonts w:hint="eastAsia" w:ascii="微软雅黑" w:hAnsi="微软雅黑" w:eastAsia="微软雅黑" w:cs="微软雅黑"/>
                <w:color w:val="auto"/>
                <w:sz w:val="22"/>
                <w:szCs w:val="22"/>
                <w:highlight w:val="none"/>
              </w:rPr>
            </w:pPr>
          </w:p>
        </w:tc>
        <w:tc>
          <w:tcPr>
            <w:tcW w:w="1330" w:type="dxa"/>
          </w:tcPr>
          <w:p w14:paraId="513AE8B3">
            <w:pPr>
              <w:pStyle w:val="15"/>
              <w:spacing w:line="400" w:lineRule="exact"/>
              <w:ind w:left="1080" w:leftChars="257" w:hanging="540"/>
              <w:rPr>
                <w:rFonts w:hint="eastAsia" w:ascii="微软雅黑" w:hAnsi="微软雅黑" w:eastAsia="微软雅黑" w:cs="微软雅黑"/>
                <w:color w:val="auto"/>
                <w:sz w:val="22"/>
                <w:szCs w:val="22"/>
                <w:highlight w:val="none"/>
              </w:rPr>
            </w:pPr>
          </w:p>
        </w:tc>
        <w:tc>
          <w:tcPr>
            <w:tcW w:w="2472" w:type="dxa"/>
          </w:tcPr>
          <w:p w14:paraId="00741FA3">
            <w:pPr>
              <w:pStyle w:val="15"/>
              <w:spacing w:line="400" w:lineRule="exact"/>
              <w:ind w:left="1080" w:leftChars="257" w:hanging="540"/>
              <w:rPr>
                <w:rFonts w:hint="eastAsia" w:ascii="微软雅黑" w:hAnsi="微软雅黑" w:eastAsia="微软雅黑" w:cs="微软雅黑"/>
                <w:color w:val="auto"/>
                <w:sz w:val="22"/>
                <w:szCs w:val="22"/>
                <w:highlight w:val="none"/>
              </w:rPr>
            </w:pPr>
          </w:p>
        </w:tc>
        <w:tc>
          <w:tcPr>
            <w:tcW w:w="1331" w:type="dxa"/>
          </w:tcPr>
          <w:p w14:paraId="4F5D3D98">
            <w:pPr>
              <w:pStyle w:val="15"/>
              <w:spacing w:line="400" w:lineRule="exact"/>
              <w:ind w:left="1080" w:leftChars="257" w:hanging="540"/>
              <w:rPr>
                <w:rFonts w:hint="eastAsia" w:ascii="微软雅黑" w:hAnsi="微软雅黑" w:eastAsia="微软雅黑" w:cs="微软雅黑"/>
                <w:color w:val="auto"/>
                <w:sz w:val="22"/>
                <w:szCs w:val="22"/>
                <w:highlight w:val="none"/>
              </w:rPr>
            </w:pPr>
          </w:p>
        </w:tc>
        <w:tc>
          <w:tcPr>
            <w:tcW w:w="1331" w:type="dxa"/>
          </w:tcPr>
          <w:p w14:paraId="3D411C3B">
            <w:pPr>
              <w:pStyle w:val="15"/>
              <w:spacing w:line="400" w:lineRule="exact"/>
              <w:ind w:left="1080" w:leftChars="257" w:hanging="540"/>
              <w:rPr>
                <w:rFonts w:hint="eastAsia" w:ascii="微软雅黑" w:hAnsi="微软雅黑" w:eastAsia="微软雅黑" w:cs="微软雅黑"/>
                <w:color w:val="auto"/>
                <w:sz w:val="22"/>
                <w:szCs w:val="22"/>
                <w:highlight w:val="none"/>
              </w:rPr>
            </w:pPr>
          </w:p>
        </w:tc>
        <w:tc>
          <w:tcPr>
            <w:tcW w:w="950" w:type="dxa"/>
          </w:tcPr>
          <w:p w14:paraId="58963132">
            <w:pPr>
              <w:pStyle w:val="15"/>
              <w:spacing w:line="400" w:lineRule="exact"/>
              <w:ind w:left="1080" w:leftChars="257" w:hanging="540"/>
              <w:rPr>
                <w:rFonts w:hint="eastAsia" w:ascii="微软雅黑" w:hAnsi="微软雅黑" w:eastAsia="微软雅黑" w:cs="微软雅黑"/>
                <w:color w:val="auto"/>
                <w:sz w:val="22"/>
                <w:szCs w:val="22"/>
                <w:highlight w:val="none"/>
              </w:rPr>
            </w:pPr>
          </w:p>
        </w:tc>
        <w:tc>
          <w:tcPr>
            <w:tcW w:w="951" w:type="dxa"/>
          </w:tcPr>
          <w:p w14:paraId="0712D06F">
            <w:pPr>
              <w:pStyle w:val="15"/>
              <w:spacing w:line="400" w:lineRule="exact"/>
              <w:ind w:left="1080" w:leftChars="257" w:hanging="540"/>
              <w:rPr>
                <w:rFonts w:hint="eastAsia" w:ascii="微软雅黑" w:hAnsi="微软雅黑" w:eastAsia="微软雅黑" w:cs="微软雅黑"/>
                <w:color w:val="auto"/>
                <w:sz w:val="22"/>
                <w:szCs w:val="22"/>
                <w:highlight w:val="none"/>
              </w:rPr>
            </w:pPr>
          </w:p>
        </w:tc>
      </w:tr>
      <w:tr w14:paraId="7B159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875" w:type="dxa"/>
          </w:tcPr>
          <w:p w14:paraId="6484E448">
            <w:pPr>
              <w:pStyle w:val="15"/>
              <w:spacing w:line="400" w:lineRule="exact"/>
              <w:ind w:left="1080" w:leftChars="257" w:hanging="540"/>
              <w:rPr>
                <w:rFonts w:hint="eastAsia" w:ascii="微软雅黑" w:hAnsi="微软雅黑" w:eastAsia="微软雅黑" w:cs="微软雅黑"/>
                <w:color w:val="auto"/>
                <w:sz w:val="22"/>
                <w:szCs w:val="22"/>
                <w:highlight w:val="none"/>
              </w:rPr>
            </w:pPr>
          </w:p>
        </w:tc>
        <w:tc>
          <w:tcPr>
            <w:tcW w:w="1330" w:type="dxa"/>
          </w:tcPr>
          <w:p w14:paraId="6CE32053">
            <w:pPr>
              <w:pStyle w:val="15"/>
              <w:spacing w:line="400" w:lineRule="exact"/>
              <w:ind w:left="1080" w:leftChars="257" w:hanging="540"/>
              <w:rPr>
                <w:rFonts w:hint="eastAsia" w:ascii="微软雅黑" w:hAnsi="微软雅黑" w:eastAsia="微软雅黑" w:cs="微软雅黑"/>
                <w:color w:val="auto"/>
                <w:sz w:val="22"/>
                <w:szCs w:val="22"/>
                <w:highlight w:val="none"/>
              </w:rPr>
            </w:pPr>
          </w:p>
        </w:tc>
        <w:tc>
          <w:tcPr>
            <w:tcW w:w="2472" w:type="dxa"/>
          </w:tcPr>
          <w:p w14:paraId="3F449D68">
            <w:pPr>
              <w:pStyle w:val="15"/>
              <w:spacing w:line="400" w:lineRule="exact"/>
              <w:ind w:left="1080" w:leftChars="257" w:hanging="540"/>
              <w:rPr>
                <w:rFonts w:hint="eastAsia" w:ascii="微软雅黑" w:hAnsi="微软雅黑" w:eastAsia="微软雅黑" w:cs="微软雅黑"/>
                <w:color w:val="auto"/>
                <w:sz w:val="22"/>
                <w:szCs w:val="22"/>
                <w:highlight w:val="none"/>
              </w:rPr>
            </w:pPr>
          </w:p>
        </w:tc>
        <w:tc>
          <w:tcPr>
            <w:tcW w:w="1331" w:type="dxa"/>
          </w:tcPr>
          <w:p w14:paraId="7C9D811E">
            <w:pPr>
              <w:pStyle w:val="15"/>
              <w:spacing w:line="400" w:lineRule="exact"/>
              <w:ind w:left="1080" w:leftChars="257" w:hanging="540"/>
              <w:rPr>
                <w:rFonts w:hint="eastAsia" w:ascii="微软雅黑" w:hAnsi="微软雅黑" w:eastAsia="微软雅黑" w:cs="微软雅黑"/>
                <w:color w:val="auto"/>
                <w:sz w:val="22"/>
                <w:szCs w:val="22"/>
                <w:highlight w:val="none"/>
              </w:rPr>
            </w:pPr>
          </w:p>
        </w:tc>
        <w:tc>
          <w:tcPr>
            <w:tcW w:w="1331" w:type="dxa"/>
          </w:tcPr>
          <w:p w14:paraId="72B1C824">
            <w:pPr>
              <w:pStyle w:val="15"/>
              <w:spacing w:line="400" w:lineRule="exact"/>
              <w:ind w:left="1080" w:leftChars="257" w:hanging="540"/>
              <w:rPr>
                <w:rFonts w:hint="eastAsia" w:ascii="微软雅黑" w:hAnsi="微软雅黑" w:eastAsia="微软雅黑" w:cs="微软雅黑"/>
                <w:color w:val="auto"/>
                <w:sz w:val="22"/>
                <w:szCs w:val="22"/>
                <w:highlight w:val="none"/>
              </w:rPr>
            </w:pPr>
          </w:p>
        </w:tc>
        <w:tc>
          <w:tcPr>
            <w:tcW w:w="950" w:type="dxa"/>
          </w:tcPr>
          <w:p w14:paraId="1E8FA844">
            <w:pPr>
              <w:pStyle w:val="15"/>
              <w:spacing w:line="400" w:lineRule="exact"/>
              <w:ind w:left="1080" w:leftChars="257" w:hanging="540"/>
              <w:rPr>
                <w:rFonts w:hint="eastAsia" w:ascii="微软雅黑" w:hAnsi="微软雅黑" w:eastAsia="微软雅黑" w:cs="微软雅黑"/>
                <w:color w:val="auto"/>
                <w:sz w:val="22"/>
                <w:szCs w:val="22"/>
                <w:highlight w:val="none"/>
              </w:rPr>
            </w:pPr>
          </w:p>
        </w:tc>
        <w:tc>
          <w:tcPr>
            <w:tcW w:w="951" w:type="dxa"/>
          </w:tcPr>
          <w:p w14:paraId="3EA83C28">
            <w:pPr>
              <w:pStyle w:val="15"/>
              <w:spacing w:line="400" w:lineRule="exact"/>
              <w:ind w:left="1080" w:leftChars="257" w:hanging="540"/>
              <w:rPr>
                <w:rFonts w:hint="eastAsia" w:ascii="微软雅黑" w:hAnsi="微软雅黑" w:eastAsia="微软雅黑" w:cs="微软雅黑"/>
                <w:color w:val="auto"/>
                <w:sz w:val="22"/>
                <w:szCs w:val="22"/>
                <w:highlight w:val="none"/>
              </w:rPr>
            </w:pPr>
          </w:p>
        </w:tc>
      </w:tr>
      <w:tr w14:paraId="0B7BB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875" w:type="dxa"/>
          </w:tcPr>
          <w:p w14:paraId="69DF489B">
            <w:pPr>
              <w:pStyle w:val="15"/>
              <w:spacing w:line="400" w:lineRule="exact"/>
              <w:ind w:left="1080" w:leftChars="257" w:hanging="540"/>
              <w:rPr>
                <w:rFonts w:hint="eastAsia" w:ascii="微软雅黑" w:hAnsi="微软雅黑" w:eastAsia="微软雅黑" w:cs="微软雅黑"/>
                <w:color w:val="auto"/>
                <w:sz w:val="22"/>
                <w:szCs w:val="22"/>
                <w:highlight w:val="none"/>
              </w:rPr>
            </w:pPr>
          </w:p>
        </w:tc>
        <w:tc>
          <w:tcPr>
            <w:tcW w:w="1330" w:type="dxa"/>
          </w:tcPr>
          <w:p w14:paraId="70D4B422">
            <w:pPr>
              <w:pStyle w:val="15"/>
              <w:spacing w:line="400" w:lineRule="exact"/>
              <w:ind w:left="1080" w:leftChars="257" w:hanging="540"/>
              <w:rPr>
                <w:rFonts w:hint="eastAsia" w:ascii="微软雅黑" w:hAnsi="微软雅黑" w:eastAsia="微软雅黑" w:cs="微软雅黑"/>
                <w:color w:val="auto"/>
                <w:sz w:val="22"/>
                <w:szCs w:val="22"/>
                <w:highlight w:val="none"/>
              </w:rPr>
            </w:pPr>
          </w:p>
        </w:tc>
        <w:tc>
          <w:tcPr>
            <w:tcW w:w="2472" w:type="dxa"/>
          </w:tcPr>
          <w:p w14:paraId="7286ABAB">
            <w:pPr>
              <w:pStyle w:val="15"/>
              <w:spacing w:line="400" w:lineRule="exact"/>
              <w:ind w:left="1080" w:leftChars="257" w:hanging="540"/>
              <w:rPr>
                <w:rFonts w:hint="eastAsia" w:ascii="微软雅黑" w:hAnsi="微软雅黑" w:eastAsia="微软雅黑" w:cs="微软雅黑"/>
                <w:color w:val="auto"/>
                <w:sz w:val="22"/>
                <w:szCs w:val="22"/>
                <w:highlight w:val="none"/>
              </w:rPr>
            </w:pPr>
          </w:p>
        </w:tc>
        <w:tc>
          <w:tcPr>
            <w:tcW w:w="1331" w:type="dxa"/>
          </w:tcPr>
          <w:p w14:paraId="1DD7F681">
            <w:pPr>
              <w:pStyle w:val="15"/>
              <w:spacing w:line="400" w:lineRule="exact"/>
              <w:ind w:left="1080" w:leftChars="257" w:hanging="540"/>
              <w:rPr>
                <w:rFonts w:hint="eastAsia" w:ascii="微软雅黑" w:hAnsi="微软雅黑" w:eastAsia="微软雅黑" w:cs="微软雅黑"/>
                <w:color w:val="auto"/>
                <w:sz w:val="22"/>
                <w:szCs w:val="22"/>
                <w:highlight w:val="none"/>
              </w:rPr>
            </w:pPr>
          </w:p>
        </w:tc>
        <w:tc>
          <w:tcPr>
            <w:tcW w:w="1331" w:type="dxa"/>
          </w:tcPr>
          <w:p w14:paraId="21F798A6">
            <w:pPr>
              <w:pStyle w:val="15"/>
              <w:spacing w:line="400" w:lineRule="exact"/>
              <w:ind w:left="1080" w:leftChars="257" w:hanging="540"/>
              <w:rPr>
                <w:rFonts w:hint="eastAsia" w:ascii="微软雅黑" w:hAnsi="微软雅黑" w:eastAsia="微软雅黑" w:cs="微软雅黑"/>
                <w:color w:val="auto"/>
                <w:sz w:val="22"/>
                <w:szCs w:val="22"/>
                <w:highlight w:val="none"/>
              </w:rPr>
            </w:pPr>
          </w:p>
        </w:tc>
        <w:tc>
          <w:tcPr>
            <w:tcW w:w="950" w:type="dxa"/>
          </w:tcPr>
          <w:p w14:paraId="5BFA9D4D">
            <w:pPr>
              <w:pStyle w:val="15"/>
              <w:spacing w:line="400" w:lineRule="exact"/>
              <w:ind w:left="1080" w:leftChars="257" w:hanging="540"/>
              <w:rPr>
                <w:rFonts w:hint="eastAsia" w:ascii="微软雅黑" w:hAnsi="微软雅黑" w:eastAsia="微软雅黑" w:cs="微软雅黑"/>
                <w:color w:val="auto"/>
                <w:sz w:val="22"/>
                <w:szCs w:val="22"/>
                <w:highlight w:val="none"/>
              </w:rPr>
            </w:pPr>
          </w:p>
        </w:tc>
        <w:tc>
          <w:tcPr>
            <w:tcW w:w="951" w:type="dxa"/>
          </w:tcPr>
          <w:p w14:paraId="0F961EAB">
            <w:pPr>
              <w:pStyle w:val="15"/>
              <w:spacing w:line="400" w:lineRule="exact"/>
              <w:ind w:left="1080" w:leftChars="257" w:hanging="540"/>
              <w:rPr>
                <w:rFonts w:hint="eastAsia" w:ascii="微软雅黑" w:hAnsi="微软雅黑" w:eastAsia="微软雅黑" w:cs="微软雅黑"/>
                <w:color w:val="auto"/>
                <w:sz w:val="22"/>
                <w:szCs w:val="22"/>
                <w:highlight w:val="none"/>
              </w:rPr>
            </w:pPr>
          </w:p>
        </w:tc>
      </w:tr>
      <w:tr w14:paraId="7090D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875" w:type="dxa"/>
          </w:tcPr>
          <w:p w14:paraId="549CF882">
            <w:pPr>
              <w:pStyle w:val="15"/>
              <w:spacing w:line="400" w:lineRule="exact"/>
              <w:ind w:left="1080" w:leftChars="257" w:hanging="540"/>
              <w:rPr>
                <w:rFonts w:hint="eastAsia" w:ascii="微软雅黑" w:hAnsi="微软雅黑" w:eastAsia="微软雅黑" w:cs="微软雅黑"/>
                <w:color w:val="auto"/>
                <w:sz w:val="22"/>
                <w:szCs w:val="22"/>
                <w:highlight w:val="none"/>
              </w:rPr>
            </w:pPr>
          </w:p>
        </w:tc>
        <w:tc>
          <w:tcPr>
            <w:tcW w:w="1330" w:type="dxa"/>
          </w:tcPr>
          <w:p w14:paraId="7ED78B62">
            <w:pPr>
              <w:pStyle w:val="15"/>
              <w:spacing w:line="400" w:lineRule="exact"/>
              <w:ind w:left="1080" w:leftChars="257" w:hanging="540"/>
              <w:rPr>
                <w:rFonts w:hint="eastAsia" w:ascii="微软雅黑" w:hAnsi="微软雅黑" w:eastAsia="微软雅黑" w:cs="微软雅黑"/>
                <w:color w:val="auto"/>
                <w:sz w:val="22"/>
                <w:szCs w:val="22"/>
                <w:highlight w:val="none"/>
              </w:rPr>
            </w:pPr>
          </w:p>
        </w:tc>
        <w:tc>
          <w:tcPr>
            <w:tcW w:w="2472" w:type="dxa"/>
          </w:tcPr>
          <w:p w14:paraId="7A1D91C0">
            <w:pPr>
              <w:pStyle w:val="15"/>
              <w:spacing w:line="400" w:lineRule="exact"/>
              <w:ind w:left="1080" w:leftChars="257" w:hanging="540"/>
              <w:rPr>
                <w:rFonts w:hint="eastAsia" w:ascii="微软雅黑" w:hAnsi="微软雅黑" w:eastAsia="微软雅黑" w:cs="微软雅黑"/>
                <w:color w:val="auto"/>
                <w:sz w:val="22"/>
                <w:szCs w:val="22"/>
                <w:highlight w:val="none"/>
              </w:rPr>
            </w:pPr>
          </w:p>
        </w:tc>
        <w:tc>
          <w:tcPr>
            <w:tcW w:w="1331" w:type="dxa"/>
          </w:tcPr>
          <w:p w14:paraId="340909BD">
            <w:pPr>
              <w:pStyle w:val="15"/>
              <w:spacing w:line="400" w:lineRule="exact"/>
              <w:ind w:left="1080" w:leftChars="257" w:hanging="540"/>
              <w:rPr>
                <w:rFonts w:hint="eastAsia" w:ascii="微软雅黑" w:hAnsi="微软雅黑" w:eastAsia="微软雅黑" w:cs="微软雅黑"/>
                <w:color w:val="auto"/>
                <w:sz w:val="22"/>
                <w:szCs w:val="22"/>
                <w:highlight w:val="none"/>
              </w:rPr>
            </w:pPr>
          </w:p>
        </w:tc>
        <w:tc>
          <w:tcPr>
            <w:tcW w:w="1331" w:type="dxa"/>
          </w:tcPr>
          <w:p w14:paraId="1BC807D3">
            <w:pPr>
              <w:pStyle w:val="15"/>
              <w:spacing w:line="400" w:lineRule="exact"/>
              <w:ind w:left="1080" w:leftChars="257" w:hanging="540"/>
              <w:rPr>
                <w:rFonts w:hint="eastAsia" w:ascii="微软雅黑" w:hAnsi="微软雅黑" w:eastAsia="微软雅黑" w:cs="微软雅黑"/>
                <w:color w:val="auto"/>
                <w:sz w:val="22"/>
                <w:szCs w:val="22"/>
                <w:highlight w:val="none"/>
              </w:rPr>
            </w:pPr>
          </w:p>
        </w:tc>
        <w:tc>
          <w:tcPr>
            <w:tcW w:w="950" w:type="dxa"/>
          </w:tcPr>
          <w:p w14:paraId="1BEE10E9">
            <w:pPr>
              <w:pStyle w:val="15"/>
              <w:spacing w:line="400" w:lineRule="exact"/>
              <w:ind w:left="1080" w:leftChars="257" w:hanging="540"/>
              <w:rPr>
                <w:rFonts w:hint="eastAsia" w:ascii="微软雅黑" w:hAnsi="微软雅黑" w:eastAsia="微软雅黑" w:cs="微软雅黑"/>
                <w:color w:val="auto"/>
                <w:sz w:val="22"/>
                <w:szCs w:val="22"/>
                <w:highlight w:val="none"/>
              </w:rPr>
            </w:pPr>
          </w:p>
        </w:tc>
        <w:tc>
          <w:tcPr>
            <w:tcW w:w="951" w:type="dxa"/>
          </w:tcPr>
          <w:p w14:paraId="0D17D55F">
            <w:pPr>
              <w:pStyle w:val="15"/>
              <w:spacing w:line="400" w:lineRule="exact"/>
              <w:ind w:left="1080" w:leftChars="257" w:hanging="540"/>
              <w:rPr>
                <w:rFonts w:hint="eastAsia" w:ascii="微软雅黑" w:hAnsi="微软雅黑" w:eastAsia="微软雅黑" w:cs="微软雅黑"/>
                <w:color w:val="auto"/>
                <w:sz w:val="22"/>
                <w:szCs w:val="22"/>
                <w:highlight w:val="none"/>
              </w:rPr>
            </w:pPr>
          </w:p>
        </w:tc>
      </w:tr>
      <w:tr w14:paraId="70D34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875" w:type="dxa"/>
          </w:tcPr>
          <w:p w14:paraId="39FBB6EB">
            <w:pPr>
              <w:pStyle w:val="15"/>
              <w:spacing w:line="400" w:lineRule="exact"/>
              <w:ind w:left="1080" w:leftChars="257" w:hanging="540"/>
              <w:rPr>
                <w:rFonts w:hint="eastAsia" w:ascii="微软雅黑" w:hAnsi="微软雅黑" w:eastAsia="微软雅黑" w:cs="微软雅黑"/>
                <w:color w:val="auto"/>
                <w:sz w:val="22"/>
                <w:szCs w:val="22"/>
                <w:highlight w:val="none"/>
              </w:rPr>
            </w:pPr>
          </w:p>
        </w:tc>
        <w:tc>
          <w:tcPr>
            <w:tcW w:w="1330" w:type="dxa"/>
          </w:tcPr>
          <w:p w14:paraId="215BE39C">
            <w:pPr>
              <w:pStyle w:val="15"/>
              <w:spacing w:line="400" w:lineRule="exact"/>
              <w:ind w:left="1080" w:leftChars="257" w:hanging="540"/>
              <w:rPr>
                <w:rFonts w:hint="eastAsia" w:ascii="微软雅黑" w:hAnsi="微软雅黑" w:eastAsia="微软雅黑" w:cs="微软雅黑"/>
                <w:color w:val="auto"/>
                <w:sz w:val="22"/>
                <w:szCs w:val="22"/>
                <w:highlight w:val="none"/>
              </w:rPr>
            </w:pPr>
          </w:p>
        </w:tc>
        <w:tc>
          <w:tcPr>
            <w:tcW w:w="2472" w:type="dxa"/>
          </w:tcPr>
          <w:p w14:paraId="5AD6A1DB">
            <w:pPr>
              <w:pStyle w:val="15"/>
              <w:spacing w:line="400" w:lineRule="exact"/>
              <w:ind w:left="1080" w:leftChars="257" w:hanging="540"/>
              <w:rPr>
                <w:rFonts w:hint="eastAsia" w:ascii="微软雅黑" w:hAnsi="微软雅黑" w:eastAsia="微软雅黑" w:cs="微软雅黑"/>
                <w:color w:val="auto"/>
                <w:sz w:val="22"/>
                <w:szCs w:val="22"/>
                <w:highlight w:val="none"/>
              </w:rPr>
            </w:pPr>
          </w:p>
        </w:tc>
        <w:tc>
          <w:tcPr>
            <w:tcW w:w="1331" w:type="dxa"/>
          </w:tcPr>
          <w:p w14:paraId="09433686">
            <w:pPr>
              <w:pStyle w:val="15"/>
              <w:spacing w:line="400" w:lineRule="exact"/>
              <w:ind w:left="1080" w:leftChars="257" w:hanging="540"/>
              <w:rPr>
                <w:rFonts w:hint="eastAsia" w:ascii="微软雅黑" w:hAnsi="微软雅黑" w:eastAsia="微软雅黑" w:cs="微软雅黑"/>
                <w:color w:val="auto"/>
                <w:sz w:val="22"/>
                <w:szCs w:val="22"/>
                <w:highlight w:val="none"/>
              </w:rPr>
            </w:pPr>
          </w:p>
        </w:tc>
        <w:tc>
          <w:tcPr>
            <w:tcW w:w="1331" w:type="dxa"/>
          </w:tcPr>
          <w:p w14:paraId="48EF84AB">
            <w:pPr>
              <w:pStyle w:val="15"/>
              <w:spacing w:line="400" w:lineRule="exact"/>
              <w:ind w:left="1080" w:leftChars="257" w:hanging="540"/>
              <w:rPr>
                <w:rFonts w:hint="eastAsia" w:ascii="微软雅黑" w:hAnsi="微软雅黑" w:eastAsia="微软雅黑" w:cs="微软雅黑"/>
                <w:color w:val="auto"/>
                <w:sz w:val="22"/>
                <w:szCs w:val="22"/>
                <w:highlight w:val="none"/>
              </w:rPr>
            </w:pPr>
          </w:p>
        </w:tc>
        <w:tc>
          <w:tcPr>
            <w:tcW w:w="950" w:type="dxa"/>
          </w:tcPr>
          <w:p w14:paraId="78CF1CD5">
            <w:pPr>
              <w:pStyle w:val="15"/>
              <w:spacing w:line="400" w:lineRule="exact"/>
              <w:ind w:left="1080" w:leftChars="257" w:hanging="540"/>
              <w:rPr>
                <w:rFonts w:hint="eastAsia" w:ascii="微软雅黑" w:hAnsi="微软雅黑" w:eastAsia="微软雅黑" w:cs="微软雅黑"/>
                <w:color w:val="auto"/>
                <w:sz w:val="22"/>
                <w:szCs w:val="22"/>
                <w:highlight w:val="none"/>
              </w:rPr>
            </w:pPr>
          </w:p>
        </w:tc>
        <w:tc>
          <w:tcPr>
            <w:tcW w:w="951" w:type="dxa"/>
          </w:tcPr>
          <w:p w14:paraId="06414FC4">
            <w:pPr>
              <w:pStyle w:val="15"/>
              <w:spacing w:line="400" w:lineRule="exact"/>
              <w:ind w:left="1080" w:leftChars="257" w:hanging="540"/>
              <w:rPr>
                <w:rFonts w:hint="eastAsia" w:ascii="微软雅黑" w:hAnsi="微软雅黑" w:eastAsia="微软雅黑" w:cs="微软雅黑"/>
                <w:color w:val="auto"/>
                <w:sz w:val="22"/>
                <w:szCs w:val="22"/>
                <w:highlight w:val="none"/>
              </w:rPr>
            </w:pPr>
          </w:p>
        </w:tc>
      </w:tr>
      <w:tr w14:paraId="37EA7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875" w:type="dxa"/>
          </w:tcPr>
          <w:p w14:paraId="78201B24">
            <w:pPr>
              <w:pStyle w:val="15"/>
              <w:spacing w:line="400" w:lineRule="exact"/>
              <w:ind w:left="1080" w:leftChars="257" w:hanging="540"/>
              <w:rPr>
                <w:rFonts w:hint="eastAsia" w:ascii="微软雅黑" w:hAnsi="微软雅黑" w:eastAsia="微软雅黑" w:cs="微软雅黑"/>
                <w:color w:val="auto"/>
                <w:sz w:val="22"/>
                <w:szCs w:val="22"/>
                <w:highlight w:val="none"/>
              </w:rPr>
            </w:pPr>
          </w:p>
        </w:tc>
        <w:tc>
          <w:tcPr>
            <w:tcW w:w="1330" w:type="dxa"/>
          </w:tcPr>
          <w:p w14:paraId="6526C31F">
            <w:pPr>
              <w:pStyle w:val="15"/>
              <w:spacing w:line="400" w:lineRule="exact"/>
              <w:ind w:left="1080" w:leftChars="257" w:hanging="540"/>
              <w:rPr>
                <w:rFonts w:hint="eastAsia" w:ascii="微软雅黑" w:hAnsi="微软雅黑" w:eastAsia="微软雅黑" w:cs="微软雅黑"/>
                <w:color w:val="auto"/>
                <w:sz w:val="22"/>
                <w:szCs w:val="22"/>
                <w:highlight w:val="none"/>
              </w:rPr>
            </w:pPr>
          </w:p>
        </w:tc>
        <w:tc>
          <w:tcPr>
            <w:tcW w:w="2472" w:type="dxa"/>
          </w:tcPr>
          <w:p w14:paraId="15C8C7C5">
            <w:pPr>
              <w:pStyle w:val="15"/>
              <w:spacing w:line="400" w:lineRule="exact"/>
              <w:ind w:left="1080" w:leftChars="257" w:hanging="540"/>
              <w:rPr>
                <w:rFonts w:hint="eastAsia" w:ascii="微软雅黑" w:hAnsi="微软雅黑" w:eastAsia="微软雅黑" w:cs="微软雅黑"/>
                <w:color w:val="auto"/>
                <w:sz w:val="22"/>
                <w:szCs w:val="22"/>
                <w:highlight w:val="none"/>
              </w:rPr>
            </w:pPr>
          </w:p>
        </w:tc>
        <w:tc>
          <w:tcPr>
            <w:tcW w:w="1331" w:type="dxa"/>
          </w:tcPr>
          <w:p w14:paraId="6E44CE1D">
            <w:pPr>
              <w:pStyle w:val="15"/>
              <w:spacing w:line="400" w:lineRule="exact"/>
              <w:ind w:left="1080" w:leftChars="257" w:hanging="540"/>
              <w:rPr>
                <w:rFonts w:hint="eastAsia" w:ascii="微软雅黑" w:hAnsi="微软雅黑" w:eastAsia="微软雅黑" w:cs="微软雅黑"/>
                <w:color w:val="auto"/>
                <w:sz w:val="22"/>
                <w:szCs w:val="22"/>
                <w:highlight w:val="none"/>
              </w:rPr>
            </w:pPr>
          </w:p>
        </w:tc>
        <w:tc>
          <w:tcPr>
            <w:tcW w:w="1331" w:type="dxa"/>
          </w:tcPr>
          <w:p w14:paraId="69EC3CAD">
            <w:pPr>
              <w:pStyle w:val="15"/>
              <w:spacing w:line="400" w:lineRule="exact"/>
              <w:ind w:left="1080" w:leftChars="257" w:hanging="540"/>
              <w:rPr>
                <w:rFonts w:hint="eastAsia" w:ascii="微软雅黑" w:hAnsi="微软雅黑" w:eastAsia="微软雅黑" w:cs="微软雅黑"/>
                <w:color w:val="auto"/>
                <w:sz w:val="22"/>
                <w:szCs w:val="22"/>
                <w:highlight w:val="none"/>
              </w:rPr>
            </w:pPr>
          </w:p>
        </w:tc>
        <w:tc>
          <w:tcPr>
            <w:tcW w:w="950" w:type="dxa"/>
          </w:tcPr>
          <w:p w14:paraId="1EA30220">
            <w:pPr>
              <w:pStyle w:val="15"/>
              <w:spacing w:line="400" w:lineRule="exact"/>
              <w:ind w:left="1080" w:leftChars="257" w:hanging="540"/>
              <w:rPr>
                <w:rFonts w:hint="eastAsia" w:ascii="微软雅黑" w:hAnsi="微软雅黑" w:eastAsia="微软雅黑" w:cs="微软雅黑"/>
                <w:color w:val="auto"/>
                <w:sz w:val="22"/>
                <w:szCs w:val="22"/>
                <w:highlight w:val="none"/>
              </w:rPr>
            </w:pPr>
          </w:p>
        </w:tc>
        <w:tc>
          <w:tcPr>
            <w:tcW w:w="951" w:type="dxa"/>
          </w:tcPr>
          <w:p w14:paraId="7193276B">
            <w:pPr>
              <w:pStyle w:val="15"/>
              <w:spacing w:line="400" w:lineRule="exact"/>
              <w:ind w:left="1080" w:leftChars="257" w:hanging="540"/>
              <w:rPr>
                <w:rFonts w:hint="eastAsia" w:ascii="微软雅黑" w:hAnsi="微软雅黑" w:eastAsia="微软雅黑" w:cs="微软雅黑"/>
                <w:color w:val="auto"/>
                <w:sz w:val="22"/>
                <w:szCs w:val="22"/>
                <w:highlight w:val="none"/>
              </w:rPr>
            </w:pPr>
          </w:p>
        </w:tc>
      </w:tr>
      <w:tr w14:paraId="58E1A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jc w:val="center"/>
        </w:trPr>
        <w:tc>
          <w:tcPr>
            <w:tcW w:w="875" w:type="dxa"/>
          </w:tcPr>
          <w:p w14:paraId="7D01F254">
            <w:pPr>
              <w:pStyle w:val="15"/>
              <w:spacing w:line="400" w:lineRule="exact"/>
              <w:ind w:left="1080" w:leftChars="257" w:hanging="540"/>
              <w:rPr>
                <w:rFonts w:hint="eastAsia" w:ascii="微软雅黑" w:hAnsi="微软雅黑" w:eastAsia="微软雅黑" w:cs="微软雅黑"/>
                <w:color w:val="auto"/>
                <w:sz w:val="22"/>
                <w:szCs w:val="22"/>
                <w:highlight w:val="none"/>
              </w:rPr>
            </w:pPr>
          </w:p>
        </w:tc>
        <w:tc>
          <w:tcPr>
            <w:tcW w:w="1330" w:type="dxa"/>
          </w:tcPr>
          <w:p w14:paraId="2BE19200">
            <w:pPr>
              <w:pStyle w:val="15"/>
              <w:spacing w:line="400" w:lineRule="exact"/>
              <w:ind w:left="1080" w:leftChars="257" w:hanging="540"/>
              <w:rPr>
                <w:rFonts w:hint="eastAsia" w:ascii="微软雅黑" w:hAnsi="微软雅黑" w:eastAsia="微软雅黑" w:cs="微软雅黑"/>
                <w:color w:val="auto"/>
                <w:sz w:val="22"/>
                <w:szCs w:val="22"/>
                <w:highlight w:val="none"/>
              </w:rPr>
            </w:pPr>
          </w:p>
        </w:tc>
        <w:tc>
          <w:tcPr>
            <w:tcW w:w="2472" w:type="dxa"/>
          </w:tcPr>
          <w:p w14:paraId="0F217C11">
            <w:pPr>
              <w:pStyle w:val="15"/>
              <w:spacing w:line="400" w:lineRule="exact"/>
              <w:ind w:left="1080" w:leftChars="257" w:hanging="540"/>
              <w:rPr>
                <w:rFonts w:hint="eastAsia" w:ascii="微软雅黑" w:hAnsi="微软雅黑" w:eastAsia="微软雅黑" w:cs="微软雅黑"/>
                <w:color w:val="auto"/>
                <w:sz w:val="22"/>
                <w:szCs w:val="22"/>
                <w:highlight w:val="none"/>
              </w:rPr>
            </w:pPr>
          </w:p>
        </w:tc>
        <w:tc>
          <w:tcPr>
            <w:tcW w:w="1331" w:type="dxa"/>
          </w:tcPr>
          <w:p w14:paraId="5016925B">
            <w:pPr>
              <w:pStyle w:val="15"/>
              <w:spacing w:line="400" w:lineRule="exact"/>
              <w:ind w:left="1080" w:leftChars="257" w:hanging="540"/>
              <w:rPr>
                <w:rFonts w:hint="eastAsia" w:ascii="微软雅黑" w:hAnsi="微软雅黑" w:eastAsia="微软雅黑" w:cs="微软雅黑"/>
                <w:color w:val="auto"/>
                <w:sz w:val="22"/>
                <w:szCs w:val="22"/>
                <w:highlight w:val="none"/>
              </w:rPr>
            </w:pPr>
          </w:p>
        </w:tc>
        <w:tc>
          <w:tcPr>
            <w:tcW w:w="1331" w:type="dxa"/>
          </w:tcPr>
          <w:p w14:paraId="7B1B8F09">
            <w:pPr>
              <w:pStyle w:val="15"/>
              <w:spacing w:line="400" w:lineRule="exact"/>
              <w:ind w:left="1080" w:leftChars="257" w:hanging="540"/>
              <w:rPr>
                <w:rFonts w:hint="eastAsia" w:ascii="微软雅黑" w:hAnsi="微软雅黑" w:eastAsia="微软雅黑" w:cs="微软雅黑"/>
                <w:color w:val="auto"/>
                <w:sz w:val="22"/>
                <w:szCs w:val="22"/>
                <w:highlight w:val="none"/>
              </w:rPr>
            </w:pPr>
          </w:p>
        </w:tc>
        <w:tc>
          <w:tcPr>
            <w:tcW w:w="950" w:type="dxa"/>
          </w:tcPr>
          <w:p w14:paraId="5D647496">
            <w:pPr>
              <w:pStyle w:val="15"/>
              <w:spacing w:line="400" w:lineRule="exact"/>
              <w:ind w:left="1080" w:leftChars="257" w:hanging="540"/>
              <w:rPr>
                <w:rFonts w:hint="eastAsia" w:ascii="微软雅黑" w:hAnsi="微软雅黑" w:eastAsia="微软雅黑" w:cs="微软雅黑"/>
                <w:color w:val="auto"/>
                <w:sz w:val="22"/>
                <w:szCs w:val="22"/>
                <w:highlight w:val="none"/>
              </w:rPr>
            </w:pPr>
          </w:p>
        </w:tc>
        <w:tc>
          <w:tcPr>
            <w:tcW w:w="951" w:type="dxa"/>
          </w:tcPr>
          <w:p w14:paraId="3DD20EC6">
            <w:pPr>
              <w:pStyle w:val="15"/>
              <w:spacing w:line="400" w:lineRule="exact"/>
              <w:ind w:left="1080" w:leftChars="257" w:hanging="540"/>
              <w:rPr>
                <w:rFonts w:hint="eastAsia" w:ascii="微软雅黑" w:hAnsi="微软雅黑" w:eastAsia="微软雅黑" w:cs="微软雅黑"/>
                <w:color w:val="auto"/>
                <w:sz w:val="22"/>
                <w:szCs w:val="22"/>
                <w:highlight w:val="none"/>
              </w:rPr>
            </w:pPr>
          </w:p>
        </w:tc>
      </w:tr>
    </w:tbl>
    <w:p w14:paraId="551F4CB3">
      <w:pPr>
        <w:pStyle w:val="15"/>
        <w:spacing w:line="400" w:lineRule="exact"/>
        <w:ind w:left="1080" w:leftChars="257" w:hanging="540"/>
        <w:rPr>
          <w:rFonts w:hint="eastAsia" w:ascii="微软雅黑" w:hAnsi="微软雅黑" w:eastAsia="微软雅黑" w:cs="微软雅黑"/>
          <w:color w:val="auto"/>
          <w:sz w:val="22"/>
          <w:szCs w:val="22"/>
          <w:highlight w:val="none"/>
        </w:rPr>
      </w:pPr>
    </w:p>
    <w:p w14:paraId="14B97561">
      <w:pPr>
        <w:pStyle w:val="15"/>
        <w:spacing w:line="400" w:lineRule="exact"/>
        <w:ind w:left="1080" w:leftChars="257" w:hanging="540"/>
        <w:rPr>
          <w:rFonts w:hint="eastAsia" w:ascii="微软雅黑" w:hAnsi="微软雅黑" w:eastAsia="微软雅黑" w:cs="微软雅黑"/>
          <w:color w:val="auto"/>
          <w:sz w:val="22"/>
          <w:szCs w:val="22"/>
          <w:highlight w:val="none"/>
        </w:rPr>
      </w:pPr>
    </w:p>
    <w:p w14:paraId="573024C2">
      <w:pPr>
        <w:pStyle w:val="15"/>
        <w:spacing w:line="400" w:lineRule="exact"/>
        <w:ind w:left="1080" w:leftChars="257" w:hanging="540"/>
        <w:rPr>
          <w:rFonts w:hint="eastAsia" w:ascii="微软雅黑" w:hAnsi="微软雅黑" w:eastAsia="微软雅黑" w:cs="微软雅黑"/>
          <w:color w:val="auto"/>
          <w:sz w:val="22"/>
          <w:szCs w:val="22"/>
          <w:highlight w:val="none"/>
        </w:rPr>
      </w:pPr>
    </w:p>
    <w:p w14:paraId="47398D18">
      <w:pPr>
        <w:pStyle w:val="15"/>
        <w:spacing w:line="400" w:lineRule="exact"/>
        <w:ind w:left="1080" w:leftChars="257" w:hanging="540"/>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法定代表人</w:t>
      </w:r>
      <w:r>
        <w:rPr>
          <w:rFonts w:hint="eastAsia" w:ascii="微软雅黑" w:hAnsi="微软雅黑" w:eastAsia="微软雅黑" w:cs="微软雅黑"/>
          <w:color w:val="auto"/>
          <w:sz w:val="22"/>
          <w:szCs w:val="22"/>
          <w:highlight w:val="none"/>
          <w:lang w:eastAsia="zh-CN"/>
        </w:rPr>
        <w:t>或委托代理人</w:t>
      </w:r>
      <w:r>
        <w:rPr>
          <w:rFonts w:hint="eastAsia" w:ascii="微软雅黑" w:hAnsi="微软雅黑" w:eastAsia="微软雅黑" w:cs="微软雅黑"/>
          <w:color w:val="auto"/>
          <w:sz w:val="22"/>
          <w:szCs w:val="22"/>
          <w:highlight w:val="none"/>
        </w:rPr>
        <w:t>（签/章）:</w:t>
      </w:r>
      <w:r>
        <w:rPr>
          <w:rFonts w:hint="eastAsia" w:ascii="微软雅黑" w:hAnsi="微软雅黑" w:eastAsia="微软雅黑" w:cs="微软雅黑"/>
          <w:color w:val="auto"/>
          <w:sz w:val="22"/>
          <w:szCs w:val="22"/>
          <w:highlight w:val="none"/>
          <w:u w:val="single"/>
        </w:rPr>
        <w:t xml:space="preserve"> </w:t>
      </w:r>
      <w:r>
        <w:rPr>
          <w:rFonts w:hint="eastAsia" w:ascii="微软雅黑" w:hAnsi="微软雅黑" w:eastAsia="微软雅黑" w:cs="微软雅黑"/>
          <w:color w:val="auto"/>
          <w:sz w:val="22"/>
          <w:szCs w:val="22"/>
          <w:highlight w:val="none"/>
          <w:u w:val="single"/>
        </w:rPr>
        <w:tab/>
      </w:r>
      <w:r>
        <w:rPr>
          <w:rFonts w:hint="eastAsia" w:ascii="微软雅黑" w:hAnsi="微软雅黑" w:eastAsia="微软雅黑" w:cs="微软雅黑"/>
          <w:color w:val="auto"/>
          <w:sz w:val="22"/>
          <w:szCs w:val="22"/>
          <w:highlight w:val="none"/>
          <w:u w:val="single"/>
        </w:rPr>
        <w:t xml:space="preserve">                 </w:t>
      </w:r>
    </w:p>
    <w:p w14:paraId="5E8392AC">
      <w:pPr>
        <w:pStyle w:val="15"/>
        <w:tabs>
          <w:tab w:val="left" w:pos="5370"/>
        </w:tabs>
        <w:spacing w:line="400" w:lineRule="exact"/>
        <w:ind w:left="1080" w:leftChars="257" w:hanging="540"/>
        <w:rPr>
          <w:rFonts w:hint="eastAsia" w:ascii="微软雅黑" w:hAnsi="微软雅黑" w:eastAsia="微软雅黑" w:cs="微软雅黑"/>
          <w:color w:val="auto"/>
          <w:sz w:val="22"/>
          <w:szCs w:val="22"/>
          <w:highlight w:val="none"/>
          <w:u w:val="single"/>
        </w:rPr>
      </w:pPr>
      <w:r>
        <w:rPr>
          <w:rFonts w:hint="eastAsia" w:ascii="微软雅黑" w:hAnsi="微软雅黑" w:eastAsia="微软雅黑" w:cs="微软雅黑"/>
          <w:color w:val="auto"/>
          <w:sz w:val="22"/>
          <w:szCs w:val="22"/>
          <w:highlight w:val="none"/>
        </w:rPr>
        <w:t>供应商</w:t>
      </w:r>
      <w:r>
        <w:rPr>
          <w:rFonts w:hint="eastAsia" w:ascii="微软雅黑" w:hAnsi="微软雅黑" w:eastAsia="微软雅黑" w:cs="微软雅黑"/>
          <w:color w:val="auto"/>
          <w:sz w:val="22"/>
          <w:szCs w:val="22"/>
          <w:highlight w:val="none"/>
          <w:lang w:eastAsia="zh-CN"/>
        </w:rPr>
        <w:t>名称</w:t>
      </w:r>
      <w:r>
        <w:rPr>
          <w:rFonts w:hint="eastAsia" w:ascii="微软雅黑" w:hAnsi="微软雅黑" w:eastAsia="微软雅黑" w:cs="微软雅黑"/>
          <w:color w:val="auto"/>
          <w:sz w:val="22"/>
          <w:szCs w:val="22"/>
          <w:highlight w:val="none"/>
        </w:rPr>
        <w:t>(公章):</w:t>
      </w:r>
      <w:r>
        <w:rPr>
          <w:rFonts w:hint="eastAsia" w:ascii="微软雅黑" w:hAnsi="微软雅黑" w:eastAsia="微软雅黑" w:cs="微软雅黑"/>
          <w:color w:val="auto"/>
          <w:sz w:val="22"/>
          <w:szCs w:val="22"/>
          <w:highlight w:val="none"/>
          <w:u w:val="single"/>
        </w:rPr>
        <w:tab/>
      </w:r>
      <w:bookmarkEnd w:id="1534"/>
      <w:bookmarkEnd w:id="1535"/>
      <w:bookmarkEnd w:id="1536"/>
      <w:bookmarkEnd w:id="1537"/>
      <w:bookmarkStart w:id="1544" w:name="_Toc1980"/>
      <w:bookmarkStart w:id="1545" w:name="_Toc23"/>
      <w:bookmarkStart w:id="1546" w:name="_Toc515647821"/>
      <w:bookmarkStart w:id="1547" w:name="_Toc216582818"/>
      <w:bookmarkStart w:id="1548" w:name="_Toc31439"/>
    </w:p>
    <w:p w14:paraId="58C6BEE8">
      <w:pPr>
        <w:pStyle w:val="15"/>
        <w:tabs>
          <w:tab w:val="left" w:pos="5370"/>
        </w:tabs>
        <w:spacing w:line="400" w:lineRule="exact"/>
        <w:ind w:left="1080" w:leftChars="257" w:hanging="540"/>
        <w:rPr>
          <w:rFonts w:hint="eastAsia" w:ascii="微软雅黑" w:hAnsi="微软雅黑" w:eastAsia="微软雅黑" w:cs="微软雅黑"/>
          <w:color w:val="auto"/>
          <w:sz w:val="22"/>
          <w:szCs w:val="22"/>
          <w:highlight w:val="none"/>
          <w:u w:val="single"/>
        </w:rPr>
      </w:pPr>
    </w:p>
    <w:p w14:paraId="58498F23">
      <w:pPr>
        <w:pStyle w:val="15"/>
        <w:tabs>
          <w:tab w:val="left" w:pos="5370"/>
        </w:tabs>
        <w:spacing w:line="400" w:lineRule="exact"/>
        <w:ind w:left="1080" w:leftChars="257" w:hanging="540"/>
        <w:rPr>
          <w:rFonts w:hint="eastAsia" w:ascii="微软雅黑" w:hAnsi="微软雅黑" w:eastAsia="微软雅黑" w:cs="微软雅黑"/>
          <w:color w:val="auto"/>
          <w:sz w:val="22"/>
          <w:szCs w:val="22"/>
          <w:highlight w:val="none"/>
          <w:u w:val="single"/>
        </w:rPr>
      </w:pPr>
    </w:p>
    <w:p w14:paraId="723C9C6C">
      <w:pPr>
        <w:pStyle w:val="15"/>
        <w:tabs>
          <w:tab w:val="left" w:pos="5370"/>
        </w:tabs>
        <w:spacing w:line="400" w:lineRule="exact"/>
        <w:ind w:left="1080" w:leftChars="257" w:hanging="540"/>
        <w:rPr>
          <w:rFonts w:hint="eastAsia" w:ascii="微软雅黑" w:hAnsi="微软雅黑" w:eastAsia="微软雅黑" w:cs="微软雅黑"/>
          <w:color w:val="auto"/>
          <w:sz w:val="22"/>
          <w:szCs w:val="22"/>
          <w:highlight w:val="none"/>
          <w:u w:val="single"/>
        </w:rPr>
      </w:pPr>
    </w:p>
    <w:p w14:paraId="5BB25585">
      <w:pPr>
        <w:pStyle w:val="15"/>
        <w:tabs>
          <w:tab w:val="left" w:pos="5370"/>
        </w:tabs>
        <w:spacing w:line="400" w:lineRule="exact"/>
        <w:ind w:left="1080" w:leftChars="257" w:hanging="540"/>
        <w:rPr>
          <w:rFonts w:hint="eastAsia" w:ascii="微软雅黑" w:hAnsi="微软雅黑" w:eastAsia="微软雅黑" w:cs="微软雅黑"/>
          <w:color w:val="auto"/>
          <w:sz w:val="22"/>
          <w:szCs w:val="22"/>
          <w:highlight w:val="none"/>
          <w:u w:val="single"/>
        </w:rPr>
      </w:pPr>
    </w:p>
    <w:p w14:paraId="127A5086">
      <w:pPr>
        <w:pStyle w:val="15"/>
        <w:tabs>
          <w:tab w:val="left" w:pos="5370"/>
        </w:tabs>
        <w:spacing w:line="400" w:lineRule="exact"/>
        <w:ind w:left="1080" w:leftChars="257" w:hanging="540"/>
        <w:rPr>
          <w:rFonts w:hint="eastAsia" w:ascii="微软雅黑" w:hAnsi="微软雅黑" w:eastAsia="微软雅黑" w:cs="微软雅黑"/>
          <w:color w:val="auto"/>
          <w:sz w:val="22"/>
          <w:szCs w:val="22"/>
          <w:highlight w:val="none"/>
          <w:u w:val="single"/>
        </w:rPr>
      </w:pPr>
    </w:p>
    <w:p w14:paraId="466D517E">
      <w:pPr>
        <w:pStyle w:val="15"/>
        <w:tabs>
          <w:tab w:val="left" w:pos="5370"/>
        </w:tabs>
        <w:spacing w:line="400" w:lineRule="exact"/>
        <w:ind w:left="1080" w:leftChars="257" w:hanging="540"/>
        <w:rPr>
          <w:rFonts w:hint="eastAsia" w:ascii="微软雅黑" w:hAnsi="微软雅黑" w:eastAsia="微软雅黑" w:cs="微软雅黑"/>
          <w:color w:val="auto"/>
          <w:sz w:val="22"/>
          <w:szCs w:val="22"/>
          <w:highlight w:val="none"/>
          <w:u w:val="single"/>
        </w:rPr>
      </w:pPr>
    </w:p>
    <w:p w14:paraId="725CE723">
      <w:pPr>
        <w:pStyle w:val="15"/>
        <w:tabs>
          <w:tab w:val="left" w:pos="5370"/>
        </w:tabs>
        <w:spacing w:line="400" w:lineRule="exact"/>
        <w:ind w:left="1080" w:leftChars="257" w:hanging="540"/>
        <w:rPr>
          <w:rFonts w:hint="eastAsia" w:ascii="微软雅黑" w:hAnsi="微软雅黑" w:eastAsia="微软雅黑" w:cs="微软雅黑"/>
          <w:color w:val="auto"/>
          <w:sz w:val="22"/>
          <w:szCs w:val="22"/>
          <w:highlight w:val="none"/>
          <w:u w:val="single"/>
        </w:rPr>
      </w:pPr>
    </w:p>
    <w:p w14:paraId="09F2C686">
      <w:pPr>
        <w:pStyle w:val="15"/>
        <w:tabs>
          <w:tab w:val="left" w:pos="5370"/>
        </w:tabs>
        <w:spacing w:line="400" w:lineRule="exact"/>
        <w:ind w:left="1080" w:leftChars="257" w:hanging="540"/>
        <w:rPr>
          <w:rFonts w:hint="eastAsia" w:ascii="微软雅黑" w:hAnsi="微软雅黑" w:eastAsia="微软雅黑" w:cs="微软雅黑"/>
          <w:color w:val="auto"/>
          <w:sz w:val="22"/>
          <w:szCs w:val="22"/>
          <w:highlight w:val="none"/>
          <w:u w:val="single"/>
        </w:rPr>
      </w:pPr>
    </w:p>
    <w:p w14:paraId="04E94339">
      <w:pPr>
        <w:rPr>
          <w:rFonts w:hint="eastAsia" w:ascii="微软雅黑" w:hAnsi="微软雅黑" w:eastAsia="微软雅黑" w:cs="微软雅黑"/>
          <w:color w:val="auto"/>
          <w:sz w:val="22"/>
          <w:szCs w:val="22"/>
          <w:highlight w:val="none"/>
        </w:rPr>
      </w:pPr>
      <w:bookmarkStart w:id="1549" w:name="_Toc12914"/>
      <w:bookmarkStart w:id="1550" w:name="_Toc22109"/>
      <w:bookmarkStart w:id="1551" w:name="_Toc14887"/>
      <w:r>
        <w:rPr>
          <w:rFonts w:hint="eastAsia" w:ascii="微软雅黑" w:hAnsi="微软雅黑" w:eastAsia="微软雅黑" w:cs="微软雅黑"/>
          <w:color w:val="auto"/>
          <w:sz w:val="22"/>
          <w:szCs w:val="22"/>
          <w:highlight w:val="none"/>
        </w:rPr>
        <w:br w:type="page"/>
      </w:r>
    </w:p>
    <w:p w14:paraId="0F8B87A7">
      <w:pPr>
        <w:pStyle w:val="3"/>
        <w:spacing w:before="0" w:line="240" w:lineRule="atLeast"/>
        <w:ind w:firstLine="2421" w:firstLineChars="1100"/>
        <w:jc w:val="both"/>
        <w:rPr>
          <w:rFonts w:hint="eastAsia" w:ascii="微软雅黑" w:hAnsi="微软雅黑" w:eastAsia="微软雅黑" w:cs="微软雅黑"/>
          <w:color w:val="auto"/>
          <w:sz w:val="22"/>
          <w:szCs w:val="22"/>
          <w:highlight w:val="none"/>
        </w:rPr>
      </w:pPr>
      <w:bookmarkStart w:id="1552" w:name="_Toc9053"/>
      <w:bookmarkStart w:id="1553" w:name="_Toc15792"/>
      <w:r>
        <w:rPr>
          <w:rFonts w:hint="eastAsia" w:ascii="微软雅黑" w:hAnsi="微软雅黑" w:eastAsia="微软雅黑" w:cs="微软雅黑"/>
          <w:color w:val="auto"/>
          <w:sz w:val="22"/>
          <w:szCs w:val="22"/>
          <w:highlight w:val="none"/>
        </w:rPr>
        <w:t>5</w:t>
      </w:r>
      <w:r>
        <w:rPr>
          <w:rFonts w:hint="eastAsia" w:ascii="微软雅黑" w:hAnsi="微软雅黑" w:eastAsia="微软雅黑" w:cs="微软雅黑"/>
          <w:color w:val="auto"/>
          <w:sz w:val="22"/>
          <w:szCs w:val="22"/>
          <w:highlight w:val="none"/>
          <w:lang w:eastAsia="zh-CN"/>
        </w:rPr>
        <w:t>、</w:t>
      </w:r>
      <w:r>
        <w:rPr>
          <w:rFonts w:hint="eastAsia" w:ascii="微软雅黑" w:hAnsi="微软雅黑" w:eastAsia="微软雅黑" w:cs="微软雅黑"/>
          <w:color w:val="auto"/>
          <w:sz w:val="22"/>
          <w:szCs w:val="22"/>
          <w:highlight w:val="none"/>
        </w:rPr>
        <w:t>商务条款偏离表</w:t>
      </w:r>
      <w:bookmarkEnd w:id="1544"/>
      <w:bookmarkEnd w:id="1545"/>
      <w:bookmarkEnd w:id="1546"/>
      <w:bookmarkEnd w:id="1547"/>
      <w:bookmarkEnd w:id="1548"/>
      <w:bookmarkEnd w:id="1549"/>
      <w:bookmarkEnd w:id="1550"/>
      <w:bookmarkEnd w:id="1551"/>
      <w:bookmarkEnd w:id="1552"/>
      <w:bookmarkEnd w:id="1553"/>
    </w:p>
    <w:p w14:paraId="1B9C531F">
      <w:pPr>
        <w:pStyle w:val="15"/>
        <w:spacing w:line="400" w:lineRule="exact"/>
        <w:ind w:left="1080" w:leftChars="257" w:hanging="540"/>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rPr>
        <w:t xml:space="preserve">项目名称:                      项目编号:             </w:t>
      </w:r>
      <w:r>
        <w:rPr>
          <w:rFonts w:hint="eastAsia" w:ascii="微软雅黑" w:hAnsi="微软雅黑" w:eastAsia="微软雅黑" w:cs="微软雅黑"/>
          <w:color w:val="auto"/>
          <w:sz w:val="22"/>
          <w:szCs w:val="22"/>
          <w:highlight w:val="none"/>
          <w:lang w:val="en-US" w:eastAsia="zh-CN"/>
        </w:rPr>
        <w:t>标项：（如有）</w:t>
      </w:r>
    </w:p>
    <w:tbl>
      <w:tblPr>
        <w:tblStyle w:val="32"/>
        <w:tblW w:w="100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8"/>
        <w:gridCol w:w="2040"/>
        <w:gridCol w:w="2520"/>
        <w:gridCol w:w="2520"/>
        <w:gridCol w:w="1014"/>
        <w:gridCol w:w="1014"/>
      </w:tblGrid>
      <w:tr w14:paraId="72FDD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vAlign w:val="center"/>
          </w:tcPr>
          <w:p w14:paraId="19890B10">
            <w:pPr>
              <w:pStyle w:val="15"/>
              <w:spacing w:line="400" w:lineRule="exact"/>
              <w:jc w:val="center"/>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序号</w:t>
            </w:r>
          </w:p>
        </w:tc>
        <w:tc>
          <w:tcPr>
            <w:tcW w:w="2040" w:type="dxa"/>
            <w:vAlign w:val="center"/>
          </w:tcPr>
          <w:p w14:paraId="5CEDAE97">
            <w:pPr>
              <w:pStyle w:val="15"/>
              <w:spacing w:line="400" w:lineRule="exact"/>
              <w:jc w:val="center"/>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招标文件条款号</w:t>
            </w:r>
          </w:p>
        </w:tc>
        <w:tc>
          <w:tcPr>
            <w:tcW w:w="2520" w:type="dxa"/>
            <w:vAlign w:val="center"/>
          </w:tcPr>
          <w:p w14:paraId="36135A67">
            <w:pPr>
              <w:pStyle w:val="15"/>
              <w:spacing w:line="400" w:lineRule="exact"/>
              <w:jc w:val="center"/>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招标文件的商务条款</w:t>
            </w:r>
          </w:p>
        </w:tc>
        <w:tc>
          <w:tcPr>
            <w:tcW w:w="2520" w:type="dxa"/>
            <w:vAlign w:val="center"/>
          </w:tcPr>
          <w:p w14:paraId="3FF7C31A">
            <w:pPr>
              <w:pStyle w:val="15"/>
              <w:spacing w:line="400" w:lineRule="exact"/>
              <w:jc w:val="center"/>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投标文件的商务条款</w:t>
            </w:r>
          </w:p>
        </w:tc>
        <w:tc>
          <w:tcPr>
            <w:tcW w:w="1014" w:type="dxa"/>
            <w:vAlign w:val="center"/>
          </w:tcPr>
          <w:p w14:paraId="0FF0040A">
            <w:pPr>
              <w:pStyle w:val="15"/>
              <w:spacing w:line="400" w:lineRule="exact"/>
              <w:jc w:val="center"/>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lang w:eastAsia="zh-CN"/>
              </w:rPr>
              <w:t>偏离</w:t>
            </w:r>
          </w:p>
        </w:tc>
        <w:tc>
          <w:tcPr>
            <w:tcW w:w="1014" w:type="dxa"/>
            <w:vAlign w:val="center"/>
          </w:tcPr>
          <w:p w14:paraId="4356CAC1">
            <w:pPr>
              <w:pStyle w:val="15"/>
              <w:spacing w:line="400" w:lineRule="exact"/>
              <w:jc w:val="center"/>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说明</w:t>
            </w:r>
          </w:p>
        </w:tc>
      </w:tr>
      <w:tr w14:paraId="7DD57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tcPr>
          <w:p w14:paraId="674671AC">
            <w:pPr>
              <w:pStyle w:val="15"/>
              <w:spacing w:line="400" w:lineRule="exact"/>
              <w:ind w:left="1080" w:leftChars="257" w:hanging="540"/>
              <w:rPr>
                <w:rFonts w:hint="eastAsia" w:ascii="微软雅黑" w:hAnsi="微软雅黑" w:eastAsia="微软雅黑" w:cs="微软雅黑"/>
                <w:color w:val="auto"/>
                <w:sz w:val="22"/>
                <w:szCs w:val="22"/>
                <w:highlight w:val="none"/>
              </w:rPr>
            </w:pPr>
          </w:p>
        </w:tc>
        <w:tc>
          <w:tcPr>
            <w:tcW w:w="2040" w:type="dxa"/>
          </w:tcPr>
          <w:p w14:paraId="287B702A">
            <w:pPr>
              <w:pStyle w:val="15"/>
              <w:spacing w:line="400" w:lineRule="exact"/>
              <w:ind w:left="1080" w:leftChars="257" w:hanging="540"/>
              <w:rPr>
                <w:rFonts w:hint="eastAsia" w:ascii="微软雅黑" w:hAnsi="微软雅黑" w:eastAsia="微软雅黑" w:cs="微软雅黑"/>
                <w:color w:val="auto"/>
                <w:sz w:val="22"/>
                <w:szCs w:val="22"/>
                <w:highlight w:val="none"/>
              </w:rPr>
            </w:pPr>
          </w:p>
        </w:tc>
        <w:tc>
          <w:tcPr>
            <w:tcW w:w="2520" w:type="dxa"/>
          </w:tcPr>
          <w:p w14:paraId="27B81AD8">
            <w:pPr>
              <w:pStyle w:val="15"/>
              <w:spacing w:line="400" w:lineRule="exact"/>
              <w:ind w:left="1080" w:leftChars="257" w:hanging="540"/>
              <w:jc w:val="center"/>
              <w:rPr>
                <w:rFonts w:hint="eastAsia" w:ascii="微软雅黑" w:hAnsi="微软雅黑" w:eastAsia="微软雅黑" w:cs="微软雅黑"/>
                <w:color w:val="auto"/>
                <w:sz w:val="22"/>
                <w:szCs w:val="22"/>
                <w:highlight w:val="none"/>
              </w:rPr>
            </w:pPr>
          </w:p>
        </w:tc>
        <w:tc>
          <w:tcPr>
            <w:tcW w:w="2520" w:type="dxa"/>
          </w:tcPr>
          <w:p w14:paraId="08BB080A">
            <w:pPr>
              <w:pStyle w:val="15"/>
              <w:spacing w:line="400" w:lineRule="exact"/>
              <w:ind w:left="1080" w:leftChars="257" w:hanging="540"/>
              <w:jc w:val="center"/>
              <w:rPr>
                <w:rFonts w:hint="eastAsia" w:ascii="微软雅黑" w:hAnsi="微软雅黑" w:eastAsia="微软雅黑" w:cs="微软雅黑"/>
                <w:color w:val="auto"/>
                <w:sz w:val="22"/>
                <w:szCs w:val="22"/>
                <w:highlight w:val="none"/>
              </w:rPr>
            </w:pPr>
          </w:p>
        </w:tc>
        <w:tc>
          <w:tcPr>
            <w:tcW w:w="1014" w:type="dxa"/>
          </w:tcPr>
          <w:p w14:paraId="16613FBE">
            <w:pPr>
              <w:pStyle w:val="15"/>
              <w:spacing w:line="400" w:lineRule="exact"/>
              <w:ind w:left="1080" w:leftChars="257" w:hanging="540"/>
              <w:rPr>
                <w:rFonts w:hint="eastAsia" w:ascii="微软雅黑" w:hAnsi="微软雅黑" w:eastAsia="微软雅黑" w:cs="微软雅黑"/>
                <w:color w:val="auto"/>
                <w:sz w:val="22"/>
                <w:szCs w:val="22"/>
                <w:highlight w:val="none"/>
              </w:rPr>
            </w:pPr>
          </w:p>
        </w:tc>
        <w:tc>
          <w:tcPr>
            <w:tcW w:w="1014" w:type="dxa"/>
          </w:tcPr>
          <w:p w14:paraId="2C8DEEFD">
            <w:pPr>
              <w:pStyle w:val="15"/>
              <w:spacing w:line="400" w:lineRule="exact"/>
              <w:ind w:left="1080" w:leftChars="257" w:hanging="540"/>
              <w:rPr>
                <w:rFonts w:hint="eastAsia" w:ascii="微软雅黑" w:hAnsi="微软雅黑" w:eastAsia="微软雅黑" w:cs="微软雅黑"/>
                <w:color w:val="auto"/>
                <w:sz w:val="22"/>
                <w:szCs w:val="22"/>
                <w:highlight w:val="none"/>
              </w:rPr>
            </w:pPr>
          </w:p>
        </w:tc>
      </w:tr>
      <w:tr w14:paraId="371BA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948" w:type="dxa"/>
          </w:tcPr>
          <w:p w14:paraId="75242F42">
            <w:pPr>
              <w:pStyle w:val="15"/>
              <w:spacing w:line="400" w:lineRule="exact"/>
              <w:ind w:left="1080" w:leftChars="257" w:hanging="540"/>
              <w:rPr>
                <w:rFonts w:hint="eastAsia" w:ascii="微软雅黑" w:hAnsi="微软雅黑" w:eastAsia="微软雅黑" w:cs="微软雅黑"/>
                <w:color w:val="auto"/>
                <w:sz w:val="22"/>
                <w:szCs w:val="22"/>
                <w:highlight w:val="none"/>
              </w:rPr>
            </w:pPr>
          </w:p>
        </w:tc>
        <w:tc>
          <w:tcPr>
            <w:tcW w:w="2040" w:type="dxa"/>
          </w:tcPr>
          <w:p w14:paraId="464953B5">
            <w:pPr>
              <w:pStyle w:val="15"/>
              <w:spacing w:line="400" w:lineRule="exact"/>
              <w:ind w:left="1080" w:leftChars="257" w:hanging="540"/>
              <w:rPr>
                <w:rFonts w:hint="eastAsia" w:ascii="微软雅黑" w:hAnsi="微软雅黑" w:eastAsia="微软雅黑" w:cs="微软雅黑"/>
                <w:color w:val="auto"/>
                <w:sz w:val="22"/>
                <w:szCs w:val="22"/>
                <w:highlight w:val="none"/>
              </w:rPr>
            </w:pPr>
          </w:p>
        </w:tc>
        <w:tc>
          <w:tcPr>
            <w:tcW w:w="2520" w:type="dxa"/>
          </w:tcPr>
          <w:p w14:paraId="433C6962">
            <w:pPr>
              <w:pStyle w:val="15"/>
              <w:spacing w:line="400" w:lineRule="exact"/>
              <w:ind w:left="1080" w:leftChars="257" w:hanging="540"/>
              <w:rPr>
                <w:rFonts w:hint="eastAsia" w:ascii="微软雅黑" w:hAnsi="微软雅黑" w:eastAsia="微软雅黑" w:cs="微软雅黑"/>
                <w:color w:val="auto"/>
                <w:sz w:val="22"/>
                <w:szCs w:val="22"/>
                <w:highlight w:val="none"/>
              </w:rPr>
            </w:pPr>
          </w:p>
        </w:tc>
        <w:tc>
          <w:tcPr>
            <w:tcW w:w="2520" w:type="dxa"/>
          </w:tcPr>
          <w:p w14:paraId="12D9C462">
            <w:pPr>
              <w:pStyle w:val="15"/>
              <w:spacing w:line="400" w:lineRule="exact"/>
              <w:ind w:left="1080" w:leftChars="257" w:hanging="540"/>
              <w:rPr>
                <w:rFonts w:hint="eastAsia" w:ascii="微软雅黑" w:hAnsi="微软雅黑" w:eastAsia="微软雅黑" w:cs="微软雅黑"/>
                <w:color w:val="auto"/>
                <w:sz w:val="22"/>
                <w:szCs w:val="22"/>
                <w:highlight w:val="none"/>
              </w:rPr>
            </w:pPr>
          </w:p>
        </w:tc>
        <w:tc>
          <w:tcPr>
            <w:tcW w:w="1014" w:type="dxa"/>
          </w:tcPr>
          <w:p w14:paraId="4EA79AB6">
            <w:pPr>
              <w:pStyle w:val="15"/>
              <w:spacing w:line="400" w:lineRule="exact"/>
              <w:ind w:left="1080" w:leftChars="257" w:hanging="540"/>
              <w:rPr>
                <w:rFonts w:hint="eastAsia" w:ascii="微软雅黑" w:hAnsi="微软雅黑" w:eastAsia="微软雅黑" w:cs="微软雅黑"/>
                <w:color w:val="auto"/>
                <w:sz w:val="22"/>
                <w:szCs w:val="22"/>
                <w:highlight w:val="none"/>
              </w:rPr>
            </w:pPr>
          </w:p>
        </w:tc>
        <w:tc>
          <w:tcPr>
            <w:tcW w:w="1014" w:type="dxa"/>
          </w:tcPr>
          <w:p w14:paraId="51582BE3">
            <w:pPr>
              <w:pStyle w:val="15"/>
              <w:spacing w:line="400" w:lineRule="exact"/>
              <w:ind w:left="1080" w:leftChars="257" w:hanging="540"/>
              <w:rPr>
                <w:rFonts w:hint="eastAsia" w:ascii="微软雅黑" w:hAnsi="微软雅黑" w:eastAsia="微软雅黑" w:cs="微软雅黑"/>
                <w:color w:val="auto"/>
                <w:sz w:val="22"/>
                <w:szCs w:val="22"/>
                <w:highlight w:val="none"/>
              </w:rPr>
            </w:pPr>
          </w:p>
        </w:tc>
      </w:tr>
      <w:tr w14:paraId="4FC21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tcPr>
          <w:p w14:paraId="0CB19731">
            <w:pPr>
              <w:pStyle w:val="15"/>
              <w:spacing w:line="400" w:lineRule="exact"/>
              <w:ind w:left="1080" w:leftChars="257" w:hanging="540"/>
              <w:rPr>
                <w:rFonts w:hint="eastAsia" w:ascii="微软雅黑" w:hAnsi="微软雅黑" w:eastAsia="微软雅黑" w:cs="微软雅黑"/>
                <w:color w:val="auto"/>
                <w:sz w:val="22"/>
                <w:szCs w:val="22"/>
                <w:highlight w:val="none"/>
              </w:rPr>
            </w:pPr>
          </w:p>
        </w:tc>
        <w:tc>
          <w:tcPr>
            <w:tcW w:w="2040" w:type="dxa"/>
          </w:tcPr>
          <w:p w14:paraId="284306B6">
            <w:pPr>
              <w:pStyle w:val="15"/>
              <w:spacing w:line="400" w:lineRule="exact"/>
              <w:ind w:left="1080" w:leftChars="257" w:hanging="540"/>
              <w:rPr>
                <w:rFonts w:hint="eastAsia" w:ascii="微软雅黑" w:hAnsi="微软雅黑" w:eastAsia="微软雅黑" w:cs="微软雅黑"/>
                <w:color w:val="auto"/>
                <w:sz w:val="22"/>
                <w:szCs w:val="22"/>
                <w:highlight w:val="none"/>
              </w:rPr>
            </w:pPr>
          </w:p>
        </w:tc>
        <w:tc>
          <w:tcPr>
            <w:tcW w:w="2520" w:type="dxa"/>
          </w:tcPr>
          <w:p w14:paraId="6215EBBE">
            <w:pPr>
              <w:pStyle w:val="15"/>
              <w:spacing w:line="400" w:lineRule="exact"/>
              <w:ind w:left="1080" w:leftChars="257" w:hanging="540"/>
              <w:rPr>
                <w:rFonts w:hint="eastAsia" w:ascii="微软雅黑" w:hAnsi="微软雅黑" w:eastAsia="微软雅黑" w:cs="微软雅黑"/>
                <w:color w:val="auto"/>
                <w:sz w:val="22"/>
                <w:szCs w:val="22"/>
                <w:highlight w:val="none"/>
              </w:rPr>
            </w:pPr>
          </w:p>
        </w:tc>
        <w:tc>
          <w:tcPr>
            <w:tcW w:w="2520" w:type="dxa"/>
          </w:tcPr>
          <w:p w14:paraId="3F868C34">
            <w:pPr>
              <w:pStyle w:val="15"/>
              <w:spacing w:line="400" w:lineRule="exact"/>
              <w:ind w:left="1080" w:leftChars="257" w:hanging="540"/>
              <w:rPr>
                <w:rFonts w:hint="eastAsia" w:ascii="微软雅黑" w:hAnsi="微软雅黑" w:eastAsia="微软雅黑" w:cs="微软雅黑"/>
                <w:color w:val="auto"/>
                <w:sz w:val="22"/>
                <w:szCs w:val="22"/>
                <w:highlight w:val="none"/>
              </w:rPr>
            </w:pPr>
          </w:p>
        </w:tc>
        <w:tc>
          <w:tcPr>
            <w:tcW w:w="1014" w:type="dxa"/>
          </w:tcPr>
          <w:p w14:paraId="28CB9C1B">
            <w:pPr>
              <w:pStyle w:val="15"/>
              <w:spacing w:line="400" w:lineRule="exact"/>
              <w:ind w:left="1080" w:leftChars="257" w:hanging="540"/>
              <w:rPr>
                <w:rFonts w:hint="eastAsia" w:ascii="微软雅黑" w:hAnsi="微软雅黑" w:eastAsia="微软雅黑" w:cs="微软雅黑"/>
                <w:color w:val="auto"/>
                <w:sz w:val="22"/>
                <w:szCs w:val="22"/>
                <w:highlight w:val="none"/>
              </w:rPr>
            </w:pPr>
          </w:p>
        </w:tc>
        <w:tc>
          <w:tcPr>
            <w:tcW w:w="1014" w:type="dxa"/>
          </w:tcPr>
          <w:p w14:paraId="6C3D7B77">
            <w:pPr>
              <w:pStyle w:val="15"/>
              <w:spacing w:line="400" w:lineRule="exact"/>
              <w:ind w:left="1080" w:leftChars="257" w:hanging="540"/>
              <w:rPr>
                <w:rFonts w:hint="eastAsia" w:ascii="微软雅黑" w:hAnsi="微软雅黑" w:eastAsia="微软雅黑" w:cs="微软雅黑"/>
                <w:color w:val="auto"/>
                <w:sz w:val="22"/>
                <w:szCs w:val="22"/>
                <w:highlight w:val="none"/>
              </w:rPr>
            </w:pPr>
          </w:p>
        </w:tc>
      </w:tr>
      <w:tr w14:paraId="63622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tcPr>
          <w:p w14:paraId="37EB5796">
            <w:pPr>
              <w:pStyle w:val="15"/>
              <w:spacing w:line="400" w:lineRule="exact"/>
              <w:ind w:left="1080" w:leftChars="257" w:hanging="540"/>
              <w:rPr>
                <w:rFonts w:hint="eastAsia" w:ascii="微软雅黑" w:hAnsi="微软雅黑" w:eastAsia="微软雅黑" w:cs="微软雅黑"/>
                <w:color w:val="auto"/>
                <w:sz w:val="22"/>
                <w:szCs w:val="22"/>
                <w:highlight w:val="none"/>
              </w:rPr>
            </w:pPr>
          </w:p>
        </w:tc>
        <w:tc>
          <w:tcPr>
            <w:tcW w:w="2040" w:type="dxa"/>
          </w:tcPr>
          <w:p w14:paraId="7673C31F">
            <w:pPr>
              <w:pStyle w:val="15"/>
              <w:spacing w:line="400" w:lineRule="exact"/>
              <w:ind w:left="1080" w:leftChars="257" w:hanging="540"/>
              <w:rPr>
                <w:rFonts w:hint="eastAsia" w:ascii="微软雅黑" w:hAnsi="微软雅黑" w:eastAsia="微软雅黑" w:cs="微软雅黑"/>
                <w:color w:val="auto"/>
                <w:sz w:val="22"/>
                <w:szCs w:val="22"/>
                <w:highlight w:val="none"/>
              </w:rPr>
            </w:pPr>
          </w:p>
        </w:tc>
        <w:tc>
          <w:tcPr>
            <w:tcW w:w="2520" w:type="dxa"/>
          </w:tcPr>
          <w:p w14:paraId="2F938610">
            <w:pPr>
              <w:pStyle w:val="15"/>
              <w:spacing w:line="400" w:lineRule="exact"/>
              <w:ind w:left="1080" w:leftChars="257" w:hanging="540"/>
              <w:rPr>
                <w:rFonts w:hint="eastAsia" w:ascii="微软雅黑" w:hAnsi="微软雅黑" w:eastAsia="微软雅黑" w:cs="微软雅黑"/>
                <w:color w:val="auto"/>
                <w:sz w:val="22"/>
                <w:szCs w:val="22"/>
                <w:highlight w:val="none"/>
              </w:rPr>
            </w:pPr>
          </w:p>
        </w:tc>
        <w:tc>
          <w:tcPr>
            <w:tcW w:w="2520" w:type="dxa"/>
          </w:tcPr>
          <w:p w14:paraId="2E4A79C5">
            <w:pPr>
              <w:pStyle w:val="15"/>
              <w:spacing w:line="400" w:lineRule="exact"/>
              <w:ind w:left="1080" w:leftChars="257" w:hanging="540"/>
              <w:rPr>
                <w:rFonts w:hint="eastAsia" w:ascii="微软雅黑" w:hAnsi="微软雅黑" w:eastAsia="微软雅黑" w:cs="微软雅黑"/>
                <w:color w:val="auto"/>
                <w:sz w:val="22"/>
                <w:szCs w:val="22"/>
                <w:highlight w:val="none"/>
              </w:rPr>
            </w:pPr>
          </w:p>
        </w:tc>
        <w:tc>
          <w:tcPr>
            <w:tcW w:w="1014" w:type="dxa"/>
          </w:tcPr>
          <w:p w14:paraId="5FB48A25">
            <w:pPr>
              <w:pStyle w:val="15"/>
              <w:spacing w:line="400" w:lineRule="exact"/>
              <w:ind w:left="1080" w:leftChars="257" w:hanging="540"/>
              <w:rPr>
                <w:rFonts w:hint="eastAsia" w:ascii="微软雅黑" w:hAnsi="微软雅黑" w:eastAsia="微软雅黑" w:cs="微软雅黑"/>
                <w:color w:val="auto"/>
                <w:sz w:val="22"/>
                <w:szCs w:val="22"/>
                <w:highlight w:val="none"/>
              </w:rPr>
            </w:pPr>
          </w:p>
        </w:tc>
        <w:tc>
          <w:tcPr>
            <w:tcW w:w="1014" w:type="dxa"/>
          </w:tcPr>
          <w:p w14:paraId="7BAD5F4B">
            <w:pPr>
              <w:pStyle w:val="15"/>
              <w:spacing w:line="400" w:lineRule="exact"/>
              <w:ind w:left="1080" w:leftChars="257" w:hanging="540"/>
              <w:rPr>
                <w:rFonts w:hint="eastAsia" w:ascii="微软雅黑" w:hAnsi="微软雅黑" w:eastAsia="微软雅黑" w:cs="微软雅黑"/>
                <w:color w:val="auto"/>
                <w:sz w:val="22"/>
                <w:szCs w:val="22"/>
                <w:highlight w:val="none"/>
              </w:rPr>
            </w:pPr>
          </w:p>
        </w:tc>
      </w:tr>
      <w:tr w14:paraId="7E578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tcPr>
          <w:p w14:paraId="3E7517AE">
            <w:pPr>
              <w:pStyle w:val="15"/>
              <w:spacing w:line="400" w:lineRule="exact"/>
              <w:ind w:left="1080" w:leftChars="257" w:hanging="540"/>
              <w:rPr>
                <w:rFonts w:hint="eastAsia" w:ascii="微软雅黑" w:hAnsi="微软雅黑" w:eastAsia="微软雅黑" w:cs="微软雅黑"/>
                <w:color w:val="auto"/>
                <w:sz w:val="22"/>
                <w:szCs w:val="22"/>
                <w:highlight w:val="none"/>
              </w:rPr>
            </w:pPr>
          </w:p>
        </w:tc>
        <w:tc>
          <w:tcPr>
            <w:tcW w:w="2040" w:type="dxa"/>
          </w:tcPr>
          <w:p w14:paraId="69A03623">
            <w:pPr>
              <w:pStyle w:val="15"/>
              <w:spacing w:line="400" w:lineRule="exact"/>
              <w:ind w:left="1080" w:leftChars="257" w:hanging="540"/>
              <w:rPr>
                <w:rFonts w:hint="eastAsia" w:ascii="微软雅黑" w:hAnsi="微软雅黑" w:eastAsia="微软雅黑" w:cs="微软雅黑"/>
                <w:color w:val="auto"/>
                <w:sz w:val="22"/>
                <w:szCs w:val="22"/>
                <w:highlight w:val="none"/>
              </w:rPr>
            </w:pPr>
          </w:p>
        </w:tc>
        <w:tc>
          <w:tcPr>
            <w:tcW w:w="2520" w:type="dxa"/>
          </w:tcPr>
          <w:p w14:paraId="2B1D8592">
            <w:pPr>
              <w:pStyle w:val="15"/>
              <w:spacing w:line="400" w:lineRule="exact"/>
              <w:ind w:left="1080" w:leftChars="257" w:hanging="540"/>
              <w:rPr>
                <w:rFonts w:hint="eastAsia" w:ascii="微软雅黑" w:hAnsi="微软雅黑" w:eastAsia="微软雅黑" w:cs="微软雅黑"/>
                <w:color w:val="auto"/>
                <w:sz w:val="22"/>
                <w:szCs w:val="22"/>
                <w:highlight w:val="none"/>
              </w:rPr>
            </w:pPr>
          </w:p>
        </w:tc>
        <w:tc>
          <w:tcPr>
            <w:tcW w:w="2520" w:type="dxa"/>
          </w:tcPr>
          <w:p w14:paraId="615E8FA3">
            <w:pPr>
              <w:pStyle w:val="15"/>
              <w:spacing w:line="400" w:lineRule="exact"/>
              <w:ind w:left="1080" w:leftChars="257" w:hanging="540"/>
              <w:rPr>
                <w:rFonts w:hint="eastAsia" w:ascii="微软雅黑" w:hAnsi="微软雅黑" w:eastAsia="微软雅黑" w:cs="微软雅黑"/>
                <w:color w:val="auto"/>
                <w:sz w:val="22"/>
                <w:szCs w:val="22"/>
                <w:highlight w:val="none"/>
              </w:rPr>
            </w:pPr>
          </w:p>
        </w:tc>
        <w:tc>
          <w:tcPr>
            <w:tcW w:w="1014" w:type="dxa"/>
          </w:tcPr>
          <w:p w14:paraId="0101E2F7">
            <w:pPr>
              <w:pStyle w:val="15"/>
              <w:spacing w:line="400" w:lineRule="exact"/>
              <w:ind w:left="1080" w:leftChars="257" w:hanging="540"/>
              <w:rPr>
                <w:rFonts w:hint="eastAsia" w:ascii="微软雅黑" w:hAnsi="微软雅黑" w:eastAsia="微软雅黑" w:cs="微软雅黑"/>
                <w:color w:val="auto"/>
                <w:sz w:val="22"/>
                <w:szCs w:val="22"/>
                <w:highlight w:val="none"/>
              </w:rPr>
            </w:pPr>
          </w:p>
        </w:tc>
        <w:tc>
          <w:tcPr>
            <w:tcW w:w="1014" w:type="dxa"/>
          </w:tcPr>
          <w:p w14:paraId="475D1BFA">
            <w:pPr>
              <w:pStyle w:val="15"/>
              <w:spacing w:line="400" w:lineRule="exact"/>
              <w:ind w:left="1080" w:leftChars="257" w:hanging="540"/>
              <w:rPr>
                <w:rFonts w:hint="eastAsia" w:ascii="微软雅黑" w:hAnsi="微软雅黑" w:eastAsia="微软雅黑" w:cs="微软雅黑"/>
                <w:color w:val="auto"/>
                <w:sz w:val="22"/>
                <w:szCs w:val="22"/>
                <w:highlight w:val="none"/>
              </w:rPr>
            </w:pPr>
          </w:p>
        </w:tc>
      </w:tr>
      <w:tr w14:paraId="03134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tcPr>
          <w:p w14:paraId="5FFF41DC">
            <w:pPr>
              <w:pStyle w:val="15"/>
              <w:spacing w:line="400" w:lineRule="exact"/>
              <w:ind w:left="1080" w:leftChars="257" w:hanging="540"/>
              <w:rPr>
                <w:rFonts w:hint="eastAsia" w:ascii="微软雅黑" w:hAnsi="微软雅黑" w:eastAsia="微软雅黑" w:cs="微软雅黑"/>
                <w:color w:val="auto"/>
                <w:sz w:val="22"/>
                <w:szCs w:val="22"/>
                <w:highlight w:val="none"/>
              </w:rPr>
            </w:pPr>
          </w:p>
        </w:tc>
        <w:tc>
          <w:tcPr>
            <w:tcW w:w="2040" w:type="dxa"/>
          </w:tcPr>
          <w:p w14:paraId="7F62658C">
            <w:pPr>
              <w:pStyle w:val="15"/>
              <w:spacing w:line="400" w:lineRule="exact"/>
              <w:ind w:left="1080" w:leftChars="257" w:hanging="540"/>
              <w:rPr>
                <w:rFonts w:hint="eastAsia" w:ascii="微软雅黑" w:hAnsi="微软雅黑" w:eastAsia="微软雅黑" w:cs="微软雅黑"/>
                <w:color w:val="auto"/>
                <w:sz w:val="22"/>
                <w:szCs w:val="22"/>
                <w:highlight w:val="none"/>
              </w:rPr>
            </w:pPr>
          </w:p>
        </w:tc>
        <w:tc>
          <w:tcPr>
            <w:tcW w:w="2520" w:type="dxa"/>
          </w:tcPr>
          <w:p w14:paraId="0255751D">
            <w:pPr>
              <w:pStyle w:val="15"/>
              <w:spacing w:line="400" w:lineRule="exact"/>
              <w:ind w:left="1080" w:leftChars="257" w:hanging="540"/>
              <w:rPr>
                <w:rFonts w:hint="eastAsia" w:ascii="微软雅黑" w:hAnsi="微软雅黑" w:eastAsia="微软雅黑" w:cs="微软雅黑"/>
                <w:color w:val="auto"/>
                <w:sz w:val="22"/>
                <w:szCs w:val="22"/>
                <w:highlight w:val="none"/>
              </w:rPr>
            </w:pPr>
          </w:p>
        </w:tc>
        <w:tc>
          <w:tcPr>
            <w:tcW w:w="2520" w:type="dxa"/>
          </w:tcPr>
          <w:p w14:paraId="3D7D0F51">
            <w:pPr>
              <w:pStyle w:val="15"/>
              <w:spacing w:line="400" w:lineRule="exact"/>
              <w:ind w:left="1080" w:leftChars="257" w:hanging="540"/>
              <w:rPr>
                <w:rFonts w:hint="eastAsia" w:ascii="微软雅黑" w:hAnsi="微软雅黑" w:eastAsia="微软雅黑" w:cs="微软雅黑"/>
                <w:color w:val="auto"/>
                <w:sz w:val="22"/>
                <w:szCs w:val="22"/>
                <w:highlight w:val="none"/>
              </w:rPr>
            </w:pPr>
          </w:p>
        </w:tc>
        <w:tc>
          <w:tcPr>
            <w:tcW w:w="1014" w:type="dxa"/>
          </w:tcPr>
          <w:p w14:paraId="0A15BB99">
            <w:pPr>
              <w:pStyle w:val="15"/>
              <w:spacing w:line="400" w:lineRule="exact"/>
              <w:ind w:left="1080" w:leftChars="257" w:hanging="540"/>
              <w:rPr>
                <w:rFonts w:hint="eastAsia" w:ascii="微软雅黑" w:hAnsi="微软雅黑" w:eastAsia="微软雅黑" w:cs="微软雅黑"/>
                <w:color w:val="auto"/>
                <w:sz w:val="22"/>
                <w:szCs w:val="22"/>
                <w:highlight w:val="none"/>
              </w:rPr>
            </w:pPr>
          </w:p>
        </w:tc>
        <w:tc>
          <w:tcPr>
            <w:tcW w:w="1014" w:type="dxa"/>
          </w:tcPr>
          <w:p w14:paraId="4C45F88C">
            <w:pPr>
              <w:pStyle w:val="15"/>
              <w:spacing w:line="400" w:lineRule="exact"/>
              <w:ind w:left="1080" w:leftChars="257" w:hanging="540"/>
              <w:rPr>
                <w:rFonts w:hint="eastAsia" w:ascii="微软雅黑" w:hAnsi="微软雅黑" w:eastAsia="微软雅黑" w:cs="微软雅黑"/>
                <w:color w:val="auto"/>
                <w:sz w:val="22"/>
                <w:szCs w:val="22"/>
                <w:highlight w:val="none"/>
              </w:rPr>
            </w:pPr>
          </w:p>
        </w:tc>
      </w:tr>
      <w:tr w14:paraId="4AB39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tcPr>
          <w:p w14:paraId="76FC4BFA">
            <w:pPr>
              <w:pStyle w:val="15"/>
              <w:spacing w:line="400" w:lineRule="exact"/>
              <w:ind w:left="1080" w:leftChars="257" w:hanging="540"/>
              <w:rPr>
                <w:rFonts w:hint="eastAsia" w:ascii="微软雅黑" w:hAnsi="微软雅黑" w:eastAsia="微软雅黑" w:cs="微软雅黑"/>
                <w:color w:val="auto"/>
                <w:sz w:val="22"/>
                <w:szCs w:val="22"/>
                <w:highlight w:val="none"/>
              </w:rPr>
            </w:pPr>
          </w:p>
        </w:tc>
        <w:tc>
          <w:tcPr>
            <w:tcW w:w="2040" w:type="dxa"/>
          </w:tcPr>
          <w:p w14:paraId="2E423D34">
            <w:pPr>
              <w:pStyle w:val="15"/>
              <w:spacing w:line="400" w:lineRule="exact"/>
              <w:ind w:left="1080" w:leftChars="257" w:hanging="540"/>
              <w:rPr>
                <w:rFonts w:hint="eastAsia" w:ascii="微软雅黑" w:hAnsi="微软雅黑" w:eastAsia="微软雅黑" w:cs="微软雅黑"/>
                <w:color w:val="auto"/>
                <w:sz w:val="22"/>
                <w:szCs w:val="22"/>
                <w:highlight w:val="none"/>
              </w:rPr>
            </w:pPr>
          </w:p>
        </w:tc>
        <w:tc>
          <w:tcPr>
            <w:tcW w:w="2520" w:type="dxa"/>
          </w:tcPr>
          <w:p w14:paraId="3EDCE2A4">
            <w:pPr>
              <w:pStyle w:val="15"/>
              <w:spacing w:line="400" w:lineRule="exact"/>
              <w:ind w:left="1080" w:leftChars="257" w:hanging="540"/>
              <w:rPr>
                <w:rFonts w:hint="eastAsia" w:ascii="微软雅黑" w:hAnsi="微软雅黑" w:eastAsia="微软雅黑" w:cs="微软雅黑"/>
                <w:color w:val="auto"/>
                <w:sz w:val="22"/>
                <w:szCs w:val="22"/>
                <w:highlight w:val="none"/>
              </w:rPr>
            </w:pPr>
          </w:p>
        </w:tc>
        <w:tc>
          <w:tcPr>
            <w:tcW w:w="2520" w:type="dxa"/>
          </w:tcPr>
          <w:p w14:paraId="7A842E21">
            <w:pPr>
              <w:pStyle w:val="15"/>
              <w:spacing w:line="400" w:lineRule="exact"/>
              <w:ind w:left="1080" w:leftChars="257" w:hanging="540"/>
              <w:rPr>
                <w:rFonts w:hint="eastAsia" w:ascii="微软雅黑" w:hAnsi="微软雅黑" w:eastAsia="微软雅黑" w:cs="微软雅黑"/>
                <w:color w:val="auto"/>
                <w:sz w:val="22"/>
                <w:szCs w:val="22"/>
                <w:highlight w:val="none"/>
              </w:rPr>
            </w:pPr>
          </w:p>
        </w:tc>
        <w:tc>
          <w:tcPr>
            <w:tcW w:w="1014" w:type="dxa"/>
          </w:tcPr>
          <w:p w14:paraId="069C45E4">
            <w:pPr>
              <w:pStyle w:val="15"/>
              <w:spacing w:line="400" w:lineRule="exact"/>
              <w:ind w:left="1080" w:leftChars="257" w:hanging="540"/>
              <w:rPr>
                <w:rFonts w:hint="eastAsia" w:ascii="微软雅黑" w:hAnsi="微软雅黑" w:eastAsia="微软雅黑" w:cs="微软雅黑"/>
                <w:color w:val="auto"/>
                <w:sz w:val="22"/>
                <w:szCs w:val="22"/>
                <w:highlight w:val="none"/>
              </w:rPr>
            </w:pPr>
          </w:p>
        </w:tc>
        <w:tc>
          <w:tcPr>
            <w:tcW w:w="1014" w:type="dxa"/>
          </w:tcPr>
          <w:p w14:paraId="54E8AF0B">
            <w:pPr>
              <w:pStyle w:val="15"/>
              <w:spacing w:line="400" w:lineRule="exact"/>
              <w:ind w:left="1080" w:leftChars="257" w:hanging="540"/>
              <w:rPr>
                <w:rFonts w:hint="eastAsia" w:ascii="微软雅黑" w:hAnsi="微软雅黑" w:eastAsia="微软雅黑" w:cs="微软雅黑"/>
                <w:color w:val="auto"/>
                <w:sz w:val="22"/>
                <w:szCs w:val="22"/>
                <w:highlight w:val="none"/>
              </w:rPr>
            </w:pPr>
          </w:p>
        </w:tc>
      </w:tr>
      <w:tr w14:paraId="28D7F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tcPr>
          <w:p w14:paraId="28E0EA28">
            <w:pPr>
              <w:pStyle w:val="15"/>
              <w:spacing w:line="400" w:lineRule="exact"/>
              <w:ind w:left="1080" w:leftChars="257" w:hanging="540"/>
              <w:rPr>
                <w:rFonts w:hint="eastAsia" w:ascii="微软雅黑" w:hAnsi="微软雅黑" w:eastAsia="微软雅黑" w:cs="微软雅黑"/>
                <w:color w:val="auto"/>
                <w:sz w:val="22"/>
                <w:szCs w:val="22"/>
                <w:highlight w:val="none"/>
              </w:rPr>
            </w:pPr>
          </w:p>
        </w:tc>
        <w:tc>
          <w:tcPr>
            <w:tcW w:w="2040" w:type="dxa"/>
          </w:tcPr>
          <w:p w14:paraId="2A1352B3">
            <w:pPr>
              <w:pStyle w:val="15"/>
              <w:spacing w:line="400" w:lineRule="exact"/>
              <w:ind w:left="1080" w:leftChars="257" w:hanging="540"/>
              <w:rPr>
                <w:rFonts w:hint="eastAsia" w:ascii="微软雅黑" w:hAnsi="微软雅黑" w:eastAsia="微软雅黑" w:cs="微软雅黑"/>
                <w:color w:val="auto"/>
                <w:sz w:val="22"/>
                <w:szCs w:val="22"/>
                <w:highlight w:val="none"/>
              </w:rPr>
            </w:pPr>
          </w:p>
        </w:tc>
        <w:tc>
          <w:tcPr>
            <w:tcW w:w="2520" w:type="dxa"/>
          </w:tcPr>
          <w:p w14:paraId="119D7730">
            <w:pPr>
              <w:pStyle w:val="15"/>
              <w:spacing w:line="400" w:lineRule="exact"/>
              <w:ind w:left="1080" w:leftChars="257" w:hanging="540"/>
              <w:rPr>
                <w:rFonts w:hint="eastAsia" w:ascii="微软雅黑" w:hAnsi="微软雅黑" w:eastAsia="微软雅黑" w:cs="微软雅黑"/>
                <w:color w:val="auto"/>
                <w:sz w:val="22"/>
                <w:szCs w:val="22"/>
                <w:highlight w:val="none"/>
              </w:rPr>
            </w:pPr>
          </w:p>
        </w:tc>
        <w:tc>
          <w:tcPr>
            <w:tcW w:w="2520" w:type="dxa"/>
          </w:tcPr>
          <w:p w14:paraId="3B9E3E73">
            <w:pPr>
              <w:pStyle w:val="15"/>
              <w:spacing w:line="400" w:lineRule="exact"/>
              <w:ind w:left="1080" w:leftChars="257" w:hanging="540"/>
              <w:rPr>
                <w:rFonts w:hint="eastAsia" w:ascii="微软雅黑" w:hAnsi="微软雅黑" w:eastAsia="微软雅黑" w:cs="微软雅黑"/>
                <w:color w:val="auto"/>
                <w:sz w:val="22"/>
                <w:szCs w:val="22"/>
                <w:highlight w:val="none"/>
              </w:rPr>
            </w:pPr>
          </w:p>
        </w:tc>
        <w:tc>
          <w:tcPr>
            <w:tcW w:w="1014" w:type="dxa"/>
          </w:tcPr>
          <w:p w14:paraId="40A39307">
            <w:pPr>
              <w:pStyle w:val="15"/>
              <w:spacing w:line="400" w:lineRule="exact"/>
              <w:ind w:left="1080" w:leftChars="257" w:hanging="540"/>
              <w:rPr>
                <w:rFonts w:hint="eastAsia" w:ascii="微软雅黑" w:hAnsi="微软雅黑" w:eastAsia="微软雅黑" w:cs="微软雅黑"/>
                <w:color w:val="auto"/>
                <w:sz w:val="22"/>
                <w:szCs w:val="22"/>
                <w:highlight w:val="none"/>
              </w:rPr>
            </w:pPr>
          </w:p>
        </w:tc>
        <w:tc>
          <w:tcPr>
            <w:tcW w:w="1014" w:type="dxa"/>
          </w:tcPr>
          <w:p w14:paraId="784ED7D7">
            <w:pPr>
              <w:pStyle w:val="15"/>
              <w:spacing w:line="400" w:lineRule="exact"/>
              <w:ind w:left="1080" w:leftChars="257" w:hanging="540"/>
              <w:rPr>
                <w:rFonts w:hint="eastAsia" w:ascii="微软雅黑" w:hAnsi="微软雅黑" w:eastAsia="微软雅黑" w:cs="微软雅黑"/>
                <w:color w:val="auto"/>
                <w:sz w:val="22"/>
                <w:szCs w:val="22"/>
                <w:highlight w:val="none"/>
              </w:rPr>
            </w:pPr>
          </w:p>
        </w:tc>
      </w:tr>
      <w:tr w14:paraId="3CDB6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tcPr>
          <w:p w14:paraId="294307E0">
            <w:pPr>
              <w:pStyle w:val="15"/>
              <w:spacing w:line="400" w:lineRule="exact"/>
              <w:ind w:left="1080" w:leftChars="257" w:hanging="540"/>
              <w:rPr>
                <w:rFonts w:hint="eastAsia" w:ascii="微软雅黑" w:hAnsi="微软雅黑" w:eastAsia="微软雅黑" w:cs="微软雅黑"/>
                <w:color w:val="auto"/>
                <w:sz w:val="22"/>
                <w:szCs w:val="22"/>
                <w:highlight w:val="none"/>
              </w:rPr>
            </w:pPr>
          </w:p>
        </w:tc>
        <w:tc>
          <w:tcPr>
            <w:tcW w:w="2040" w:type="dxa"/>
          </w:tcPr>
          <w:p w14:paraId="11A42CDB">
            <w:pPr>
              <w:pStyle w:val="15"/>
              <w:spacing w:line="400" w:lineRule="exact"/>
              <w:ind w:left="1080" w:leftChars="257" w:hanging="540"/>
              <w:rPr>
                <w:rFonts w:hint="eastAsia" w:ascii="微软雅黑" w:hAnsi="微软雅黑" w:eastAsia="微软雅黑" w:cs="微软雅黑"/>
                <w:color w:val="auto"/>
                <w:sz w:val="22"/>
                <w:szCs w:val="22"/>
                <w:highlight w:val="none"/>
              </w:rPr>
            </w:pPr>
          </w:p>
        </w:tc>
        <w:tc>
          <w:tcPr>
            <w:tcW w:w="2520" w:type="dxa"/>
          </w:tcPr>
          <w:p w14:paraId="01CD07E2">
            <w:pPr>
              <w:pStyle w:val="15"/>
              <w:spacing w:line="400" w:lineRule="exact"/>
              <w:ind w:left="1080" w:leftChars="257" w:hanging="540"/>
              <w:rPr>
                <w:rFonts w:hint="eastAsia" w:ascii="微软雅黑" w:hAnsi="微软雅黑" w:eastAsia="微软雅黑" w:cs="微软雅黑"/>
                <w:color w:val="auto"/>
                <w:sz w:val="22"/>
                <w:szCs w:val="22"/>
                <w:highlight w:val="none"/>
              </w:rPr>
            </w:pPr>
          </w:p>
        </w:tc>
        <w:tc>
          <w:tcPr>
            <w:tcW w:w="2520" w:type="dxa"/>
          </w:tcPr>
          <w:p w14:paraId="71FEE9D3">
            <w:pPr>
              <w:pStyle w:val="15"/>
              <w:spacing w:line="400" w:lineRule="exact"/>
              <w:ind w:left="1080" w:leftChars="257" w:hanging="540"/>
              <w:rPr>
                <w:rFonts w:hint="eastAsia" w:ascii="微软雅黑" w:hAnsi="微软雅黑" w:eastAsia="微软雅黑" w:cs="微软雅黑"/>
                <w:color w:val="auto"/>
                <w:sz w:val="22"/>
                <w:szCs w:val="22"/>
                <w:highlight w:val="none"/>
              </w:rPr>
            </w:pPr>
          </w:p>
        </w:tc>
        <w:tc>
          <w:tcPr>
            <w:tcW w:w="1014" w:type="dxa"/>
          </w:tcPr>
          <w:p w14:paraId="536C3D2E">
            <w:pPr>
              <w:pStyle w:val="15"/>
              <w:spacing w:line="400" w:lineRule="exact"/>
              <w:ind w:left="1080" w:leftChars="257" w:hanging="540"/>
              <w:rPr>
                <w:rFonts w:hint="eastAsia" w:ascii="微软雅黑" w:hAnsi="微软雅黑" w:eastAsia="微软雅黑" w:cs="微软雅黑"/>
                <w:color w:val="auto"/>
                <w:sz w:val="22"/>
                <w:szCs w:val="22"/>
                <w:highlight w:val="none"/>
              </w:rPr>
            </w:pPr>
          </w:p>
        </w:tc>
        <w:tc>
          <w:tcPr>
            <w:tcW w:w="1014" w:type="dxa"/>
          </w:tcPr>
          <w:p w14:paraId="231372CF">
            <w:pPr>
              <w:pStyle w:val="15"/>
              <w:spacing w:line="400" w:lineRule="exact"/>
              <w:ind w:left="1080" w:leftChars="257" w:hanging="540"/>
              <w:rPr>
                <w:rFonts w:hint="eastAsia" w:ascii="微软雅黑" w:hAnsi="微软雅黑" w:eastAsia="微软雅黑" w:cs="微软雅黑"/>
                <w:color w:val="auto"/>
                <w:sz w:val="22"/>
                <w:szCs w:val="22"/>
                <w:highlight w:val="none"/>
              </w:rPr>
            </w:pPr>
          </w:p>
        </w:tc>
      </w:tr>
      <w:tr w14:paraId="69AAA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tcPr>
          <w:p w14:paraId="2A97ED10">
            <w:pPr>
              <w:pStyle w:val="15"/>
              <w:spacing w:line="400" w:lineRule="exact"/>
              <w:ind w:left="1080" w:leftChars="257" w:hanging="540"/>
              <w:rPr>
                <w:rFonts w:hint="eastAsia" w:ascii="微软雅黑" w:hAnsi="微软雅黑" w:eastAsia="微软雅黑" w:cs="微软雅黑"/>
                <w:color w:val="auto"/>
                <w:sz w:val="22"/>
                <w:szCs w:val="22"/>
                <w:highlight w:val="none"/>
              </w:rPr>
            </w:pPr>
          </w:p>
        </w:tc>
        <w:tc>
          <w:tcPr>
            <w:tcW w:w="2040" w:type="dxa"/>
          </w:tcPr>
          <w:p w14:paraId="32DEE42F">
            <w:pPr>
              <w:pStyle w:val="15"/>
              <w:spacing w:line="400" w:lineRule="exact"/>
              <w:ind w:left="1080" w:leftChars="257" w:hanging="540"/>
              <w:rPr>
                <w:rFonts w:hint="eastAsia" w:ascii="微软雅黑" w:hAnsi="微软雅黑" w:eastAsia="微软雅黑" w:cs="微软雅黑"/>
                <w:color w:val="auto"/>
                <w:sz w:val="22"/>
                <w:szCs w:val="22"/>
                <w:highlight w:val="none"/>
              </w:rPr>
            </w:pPr>
          </w:p>
        </w:tc>
        <w:tc>
          <w:tcPr>
            <w:tcW w:w="2520" w:type="dxa"/>
          </w:tcPr>
          <w:p w14:paraId="6678D244">
            <w:pPr>
              <w:pStyle w:val="15"/>
              <w:spacing w:line="400" w:lineRule="exact"/>
              <w:ind w:left="1080" w:leftChars="257" w:hanging="540"/>
              <w:rPr>
                <w:rFonts w:hint="eastAsia" w:ascii="微软雅黑" w:hAnsi="微软雅黑" w:eastAsia="微软雅黑" w:cs="微软雅黑"/>
                <w:color w:val="auto"/>
                <w:sz w:val="22"/>
                <w:szCs w:val="22"/>
                <w:highlight w:val="none"/>
              </w:rPr>
            </w:pPr>
          </w:p>
        </w:tc>
        <w:tc>
          <w:tcPr>
            <w:tcW w:w="2520" w:type="dxa"/>
          </w:tcPr>
          <w:p w14:paraId="51323BCB">
            <w:pPr>
              <w:pStyle w:val="15"/>
              <w:spacing w:line="400" w:lineRule="exact"/>
              <w:ind w:left="1080" w:leftChars="257" w:hanging="540"/>
              <w:rPr>
                <w:rFonts w:hint="eastAsia" w:ascii="微软雅黑" w:hAnsi="微软雅黑" w:eastAsia="微软雅黑" w:cs="微软雅黑"/>
                <w:color w:val="auto"/>
                <w:sz w:val="22"/>
                <w:szCs w:val="22"/>
                <w:highlight w:val="none"/>
              </w:rPr>
            </w:pPr>
          </w:p>
        </w:tc>
        <w:tc>
          <w:tcPr>
            <w:tcW w:w="1014" w:type="dxa"/>
          </w:tcPr>
          <w:p w14:paraId="0C3523FA">
            <w:pPr>
              <w:pStyle w:val="15"/>
              <w:spacing w:line="400" w:lineRule="exact"/>
              <w:ind w:left="1080" w:leftChars="257" w:hanging="540"/>
              <w:rPr>
                <w:rFonts w:hint="eastAsia" w:ascii="微软雅黑" w:hAnsi="微软雅黑" w:eastAsia="微软雅黑" w:cs="微软雅黑"/>
                <w:color w:val="auto"/>
                <w:sz w:val="22"/>
                <w:szCs w:val="22"/>
                <w:highlight w:val="none"/>
              </w:rPr>
            </w:pPr>
          </w:p>
        </w:tc>
        <w:tc>
          <w:tcPr>
            <w:tcW w:w="1014" w:type="dxa"/>
          </w:tcPr>
          <w:p w14:paraId="19D6AAF9">
            <w:pPr>
              <w:pStyle w:val="15"/>
              <w:spacing w:line="400" w:lineRule="exact"/>
              <w:ind w:left="1080" w:leftChars="257" w:hanging="540"/>
              <w:rPr>
                <w:rFonts w:hint="eastAsia" w:ascii="微软雅黑" w:hAnsi="微软雅黑" w:eastAsia="微软雅黑" w:cs="微软雅黑"/>
                <w:color w:val="auto"/>
                <w:sz w:val="22"/>
                <w:szCs w:val="22"/>
                <w:highlight w:val="none"/>
              </w:rPr>
            </w:pPr>
          </w:p>
        </w:tc>
      </w:tr>
      <w:tr w14:paraId="585AD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tcPr>
          <w:p w14:paraId="34026FE6">
            <w:pPr>
              <w:pStyle w:val="15"/>
              <w:spacing w:line="400" w:lineRule="exact"/>
              <w:ind w:left="1080" w:leftChars="257" w:hanging="540"/>
              <w:rPr>
                <w:rFonts w:hint="eastAsia" w:ascii="微软雅黑" w:hAnsi="微软雅黑" w:eastAsia="微软雅黑" w:cs="微软雅黑"/>
                <w:color w:val="auto"/>
                <w:sz w:val="22"/>
                <w:szCs w:val="22"/>
                <w:highlight w:val="none"/>
              </w:rPr>
            </w:pPr>
          </w:p>
        </w:tc>
        <w:tc>
          <w:tcPr>
            <w:tcW w:w="2040" w:type="dxa"/>
          </w:tcPr>
          <w:p w14:paraId="031720C2">
            <w:pPr>
              <w:pStyle w:val="15"/>
              <w:spacing w:line="400" w:lineRule="exact"/>
              <w:ind w:left="1080" w:leftChars="257" w:hanging="540"/>
              <w:rPr>
                <w:rFonts w:hint="eastAsia" w:ascii="微软雅黑" w:hAnsi="微软雅黑" w:eastAsia="微软雅黑" w:cs="微软雅黑"/>
                <w:color w:val="auto"/>
                <w:sz w:val="22"/>
                <w:szCs w:val="22"/>
                <w:highlight w:val="none"/>
              </w:rPr>
            </w:pPr>
          </w:p>
        </w:tc>
        <w:tc>
          <w:tcPr>
            <w:tcW w:w="2520" w:type="dxa"/>
          </w:tcPr>
          <w:p w14:paraId="623FCE28">
            <w:pPr>
              <w:pStyle w:val="15"/>
              <w:spacing w:line="400" w:lineRule="exact"/>
              <w:ind w:left="1080" w:leftChars="257" w:hanging="540"/>
              <w:rPr>
                <w:rFonts w:hint="eastAsia" w:ascii="微软雅黑" w:hAnsi="微软雅黑" w:eastAsia="微软雅黑" w:cs="微软雅黑"/>
                <w:color w:val="auto"/>
                <w:sz w:val="22"/>
                <w:szCs w:val="22"/>
                <w:highlight w:val="none"/>
              </w:rPr>
            </w:pPr>
          </w:p>
        </w:tc>
        <w:tc>
          <w:tcPr>
            <w:tcW w:w="2520" w:type="dxa"/>
          </w:tcPr>
          <w:p w14:paraId="2ABDD4E1">
            <w:pPr>
              <w:pStyle w:val="15"/>
              <w:spacing w:line="400" w:lineRule="exact"/>
              <w:ind w:left="1080" w:leftChars="257" w:hanging="540"/>
              <w:rPr>
                <w:rFonts w:hint="eastAsia" w:ascii="微软雅黑" w:hAnsi="微软雅黑" w:eastAsia="微软雅黑" w:cs="微软雅黑"/>
                <w:color w:val="auto"/>
                <w:sz w:val="22"/>
                <w:szCs w:val="22"/>
                <w:highlight w:val="none"/>
              </w:rPr>
            </w:pPr>
          </w:p>
        </w:tc>
        <w:tc>
          <w:tcPr>
            <w:tcW w:w="1014" w:type="dxa"/>
          </w:tcPr>
          <w:p w14:paraId="3E65E30E">
            <w:pPr>
              <w:pStyle w:val="15"/>
              <w:spacing w:line="400" w:lineRule="exact"/>
              <w:ind w:left="1080" w:leftChars="257" w:hanging="540"/>
              <w:rPr>
                <w:rFonts w:hint="eastAsia" w:ascii="微软雅黑" w:hAnsi="微软雅黑" w:eastAsia="微软雅黑" w:cs="微软雅黑"/>
                <w:color w:val="auto"/>
                <w:sz w:val="22"/>
                <w:szCs w:val="22"/>
                <w:highlight w:val="none"/>
              </w:rPr>
            </w:pPr>
          </w:p>
        </w:tc>
        <w:tc>
          <w:tcPr>
            <w:tcW w:w="1014" w:type="dxa"/>
          </w:tcPr>
          <w:p w14:paraId="57D979C4">
            <w:pPr>
              <w:pStyle w:val="15"/>
              <w:spacing w:line="400" w:lineRule="exact"/>
              <w:ind w:left="1080" w:leftChars="257" w:hanging="540"/>
              <w:rPr>
                <w:rFonts w:hint="eastAsia" w:ascii="微软雅黑" w:hAnsi="微软雅黑" w:eastAsia="微软雅黑" w:cs="微软雅黑"/>
                <w:color w:val="auto"/>
                <w:sz w:val="22"/>
                <w:szCs w:val="22"/>
                <w:highlight w:val="none"/>
              </w:rPr>
            </w:pPr>
          </w:p>
        </w:tc>
      </w:tr>
      <w:tr w14:paraId="41651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tcPr>
          <w:p w14:paraId="5C042526">
            <w:pPr>
              <w:pStyle w:val="15"/>
              <w:spacing w:line="400" w:lineRule="exact"/>
              <w:ind w:left="1080" w:leftChars="257" w:hanging="540"/>
              <w:rPr>
                <w:rFonts w:hint="eastAsia" w:ascii="微软雅黑" w:hAnsi="微软雅黑" w:eastAsia="微软雅黑" w:cs="微软雅黑"/>
                <w:color w:val="auto"/>
                <w:sz w:val="22"/>
                <w:szCs w:val="22"/>
                <w:highlight w:val="none"/>
              </w:rPr>
            </w:pPr>
          </w:p>
        </w:tc>
        <w:tc>
          <w:tcPr>
            <w:tcW w:w="2040" w:type="dxa"/>
          </w:tcPr>
          <w:p w14:paraId="7F257498">
            <w:pPr>
              <w:pStyle w:val="15"/>
              <w:spacing w:line="400" w:lineRule="exact"/>
              <w:ind w:left="1080" w:leftChars="257" w:hanging="540"/>
              <w:rPr>
                <w:rFonts w:hint="eastAsia" w:ascii="微软雅黑" w:hAnsi="微软雅黑" w:eastAsia="微软雅黑" w:cs="微软雅黑"/>
                <w:color w:val="auto"/>
                <w:sz w:val="22"/>
                <w:szCs w:val="22"/>
                <w:highlight w:val="none"/>
              </w:rPr>
            </w:pPr>
          </w:p>
        </w:tc>
        <w:tc>
          <w:tcPr>
            <w:tcW w:w="2520" w:type="dxa"/>
          </w:tcPr>
          <w:p w14:paraId="0256FF11">
            <w:pPr>
              <w:pStyle w:val="15"/>
              <w:spacing w:line="400" w:lineRule="exact"/>
              <w:ind w:left="1080" w:leftChars="257" w:hanging="540"/>
              <w:rPr>
                <w:rFonts w:hint="eastAsia" w:ascii="微软雅黑" w:hAnsi="微软雅黑" w:eastAsia="微软雅黑" w:cs="微软雅黑"/>
                <w:color w:val="auto"/>
                <w:sz w:val="22"/>
                <w:szCs w:val="22"/>
                <w:highlight w:val="none"/>
              </w:rPr>
            </w:pPr>
          </w:p>
        </w:tc>
        <w:tc>
          <w:tcPr>
            <w:tcW w:w="2520" w:type="dxa"/>
          </w:tcPr>
          <w:p w14:paraId="26118ECD">
            <w:pPr>
              <w:pStyle w:val="15"/>
              <w:spacing w:line="400" w:lineRule="exact"/>
              <w:ind w:left="1080" w:leftChars="257" w:hanging="540"/>
              <w:rPr>
                <w:rFonts w:hint="eastAsia" w:ascii="微软雅黑" w:hAnsi="微软雅黑" w:eastAsia="微软雅黑" w:cs="微软雅黑"/>
                <w:color w:val="auto"/>
                <w:sz w:val="22"/>
                <w:szCs w:val="22"/>
                <w:highlight w:val="none"/>
              </w:rPr>
            </w:pPr>
          </w:p>
        </w:tc>
        <w:tc>
          <w:tcPr>
            <w:tcW w:w="1014" w:type="dxa"/>
          </w:tcPr>
          <w:p w14:paraId="7E3252B7">
            <w:pPr>
              <w:pStyle w:val="15"/>
              <w:spacing w:line="400" w:lineRule="exact"/>
              <w:ind w:left="1080" w:leftChars="257" w:hanging="540"/>
              <w:rPr>
                <w:rFonts w:hint="eastAsia" w:ascii="微软雅黑" w:hAnsi="微软雅黑" w:eastAsia="微软雅黑" w:cs="微软雅黑"/>
                <w:color w:val="auto"/>
                <w:sz w:val="22"/>
                <w:szCs w:val="22"/>
                <w:highlight w:val="none"/>
              </w:rPr>
            </w:pPr>
          </w:p>
        </w:tc>
        <w:tc>
          <w:tcPr>
            <w:tcW w:w="1014" w:type="dxa"/>
          </w:tcPr>
          <w:p w14:paraId="55CA934A">
            <w:pPr>
              <w:pStyle w:val="15"/>
              <w:spacing w:line="400" w:lineRule="exact"/>
              <w:ind w:left="1080" w:leftChars="257" w:hanging="540"/>
              <w:rPr>
                <w:rFonts w:hint="eastAsia" w:ascii="微软雅黑" w:hAnsi="微软雅黑" w:eastAsia="微软雅黑" w:cs="微软雅黑"/>
                <w:color w:val="auto"/>
                <w:sz w:val="22"/>
                <w:szCs w:val="22"/>
                <w:highlight w:val="none"/>
              </w:rPr>
            </w:pPr>
          </w:p>
        </w:tc>
      </w:tr>
      <w:tr w14:paraId="71FC5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tcPr>
          <w:p w14:paraId="2243D922">
            <w:pPr>
              <w:pStyle w:val="15"/>
              <w:spacing w:line="400" w:lineRule="exact"/>
              <w:ind w:left="1080" w:leftChars="257" w:hanging="540"/>
              <w:rPr>
                <w:rFonts w:hint="eastAsia" w:ascii="微软雅黑" w:hAnsi="微软雅黑" w:eastAsia="微软雅黑" w:cs="微软雅黑"/>
                <w:color w:val="auto"/>
                <w:sz w:val="22"/>
                <w:szCs w:val="22"/>
                <w:highlight w:val="none"/>
              </w:rPr>
            </w:pPr>
          </w:p>
        </w:tc>
        <w:tc>
          <w:tcPr>
            <w:tcW w:w="2040" w:type="dxa"/>
          </w:tcPr>
          <w:p w14:paraId="2C9F7E8F">
            <w:pPr>
              <w:pStyle w:val="15"/>
              <w:spacing w:line="400" w:lineRule="exact"/>
              <w:ind w:left="1080" w:leftChars="257" w:hanging="540"/>
              <w:rPr>
                <w:rFonts w:hint="eastAsia" w:ascii="微软雅黑" w:hAnsi="微软雅黑" w:eastAsia="微软雅黑" w:cs="微软雅黑"/>
                <w:color w:val="auto"/>
                <w:sz w:val="22"/>
                <w:szCs w:val="22"/>
                <w:highlight w:val="none"/>
              </w:rPr>
            </w:pPr>
          </w:p>
        </w:tc>
        <w:tc>
          <w:tcPr>
            <w:tcW w:w="2520" w:type="dxa"/>
          </w:tcPr>
          <w:p w14:paraId="551BC40B">
            <w:pPr>
              <w:pStyle w:val="15"/>
              <w:spacing w:line="400" w:lineRule="exact"/>
              <w:ind w:left="1080" w:leftChars="257" w:hanging="540"/>
              <w:rPr>
                <w:rFonts w:hint="eastAsia" w:ascii="微软雅黑" w:hAnsi="微软雅黑" w:eastAsia="微软雅黑" w:cs="微软雅黑"/>
                <w:color w:val="auto"/>
                <w:sz w:val="22"/>
                <w:szCs w:val="22"/>
                <w:highlight w:val="none"/>
              </w:rPr>
            </w:pPr>
          </w:p>
        </w:tc>
        <w:tc>
          <w:tcPr>
            <w:tcW w:w="2520" w:type="dxa"/>
          </w:tcPr>
          <w:p w14:paraId="51C8435B">
            <w:pPr>
              <w:pStyle w:val="15"/>
              <w:spacing w:line="400" w:lineRule="exact"/>
              <w:ind w:left="1080" w:leftChars="257" w:hanging="540"/>
              <w:rPr>
                <w:rFonts w:hint="eastAsia" w:ascii="微软雅黑" w:hAnsi="微软雅黑" w:eastAsia="微软雅黑" w:cs="微软雅黑"/>
                <w:color w:val="auto"/>
                <w:sz w:val="22"/>
                <w:szCs w:val="22"/>
                <w:highlight w:val="none"/>
              </w:rPr>
            </w:pPr>
          </w:p>
        </w:tc>
        <w:tc>
          <w:tcPr>
            <w:tcW w:w="1014" w:type="dxa"/>
          </w:tcPr>
          <w:p w14:paraId="0A7D93D9">
            <w:pPr>
              <w:pStyle w:val="15"/>
              <w:spacing w:line="400" w:lineRule="exact"/>
              <w:ind w:left="1080" w:leftChars="257" w:hanging="540"/>
              <w:rPr>
                <w:rFonts w:hint="eastAsia" w:ascii="微软雅黑" w:hAnsi="微软雅黑" w:eastAsia="微软雅黑" w:cs="微软雅黑"/>
                <w:color w:val="auto"/>
                <w:sz w:val="22"/>
                <w:szCs w:val="22"/>
                <w:highlight w:val="none"/>
              </w:rPr>
            </w:pPr>
          </w:p>
        </w:tc>
        <w:tc>
          <w:tcPr>
            <w:tcW w:w="1014" w:type="dxa"/>
          </w:tcPr>
          <w:p w14:paraId="261C5458">
            <w:pPr>
              <w:pStyle w:val="15"/>
              <w:spacing w:line="400" w:lineRule="exact"/>
              <w:ind w:left="1080" w:leftChars="257" w:hanging="540"/>
              <w:rPr>
                <w:rFonts w:hint="eastAsia" w:ascii="微软雅黑" w:hAnsi="微软雅黑" w:eastAsia="微软雅黑" w:cs="微软雅黑"/>
                <w:color w:val="auto"/>
                <w:sz w:val="22"/>
                <w:szCs w:val="22"/>
                <w:highlight w:val="none"/>
              </w:rPr>
            </w:pPr>
          </w:p>
        </w:tc>
      </w:tr>
    </w:tbl>
    <w:p w14:paraId="07BB3372">
      <w:pPr>
        <w:pStyle w:val="15"/>
        <w:spacing w:line="400" w:lineRule="exact"/>
        <w:ind w:left="1080" w:leftChars="257" w:hanging="540"/>
        <w:rPr>
          <w:rFonts w:hint="eastAsia" w:ascii="微软雅黑" w:hAnsi="微软雅黑" w:eastAsia="微软雅黑" w:cs="微软雅黑"/>
          <w:color w:val="auto"/>
          <w:sz w:val="22"/>
          <w:szCs w:val="22"/>
          <w:highlight w:val="none"/>
        </w:rPr>
      </w:pPr>
    </w:p>
    <w:p w14:paraId="4325FBD3">
      <w:pPr>
        <w:pStyle w:val="15"/>
        <w:spacing w:line="400" w:lineRule="exact"/>
        <w:ind w:left="1080" w:leftChars="257" w:hanging="540"/>
        <w:rPr>
          <w:rFonts w:hint="eastAsia" w:ascii="微软雅黑" w:hAnsi="微软雅黑" w:eastAsia="微软雅黑" w:cs="微软雅黑"/>
          <w:color w:val="auto"/>
          <w:sz w:val="22"/>
          <w:szCs w:val="22"/>
          <w:highlight w:val="none"/>
        </w:rPr>
      </w:pPr>
    </w:p>
    <w:p w14:paraId="0F480751">
      <w:pPr>
        <w:pStyle w:val="15"/>
        <w:spacing w:line="400" w:lineRule="exact"/>
        <w:ind w:left="1080" w:leftChars="257" w:hanging="540"/>
        <w:rPr>
          <w:rFonts w:hint="eastAsia" w:ascii="微软雅黑" w:hAnsi="微软雅黑" w:eastAsia="微软雅黑" w:cs="微软雅黑"/>
          <w:color w:val="auto"/>
          <w:sz w:val="22"/>
          <w:szCs w:val="22"/>
          <w:highlight w:val="none"/>
        </w:rPr>
      </w:pPr>
    </w:p>
    <w:p w14:paraId="46BA2375">
      <w:pPr>
        <w:pStyle w:val="15"/>
        <w:spacing w:line="400" w:lineRule="exact"/>
        <w:ind w:left="1080" w:leftChars="257" w:hanging="540"/>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法定代表人</w:t>
      </w:r>
      <w:r>
        <w:rPr>
          <w:rFonts w:hint="eastAsia" w:ascii="微软雅黑" w:hAnsi="微软雅黑" w:eastAsia="微软雅黑" w:cs="微软雅黑"/>
          <w:color w:val="auto"/>
          <w:sz w:val="22"/>
          <w:szCs w:val="22"/>
          <w:highlight w:val="none"/>
          <w:lang w:eastAsia="zh-CN"/>
        </w:rPr>
        <w:t>或委托代理人</w:t>
      </w:r>
      <w:r>
        <w:rPr>
          <w:rFonts w:hint="eastAsia" w:ascii="微软雅黑" w:hAnsi="微软雅黑" w:eastAsia="微软雅黑" w:cs="微软雅黑"/>
          <w:color w:val="auto"/>
          <w:sz w:val="22"/>
          <w:szCs w:val="22"/>
          <w:highlight w:val="none"/>
        </w:rPr>
        <w:t>（签/章）:</w:t>
      </w:r>
      <w:r>
        <w:rPr>
          <w:rFonts w:hint="eastAsia" w:ascii="微软雅黑" w:hAnsi="微软雅黑" w:eastAsia="微软雅黑" w:cs="微软雅黑"/>
          <w:color w:val="auto"/>
          <w:sz w:val="22"/>
          <w:szCs w:val="22"/>
          <w:highlight w:val="none"/>
          <w:u w:val="single"/>
        </w:rPr>
        <w:t xml:space="preserve"> </w:t>
      </w:r>
      <w:r>
        <w:rPr>
          <w:rFonts w:hint="eastAsia" w:ascii="微软雅黑" w:hAnsi="微软雅黑" w:eastAsia="微软雅黑" w:cs="微软雅黑"/>
          <w:color w:val="auto"/>
          <w:sz w:val="22"/>
          <w:szCs w:val="22"/>
          <w:highlight w:val="none"/>
          <w:u w:val="single"/>
        </w:rPr>
        <w:tab/>
      </w:r>
      <w:r>
        <w:rPr>
          <w:rFonts w:hint="eastAsia" w:ascii="微软雅黑" w:hAnsi="微软雅黑" w:eastAsia="微软雅黑" w:cs="微软雅黑"/>
          <w:color w:val="auto"/>
          <w:sz w:val="22"/>
          <w:szCs w:val="22"/>
          <w:highlight w:val="none"/>
          <w:u w:val="single"/>
        </w:rPr>
        <w:t xml:space="preserve">                 </w:t>
      </w:r>
    </w:p>
    <w:p w14:paraId="5CC0AD50">
      <w:pPr>
        <w:pStyle w:val="15"/>
        <w:tabs>
          <w:tab w:val="left" w:pos="5370"/>
        </w:tabs>
        <w:spacing w:line="400" w:lineRule="exact"/>
        <w:ind w:left="1080" w:leftChars="257" w:hanging="540"/>
        <w:rPr>
          <w:rFonts w:hint="eastAsia" w:ascii="微软雅黑" w:hAnsi="微软雅黑" w:eastAsia="微软雅黑" w:cs="微软雅黑"/>
          <w:color w:val="auto"/>
          <w:sz w:val="22"/>
          <w:szCs w:val="22"/>
          <w:highlight w:val="none"/>
          <w:u w:val="single"/>
        </w:rPr>
      </w:pPr>
      <w:r>
        <w:rPr>
          <w:rFonts w:hint="eastAsia" w:ascii="微软雅黑" w:hAnsi="微软雅黑" w:eastAsia="微软雅黑" w:cs="微软雅黑"/>
          <w:color w:val="auto"/>
          <w:sz w:val="22"/>
          <w:szCs w:val="22"/>
          <w:highlight w:val="none"/>
        </w:rPr>
        <w:t>供应商</w:t>
      </w:r>
      <w:r>
        <w:rPr>
          <w:rFonts w:hint="eastAsia" w:ascii="微软雅黑" w:hAnsi="微软雅黑" w:eastAsia="微软雅黑" w:cs="微软雅黑"/>
          <w:color w:val="auto"/>
          <w:sz w:val="22"/>
          <w:szCs w:val="22"/>
          <w:highlight w:val="none"/>
          <w:lang w:eastAsia="zh-CN"/>
        </w:rPr>
        <w:t>名称</w:t>
      </w:r>
      <w:r>
        <w:rPr>
          <w:rFonts w:hint="eastAsia" w:ascii="微软雅黑" w:hAnsi="微软雅黑" w:eastAsia="微软雅黑" w:cs="微软雅黑"/>
          <w:color w:val="auto"/>
          <w:sz w:val="22"/>
          <w:szCs w:val="22"/>
          <w:highlight w:val="none"/>
        </w:rPr>
        <w:t>(公章):</w:t>
      </w:r>
      <w:r>
        <w:rPr>
          <w:rFonts w:hint="eastAsia" w:ascii="微软雅黑" w:hAnsi="微软雅黑" w:eastAsia="微软雅黑" w:cs="微软雅黑"/>
          <w:color w:val="auto"/>
          <w:sz w:val="22"/>
          <w:szCs w:val="22"/>
          <w:highlight w:val="none"/>
          <w:u w:val="single"/>
        </w:rPr>
        <w:tab/>
      </w:r>
    </w:p>
    <w:p w14:paraId="3D43AEC9">
      <w:pPr>
        <w:pStyle w:val="15"/>
        <w:tabs>
          <w:tab w:val="left" w:pos="5370"/>
        </w:tabs>
        <w:spacing w:line="400" w:lineRule="exact"/>
        <w:ind w:left="1080" w:leftChars="257" w:hanging="540"/>
        <w:rPr>
          <w:rFonts w:hint="eastAsia" w:ascii="微软雅黑" w:hAnsi="微软雅黑" w:eastAsia="微软雅黑" w:cs="微软雅黑"/>
          <w:color w:val="auto"/>
          <w:sz w:val="22"/>
          <w:szCs w:val="22"/>
          <w:highlight w:val="none"/>
          <w:u w:val="single"/>
        </w:rPr>
      </w:pPr>
    </w:p>
    <w:p w14:paraId="6EBEB896">
      <w:pPr>
        <w:pStyle w:val="15"/>
        <w:tabs>
          <w:tab w:val="left" w:pos="5370"/>
        </w:tabs>
        <w:spacing w:line="400" w:lineRule="exact"/>
        <w:ind w:left="1080" w:leftChars="257" w:hanging="540"/>
        <w:rPr>
          <w:rFonts w:hint="eastAsia" w:ascii="微软雅黑" w:hAnsi="微软雅黑" w:eastAsia="微软雅黑" w:cs="微软雅黑"/>
          <w:color w:val="auto"/>
          <w:sz w:val="22"/>
          <w:szCs w:val="22"/>
          <w:highlight w:val="none"/>
          <w:u w:val="single"/>
        </w:rPr>
      </w:pPr>
    </w:p>
    <w:p w14:paraId="61CA56B7">
      <w:pPr>
        <w:pStyle w:val="15"/>
        <w:tabs>
          <w:tab w:val="left" w:pos="5370"/>
        </w:tabs>
        <w:spacing w:line="400" w:lineRule="exact"/>
        <w:ind w:left="1080" w:leftChars="257" w:hanging="540"/>
        <w:rPr>
          <w:rFonts w:hint="eastAsia" w:ascii="微软雅黑" w:hAnsi="微软雅黑" w:eastAsia="微软雅黑" w:cs="微软雅黑"/>
          <w:color w:val="auto"/>
          <w:sz w:val="22"/>
          <w:szCs w:val="22"/>
          <w:highlight w:val="none"/>
          <w:u w:val="single"/>
        </w:rPr>
      </w:pPr>
    </w:p>
    <w:p w14:paraId="6B6BAD90">
      <w:pPr>
        <w:pStyle w:val="15"/>
        <w:tabs>
          <w:tab w:val="left" w:pos="5370"/>
        </w:tabs>
        <w:spacing w:line="400" w:lineRule="exact"/>
        <w:ind w:left="1080" w:leftChars="257" w:hanging="540"/>
        <w:rPr>
          <w:rFonts w:hint="eastAsia" w:ascii="微软雅黑" w:hAnsi="微软雅黑" w:eastAsia="微软雅黑" w:cs="微软雅黑"/>
          <w:color w:val="auto"/>
          <w:sz w:val="22"/>
          <w:szCs w:val="22"/>
          <w:highlight w:val="none"/>
          <w:u w:val="single"/>
        </w:rPr>
      </w:pPr>
    </w:p>
    <w:p w14:paraId="2D732D47">
      <w:pPr>
        <w:pStyle w:val="15"/>
        <w:tabs>
          <w:tab w:val="left" w:pos="5370"/>
        </w:tabs>
        <w:spacing w:line="400" w:lineRule="exact"/>
        <w:ind w:left="1080" w:leftChars="257" w:hanging="540"/>
        <w:rPr>
          <w:rFonts w:hint="eastAsia" w:ascii="微软雅黑" w:hAnsi="微软雅黑" w:eastAsia="微软雅黑" w:cs="微软雅黑"/>
          <w:color w:val="auto"/>
          <w:sz w:val="22"/>
          <w:szCs w:val="22"/>
          <w:highlight w:val="none"/>
          <w:u w:val="single"/>
        </w:rPr>
      </w:pPr>
    </w:p>
    <w:p w14:paraId="64794338">
      <w:pPr>
        <w:rPr>
          <w:rFonts w:hint="eastAsia" w:ascii="微软雅黑" w:hAnsi="微软雅黑" w:eastAsia="微软雅黑" w:cs="微软雅黑"/>
          <w:color w:val="auto"/>
          <w:sz w:val="22"/>
          <w:szCs w:val="22"/>
          <w:highlight w:val="none"/>
        </w:rPr>
      </w:pPr>
      <w:bookmarkStart w:id="1554" w:name="_Toc27043"/>
      <w:bookmarkStart w:id="1555" w:name="_Toc10725"/>
      <w:bookmarkStart w:id="1556" w:name="_Toc17820"/>
      <w:bookmarkStart w:id="1557" w:name="_Toc21312"/>
      <w:bookmarkStart w:id="1558" w:name="_Toc515647823"/>
      <w:bookmarkStart w:id="1559" w:name="_Toc31694"/>
      <w:bookmarkStart w:id="1560" w:name="_Toc25797"/>
      <w:r>
        <w:rPr>
          <w:rFonts w:hint="eastAsia" w:ascii="微软雅黑" w:hAnsi="微软雅黑" w:eastAsia="微软雅黑" w:cs="微软雅黑"/>
          <w:color w:val="auto"/>
          <w:sz w:val="22"/>
          <w:szCs w:val="22"/>
          <w:highlight w:val="none"/>
        </w:rPr>
        <w:br w:type="page"/>
      </w:r>
      <w:bookmarkEnd w:id="1554"/>
      <w:bookmarkEnd w:id="1555"/>
      <w:bookmarkEnd w:id="1556"/>
      <w:bookmarkEnd w:id="1557"/>
      <w:bookmarkEnd w:id="1558"/>
      <w:bookmarkEnd w:id="1559"/>
      <w:bookmarkEnd w:id="1560"/>
    </w:p>
    <w:p w14:paraId="052FC694">
      <w:pPr>
        <w:pStyle w:val="3"/>
        <w:spacing w:before="0" w:line="400" w:lineRule="exact"/>
        <w:jc w:val="center"/>
        <w:rPr>
          <w:rFonts w:hint="eastAsia" w:ascii="微软雅黑" w:hAnsi="微软雅黑" w:eastAsia="微软雅黑" w:cs="微软雅黑"/>
          <w:b/>
          <w:i w:val="0"/>
          <w:caps w:val="0"/>
          <w:color w:val="auto"/>
          <w:spacing w:val="0"/>
          <w:w w:val="100"/>
          <w:kern w:val="0"/>
          <w:sz w:val="22"/>
          <w:szCs w:val="22"/>
          <w:highlight w:val="none"/>
        </w:rPr>
      </w:pPr>
      <w:bookmarkStart w:id="1561" w:name="_Toc4229"/>
      <w:bookmarkStart w:id="1562" w:name="_Toc7133"/>
      <w:bookmarkStart w:id="1563" w:name="_Toc15923"/>
      <w:r>
        <w:rPr>
          <w:rFonts w:hint="eastAsia" w:ascii="微软雅黑" w:hAnsi="微软雅黑" w:eastAsia="微软雅黑" w:cs="微软雅黑"/>
          <w:color w:val="auto"/>
          <w:sz w:val="22"/>
          <w:szCs w:val="22"/>
          <w:highlight w:val="none"/>
        </w:rPr>
        <w:t>6-1  中小企业声明函</w:t>
      </w:r>
      <w:bookmarkEnd w:id="1561"/>
      <w:bookmarkEnd w:id="1562"/>
      <w:bookmarkEnd w:id="1563"/>
      <w:bookmarkStart w:id="1564" w:name="_Toc2709"/>
      <w:bookmarkStart w:id="1565" w:name="_Toc11803"/>
      <w:bookmarkStart w:id="1566" w:name="_Toc515647824"/>
      <w:bookmarkStart w:id="1567" w:name="_Toc21610"/>
      <w:bookmarkStart w:id="1568" w:name="_Toc9687"/>
      <w:bookmarkStart w:id="1569" w:name="_Toc11343"/>
      <w:bookmarkStart w:id="1570" w:name="_Toc10977"/>
    </w:p>
    <w:p w14:paraId="2D4CED33">
      <w:pPr>
        <w:keepNext w:val="0"/>
        <w:keepLines w:val="0"/>
        <w:widowControl/>
        <w:suppressLineNumbers w:val="0"/>
        <w:shd w:val="clear" w:color="auto" w:fill="auto"/>
        <w:spacing w:before="0" w:beforeAutospacing="1" w:after="0" w:afterAutospacing="1" w:line="348" w:lineRule="atLeast"/>
        <w:ind w:left="0" w:right="0" w:firstLine="384"/>
        <w:jc w:val="left"/>
        <w:rPr>
          <w:rFonts w:hint="eastAsia" w:ascii="微软雅黑" w:hAnsi="微软雅黑" w:eastAsia="微软雅黑" w:cs="微软雅黑"/>
          <w:i w:val="0"/>
          <w:iCs w:val="0"/>
          <w:caps w:val="0"/>
          <w:color w:val="auto"/>
          <w:spacing w:val="0"/>
          <w:sz w:val="22"/>
          <w:szCs w:val="22"/>
          <w:highlight w:val="none"/>
        </w:rPr>
      </w:pPr>
      <w:r>
        <w:rPr>
          <w:rFonts w:hint="eastAsia" w:ascii="微软雅黑" w:hAnsi="微软雅黑" w:eastAsia="微软雅黑" w:cs="微软雅黑"/>
          <w:i w:val="0"/>
          <w:iCs w:val="0"/>
          <w:caps w:val="0"/>
          <w:color w:val="auto"/>
          <w:spacing w:val="0"/>
          <w:kern w:val="0"/>
          <w:sz w:val="22"/>
          <w:szCs w:val="22"/>
          <w:highlight w:val="none"/>
          <w:shd w:val="clear" w:color="auto" w:fill="FFFFFF"/>
          <w:lang w:val="en-US" w:eastAsia="zh-CN"/>
        </w:rPr>
        <w:t>本公司（联合体）郑重声明，根据《政府采购促进中小企业发展管理办法》（财库﹝2020﹞46 号）的规定，本公司（联合体）参加</w:t>
      </w:r>
      <w:r>
        <w:rPr>
          <w:rFonts w:hint="eastAsia" w:ascii="微软雅黑" w:hAnsi="微软雅黑" w:eastAsia="微软雅黑" w:cs="微软雅黑"/>
          <w:i w:val="0"/>
          <w:iCs w:val="0"/>
          <w:caps w:val="0"/>
          <w:color w:val="auto"/>
          <w:spacing w:val="0"/>
          <w:kern w:val="0"/>
          <w:sz w:val="22"/>
          <w:szCs w:val="22"/>
          <w:highlight w:val="none"/>
          <w:u w:val="single"/>
          <w:shd w:val="clear" w:color="auto" w:fill="FFFFFF"/>
          <w:lang w:val="en-US" w:eastAsia="zh-CN"/>
        </w:rPr>
        <w:t>     （单位名称）</w:t>
      </w:r>
      <w:r>
        <w:rPr>
          <w:rFonts w:hint="eastAsia" w:ascii="微软雅黑" w:hAnsi="微软雅黑" w:eastAsia="微软雅黑" w:cs="微软雅黑"/>
          <w:i w:val="0"/>
          <w:iCs w:val="0"/>
          <w:caps w:val="0"/>
          <w:color w:val="auto"/>
          <w:spacing w:val="0"/>
          <w:kern w:val="0"/>
          <w:sz w:val="22"/>
          <w:szCs w:val="22"/>
          <w:highlight w:val="none"/>
          <w:shd w:val="clear" w:color="auto" w:fill="FFFFFF"/>
          <w:lang w:val="en-US" w:eastAsia="zh-CN"/>
        </w:rPr>
        <w:t>的</w:t>
      </w:r>
      <w:r>
        <w:rPr>
          <w:rFonts w:hint="eastAsia" w:ascii="微软雅黑" w:hAnsi="微软雅黑" w:eastAsia="微软雅黑" w:cs="微软雅黑"/>
          <w:i w:val="0"/>
          <w:iCs w:val="0"/>
          <w:caps w:val="0"/>
          <w:color w:val="auto"/>
          <w:spacing w:val="0"/>
          <w:kern w:val="0"/>
          <w:sz w:val="22"/>
          <w:szCs w:val="22"/>
          <w:highlight w:val="none"/>
          <w:u w:val="single"/>
          <w:shd w:val="clear" w:color="auto" w:fill="FFFFFF"/>
          <w:lang w:val="en-US" w:eastAsia="zh-CN"/>
        </w:rPr>
        <w:t>    （项目名称）</w:t>
      </w:r>
      <w:r>
        <w:rPr>
          <w:rFonts w:hint="eastAsia" w:ascii="微软雅黑" w:hAnsi="微软雅黑" w:eastAsia="微软雅黑" w:cs="微软雅黑"/>
          <w:i w:val="0"/>
          <w:iCs w:val="0"/>
          <w:caps w:val="0"/>
          <w:color w:val="auto"/>
          <w:spacing w:val="0"/>
          <w:kern w:val="0"/>
          <w:sz w:val="22"/>
          <w:szCs w:val="22"/>
          <w:highlight w:val="none"/>
          <w:shd w:val="clear" w:color="auto" w:fill="FFFFFF"/>
          <w:lang w:val="en-US" w:eastAsia="zh-CN"/>
        </w:rPr>
        <w:t>采购活动，提供的货物全部由符合政策要求的中小企业制造。相关企业（含联合体中的中小企业、签订分包意向协议的中小企业）的具体情况如下：</w:t>
      </w:r>
    </w:p>
    <w:p w14:paraId="14A03E29">
      <w:pPr>
        <w:keepNext w:val="0"/>
        <w:keepLines w:val="0"/>
        <w:widowControl/>
        <w:suppressLineNumbers w:val="0"/>
        <w:shd w:val="clear" w:color="auto" w:fill="auto"/>
        <w:spacing w:before="0" w:beforeAutospacing="1" w:after="0" w:afterAutospacing="1" w:line="348" w:lineRule="atLeast"/>
        <w:ind w:left="0" w:right="0" w:firstLine="384"/>
        <w:jc w:val="left"/>
        <w:rPr>
          <w:rFonts w:hint="eastAsia" w:ascii="微软雅黑" w:hAnsi="微软雅黑" w:eastAsia="微软雅黑" w:cs="微软雅黑"/>
          <w:i w:val="0"/>
          <w:iCs w:val="0"/>
          <w:caps w:val="0"/>
          <w:color w:val="auto"/>
          <w:spacing w:val="0"/>
          <w:sz w:val="22"/>
          <w:szCs w:val="22"/>
          <w:highlight w:val="none"/>
        </w:rPr>
      </w:pPr>
      <w:r>
        <w:rPr>
          <w:rFonts w:hint="eastAsia" w:ascii="微软雅黑" w:hAnsi="微软雅黑" w:eastAsia="微软雅黑" w:cs="微软雅黑"/>
          <w:i w:val="0"/>
          <w:iCs w:val="0"/>
          <w:caps w:val="0"/>
          <w:color w:val="auto"/>
          <w:spacing w:val="0"/>
          <w:kern w:val="0"/>
          <w:sz w:val="22"/>
          <w:szCs w:val="22"/>
          <w:highlight w:val="none"/>
          <w:shd w:val="clear" w:color="auto" w:fill="FFFFFF"/>
          <w:lang w:val="en-US" w:eastAsia="zh-CN"/>
        </w:rPr>
        <w:t>1.</w:t>
      </w:r>
      <w:r>
        <w:rPr>
          <w:rFonts w:hint="eastAsia" w:ascii="微软雅黑" w:hAnsi="微软雅黑" w:eastAsia="微软雅黑" w:cs="微软雅黑"/>
          <w:i w:val="0"/>
          <w:iCs w:val="0"/>
          <w:caps w:val="0"/>
          <w:color w:val="auto"/>
          <w:spacing w:val="0"/>
          <w:kern w:val="0"/>
          <w:sz w:val="22"/>
          <w:szCs w:val="22"/>
          <w:highlight w:val="none"/>
          <w:u w:val="single"/>
          <w:shd w:val="clear" w:color="auto" w:fill="FFFFFF"/>
          <w:lang w:val="en-US" w:eastAsia="zh-CN"/>
        </w:rPr>
        <w:t>     （标的名称）</w:t>
      </w:r>
      <w:r>
        <w:rPr>
          <w:rFonts w:hint="eastAsia" w:ascii="微软雅黑" w:hAnsi="微软雅黑" w:eastAsia="微软雅黑" w:cs="微软雅黑"/>
          <w:i w:val="0"/>
          <w:iCs w:val="0"/>
          <w:caps w:val="0"/>
          <w:color w:val="auto"/>
          <w:spacing w:val="0"/>
          <w:kern w:val="0"/>
          <w:sz w:val="22"/>
          <w:szCs w:val="22"/>
          <w:highlight w:val="none"/>
          <w:shd w:val="clear" w:color="auto" w:fill="FFFFFF"/>
          <w:lang w:val="en-US" w:eastAsia="zh-CN"/>
        </w:rPr>
        <w:t>，属于</w:t>
      </w:r>
      <w:r>
        <w:rPr>
          <w:rFonts w:hint="eastAsia" w:ascii="微软雅黑" w:hAnsi="微软雅黑" w:eastAsia="微软雅黑" w:cs="微软雅黑"/>
          <w:i w:val="0"/>
          <w:iCs w:val="0"/>
          <w:caps w:val="0"/>
          <w:color w:val="auto"/>
          <w:spacing w:val="0"/>
          <w:kern w:val="0"/>
          <w:sz w:val="22"/>
          <w:szCs w:val="22"/>
          <w:highlight w:val="none"/>
          <w:u w:val="single"/>
          <w:shd w:val="clear" w:color="auto" w:fill="FFFFFF"/>
          <w:lang w:val="en-US" w:eastAsia="zh-CN"/>
        </w:rPr>
        <w:t>     （采购文件中明确的所属行业）</w:t>
      </w:r>
      <w:r>
        <w:rPr>
          <w:rFonts w:hint="eastAsia" w:ascii="微软雅黑" w:hAnsi="微软雅黑" w:eastAsia="微软雅黑" w:cs="微软雅黑"/>
          <w:i w:val="0"/>
          <w:iCs w:val="0"/>
          <w:caps w:val="0"/>
          <w:color w:val="auto"/>
          <w:spacing w:val="0"/>
          <w:kern w:val="0"/>
          <w:sz w:val="22"/>
          <w:szCs w:val="22"/>
          <w:highlight w:val="none"/>
          <w:shd w:val="clear" w:color="auto" w:fill="FFFFFF"/>
          <w:lang w:val="en-US" w:eastAsia="zh-CN"/>
        </w:rPr>
        <w:t>行业；制造商为</w:t>
      </w:r>
      <w:r>
        <w:rPr>
          <w:rFonts w:hint="eastAsia" w:ascii="微软雅黑" w:hAnsi="微软雅黑" w:eastAsia="微软雅黑" w:cs="微软雅黑"/>
          <w:i w:val="0"/>
          <w:iCs w:val="0"/>
          <w:caps w:val="0"/>
          <w:color w:val="auto"/>
          <w:spacing w:val="0"/>
          <w:kern w:val="0"/>
          <w:sz w:val="22"/>
          <w:szCs w:val="22"/>
          <w:highlight w:val="none"/>
          <w:u w:val="single"/>
          <w:shd w:val="clear" w:color="auto" w:fill="FFFFFF"/>
          <w:lang w:val="en-US" w:eastAsia="zh-CN"/>
        </w:rPr>
        <w:t>       （企业名称）</w:t>
      </w:r>
      <w:r>
        <w:rPr>
          <w:rFonts w:hint="eastAsia" w:ascii="微软雅黑" w:hAnsi="微软雅黑" w:eastAsia="微软雅黑" w:cs="微软雅黑"/>
          <w:i w:val="0"/>
          <w:iCs w:val="0"/>
          <w:caps w:val="0"/>
          <w:color w:val="auto"/>
          <w:spacing w:val="0"/>
          <w:kern w:val="0"/>
          <w:sz w:val="22"/>
          <w:szCs w:val="22"/>
          <w:highlight w:val="none"/>
          <w:shd w:val="clear" w:color="auto" w:fill="FFFFFF"/>
          <w:lang w:val="en-US" w:eastAsia="zh-CN"/>
        </w:rPr>
        <w:t>，从业人员</w:t>
      </w:r>
      <w:r>
        <w:rPr>
          <w:rFonts w:hint="eastAsia" w:ascii="微软雅黑" w:hAnsi="微软雅黑" w:eastAsia="微软雅黑" w:cs="微软雅黑"/>
          <w:i w:val="0"/>
          <w:iCs w:val="0"/>
          <w:caps w:val="0"/>
          <w:color w:val="auto"/>
          <w:spacing w:val="0"/>
          <w:kern w:val="0"/>
          <w:sz w:val="22"/>
          <w:szCs w:val="22"/>
          <w:highlight w:val="none"/>
          <w:u w:val="single"/>
          <w:shd w:val="clear" w:color="auto" w:fill="FFFFFF"/>
          <w:lang w:val="en-US" w:eastAsia="zh-CN"/>
        </w:rPr>
        <w:t>    </w:t>
      </w:r>
      <w:r>
        <w:rPr>
          <w:rFonts w:hint="eastAsia" w:ascii="微软雅黑" w:hAnsi="微软雅黑" w:eastAsia="微软雅黑" w:cs="微软雅黑"/>
          <w:i w:val="0"/>
          <w:iCs w:val="0"/>
          <w:caps w:val="0"/>
          <w:color w:val="auto"/>
          <w:spacing w:val="0"/>
          <w:kern w:val="0"/>
          <w:sz w:val="22"/>
          <w:szCs w:val="22"/>
          <w:highlight w:val="none"/>
          <w:shd w:val="clear" w:color="auto" w:fill="FFFFFF"/>
          <w:lang w:val="en-US" w:eastAsia="zh-CN"/>
        </w:rPr>
        <w:t>人，营业收入为</w:t>
      </w:r>
      <w:r>
        <w:rPr>
          <w:rFonts w:hint="eastAsia" w:ascii="微软雅黑" w:hAnsi="微软雅黑" w:eastAsia="微软雅黑" w:cs="微软雅黑"/>
          <w:i w:val="0"/>
          <w:iCs w:val="0"/>
          <w:caps w:val="0"/>
          <w:color w:val="auto"/>
          <w:spacing w:val="0"/>
          <w:kern w:val="0"/>
          <w:sz w:val="22"/>
          <w:szCs w:val="22"/>
          <w:highlight w:val="none"/>
          <w:u w:val="single"/>
          <w:shd w:val="clear" w:color="auto" w:fill="FFFFFF"/>
          <w:lang w:val="en-US" w:eastAsia="zh-CN"/>
        </w:rPr>
        <w:t>    </w:t>
      </w:r>
      <w:r>
        <w:rPr>
          <w:rFonts w:hint="eastAsia" w:ascii="微软雅黑" w:hAnsi="微软雅黑" w:eastAsia="微软雅黑" w:cs="微软雅黑"/>
          <w:i w:val="0"/>
          <w:iCs w:val="0"/>
          <w:caps w:val="0"/>
          <w:color w:val="auto"/>
          <w:spacing w:val="0"/>
          <w:kern w:val="0"/>
          <w:sz w:val="22"/>
          <w:szCs w:val="22"/>
          <w:highlight w:val="none"/>
          <w:shd w:val="clear" w:color="auto" w:fill="FFFFFF"/>
          <w:lang w:val="en-US" w:eastAsia="zh-CN"/>
        </w:rPr>
        <w:t>万元，资产总额为</w:t>
      </w:r>
      <w:r>
        <w:rPr>
          <w:rFonts w:hint="eastAsia" w:ascii="微软雅黑" w:hAnsi="微软雅黑" w:eastAsia="微软雅黑" w:cs="微软雅黑"/>
          <w:i w:val="0"/>
          <w:iCs w:val="0"/>
          <w:caps w:val="0"/>
          <w:color w:val="auto"/>
          <w:spacing w:val="0"/>
          <w:kern w:val="0"/>
          <w:sz w:val="22"/>
          <w:szCs w:val="22"/>
          <w:highlight w:val="none"/>
          <w:u w:val="single"/>
          <w:shd w:val="clear" w:color="auto" w:fill="FFFFFF"/>
          <w:lang w:val="en-US" w:eastAsia="zh-CN"/>
        </w:rPr>
        <w:t>   </w:t>
      </w:r>
      <w:r>
        <w:rPr>
          <w:rFonts w:hint="eastAsia" w:ascii="微软雅黑" w:hAnsi="微软雅黑" w:eastAsia="微软雅黑" w:cs="微软雅黑"/>
          <w:i w:val="0"/>
          <w:iCs w:val="0"/>
          <w:caps w:val="0"/>
          <w:color w:val="auto"/>
          <w:spacing w:val="0"/>
          <w:kern w:val="0"/>
          <w:sz w:val="22"/>
          <w:szCs w:val="22"/>
          <w:highlight w:val="none"/>
          <w:shd w:val="clear" w:color="auto" w:fill="FFFFFF"/>
          <w:lang w:val="en-US" w:eastAsia="zh-CN"/>
        </w:rPr>
        <w:t>万元，属于</w:t>
      </w:r>
      <w:r>
        <w:rPr>
          <w:rFonts w:hint="eastAsia" w:ascii="微软雅黑" w:hAnsi="微软雅黑" w:eastAsia="微软雅黑" w:cs="微软雅黑"/>
          <w:i w:val="0"/>
          <w:iCs w:val="0"/>
          <w:caps w:val="0"/>
          <w:color w:val="auto"/>
          <w:spacing w:val="0"/>
          <w:kern w:val="0"/>
          <w:sz w:val="22"/>
          <w:szCs w:val="22"/>
          <w:highlight w:val="none"/>
          <w:u w:val="single"/>
          <w:shd w:val="clear" w:color="auto" w:fill="FFFFFF"/>
          <w:lang w:val="en-US" w:eastAsia="zh-CN"/>
        </w:rPr>
        <w:t>     （中型企业、小型企业、微型企业）</w:t>
      </w:r>
      <w:r>
        <w:rPr>
          <w:rFonts w:hint="eastAsia" w:ascii="微软雅黑" w:hAnsi="微软雅黑" w:eastAsia="微软雅黑" w:cs="微软雅黑"/>
          <w:i w:val="0"/>
          <w:iCs w:val="0"/>
          <w:caps w:val="0"/>
          <w:color w:val="auto"/>
          <w:spacing w:val="0"/>
          <w:kern w:val="0"/>
          <w:sz w:val="22"/>
          <w:szCs w:val="22"/>
          <w:highlight w:val="none"/>
          <w:shd w:val="clear" w:color="auto" w:fill="FFFFFF"/>
          <w:lang w:val="en-US" w:eastAsia="zh-CN"/>
        </w:rPr>
        <w:t>；</w:t>
      </w:r>
    </w:p>
    <w:p w14:paraId="08B64721">
      <w:pPr>
        <w:keepNext w:val="0"/>
        <w:keepLines w:val="0"/>
        <w:widowControl/>
        <w:suppressLineNumbers w:val="0"/>
        <w:shd w:val="clear" w:color="auto" w:fill="auto"/>
        <w:spacing w:before="0" w:beforeAutospacing="1" w:after="0" w:afterAutospacing="1" w:line="348" w:lineRule="atLeast"/>
        <w:ind w:left="0" w:right="0" w:firstLine="384"/>
        <w:jc w:val="left"/>
        <w:rPr>
          <w:rFonts w:hint="eastAsia" w:ascii="微软雅黑" w:hAnsi="微软雅黑" w:eastAsia="微软雅黑" w:cs="微软雅黑"/>
          <w:i w:val="0"/>
          <w:iCs w:val="0"/>
          <w:caps w:val="0"/>
          <w:color w:val="auto"/>
          <w:spacing w:val="0"/>
          <w:sz w:val="22"/>
          <w:szCs w:val="22"/>
          <w:highlight w:val="none"/>
        </w:rPr>
      </w:pPr>
      <w:r>
        <w:rPr>
          <w:rFonts w:hint="eastAsia" w:ascii="微软雅黑" w:hAnsi="微软雅黑" w:eastAsia="微软雅黑" w:cs="微软雅黑"/>
          <w:i w:val="0"/>
          <w:iCs w:val="0"/>
          <w:caps w:val="0"/>
          <w:color w:val="auto"/>
          <w:spacing w:val="0"/>
          <w:kern w:val="0"/>
          <w:sz w:val="22"/>
          <w:szCs w:val="22"/>
          <w:highlight w:val="none"/>
          <w:shd w:val="clear" w:color="auto" w:fill="FFFFFF"/>
          <w:lang w:val="en-US" w:eastAsia="zh-CN"/>
        </w:rPr>
        <w:t>2.</w:t>
      </w:r>
      <w:r>
        <w:rPr>
          <w:rFonts w:hint="eastAsia" w:ascii="微软雅黑" w:hAnsi="微软雅黑" w:eastAsia="微软雅黑" w:cs="微软雅黑"/>
          <w:i w:val="0"/>
          <w:iCs w:val="0"/>
          <w:caps w:val="0"/>
          <w:color w:val="auto"/>
          <w:spacing w:val="0"/>
          <w:kern w:val="0"/>
          <w:sz w:val="22"/>
          <w:szCs w:val="22"/>
          <w:highlight w:val="none"/>
          <w:u w:val="single"/>
          <w:shd w:val="clear" w:color="auto" w:fill="FFFFFF"/>
          <w:lang w:val="en-US" w:eastAsia="zh-CN"/>
        </w:rPr>
        <w:t>     （标的名称）</w:t>
      </w:r>
      <w:r>
        <w:rPr>
          <w:rFonts w:hint="eastAsia" w:ascii="微软雅黑" w:hAnsi="微软雅黑" w:eastAsia="微软雅黑" w:cs="微软雅黑"/>
          <w:i w:val="0"/>
          <w:iCs w:val="0"/>
          <w:caps w:val="0"/>
          <w:color w:val="auto"/>
          <w:spacing w:val="0"/>
          <w:kern w:val="0"/>
          <w:sz w:val="22"/>
          <w:szCs w:val="22"/>
          <w:highlight w:val="none"/>
          <w:shd w:val="clear" w:color="auto" w:fill="FFFFFF"/>
          <w:lang w:val="en-US" w:eastAsia="zh-CN"/>
        </w:rPr>
        <w:t>，属于</w:t>
      </w:r>
      <w:r>
        <w:rPr>
          <w:rFonts w:hint="eastAsia" w:ascii="微软雅黑" w:hAnsi="微软雅黑" w:eastAsia="微软雅黑" w:cs="微软雅黑"/>
          <w:i w:val="0"/>
          <w:iCs w:val="0"/>
          <w:caps w:val="0"/>
          <w:color w:val="auto"/>
          <w:spacing w:val="0"/>
          <w:kern w:val="0"/>
          <w:sz w:val="22"/>
          <w:szCs w:val="22"/>
          <w:highlight w:val="none"/>
          <w:u w:val="single"/>
          <w:shd w:val="clear" w:color="auto" w:fill="FFFFFF"/>
          <w:lang w:val="en-US" w:eastAsia="zh-CN"/>
        </w:rPr>
        <w:t>     （采购文件中明确的所属行业）</w:t>
      </w:r>
      <w:r>
        <w:rPr>
          <w:rFonts w:hint="eastAsia" w:ascii="微软雅黑" w:hAnsi="微软雅黑" w:eastAsia="微软雅黑" w:cs="微软雅黑"/>
          <w:i w:val="0"/>
          <w:iCs w:val="0"/>
          <w:caps w:val="0"/>
          <w:color w:val="auto"/>
          <w:spacing w:val="0"/>
          <w:kern w:val="0"/>
          <w:sz w:val="22"/>
          <w:szCs w:val="22"/>
          <w:highlight w:val="none"/>
          <w:shd w:val="clear" w:color="auto" w:fill="FFFFFF"/>
          <w:lang w:val="en-US" w:eastAsia="zh-CN"/>
        </w:rPr>
        <w:t>行业；制造商为</w:t>
      </w:r>
      <w:r>
        <w:rPr>
          <w:rFonts w:hint="eastAsia" w:ascii="微软雅黑" w:hAnsi="微软雅黑" w:eastAsia="微软雅黑" w:cs="微软雅黑"/>
          <w:i w:val="0"/>
          <w:iCs w:val="0"/>
          <w:caps w:val="0"/>
          <w:color w:val="auto"/>
          <w:spacing w:val="0"/>
          <w:kern w:val="0"/>
          <w:sz w:val="22"/>
          <w:szCs w:val="22"/>
          <w:highlight w:val="none"/>
          <w:u w:val="single"/>
          <w:shd w:val="clear" w:color="auto" w:fill="FFFFFF"/>
          <w:lang w:val="en-US" w:eastAsia="zh-CN"/>
        </w:rPr>
        <w:t>       （企业名称）</w:t>
      </w:r>
      <w:r>
        <w:rPr>
          <w:rFonts w:hint="eastAsia" w:ascii="微软雅黑" w:hAnsi="微软雅黑" w:eastAsia="微软雅黑" w:cs="微软雅黑"/>
          <w:i w:val="0"/>
          <w:iCs w:val="0"/>
          <w:caps w:val="0"/>
          <w:color w:val="auto"/>
          <w:spacing w:val="0"/>
          <w:kern w:val="0"/>
          <w:sz w:val="22"/>
          <w:szCs w:val="22"/>
          <w:highlight w:val="none"/>
          <w:shd w:val="clear" w:color="auto" w:fill="FFFFFF"/>
          <w:lang w:val="en-US" w:eastAsia="zh-CN"/>
        </w:rPr>
        <w:t>，从业人员</w:t>
      </w:r>
      <w:r>
        <w:rPr>
          <w:rFonts w:hint="eastAsia" w:ascii="微软雅黑" w:hAnsi="微软雅黑" w:eastAsia="微软雅黑" w:cs="微软雅黑"/>
          <w:i w:val="0"/>
          <w:iCs w:val="0"/>
          <w:caps w:val="0"/>
          <w:color w:val="auto"/>
          <w:spacing w:val="0"/>
          <w:kern w:val="0"/>
          <w:sz w:val="22"/>
          <w:szCs w:val="22"/>
          <w:highlight w:val="none"/>
          <w:u w:val="single"/>
          <w:shd w:val="clear" w:color="auto" w:fill="FFFFFF"/>
          <w:lang w:val="en-US" w:eastAsia="zh-CN"/>
        </w:rPr>
        <w:t>    </w:t>
      </w:r>
      <w:r>
        <w:rPr>
          <w:rFonts w:hint="eastAsia" w:ascii="微软雅黑" w:hAnsi="微软雅黑" w:eastAsia="微软雅黑" w:cs="微软雅黑"/>
          <w:i w:val="0"/>
          <w:iCs w:val="0"/>
          <w:caps w:val="0"/>
          <w:color w:val="auto"/>
          <w:spacing w:val="0"/>
          <w:kern w:val="0"/>
          <w:sz w:val="22"/>
          <w:szCs w:val="22"/>
          <w:highlight w:val="none"/>
          <w:shd w:val="clear" w:color="auto" w:fill="FFFFFF"/>
          <w:lang w:val="en-US" w:eastAsia="zh-CN"/>
        </w:rPr>
        <w:t>人，营业收入为</w:t>
      </w:r>
      <w:r>
        <w:rPr>
          <w:rFonts w:hint="eastAsia" w:ascii="微软雅黑" w:hAnsi="微软雅黑" w:eastAsia="微软雅黑" w:cs="微软雅黑"/>
          <w:i w:val="0"/>
          <w:iCs w:val="0"/>
          <w:caps w:val="0"/>
          <w:color w:val="auto"/>
          <w:spacing w:val="0"/>
          <w:kern w:val="0"/>
          <w:sz w:val="22"/>
          <w:szCs w:val="22"/>
          <w:highlight w:val="none"/>
          <w:u w:val="single"/>
          <w:shd w:val="clear" w:color="auto" w:fill="FFFFFF"/>
          <w:lang w:val="en-US" w:eastAsia="zh-CN"/>
        </w:rPr>
        <w:t>    </w:t>
      </w:r>
      <w:r>
        <w:rPr>
          <w:rFonts w:hint="eastAsia" w:ascii="微软雅黑" w:hAnsi="微软雅黑" w:eastAsia="微软雅黑" w:cs="微软雅黑"/>
          <w:i w:val="0"/>
          <w:iCs w:val="0"/>
          <w:caps w:val="0"/>
          <w:color w:val="auto"/>
          <w:spacing w:val="0"/>
          <w:kern w:val="0"/>
          <w:sz w:val="22"/>
          <w:szCs w:val="22"/>
          <w:highlight w:val="none"/>
          <w:shd w:val="clear" w:color="auto" w:fill="FFFFFF"/>
          <w:lang w:val="en-US" w:eastAsia="zh-CN"/>
        </w:rPr>
        <w:t>万元，资产总额为</w:t>
      </w:r>
      <w:r>
        <w:rPr>
          <w:rFonts w:hint="eastAsia" w:ascii="微软雅黑" w:hAnsi="微软雅黑" w:eastAsia="微软雅黑" w:cs="微软雅黑"/>
          <w:i w:val="0"/>
          <w:iCs w:val="0"/>
          <w:caps w:val="0"/>
          <w:color w:val="auto"/>
          <w:spacing w:val="0"/>
          <w:kern w:val="0"/>
          <w:sz w:val="22"/>
          <w:szCs w:val="22"/>
          <w:highlight w:val="none"/>
          <w:u w:val="single"/>
          <w:shd w:val="clear" w:color="auto" w:fill="FFFFFF"/>
          <w:lang w:val="en-US" w:eastAsia="zh-CN"/>
        </w:rPr>
        <w:t>   </w:t>
      </w:r>
      <w:r>
        <w:rPr>
          <w:rFonts w:hint="eastAsia" w:ascii="微软雅黑" w:hAnsi="微软雅黑" w:eastAsia="微软雅黑" w:cs="微软雅黑"/>
          <w:i w:val="0"/>
          <w:iCs w:val="0"/>
          <w:caps w:val="0"/>
          <w:color w:val="auto"/>
          <w:spacing w:val="0"/>
          <w:kern w:val="0"/>
          <w:sz w:val="22"/>
          <w:szCs w:val="22"/>
          <w:highlight w:val="none"/>
          <w:shd w:val="clear" w:color="auto" w:fill="FFFFFF"/>
          <w:lang w:val="en-US" w:eastAsia="zh-CN"/>
        </w:rPr>
        <w:t>万元，属于</w:t>
      </w:r>
      <w:r>
        <w:rPr>
          <w:rFonts w:hint="eastAsia" w:ascii="微软雅黑" w:hAnsi="微软雅黑" w:eastAsia="微软雅黑" w:cs="微软雅黑"/>
          <w:i w:val="0"/>
          <w:iCs w:val="0"/>
          <w:caps w:val="0"/>
          <w:color w:val="auto"/>
          <w:spacing w:val="0"/>
          <w:kern w:val="0"/>
          <w:sz w:val="22"/>
          <w:szCs w:val="22"/>
          <w:highlight w:val="none"/>
          <w:u w:val="single"/>
          <w:shd w:val="clear" w:color="auto" w:fill="FFFFFF"/>
          <w:lang w:val="en-US" w:eastAsia="zh-CN"/>
        </w:rPr>
        <w:t>     （中型企业、小型企业、微型企业）</w:t>
      </w:r>
      <w:r>
        <w:rPr>
          <w:rFonts w:hint="eastAsia" w:ascii="微软雅黑" w:hAnsi="微软雅黑" w:eastAsia="微软雅黑" w:cs="微软雅黑"/>
          <w:i w:val="0"/>
          <w:iCs w:val="0"/>
          <w:caps w:val="0"/>
          <w:color w:val="auto"/>
          <w:spacing w:val="0"/>
          <w:kern w:val="0"/>
          <w:sz w:val="22"/>
          <w:szCs w:val="22"/>
          <w:highlight w:val="none"/>
          <w:shd w:val="clear" w:color="auto" w:fill="FFFFFF"/>
          <w:lang w:val="en-US" w:eastAsia="zh-CN"/>
        </w:rPr>
        <w:t>；</w:t>
      </w:r>
    </w:p>
    <w:p w14:paraId="5B010579">
      <w:pPr>
        <w:keepNext w:val="0"/>
        <w:keepLines w:val="0"/>
        <w:widowControl/>
        <w:suppressLineNumbers w:val="0"/>
        <w:shd w:val="clear" w:color="auto" w:fill="auto"/>
        <w:spacing w:before="0" w:beforeAutospacing="1" w:after="0" w:afterAutospacing="1" w:line="348" w:lineRule="atLeast"/>
        <w:ind w:left="0" w:right="0" w:firstLine="384"/>
        <w:jc w:val="left"/>
        <w:rPr>
          <w:rFonts w:hint="eastAsia" w:ascii="微软雅黑" w:hAnsi="微软雅黑" w:eastAsia="微软雅黑" w:cs="微软雅黑"/>
          <w:i w:val="0"/>
          <w:iCs w:val="0"/>
          <w:caps w:val="0"/>
          <w:color w:val="auto"/>
          <w:spacing w:val="0"/>
          <w:sz w:val="22"/>
          <w:szCs w:val="22"/>
          <w:highlight w:val="none"/>
        </w:rPr>
      </w:pPr>
      <w:r>
        <w:rPr>
          <w:rFonts w:hint="eastAsia" w:ascii="微软雅黑" w:hAnsi="微软雅黑" w:eastAsia="微软雅黑" w:cs="微软雅黑"/>
          <w:i w:val="0"/>
          <w:iCs w:val="0"/>
          <w:caps w:val="0"/>
          <w:color w:val="auto"/>
          <w:spacing w:val="0"/>
          <w:kern w:val="0"/>
          <w:sz w:val="22"/>
          <w:szCs w:val="22"/>
          <w:highlight w:val="none"/>
          <w:shd w:val="clear" w:color="auto" w:fill="FFFFFF"/>
          <w:lang w:val="en-US" w:eastAsia="zh-CN"/>
        </w:rPr>
        <w:t>……</w:t>
      </w:r>
    </w:p>
    <w:p w14:paraId="0FBDE592">
      <w:pPr>
        <w:keepNext w:val="0"/>
        <w:keepLines w:val="0"/>
        <w:widowControl/>
        <w:suppressLineNumbers w:val="0"/>
        <w:shd w:val="clear" w:color="auto" w:fill="auto"/>
        <w:spacing w:before="0" w:beforeAutospacing="1" w:after="0" w:afterAutospacing="1" w:line="348" w:lineRule="atLeast"/>
        <w:ind w:left="0" w:right="0" w:firstLine="384"/>
        <w:jc w:val="left"/>
        <w:rPr>
          <w:rFonts w:hint="eastAsia" w:ascii="微软雅黑" w:hAnsi="微软雅黑" w:eastAsia="微软雅黑" w:cs="微软雅黑"/>
          <w:i w:val="0"/>
          <w:iCs w:val="0"/>
          <w:caps w:val="0"/>
          <w:color w:val="auto"/>
          <w:spacing w:val="0"/>
          <w:sz w:val="22"/>
          <w:szCs w:val="22"/>
          <w:highlight w:val="none"/>
        </w:rPr>
      </w:pPr>
      <w:r>
        <w:rPr>
          <w:rFonts w:hint="eastAsia" w:ascii="微软雅黑" w:hAnsi="微软雅黑" w:eastAsia="微软雅黑" w:cs="微软雅黑"/>
          <w:i w:val="0"/>
          <w:iCs w:val="0"/>
          <w:caps w:val="0"/>
          <w:color w:val="auto"/>
          <w:spacing w:val="0"/>
          <w:kern w:val="0"/>
          <w:sz w:val="22"/>
          <w:szCs w:val="22"/>
          <w:highlight w:val="none"/>
          <w:shd w:val="clear" w:color="auto" w:fill="FFFFFF"/>
          <w:lang w:val="en-US" w:eastAsia="zh-CN"/>
        </w:rPr>
        <w:t>以上企业，不属于大企业的分支机构，不存在控股股东为大企业的情形，也不存在与大企业的负责人为同一人的情形。</w:t>
      </w:r>
    </w:p>
    <w:p w14:paraId="07747646">
      <w:pPr>
        <w:keepNext w:val="0"/>
        <w:keepLines w:val="0"/>
        <w:widowControl/>
        <w:suppressLineNumbers w:val="0"/>
        <w:shd w:val="clear" w:color="auto" w:fill="auto"/>
        <w:spacing w:before="0" w:beforeAutospacing="1" w:after="0" w:afterAutospacing="1" w:line="348" w:lineRule="atLeast"/>
        <w:ind w:left="0" w:right="0" w:firstLine="384"/>
        <w:jc w:val="left"/>
        <w:rPr>
          <w:rFonts w:hint="eastAsia" w:ascii="微软雅黑" w:hAnsi="微软雅黑" w:eastAsia="微软雅黑" w:cs="微软雅黑"/>
          <w:i w:val="0"/>
          <w:iCs w:val="0"/>
          <w:caps w:val="0"/>
          <w:color w:val="auto"/>
          <w:spacing w:val="0"/>
          <w:sz w:val="22"/>
          <w:szCs w:val="22"/>
          <w:highlight w:val="none"/>
        </w:rPr>
      </w:pPr>
      <w:r>
        <w:rPr>
          <w:rFonts w:hint="eastAsia" w:ascii="微软雅黑" w:hAnsi="微软雅黑" w:eastAsia="微软雅黑" w:cs="微软雅黑"/>
          <w:i w:val="0"/>
          <w:iCs w:val="0"/>
          <w:caps w:val="0"/>
          <w:color w:val="auto"/>
          <w:spacing w:val="0"/>
          <w:kern w:val="0"/>
          <w:sz w:val="22"/>
          <w:szCs w:val="22"/>
          <w:highlight w:val="none"/>
          <w:shd w:val="clear" w:color="auto" w:fill="FFFFFF"/>
          <w:lang w:val="en-US" w:eastAsia="zh-CN"/>
        </w:rPr>
        <w:t>本企业对上述声明内容的真实性负责。如有虚假，将依法承担相应责任。 </w:t>
      </w:r>
    </w:p>
    <w:p w14:paraId="18A33476">
      <w:pPr>
        <w:keepNext w:val="0"/>
        <w:keepLines w:val="0"/>
        <w:widowControl/>
        <w:suppressLineNumbers w:val="0"/>
        <w:shd w:val="clear" w:color="auto" w:fill="auto"/>
        <w:spacing w:before="0" w:beforeAutospacing="1" w:after="0" w:afterAutospacing="1" w:line="348" w:lineRule="atLeast"/>
        <w:ind w:left="0" w:right="0" w:firstLine="4224"/>
        <w:jc w:val="left"/>
        <w:rPr>
          <w:rFonts w:hint="eastAsia" w:ascii="微软雅黑" w:hAnsi="微软雅黑" w:eastAsia="微软雅黑" w:cs="微软雅黑"/>
          <w:i w:val="0"/>
          <w:iCs w:val="0"/>
          <w:caps w:val="0"/>
          <w:color w:val="auto"/>
          <w:spacing w:val="0"/>
          <w:sz w:val="22"/>
          <w:szCs w:val="22"/>
          <w:highlight w:val="none"/>
        </w:rPr>
      </w:pPr>
      <w:r>
        <w:rPr>
          <w:rFonts w:hint="eastAsia" w:ascii="微软雅黑" w:hAnsi="微软雅黑" w:eastAsia="微软雅黑" w:cs="微软雅黑"/>
          <w:i w:val="0"/>
          <w:iCs w:val="0"/>
          <w:caps w:val="0"/>
          <w:color w:val="auto"/>
          <w:spacing w:val="0"/>
          <w:kern w:val="0"/>
          <w:sz w:val="22"/>
          <w:szCs w:val="22"/>
          <w:highlight w:val="none"/>
          <w:shd w:val="clear" w:color="auto" w:fill="FFFFFF"/>
          <w:lang w:val="en-US" w:eastAsia="zh-CN"/>
        </w:rPr>
        <w:t>企业名称（盖章）：</w:t>
      </w:r>
    </w:p>
    <w:p w14:paraId="5462A9E2">
      <w:pPr>
        <w:keepNext w:val="0"/>
        <w:keepLines w:val="0"/>
        <w:widowControl/>
        <w:suppressLineNumbers w:val="0"/>
        <w:shd w:val="clear" w:color="auto" w:fill="auto"/>
        <w:spacing w:before="0" w:beforeAutospacing="1" w:after="0" w:afterAutospacing="1" w:line="348" w:lineRule="atLeast"/>
        <w:ind w:left="0" w:right="0" w:firstLine="4224"/>
        <w:jc w:val="left"/>
        <w:rPr>
          <w:rFonts w:hint="eastAsia" w:ascii="微软雅黑" w:hAnsi="微软雅黑" w:eastAsia="微软雅黑" w:cs="微软雅黑"/>
          <w:i w:val="0"/>
          <w:iCs w:val="0"/>
          <w:caps w:val="0"/>
          <w:color w:val="auto"/>
          <w:spacing w:val="0"/>
          <w:sz w:val="22"/>
          <w:szCs w:val="22"/>
          <w:highlight w:val="none"/>
        </w:rPr>
      </w:pPr>
      <w:r>
        <w:rPr>
          <w:rFonts w:hint="eastAsia" w:ascii="微软雅黑" w:hAnsi="微软雅黑" w:eastAsia="微软雅黑" w:cs="微软雅黑"/>
          <w:i w:val="0"/>
          <w:iCs w:val="0"/>
          <w:caps w:val="0"/>
          <w:color w:val="auto"/>
          <w:spacing w:val="0"/>
          <w:kern w:val="0"/>
          <w:sz w:val="22"/>
          <w:szCs w:val="22"/>
          <w:highlight w:val="none"/>
          <w:shd w:val="clear" w:color="auto" w:fill="FFFFFF"/>
          <w:lang w:val="en-US" w:eastAsia="zh-CN"/>
        </w:rPr>
        <w:t>日 期：</w:t>
      </w:r>
    </w:p>
    <w:p w14:paraId="5F5D5336">
      <w:pPr>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b/>
          <w:bCs/>
          <w:color w:val="auto"/>
          <w:kern w:val="0"/>
          <w:sz w:val="28"/>
          <w:szCs w:val="28"/>
          <w:highlight w:val="none"/>
          <w:lang w:val="en-US" w:eastAsia="zh-CN"/>
        </w:rPr>
        <w:t>本项目所属行业为</w:t>
      </w:r>
      <w:r>
        <w:rPr>
          <w:rFonts w:hint="eastAsia" w:ascii="微软雅黑" w:hAnsi="微软雅黑" w:eastAsia="微软雅黑" w:cs="微软雅黑"/>
          <w:b/>
          <w:bCs/>
          <w:color w:val="FF0000"/>
          <w:kern w:val="0"/>
          <w:sz w:val="28"/>
          <w:szCs w:val="28"/>
          <w:highlight w:val="none"/>
          <w:lang w:val="en-US" w:eastAsia="zh-CN"/>
        </w:rPr>
        <w:t>工业</w:t>
      </w:r>
      <w:r>
        <w:rPr>
          <w:rFonts w:hint="eastAsia" w:ascii="微软雅黑" w:hAnsi="微软雅黑" w:eastAsia="微软雅黑" w:cs="微软雅黑"/>
          <w:b/>
          <w:bCs/>
          <w:color w:val="auto"/>
          <w:kern w:val="0"/>
          <w:sz w:val="28"/>
          <w:szCs w:val="28"/>
          <w:highlight w:val="none"/>
          <w:lang w:val="en-US" w:eastAsia="zh-CN"/>
        </w:rPr>
        <w:t>。</w:t>
      </w:r>
    </w:p>
    <w:p w14:paraId="60D45A8A">
      <w:pPr>
        <w:rPr>
          <w:rFonts w:hint="eastAsia" w:ascii="微软雅黑" w:hAnsi="微软雅黑" w:eastAsia="微软雅黑" w:cs="微软雅黑"/>
          <w:b/>
          <w:bCs/>
          <w:color w:val="auto"/>
          <w:sz w:val="22"/>
          <w:szCs w:val="22"/>
          <w:highlight w:val="none"/>
          <w:lang w:eastAsia="zh-CN"/>
        </w:rPr>
      </w:pPr>
      <w:r>
        <w:rPr>
          <w:rFonts w:hint="eastAsia" w:ascii="微软雅黑" w:hAnsi="微软雅黑" w:eastAsia="微软雅黑" w:cs="微软雅黑"/>
          <w:b/>
          <w:bCs/>
          <w:color w:val="auto"/>
          <w:sz w:val="22"/>
          <w:szCs w:val="22"/>
          <w:highlight w:val="none"/>
          <w:lang w:val="en-US" w:eastAsia="zh-CN"/>
        </w:rPr>
        <w:t>注：</w:t>
      </w:r>
      <w:r>
        <w:rPr>
          <w:rFonts w:hint="eastAsia" w:ascii="微软雅黑" w:hAnsi="微软雅黑" w:eastAsia="微软雅黑" w:cs="微软雅黑"/>
          <w:b/>
          <w:bCs/>
          <w:color w:val="auto"/>
          <w:sz w:val="22"/>
          <w:szCs w:val="22"/>
          <w:highlight w:val="none"/>
          <w:lang w:eastAsia="zh-CN"/>
        </w:rPr>
        <w:t>（</w:t>
      </w:r>
      <w:r>
        <w:rPr>
          <w:rFonts w:hint="eastAsia" w:ascii="微软雅黑" w:hAnsi="微软雅黑" w:eastAsia="微软雅黑" w:cs="微软雅黑"/>
          <w:b/>
          <w:bCs/>
          <w:color w:val="auto"/>
          <w:sz w:val="22"/>
          <w:szCs w:val="22"/>
          <w:highlight w:val="none"/>
          <w:lang w:val="en-US" w:eastAsia="zh-CN"/>
        </w:rPr>
        <w:t>1</w:t>
      </w:r>
      <w:r>
        <w:rPr>
          <w:rFonts w:hint="eastAsia" w:ascii="微软雅黑" w:hAnsi="微软雅黑" w:eastAsia="微软雅黑" w:cs="微软雅黑"/>
          <w:b/>
          <w:bCs/>
          <w:color w:val="auto"/>
          <w:sz w:val="22"/>
          <w:szCs w:val="22"/>
          <w:highlight w:val="none"/>
          <w:lang w:eastAsia="zh-CN"/>
        </w:rPr>
        <w:t>）从业人员、营业收入、资产总额填报上一年度数据，无上一年度数据的新成立企业可不填报。</w:t>
      </w:r>
    </w:p>
    <w:p w14:paraId="4F82E209">
      <w:pPr>
        <w:rPr>
          <w:rFonts w:hint="eastAsia" w:ascii="微软雅黑" w:hAnsi="微软雅黑" w:eastAsia="微软雅黑" w:cs="微软雅黑"/>
          <w:b/>
          <w:bCs/>
          <w:color w:val="auto"/>
          <w:kern w:val="0"/>
          <w:sz w:val="22"/>
          <w:szCs w:val="22"/>
          <w:highlight w:val="none"/>
          <w:lang w:eastAsia="zh-CN"/>
        </w:rPr>
      </w:pPr>
      <w:r>
        <w:rPr>
          <w:rFonts w:hint="eastAsia" w:ascii="微软雅黑" w:hAnsi="微软雅黑" w:eastAsia="微软雅黑" w:cs="微软雅黑"/>
          <w:b/>
          <w:bCs/>
          <w:color w:val="auto"/>
          <w:sz w:val="22"/>
          <w:szCs w:val="22"/>
          <w:highlight w:val="none"/>
          <w:lang w:eastAsia="zh-CN"/>
        </w:rPr>
        <w:t>（</w:t>
      </w:r>
      <w:r>
        <w:rPr>
          <w:rFonts w:hint="eastAsia" w:ascii="微软雅黑" w:hAnsi="微软雅黑" w:eastAsia="微软雅黑" w:cs="微软雅黑"/>
          <w:b/>
          <w:bCs/>
          <w:color w:val="auto"/>
          <w:sz w:val="22"/>
          <w:szCs w:val="22"/>
          <w:highlight w:val="none"/>
          <w:lang w:val="en-US" w:eastAsia="zh-CN"/>
        </w:rPr>
        <w:t>2</w:t>
      </w:r>
      <w:r>
        <w:rPr>
          <w:rFonts w:hint="eastAsia" w:ascii="微软雅黑" w:hAnsi="微软雅黑" w:eastAsia="微软雅黑" w:cs="微软雅黑"/>
          <w:b/>
          <w:bCs/>
          <w:color w:val="auto"/>
          <w:sz w:val="22"/>
          <w:szCs w:val="22"/>
          <w:highlight w:val="none"/>
          <w:lang w:eastAsia="zh-CN"/>
        </w:rPr>
        <w:t>）</w:t>
      </w:r>
      <w:r>
        <w:rPr>
          <w:rFonts w:hint="eastAsia" w:ascii="微软雅黑" w:hAnsi="微软雅黑" w:eastAsia="微软雅黑" w:cs="微软雅黑"/>
          <w:b/>
          <w:bCs/>
          <w:color w:val="auto"/>
          <w:sz w:val="22"/>
          <w:szCs w:val="22"/>
          <w:highlight w:val="none"/>
        </w:rPr>
        <w:t>潜在投标企业属于中小微企业的，请在投标文件中提供“中小企业声明函”，如果未提供或提供虚假的“中小企业声明函”，投标企业将承担由此造成的一切不利后果。</w:t>
      </w:r>
    </w:p>
    <w:p w14:paraId="0ACD6450">
      <w:pPr>
        <w:jc w:val="left"/>
        <w:rPr>
          <w:rFonts w:hint="eastAsia" w:ascii="微软雅黑" w:hAnsi="微软雅黑" w:eastAsia="微软雅黑" w:cs="微软雅黑"/>
          <w:b/>
          <w:bCs/>
          <w:color w:val="auto"/>
          <w:kern w:val="0"/>
          <w:sz w:val="24"/>
          <w:szCs w:val="24"/>
          <w:highlight w:val="none"/>
        </w:rPr>
      </w:pPr>
      <w:r>
        <w:rPr>
          <w:rFonts w:hint="eastAsia" w:ascii="微软雅黑" w:hAnsi="微软雅黑" w:eastAsia="微软雅黑" w:cs="微软雅黑"/>
          <w:b/>
          <w:bCs/>
          <w:color w:val="auto"/>
          <w:kern w:val="0"/>
          <w:sz w:val="24"/>
          <w:szCs w:val="24"/>
          <w:highlight w:val="none"/>
        </w:rPr>
        <w:t>附：</w:t>
      </w:r>
    </w:p>
    <w:p w14:paraId="2C8EF975">
      <w:pPr>
        <w:rPr>
          <w:rFonts w:hint="eastAsia" w:ascii="微软雅黑" w:hAnsi="微软雅黑" w:eastAsia="微软雅黑" w:cs="微软雅黑"/>
          <w:b/>
          <w:bCs/>
          <w:color w:val="auto"/>
          <w:kern w:val="0"/>
          <w:sz w:val="24"/>
          <w:szCs w:val="24"/>
          <w:highlight w:val="none"/>
        </w:rPr>
      </w:pPr>
      <w:r>
        <w:rPr>
          <w:rFonts w:hint="eastAsia" w:ascii="微软雅黑" w:hAnsi="微软雅黑" w:eastAsia="微软雅黑" w:cs="微软雅黑"/>
          <w:b/>
          <w:bCs/>
          <w:color w:val="auto"/>
          <w:kern w:val="0"/>
          <w:sz w:val="24"/>
          <w:szCs w:val="24"/>
          <w:highlight w:val="none"/>
        </w:rPr>
        <w:br w:type="page"/>
      </w:r>
    </w:p>
    <w:p w14:paraId="3F6A9BD7">
      <w:pPr>
        <w:jc w:val="center"/>
        <w:rPr>
          <w:rFonts w:hint="eastAsia" w:ascii="微软雅黑" w:hAnsi="微软雅黑" w:eastAsia="微软雅黑" w:cs="微软雅黑"/>
          <w:b/>
          <w:bCs/>
          <w:color w:val="auto"/>
          <w:kern w:val="0"/>
          <w:sz w:val="24"/>
          <w:szCs w:val="24"/>
          <w:highlight w:val="none"/>
        </w:rPr>
      </w:pPr>
      <w:r>
        <w:rPr>
          <w:rFonts w:hint="eastAsia" w:ascii="微软雅黑" w:hAnsi="微软雅黑" w:eastAsia="微软雅黑" w:cs="微软雅黑"/>
          <w:b/>
          <w:bCs/>
          <w:color w:val="auto"/>
          <w:kern w:val="0"/>
          <w:sz w:val="24"/>
          <w:szCs w:val="24"/>
          <w:highlight w:val="none"/>
        </w:rPr>
        <w:t>中小微企业划型标准</w:t>
      </w:r>
    </w:p>
    <w:tbl>
      <w:tblPr>
        <w:tblStyle w:val="32"/>
        <w:tblW w:w="9378" w:type="dxa"/>
        <w:jc w:val="center"/>
        <w:tblLayout w:type="fixed"/>
        <w:tblCellMar>
          <w:top w:w="0" w:type="dxa"/>
          <w:left w:w="108" w:type="dxa"/>
          <w:bottom w:w="0" w:type="dxa"/>
          <w:right w:w="108" w:type="dxa"/>
        </w:tblCellMar>
      </w:tblPr>
      <w:tblGrid>
        <w:gridCol w:w="1570"/>
        <w:gridCol w:w="1660"/>
        <w:gridCol w:w="1466"/>
        <w:gridCol w:w="1903"/>
        <w:gridCol w:w="1692"/>
        <w:gridCol w:w="1087"/>
      </w:tblGrid>
      <w:tr w14:paraId="37F5068F">
        <w:tblPrEx>
          <w:tblCellMar>
            <w:top w:w="0" w:type="dxa"/>
            <w:left w:w="108" w:type="dxa"/>
            <w:bottom w:w="0" w:type="dxa"/>
            <w:right w:w="108" w:type="dxa"/>
          </w:tblCellMar>
        </w:tblPrEx>
        <w:trPr>
          <w:trHeight w:val="252" w:hRule="atLeast"/>
          <w:jc w:val="center"/>
        </w:trPr>
        <w:tc>
          <w:tcPr>
            <w:tcW w:w="1570" w:type="dxa"/>
            <w:tcBorders>
              <w:top w:val="single" w:color="auto" w:sz="4" w:space="0"/>
              <w:left w:val="single" w:color="auto" w:sz="4" w:space="0"/>
              <w:bottom w:val="single" w:color="auto" w:sz="4" w:space="0"/>
              <w:right w:val="single" w:color="auto" w:sz="4" w:space="0"/>
            </w:tcBorders>
            <w:vAlign w:val="center"/>
          </w:tcPr>
          <w:p w14:paraId="31A7C34F">
            <w:pPr>
              <w:widowControl/>
              <w:snapToGrid w:val="0"/>
              <w:contextualSpacing/>
              <w:jc w:val="center"/>
              <w:rPr>
                <w:rFonts w:hint="eastAsia" w:ascii="微软雅黑" w:hAnsi="微软雅黑" w:eastAsia="微软雅黑" w:cs="微软雅黑"/>
                <w:b/>
                <w:color w:val="auto"/>
                <w:kern w:val="0"/>
                <w:sz w:val="22"/>
                <w:szCs w:val="22"/>
                <w:highlight w:val="none"/>
              </w:rPr>
            </w:pPr>
            <w:r>
              <w:rPr>
                <w:rFonts w:hint="eastAsia" w:ascii="微软雅黑" w:hAnsi="微软雅黑" w:eastAsia="微软雅黑" w:cs="微软雅黑"/>
                <w:b/>
                <w:color w:val="auto"/>
                <w:kern w:val="0"/>
                <w:sz w:val="22"/>
                <w:szCs w:val="22"/>
                <w:highlight w:val="none"/>
              </w:rPr>
              <w:t>行业名称</w:t>
            </w:r>
          </w:p>
        </w:tc>
        <w:tc>
          <w:tcPr>
            <w:tcW w:w="1660" w:type="dxa"/>
            <w:tcBorders>
              <w:top w:val="single" w:color="auto" w:sz="4" w:space="0"/>
              <w:left w:val="nil"/>
              <w:bottom w:val="single" w:color="auto" w:sz="4" w:space="0"/>
              <w:right w:val="single" w:color="auto" w:sz="4" w:space="0"/>
            </w:tcBorders>
            <w:vAlign w:val="center"/>
          </w:tcPr>
          <w:p w14:paraId="6F8AC62B">
            <w:pPr>
              <w:widowControl/>
              <w:snapToGrid w:val="0"/>
              <w:contextualSpacing/>
              <w:jc w:val="center"/>
              <w:rPr>
                <w:rFonts w:hint="eastAsia" w:ascii="微软雅黑" w:hAnsi="微软雅黑" w:eastAsia="微软雅黑" w:cs="微软雅黑"/>
                <w:b/>
                <w:color w:val="auto"/>
                <w:kern w:val="0"/>
                <w:sz w:val="22"/>
                <w:szCs w:val="22"/>
                <w:highlight w:val="none"/>
              </w:rPr>
            </w:pPr>
            <w:r>
              <w:rPr>
                <w:rFonts w:hint="eastAsia" w:ascii="微软雅黑" w:hAnsi="微软雅黑" w:eastAsia="微软雅黑" w:cs="微软雅黑"/>
                <w:b/>
                <w:color w:val="auto"/>
                <w:kern w:val="0"/>
                <w:sz w:val="22"/>
                <w:szCs w:val="22"/>
                <w:highlight w:val="none"/>
              </w:rPr>
              <w:t>指标名称</w:t>
            </w:r>
          </w:p>
        </w:tc>
        <w:tc>
          <w:tcPr>
            <w:tcW w:w="1466" w:type="dxa"/>
            <w:tcBorders>
              <w:top w:val="single" w:color="auto" w:sz="4" w:space="0"/>
              <w:left w:val="nil"/>
              <w:bottom w:val="single" w:color="auto" w:sz="4" w:space="0"/>
              <w:right w:val="single" w:color="auto" w:sz="4" w:space="0"/>
            </w:tcBorders>
            <w:vAlign w:val="center"/>
          </w:tcPr>
          <w:p w14:paraId="4E4CD217">
            <w:pPr>
              <w:widowControl/>
              <w:snapToGrid w:val="0"/>
              <w:contextualSpacing/>
              <w:jc w:val="center"/>
              <w:rPr>
                <w:rFonts w:hint="eastAsia" w:ascii="微软雅黑" w:hAnsi="微软雅黑" w:eastAsia="微软雅黑" w:cs="微软雅黑"/>
                <w:b/>
                <w:color w:val="auto"/>
                <w:kern w:val="0"/>
                <w:sz w:val="22"/>
                <w:szCs w:val="22"/>
                <w:highlight w:val="none"/>
              </w:rPr>
            </w:pPr>
            <w:r>
              <w:rPr>
                <w:rFonts w:hint="eastAsia" w:ascii="微软雅黑" w:hAnsi="微软雅黑" w:eastAsia="微软雅黑" w:cs="微软雅黑"/>
                <w:b/>
                <w:color w:val="auto"/>
                <w:kern w:val="0"/>
                <w:sz w:val="22"/>
                <w:szCs w:val="22"/>
                <w:highlight w:val="none"/>
              </w:rPr>
              <w:t>计量单位</w:t>
            </w:r>
          </w:p>
        </w:tc>
        <w:tc>
          <w:tcPr>
            <w:tcW w:w="1903" w:type="dxa"/>
            <w:tcBorders>
              <w:top w:val="single" w:color="auto" w:sz="4" w:space="0"/>
              <w:left w:val="nil"/>
              <w:bottom w:val="single" w:color="auto" w:sz="4" w:space="0"/>
              <w:right w:val="single" w:color="auto" w:sz="4" w:space="0"/>
            </w:tcBorders>
            <w:vAlign w:val="center"/>
          </w:tcPr>
          <w:p w14:paraId="5610B334">
            <w:pPr>
              <w:widowControl/>
              <w:snapToGrid w:val="0"/>
              <w:contextualSpacing/>
              <w:jc w:val="center"/>
              <w:rPr>
                <w:rFonts w:hint="eastAsia" w:ascii="微软雅黑" w:hAnsi="微软雅黑" w:eastAsia="微软雅黑" w:cs="微软雅黑"/>
                <w:b/>
                <w:color w:val="auto"/>
                <w:kern w:val="0"/>
                <w:sz w:val="22"/>
                <w:szCs w:val="22"/>
                <w:highlight w:val="none"/>
              </w:rPr>
            </w:pPr>
            <w:r>
              <w:rPr>
                <w:rFonts w:hint="eastAsia" w:ascii="微软雅黑" w:hAnsi="微软雅黑" w:eastAsia="微软雅黑" w:cs="微软雅黑"/>
                <w:b/>
                <w:color w:val="auto"/>
                <w:kern w:val="0"/>
                <w:sz w:val="22"/>
                <w:szCs w:val="22"/>
                <w:highlight w:val="none"/>
              </w:rPr>
              <w:t>中型</w:t>
            </w:r>
          </w:p>
        </w:tc>
        <w:tc>
          <w:tcPr>
            <w:tcW w:w="1692" w:type="dxa"/>
            <w:tcBorders>
              <w:top w:val="single" w:color="auto" w:sz="4" w:space="0"/>
              <w:left w:val="nil"/>
              <w:bottom w:val="single" w:color="auto" w:sz="4" w:space="0"/>
              <w:right w:val="single" w:color="auto" w:sz="4" w:space="0"/>
            </w:tcBorders>
            <w:vAlign w:val="center"/>
          </w:tcPr>
          <w:p w14:paraId="6A616D1B">
            <w:pPr>
              <w:widowControl/>
              <w:snapToGrid w:val="0"/>
              <w:contextualSpacing/>
              <w:jc w:val="center"/>
              <w:rPr>
                <w:rFonts w:hint="eastAsia" w:ascii="微软雅黑" w:hAnsi="微软雅黑" w:eastAsia="微软雅黑" w:cs="微软雅黑"/>
                <w:b/>
                <w:color w:val="auto"/>
                <w:kern w:val="0"/>
                <w:sz w:val="22"/>
                <w:szCs w:val="22"/>
                <w:highlight w:val="none"/>
              </w:rPr>
            </w:pPr>
            <w:r>
              <w:rPr>
                <w:rFonts w:hint="eastAsia" w:ascii="微软雅黑" w:hAnsi="微软雅黑" w:eastAsia="微软雅黑" w:cs="微软雅黑"/>
                <w:b/>
                <w:color w:val="auto"/>
                <w:kern w:val="0"/>
                <w:sz w:val="22"/>
                <w:szCs w:val="22"/>
                <w:highlight w:val="none"/>
              </w:rPr>
              <w:t>小型</w:t>
            </w:r>
          </w:p>
        </w:tc>
        <w:tc>
          <w:tcPr>
            <w:tcW w:w="1087" w:type="dxa"/>
            <w:tcBorders>
              <w:top w:val="single" w:color="auto" w:sz="4" w:space="0"/>
              <w:left w:val="nil"/>
              <w:bottom w:val="single" w:color="auto" w:sz="4" w:space="0"/>
              <w:right w:val="single" w:color="auto" w:sz="4" w:space="0"/>
            </w:tcBorders>
            <w:vAlign w:val="center"/>
          </w:tcPr>
          <w:p w14:paraId="37160C59">
            <w:pPr>
              <w:widowControl/>
              <w:snapToGrid w:val="0"/>
              <w:contextualSpacing/>
              <w:jc w:val="center"/>
              <w:rPr>
                <w:rFonts w:hint="eastAsia" w:ascii="微软雅黑" w:hAnsi="微软雅黑" w:eastAsia="微软雅黑" w:cs="微软雅黑"/>
                <w:b/>
                <w:color w:val="auto"/>
                <w:kern w:val="0"/>
                <w:sz w:val="22"/>
                <w:szCs w:val="22"/>
                <w:highlight w:val="none"/>
              </w:rPr>
            </w:pPr>
            <w:r>
              <w:rPr>
                <w:rFonts w:hint="eastAsia" w:ascii="微软雅黑" w:hAnsi="微软雅黑" w:eastAsia="微软雅黑" w:cs="微软雅黑"/>
                <w:b/>
                <w:color w:val="auto"/>
                <w:kern w:val="0"/>
                <w:sz w:val="22"/>
                <w:szCs w:val="22"/>
                <w:highlight w:val="none"/>
              </w:rPr>
              <w:t>微型</w:t>
            </w:r>
          </w:p>
        </w:tc>
      </w:tr>
      <w:tr w14:paraId="28001580">
        <w:tblPrEx>
          <w:tblCellMar>
            <w:top w:w="0" w:type="dxa"/>
            <w:left w:w="108" w:type="dxa"/>
            <w:bottom w:w="0" w:type="dxa"/>
            <w:right w:w="108" w:type="dxa"/>
          </w:tblCellMar>
        </w:tblPrEx>
        <w:trPr>
          <w:trHeight w:val="199" w:hRule="atLeast"/>
          <w:jc w:val="center"/>
        </w:trPr>
        <w:tc>
          <w:tcPr>
            <w:tcW w:w="1570" w:type="dxa"/>
            <w:tcBorders>
              <w:top w:val="nil"/>
              <w:left w:val="single" w:color="auto" w:sz="4" w:space="0"/>
              <w:bottom w:val="single" w:color="auto" w:sz="4" w:space="0"/>
              <w:right w:val="single" w:color="auto" w:sz="4" w:space="0"/>
            </w:tcBorders>
            <w:vAlign w:val="center"/>
          </w:tcPr>
          <w:p w14:paraId="195B7C0F">
            <w:pPr>
              <w:widowControl/>
              <w:snapToGrid w:val="0"/>
              <w:contextualSpacing/>
              <w:jc w:val="center"/>
              <w:rPr>
                <w:rFonts w:hint="eastAsia" w:ascii="微软雅黑" w:hAnsi="微软雅黑" w:eastAsia="微软雅黑" w:cs="微软雅黑"/>
                <w:b/>
                <w:bCs/>
                <w:color w:val="auto"/>
                <w:kern w:val="0"/>
                <w:sz w:val="22"/>
                <w:szCs w:val="22"/>
                <w:highlight w:val="none"/>
              </w:rPr>
            </w:pPr>
            <w:r>
              <w:rPr>
                <w:rFonts w:hint="eastAsia" w:ascii="微软雅黑" w:hAnsi="微软雅黑" w:eastAsia="微软雅黑" w:cs="微软雅黑"/>
                <w:b/>
                <w:bCs/>
                <w:color w:val="auto"/>
                <w:kern w:val="0"/>
                <w:sz w:val="22"/>
                <w:szCs w:val="22"/>
                <w:highlight w:val="none"/>
              </w:rPr>
              <w:t>农、林、牧、渔</w:t>
            </w:r>
          </w:p>
        </w:tc>
        <w:tc>
          <w:tcPr>
            <w:tcW w:w="1660" w:type="dxa"/>
            <w:tcBorders>
              <w:top w:val="nil"/>
              <w:left w:val="nil"/>
              <w:bottom w:val="single" w:color="auto" w:sz="4" w:space="0"/>
              <w:right w:val="single" w:color="auto" w:sz="4" w:space="0"/>
            </w:tcBorders>
            <w:vAlign w:val="center"/>
          </w:tcPr>
          <w:p w14:paraId="6460EB30">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营业收入（Y）</w:t>
            </w:r>
          </w:p>
        </w:tc>
        <w:tc>
          <w:tcPr>
            <w:tcW w:w="1466" w:type="dxa"/>
            <w:tcBorders>
              <w:top w:val="nil"/>
              <w:left w:val="nil"/>
              <w:bottom w:val="single" w:color="auto" w:sz="4" w:space="0"/>
              <w:right w:val="single" w:color="auto" w:sz="4" w:space="0"/>
            </w:tcBorders>
            <w:vAlign w:val="center"/>
          </w:tcPr>
          <w:p w14:paraId="5992D232">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万元</w:t>
            </w:r>
          </w:p>
        </w:tc>
        <w:tc>
          <w:tcPr>
            <w:tcW w:w="1903" w:type="dxa"/>
            <w:tcBorders>
              <w:top w:val="nil"/>
              <w:left w:val="nil"/>
              <w:bottom w:val="single" w:color="auto" w:sz="4" w:space="0"/>
              <w:right w:val="single" w:color="auto" w:sz="4" w:space="0"/>
            </w:tcBorders>
            <w:vAlign w:val="center"/>
          </w:tcPr>
          <w:p w14:paraId="0567B39A">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500≤Y＜20000</w:t>
            </w:r>
          </w:p>
        </w:tc>
        <w:tc>
          <w:tcPr>
            <w:tcW w:w="1692" w:type="dxa"/>
            <w:tcBorders>
              <w:top w:val="nil"/>
              <w:left w:val="nil"/>
              <w:bottom w:val="single" w:color="auto" w:sz="4" w:space="0"/>
              <w:right w:val="single" w:color="auto" w:sz="4" w:space="0"/>
            </w:tcBorders>
            <w:vAlign w:val="center"/>
          </w:tcPr>
          <w:p w14:paraId="4D67D407">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50≤Y＜500</w:t>
            </w:r>
          </w:p>
        </w:tc>
        <w:tc>
          <w:tcPr>
            <w:tcW w:w="1087" w:type="dxa"/>
            <w:tcBorders>
              <w:top w:val="nil"/>
              <w:left w:val="nil"/>
              <w:bottom w:val="single" w:color="auto" w:sz="4" w:space="0"/>
              <w:right w:val="single" w:color="auto" w:sz="4" w:space="0"/>
            </w:tcBorders>
            <w:vAlign w:val="center"/>
          </w:tcPr>
          <w:p w14:paraId="109C99C0">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Y＜50</w:t>
            </w:r>
          </w:p>
        </w:tc>
      </w:tr>
      <w:tr w14:paraId="21EF91FC">
        <w:tblPrEx>
          <w:tblCellMar>
            <w:top w:w="0" w:type="dxa"/>
            <w:left w:w="108" w:type="dxa"/>
            <w:bottom w:w="0" w:type="dxa"/>
            <w:right w:w="108" w:type="dxa"/>
          </w:tblCellMar>
        </w:tblPrEx>
        <w:trPr>
          <w:trHeight w:val="199" w:hRule="atLeast"/>
          <w:jc w:val="center"/>
        </w:trPr>
        <w:tc>
          <w:tcPr>
            <w:tcW w:w="1570" w:type="dxa"/>
            <w:vMerge w:val="restart"/>
            <w:tcBorders>
              <w:top w:val="nil"/>
              <w:left w:val="single" w:color="auto" w:sz="4" w:space="0"/>
              <w:bottom w:val="single" w:color="auto" w:sz="4" w:space="0"/>
              <w:right w:val="single" w:color="auto" w:sz="4" w:space="0"/>
            </w:tcBorders>
            <w:vAlign w:val="center"/>
          </w:tcPr>
          <w:p w14:paraId="5B2F4BC5">
            <w:pPr>
              <w:widowControl/>
              <w:snapToGrid w:val="0"/>
              <w:contextualSpacing/>
              <w:jc w:val="center"/>
              <w:rPr>
                <w:rFonts w:hint="eastAsia" w:ascii="微软雅黑" w:hAnsi="微软雅黑" w:eastAsia="微软雅黑" w:cs="微软雅黑"/>
                <w:b/>
                <w:bCs/>
                <w:color w:val="FF0000"/>
                <w:kern w:val="0"/>
                <w:sz w:val="22"/>
                <w:szCs w:val="22"/>
                <w:highlight w:val="none"/>
              </w:rPr>
            </w:pPr>
            <w:r>
              <w:rPr>
                <w:rFonts w:hint="eastAsia" w:ascii="微软雅黑" w:hAnsi="微软雅黑" w:eastAsia="微软雅黑" w:cs="微软雅黑"/>
                <w:b/>
                <w:bCs/>
                <w:color w:val="FF0000"/>
                <w:kern w:val="0"/>
                <w:sz w:val="22"/>
                <w:szCs w:val="22"/>
                <w:highlight w:val="none"/>
              </w:rPr>
              <w:t>工业</w:t>
            </w:r>
          </w:p>
        </w:tc>
        <w:tc>
          <w:tcPr>
            <w:tcW w:w="1660" w:type="dxa"/>
            <w:tcBorders>
              <w:top w:val="nil"/>
              <w:left w:val="nil"/>
              <w:bottom w:val="single" w:color="auto" w:sz="4" w:space="0"/>
              <w:right w:val="single" w:color="auto" w:sz="4" w:space="0"/>
            </w:tcBorders>
            <w:vAlign w:val="center"/>
          </w:tcPr>
          <w:p w14:paraId="4A2B3F87">
            <w:pPr>
              <w:widowControl/>
              <w:snapToGrid w:val="0"/>
              <w:contextualSpacing/>
              <w:jc w:val="center"/>
              <w:rPr>
                <w:rFonts w:hint="eastAsia" w:ascii="微软雅黑" w:hAnsi="微软雅黑" w:eastAsia="微软雅黑" w:cs="微软雅黑"/>
                <w:color w:val="FF0000"/>
                <w:kern w:val="0"/>
                <w:sz w:val="22"/>
                <w:szCs w:val="22"/>
                <w:highlight w:val="none"/>
              </w:rPr>
            </w:pPr>
            <w:r>
              <w:rPr>
                <w:rFonts w:hint="eastAsia" w:ascii="微软雅黑" w:hAnsi="微软雅黑" w:eastAsia="微软雅黑" w:cs="微软雅黑"/>
                <w:color w:val="FF0000"/>
                <w:kern w:val="0"/>
                <w:sz w:val="22"/>
                <w:szCs w:val="22"/>
                <w:highlight w:val="none"/>
              </w:rPr>
              <w:t>从业人员（X）</w:t>
            </w:r>
          </w:p>
        </w:tc>
        <w:tc>
          <w:tcPr>
            <w:tcW w:w="1466" w:type="dxa"/>
            <w:tcBorders>
              <w:top w:val="nil"/>
              <w:left w:val="nil"/>
              <w:bottom w:val="single" w:color="auto" w:sz="4" w:space="0"/>
              <w:right w:val="single" w:color="auto" w:sz="4" w:space="0"/>
            </w:tcBorders>
            <w:vAlign w:val="center"/>
          </w:tcPr>
          <w:p w14:paraId="7F8F1186">
            <w:pPr>
              <w:widowControl/>
              <w:snapToGrid w:val="0"/>
              <w:contextualSpacing/>
              <w:jc w:val="center"/>
              <w:rPr>
                <w:rFonts w:hint="eastAsia" w:ascii="微软雅黑" w:hAnsi="微软雅黑" w:eastAsia="微软雅黑" w:cs="微软雅黑"/>
                <w:color w:val="FF0000"/>
                <w:kern w:val="0"/>
                <w:sz w:val="22"/>
                <w:szCs w:val="22"/>
                <w:highlight w:val="none"/>
              </w:rPr>
            </w:pPr>
            <w:r>
              <w:rPr>
                <w:rFonts w:hint="eastAsia" w:ascii="微软雅黑" w:hAnsi="微软雅黑" w:eastAsia="微软雅黑" w:cs="微软雅黑"/>
                <w:color w:val="FF0000"/>
                <w:kern w:val="0"/>
                <w:sz w:val="22"/>
                <w:szCs w:val="22"/>
                <w:highlight w:val="none"/>
              </w:rPr>
              <w:t>人</w:t>
            </w:r>
          </w:p>
        </w:tc>
        <w:tc>
          <w:tcPr>
            <w:tcW w:w="1903" w:type="dxa"/>
            <w:tcBorders>
              <w:top w:val="nil"/>
              <w:left w:val="nil"/>
              <w:bottom w:val="single" w:color="auto" w:sz="4" w:space="0"/>
              <w:right w:val="single" w:color="auto" w:sz="4" w:space="0"/>
            </w:tcBorders>
            <w:vAlign w:val="center"/>
          </w:tcPr>
          <w:p w14:paraId="48D36FE2">
            <w:pPr>
              <w:widowControl/>
              <w:snapToGrid w:val="0"/>
              <w:contextualSpacing/>
              <w:jc w:val="center"/>
              <w:rPr>
                <w:rFonts w:hint="eastAsia" w:ascii="微软雅黑" w:hAnsi="微软雅黑" w:eastAsia="微软雅黑" w:cs="微软雅黑"/>
                <w:color w:val="FF0000"/>
                <w:kern w:val="0"/>
                <w:sz w:val="22"/>
                <w:szCs w:val="22"/>
                <w:highlight w:val="none"/>
              </w:rPr>
            </w:pPr>
            <w:r>
              <w:rPr>
                <w:rFonts w:hint="eastAsia" w:ascii="微软雅黑" w:hAnsi="微软雅黑" w:eastAsia="微软雅黑" w:cs="微软雅黑"/>
                <w:color w:val="FF0000"/>
                <w:kern w:val="0"/>
                <w:sz w:val="22"/>
                <w:szCs w:val="22"/>
                <w:highlight w:val="none"/>
              </w:rPr>
              <w:t>300≤X＜1000</w:t>
            </w:r>
          </w:p>
        </w:tc>
        <w:tc>
          <w:tcPr>
            <w:tcW w:w="1692" w:type="dxa"/>
            <w:tcBorders>
              <w:top w:val="nil"/>
              <w:left w:val="nil"/>
              <w:bottom w:val="single" w:color="auto" w:sz="4" w:space="0"/>
              <w:right w:val="single" w:color="auto" w:sz="4" w:space="0"/>
            </w:tcBorders>
            <w:vAlign w:val="center"/>
          </w:tcPr>
          <w:p w14:paraId="47510E41">
            <w:pPr>
              <w:widowControl/>
              <w:snapToGrid w:val="0"/>
              <w:contextualSpacing/>
              <w:jc w:val="center"/>
              <w:rPr>
                <w:rFonts w:hint="eastAsia" w:ascii="微软雅黑" w:hAnsi="微软雅黑" w:eastAsia="微软雅黑" w:cs="微软雅黑"/>
                <w:color w:val="FF0000"/>
                <w:kern w:val="0"/>
                <w:sz w:val="22"/>
                <w:szCs w:val="22"/>
                <w:highlight w:val="none"/>
              </w:rPr>
            </w:pPr>
            <w:r>
              <w:rPr>
                <w:rFonts w:hint="eastAsia" w:ascii="微软雅黑" w:hAnsi="微软雅黑" w:eastAsia="微软雅黑" w:cs="微软雅黑"/>
                <w:color w:val="FF0000"/>
                <w:kern w:val="0"/>
                <w:sz w:val="22"/>
                <w:szCs w:val="22"/>
                <w:highlight w:val="none"/>
              </w:rPr>
              <w:t>20≤X＜300</w:t>
            </w:r>
          </w:p>
        </w:tc>
        <w:tc>
          <w:tcPr>
            <w:tcW w:w="1087" w:type="dxa"/>
            <w:tcBorders>
              <w:top w:val="nil"/>
              <w:left w:val="nil"/>
              <w:bottom w:val="single" w:color="auto" w:sz="4" w:space="0"/>
              <w:right w:val="single" w:color="auto" w:sz="4" w:space="0"/>
            </w:tcBorders>
            <w:vAlign w:val="center"/>
          </w:tcPr>
          <w:p w14:paraId="069C3EDD">
            <w:pPr>
              <w:widowControl/>
              <w:snapToGrid w:val="0"/>
              <w:contextualSpacing/>
              <w:jc w:val="center"/>
              <w:rPr>
                <w:rFonts w:hint="eastAsia" w:ascii="微软雅黑" w:hAnsi="微软雅黑" w:eastAsia="微软雅黑" w:cs="微软雅黑"/>
                <w:color w:val="FF0000"/>
                <w:kern w:val="0"/>
                <w:sz w:val="22"/>
                <w:szCs w:val="22"/>
                <w:highlight w:val="none"/>
              </w:rPr>
            </w:pPr>
            <w:r>
              <w:rPr>
                <w:rFonts w:hint="eastAsia" w:ascii="微软雅黑" w:hAnsi="微软雅黑" w:eastAsia="微软雅黑" w:cs="微软雅黑"/>
                <w:color w:val="FF0000"/>
                <w:kern w:val="0"/>
                <w:sz w:val="22"/>
                <w:szCs w:val="22"/>
                <w:highlight w:val="none"/>
              </w:rPr>
              <w:t>X＜20</w:t>
            </w:r>
          </w:p>
        </w:tc>
      </w:tr>
      <w:tr w14:paraId="099BEC5D">
        <w:tblPrEx>
          <w:tblCellMar>
            <w:top w:w="0" w:type="dxa"/>
            <w:left w:w="108" w:type="dxa"/>
            <w:bottom w:w="0" w:type="dxa"/>
            <w:right w:w="108" w:type="dxa"/>
          </w:tblCellMar>
        </w:tblPrEx>
        <w:trPr>
          <w:trHeight w:val="199" w:hRule="atLeast"/>
          <w:jc w:val="center"/>
        </w:trPr>
        <w:tc>
          <w:tcPr>
            <w:tcW w:w="1570" w:type="dxa"/>
            <w:vMerge w:val="continue"/>
            <w:tcBorders>
              <w:top w:val="nil"/>
              <w:left w:val="single" w:color="auto" w:sz="4" w:space="0"/>
              <w:bottom w:val="single" w:color="auto" w:sz="4" w:space="0"/>
              <w:right w:val="single" w:color="auto" w:sz="4" w:space="0"/>
            </w:tcBorders>
            <w:vAlign w:val="center"/>
          </w:tcPr>
          <w:p w14:paraId="0275AE3B">
            <w:pPr>
              <w:widowControl/>
              <w:snapToGrid w:val="0"/>
              <w:contextualSpacing/>
              <w:jc w:val="center"/>
              <w:rPr>
                <w:rFonts w:hint="eastAsia" w:ascii="微软雅黑" w:hAnsi="微软雅黑" w:eastAsia="微软雅黑" w:cs="微软雅黑"/>
                <w:b/>
                <w:bCs/>
                <w:color w:val="FF0000"/>
                <w:kern w:val="0"/>
                <w:sz w:val="22"/>
                <w:szCs w:val="22"/>
                <w:highlight w:val="none"/>
              </w:rPr>
            </w:pPr>
          </w:p>
        </w:tc>
        <w:tc>
          <w:tcPr>
            <w:tcW w:w="1660" w:type="dxa"/>
            <w:tcBorders>
              <w:top w:val="nil"/>
              <w:left w:val="nil"/>
              <w:bottom w:val="single" w:color="auto" w:sz="4" w:space="0"/>
              <w:right w:val="single" w:color="auto" w:sz="4" w:space="0"/>
            </w:tcBorders>
            <w:vAlign w:val="center"/>
          </w:tcPr>
          <w:p w14:paraId="5B70BAF3">
            <w:pPr>
              <w:widowControl/>
              <w:snapToGrid w:val="0"/>
              <w:contextualSpacing/>
              <w:jc w:val="center"/>
              <w:rPr>
                <w:rFonts w:hint="eastAsia" w:ascii="微软雅黑" w:hAnsi="微软雅黑" w:eastAsia="微软雅黑" w:cs="微软雅黑"/>
                <w:color w:val="FF0000"/>
                <w:kern w:val="0"/>
                <w:sz w:val="22"/>
                <w:szCs w:val="22"/>
                <w:highlight w:val="none"/>
              </w:rPr>
            </w:pPr>
            <w:r>
              <w:rPr>
                <w:rFonts w:hint="eastAsia" w:ascii="微软雅黑" w:hAnsi="微软雅黑" w:eastAsia="微软雅黑" w:cs="微软雅黑"/>
                <w:color w:val="FF0000"/>
                <w:kern w:val="0"/>
                <w:sz w:val="22"/>
                <w:szCs w:val="22"/>
                <w:highlight w:val="none"/>
              </w:rPr>
              <w:t>营业收入（Y）</w:t>
            </w:r>
          </w:p>
        </w:tc>
        <w:tc>
          <w:tcPr>
            <w:tcW w:w="1466" w:type="dxa"/>
            <w:tcBorders>
              <w:top w:val="nil"/>
              <w:left w:val="nil"/>
              <w:bottom w:val="single" w:color="auto" w:sz="4" w:space="0"/>
              <w:right w:val="single" w:color="auto" w:sz="4" w:space="0"/>
            </w:tcBorders>
            <w:vAlign w:val="center"/>
          </w:tcPr>
          <w:p w14:paraId="7E097FCE">
            <w:pPr>
              <w:widowControl/>
              <w:snapToGrid w:val="0"/>
              <w:contextualSpacing/>
              <w:jc w:val="center"/>
              <w:rPr>
                <w:rFonts w:hint="eastAsia" w:ascii="微软雅黑" w:hAnsi="微软雅黑" w:eastAsia="微软雅黑" w:cs="微软雅黑"/>
                <w:color w:val="FF0000"/>
                <w:kern w:val="0"/>
                <w:sz w:val="22"/>
                <w:szCs w:val="22"/>
                <w:highlight w:val="none"/>
              </w:rPr>
            </w:pPr>
            <w:r>
              <w:rPr>
                <w:rFonts w:hint="eastAsia" w:ascii="微软雅黑" w:hAnsi="微软雅黑" w:eastAsia="微软雅黑" w:cs="微软雅黑"/>
                <w:color w:val="FF0000"/>
                <w:kern w:val="0"/>
                <w:sz w:val="22"/>
                <w:szCs w:val="22"/>
                <w:highlight w:val="none"/>
              </w:rPr>
              <w:t>万元</w:t>
            </w:r>
          </w:p>
        </w:tc>
        <w:tc>
          <w:tcPr>
            <w:tcW w:w="1903" w:type="dxa"/>
            <w:tcBorders>
              <w:top w:val="nil"/>
              <w:left w:val="nil"/>
              <w:bottom w:val="single" w:color="auto" w:sz="4" w:space="0"/>
              <w:right w:val="single" w:color="auto" w:sz="4" w:space="0"/>
            </w:tcBorders>
            <w:vAlign w:val="center"/>
          </w:tcPr>
          <w:p w14:paraId="64137765">
            <w:pPr>
              <w:widowControl/>
              <w:snapToGrid w:val="0"/>
              <w:contextualSpacing/>
              <w:jc w:val="center"/>
              <w:rPr>
                <w:rFonts w:hint="eastAsia" w:ascii="微软雅黑" w:hAnsi="微软雅黑" w:eastAsia="微软雅黑" w:cs="微软雅黑"/>
                <w:color w:val="FF0000"/>
                <w:kern w:val="0"/>
                <w:sz w:val="22"/>
                <w:szCs w:val="22"/>
                <w:highlight w:val="none"/>
              </w:rPr>
            </w:pPr>
            <w:r>
              <w:rPr>
                <w:rFonts w:hint="eastAsia" w:ascii="微软雅黑" w:hAnsi="微软雅黑" w:eastAsia="微软雅黑" w:cs="微软雅黑"/>
                <w:color w:val="FF0000"/>
                <w:kern w:val="0"/>
                <w:sz w:val="22"/>
                <w:szCs w:val="22"/>
                <w:highlight w:val="none"/>
              </w:rPr>
              <w:t>2000≤Y＜40000</w:t>
            </w:r>
          </w:p>
        </w:tc>
        <w:tc>
          <w:tcPr>
            <w:tcW w:w="1692" w:type="dxa"/>
            <w:tcBorders>
              <w:top w:val="nil"/>
              <w:left w:val="nil"/>
              <w:bottom w:val="single" w:color="auto" w:sz="4" w:space="0"/>
              <w:right w:val="single" w:color="auto" w:sz="4" w:space="0"/>
            </w:tcBorders>
            <w:vAlign w:val="center"/>
          </w:tcPr>
          <w:p w14:paraId="79B651C6">
            <w:pPr>
              <w:widowControl/>
              <w:snapToGrid w:val="0"/>
              <w:contextualSpacing/>
              <w:jc w:val="center"/>
              <w:rPr>
                <w:rFonts w:hint="eastAsia" w:ascii="微软雅黑" w:hAnsi="微软雅黑" w:eastAsia="微软雅黑" w:cs="微软雅黑"/>
                <w:color w:val="FF0000"/>
                <w:kern w:val="0"/>
                <w:sz w:val="22"/>
                <w:szCs w:val="22"/>
                <w:highlight w:val="none"/>
              </w:rPr>
            </w:pPr>
            <w:r>
              <w:rPr>
                <w:rFonts w:hint="eastAsia" w:ascii="微软雅黑" w:hAnsi="微软雅黑" w:eastAsia="微软雅黑" w:cs="微软雅黑"/>
                <w:color w:val="FF0000"/>
                <w:kern w:val="0"/>
                <w:sz w:val="22"/>
                <w:szCs w:val="22"/>
                <w:highlight w:val="none"/>
              </w:rPr>
              <w:t>300≤Y＜2000</w:t>
            </w:r>
          </w:p>
        </w:tc>
        <w:tc>
          <w:tcPr>
            <w:tcW w:w="1087" w:type="dxa"/>
            <w:tcBorders>
              <w:top w:val="nil"/>
              <w:left w:val="nil"/>
              <w:bottom w:val="single" w:color="auto" w:sz="4" w:space="0"/>
              <w:right w:val="single" w:color="auto" w:sz="4" w:space="0"/>
            </w:tcBorders>
            <w:vAlign w:val="center"/>
          </w:tcPr>
          <w:p w14:paraId="00797130">
            <w:pPr>
              <w:widowControl/>
              <w:snapToGrid w:val="0"/>
              <w:contextualSpacing/>
              <w:jc w:val="center"/>
              <w:rPr>
                <w:rFonts w:hint="eastAsia" w:ascii="微软雅黑" w:hAnsi="微软雅黑" w:eastAsia="微软雅黑" w:cs="微软雅黑"/>
                <w:color w:val="FF0000"/>
                <w:kern w:val="0"/>
                <w:sz w:val="22"/>
                <w:szCs w:val="22"/>
                <w:highlight w:val="none"/>
              </w:rPr>
            </w:pPr>
            <w:r>
              <w:rPr>
                <w:rFonts w:hint="eastAsia" w:ascii="微软雅黑" w:hAnsi="微软雅黑" w:eastAsia="微软雅黑" w:cs="微软雅黑"/>
                <w:color w:val="FF0000"/>
                <w:kern w:val="0"/>
                <w:sz w:val="22"/>
                <w:szCs w:val="22"/>
                <w:highlight w:val="none"/>
              </w:rPr>
              <w:t>Y＜300</w:t>
            </w:r>
          </w:p>
        </w:tc>
      </w:tr>
      <w:tr w14:paraId="54C0C5E5">
        <w:tblPrEx>
          <w:tblCellMar>
            <w:top w:w="0" w:type="dxa"/>
            <w:left w:w="108" w:type="dxa"/>
            <w:bottom w:w="0" w:type="dxa"/>
            <w:right w:w="108" w:type="dxa"/>
          </w:tblCellMar>
        </w:tblPrEx>
        <w:trPr>
          <w:trHeight w:val="199" w:hRule="atLeast"/>
          <w:jc w:val="center"/>
        </w:trPr>
        <w:tc>
          <w:tcPr>
            <w:tcW w:w="1570" w:type="dxa"/>
            <w:vMerge w:val="restart"/>
            <w:tcBorders>
              <w:top w:val="nil"/>
              <w:left w:val="single" w:color="auto" w:sz="4" w:space="0"/>
              <w:bottom w:val="single" w:color="auto" w:sz="4" w:space="0"/>
              <w:right w:val="single" w:color="auto" w:sz="4" w:space="0"/>
            </w:tcBorders>
            <w:vAlign w:val="center"/>
          </w:tcPr>
          <w:p w14:paraId="0CD94BE3">
            <w:pPr>
              <w:widowControl/>
              <w:snapToGrid w:val="0"/>
              <w:contextualSpacing/>
              <w:jc w:val="center"/>
              <w:rPr>
                <w:rFonts w:hint="eastAsia" w:ascii="微软雅黑" w:hAnsi="微软雅黑" w:eastAsia="微软雅黑" w:cs="微软雅黑"/>
                <w:b/>
                <w:bCs/>
                <w:color w:val="auto"/>
                <w:kern w:val="0"/>
                <w:sz w:val="22"/>
                <w:szCs w:val="22"/>
                <w:highlight w:val="none"/>
              </w:rPr>
            </w:pPr>
            <w:r>
              <w:rPr>
                <w:rFonts w:hint="eastAsia" w:ascii="微软雅黑" w:hAnsi="微软雅黑" w:eastAsia="微软雅黑" w:cs="微软雅黑"/>
                <w:b/>
                <w:bCs/>
                <w:color w:val="auto"/>
                <w:kern w:val="0"/>
                <w:sz w:val="22"/>
                <w:szCs w:val="22"/>
                <w:highlight w:val="none"/>
              </w:rPr>
              <w:t>建筑业</w:t>
            </w:r>
          </w:p>
        </w:tc>
        <w:tc>
          <w:tcPr>
            <w:tcW w:w="1660" w:type="dxa"/>
            <w:tcBorders>
              <w:top w:val="nil"/>
              <w:left w:val="nil"/>
              <w:bottom w:val="single" w:color="auto" w:sz="4" w:space="0"/>
              <w:right w:val="single" w:color="auto" w:sz="4" w:space="0"/>
            </w:tcBorders>
            <w:vAlign w:val="center"/>
          </w:tcPr>
          <w:p w14:paraId="77151EFE">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营业收入（Y）</w:t>
            </w:r>
          </w:p>
        </w:tc>
        <w:tc>
          <w:tcPr>
            <w:tcW w:w="1466" w:type="dxa"/>
            <w:tcBorders>
              <w:top w:val="nil"/>
              <w:left w:val="nil"/>
              <w:bottom w:val="single" w:color="auto" w:sz="4" w:space="0"/>
              <w:right w:val="single" w:color="auto" w:sz="4" w:space="0"/>
            </w:tcBorders>
            <w:vAlign w:val="center"/>
          </w:tcPr>
          <w:p w14:paraId="2C0232F2">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万元</w:t>
            </w:r>
          </w:p>
        </w:tc>
        <w:tc>
          <w:tcPr>
            <w:tcW w:w="1903" w:type="dxa"/>
            <w:tcBorders>
              <w:top w:val="nil"/>
              <w:left w:val="nil"/>
              <w:bottom w:val="single" w:color="auto" w:sz="4" w:space="0"/>
              <w:right w:val="single" w:color="auto" w:sz="4" w:space="0"/>
            </w:tcBorders>
            <w:vAlign w:val="center"/>
          </w:tcPr>
          <w:p w14:paraId="28AF2997">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6000≤Y＜80000</w:t>
            </w:r>
          </w:p>
        </w:tc>
        <w:tc>
          <w:tcPr>
            <w:tcW w:w="1692" w:type="dxa"/>
            <w:tcBorders>
              <w:top w:val="nil"/>
              <w:left w:val="nil"/>
              <w:bottom w:val="single" w:color="auto" w:sz="4" w:space="0"/>
              <w:right w:val="single" w:color="auto" w:sz="4" w:space="0"/>
            </w:tcBorders>
            <w:vAlign w:val="center"/>
          </w:tcPr>
          <w:p w14:paraId="626F8AE8">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300≤Y＜6000</w:t>
            </w:r>
          </w:p>
        </w:tc>
        <w:tc>
          <w:tcPr>
            <w:tcW w:w="1087" w:type="dxa"/>
            <w:tcBorders>
              <w:top w:val="nil"/>
              <w:left w:val="nil"/>
              <w:bottom w:val="single" w:color="auto" w:sz="4" w:space="0"/>
              <w:right w:val="single" w:color="auto" w:sz="4" w:space="0"/>
            </w:tcBorders>
            <w:vAlign w:val="center"/>
          </w:tcPr>
          <w:p w14:paraId="201893AA">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Y＜300</w:t>
            </w:r>
          </w:p>
        </w:tc>
      </w:tr>
      <w:tr w14:paraId="398951D7">
        <w:tblPrEx>
          <w:tblCellMar>
            <w:top w:w="0" w:type="dxa"/>
            <w:left w:w="108" w:type="dxa"/>
            <w:bottom w:w="0" w:type="dxa"/>
            <w:right w:w="108" w:type="dxa"/>
          </w:tblCellMar>
        </w:tblPrEx>
        <w:trPr>
          <w:trHeight w:val="199" w:hRule="atLeast"/>
          <w:jc w:val="center"/>
        </w:trPr>
        <w:tc>
          <w:tcPr>
            <w:tcW w:w="1570" w:type="dxa"/>
            <w:vMerge w:val="continue"/>
            <w:tcBorders>
              <w:top w:val="nil"/>
              <w:left w:val="single" w:color="auto" w:sz="4" w:space="0"/>
              <w:bottom w:val="single" w:color="auto" w:sz="4" w:space="0"/>
              <w:right w:val="single" w:color="auto" w:sz="4" w:space="0"/>
            </w:tcBorders>
            <w:vAlign w:val="center"/>
          </w:tcPr>
          <w:p w14:paraId="464CB102">
            <w:pPr>
              <w:widowControl/>
              <w:snapToGrid w:val="0"/>
              <w:contextualSpacing/>
              <w:jc w:val="center"/>
              <w:rPr>
                <w:rFonts w:hint="eastAsia" w:ascii="微软雅黑" w:hAnsi="微软雅黑" w:eastAsia="微软雅黑" w:cs="微软雅黑"/>
                <w:b/>
                <w:bCs/>
                <w:color w:val="auto"/>
                <w:kern w:val="0"/>
                <w:sz w:val="22"/>
                <w:szCs w:val="22"/>
                <w:highlight w:val="none"/>
              </w:rPr>
            </w:pPr>
          </w:p>
        </w:tc>
        <w:tc>
          <w:tcPr>
            <w:tcW w:w="1660" w:type="dxa"/>
            <w:tcBorders>
              <w:top w:val="nil"/>
              <w:left w:val="nil"/>
              <w:bottom w:val="single" w:color="auto" w:sz="4" w:space="0"/>
              <w:right w:val="single" w:color="auto" w:sz="4" w:space="0"/>
            </w:tcBorders>
            <w:vAlign w:val="center"/>
          </w:tcPr>
          <w:p w14:paraId="5B3636FC">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资产总额（Z）</w:t>
            </w:r>
          </w:p>
        </w:tc>
        <w:tc>
          <w:tcPr>
            <w:tcW w:w="1466" w:type="dxa"/>
            <w:tcBorders>
              <w:top w:val="nil"/>
              <w:left w:val="nil"/>
              <w:bottom w:val="single" w:color="auto" w:sz="4" w:space="0"/>
              <w:right w:val="single" w:color="auto" w:sz="4" w:space="0"/>
            </w:tcBorders>
            <w:vAlign w:val="center"/>
          </w:tcPr>
          <w:p w14:paraId="052AE70C">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万元</w:t>
            </w:r>
          </w:p>
        </w:tc>
        <w:tc>
          <w:tcPr>
            <w:tcW w:w="1903" w:type="dxa"/>
            <w:tcBorders>
              <w:top w:val="nil"/>
              <w:left w:val="nil"/>
              <w:bottom w:val="single" w:color="auto" w:sz="4" w:space="0"/>
              <w:right w:val="single" w:color="auto" w:sz="4" w:space="0"/>
            </w:tcBorders>
            <w:vAlign w:val="center"/>
          </w:tcPr>
          <w:p w14:paraId="2DEE298F">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5000≤Z＜80000</w:t>
            </w:r>
          </w:p>
        </w:tc>
        <w:tc>
          <w:tcPr>
            <w:tcW w:w="1692" w:type="dxa"/>
            <w:tcBorders>
              <w:top w:val="nil"/>
              <w:left w:val="nil"/>
              <w:bottom w:val="single" w:color="auto" w:sz="4" w:space="0"/>
              <w:right w:val="single" w:color="auto" w:sz="4" w:space="0"/>
            </w:tcBorders>
            <w:vAlign w:val="center"/>
          </w:tcPr>
          <w:p w14:paraId="47F21007">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300≤Z＜5000</w:t>
            </w:r>
          </w:p>
        </w:tc>
        <w:tc>
          <w:tcPr>
            <w:tcW w:w="1087" w:type="dxa"/>
            <w:tcBorders>
              <w:top w:val="nil"/>
              <w:left w:val="nil"/>
              <w:bottom w:val="single" w:color="auto" w:sz="4" w:space="0"/>
              <w:right w:val="single" w:color="auto" w:sz="4" w:space="0"/>
            </w:tcBorders>
            <w:vAlign w:val="center"/>
          </w:tcPr>
          <w:p w14:paraId="5E39A244">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Z＜300</w:t>
            </w:r>
          </w:p>
        </w:tc>
      </w:tr>
      <w:tr w14:paraId="54E1CCE0">
        <w:tblPrEx>
          <w:tblCellMar>
            <w:top w:w="0" w:type="dxa"/>
            <w:left w:w="108" w:type="dxa"/>
            <w:bottom w:w="0" w:type="dxa"/>
            <w:right w:w="108" w:type="dxa"/>
          </w:tblCellMar>
        </w:tblPrEx>
        <w:trPr>
          <w:trHeight w:val="199" w:hRule="atLeast"/>
          <w:jc w:val="center"/>
        </w:trPr>
        <w:tc>
          <w:tcPr>
            <w:tcW w:w="1570" w:type="dxa"/>
            <w:vMerge w:val="restart"/>
            <w:tcBorders>
              <w:top w:val="nil"/>
              <w:left w:val="single" w:color="auto" w:sz="4" w:space="0"/>
              <w:bottom w:val="single" w:color="auto" w:sz="4" w:space="0"/>
              <w:right w:val="single" w:color="auto" w:sz="4" w:space="0"/>
            </w:tcBorders>
            <w:vAlign w:val="center"/>
          </w:tcPr>
          <w:p w14:paraId="7B259F0E">
            <w:pPr>
              <w:widowControl/>
              <w:snapToGrid w:val="0"/>
              <w:contextualSpacing/>
              <w:jc w:val="center"/>
              <w:rPr>
                <w:rFonts w:hint="eastAsia" w:ascii="微软雅黑" w:hAnsi="微软雅黑" w:eastAsia="微软雅黑" w:cs="微软雅黑"/>
                <w:b/>
                <w:bCs/>
                <w:color w:val="auto"/>
                <w:kern w:val="0"/>
                <w:sz w:val="22"/>
                <w:szCs w:val="22"/>
                <w:highlight w:val="none"/>
              </w:rPr>
            </w:pPr>
            <w:r>
              <w:rPr>
                <w:rFonts w:hint="eastAsia" w:ascii="微软雅黑" w:hAnsi="微软雅黑" w:eastAsia="微软雅黑" w:cs="微软雅黑"/>
                <w:b/>
                <w:bCs/>
                <w:color w:val="auto"/>
                <w:kern w:val="0"/>
                <w:sz w:val="22"/>
                <w:szCs w:val="22"/>
                <w:highlight w:val="none"/>
              </w:rPr>
              <w:t>批发业</w:t>
            </w:r>
          </w:p>
        </w:tc>
        <w:tc>
          <w:tcPr>
            <w:tcW w:w="1660" w:type="dxa"/>
            <w:tcBorders>
              <w:top w:val="nil"/>
              <w:left w:val="nil"/>
              <w:bottom w:val="single" w:color="auto" w:sz="4" w:space="0"/>
              <w:right w:val="single" w:color="auto" w:sz="4" w:space="0"/>
            </w:tcBorders>
            <w:vAlign w:val="center"/>
          </w:tcPr>
          <w:p w14:paraId="5BB91112">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从业人员（X）</w:t>
            </w:r>
          </w:p>
        </w:tc>
        <w:tc>
          <w:tcPr>
            <w:tcW w:w="1466" w:type="dxa"/>
            <w:tcBorders>
              <w:top w:val="nil"/>
              <w:left w:val="nil"/>
              <w:bottom w:val="single" w:color="auto" w:sz="4" w:space="0"/>
              <w:right w:val="single" w:color="auto" w:sz="4" w:space="0"/>
            </w:tcBorders>
            <w:vAlign w:val="center"/>
          </w:tcPr>
          <w:p w14:paraId="5B37463E">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人</w:t>
            </w:r>
          </w:p>
        </w:tc>
        <w:tc>
          <w:tcPr>
            <w:tcW w:w="1903" w:type="dxa"/>
            <w:tcBorders>
              <w:top w:val="nil"/>
              <w:left w:val="nil"/>
              <w:bottom w:val="single" w:color="auto" w:sz="4" w:space="0"/>
              <w:right w:val="single" w:color="auto" w:sz="4" w:space="0"/>
            </w:tcBorders>
            <w:vAlign w:val="center"/>
          </w:tcPr>
          <w:p w14:paraId="0A84F272">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20≤X＜200</w:t>
            </w:r>
          </w:p>
        </w:tc>
        <w:tc>
          <w:tcPr>
            <w:tcW w:w="1692" w:type="dxa"/>
            <w:tcBorders>
              <w:top w:val="nil"/>
              <w:left w:val="nil"/>
              <w:bottom w:val="single" w:color="auto" w:sz="4" w:space="0"/>
              <w:right w:val="single" w:color="auto" w:sz="4" w:space="0"/>
            </w:tcBorders>
            <w:vAlign w:val="center"/>
          </w:tcPr>
          <w:p w14:paraId="1E130A0E">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5≤X＜20</w:t>
            </w:r>
          </w:p>
        </w:tc>
        <w:tc>
          <w:tcPr>
            <w:tcW w:w="1087" w:type="dxa"/>
            <w:tcBorders>
              <w:top w:val="nil"/>
              <w:left w:val="nil"/>
              <w:bottom w:val="single" w:color="auto" w:sz="4" w:space="0"/>
              <w:right w:val="single" w:color="auto" w:sz="4" w:space="0"/>
            </w:tcBorders>
            <w:vAlign w:val="center"/>
          </w:tcPr>
          <w:p w14:paraId="279D2C1E">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X＜5</w:t>
            </w:r>
          </w:p>
        </w:tc>
      </w:tr>
      <w:tr w14:paraId="228FC69F">
        <w:tblPrEx>
          <w:tblCellMar>
            <w:top w:w="0" w:type="dxa"/>
            <w:left w:w="108" w:type="dxa"/>
            <w:bottom w:w="0" w:type="dxa"/>
            <w:right w:w="108" w:type="dxa"/>
          </w:tblCellMar>
        </w:tblPrEx>
        <w:trPr>
          <w:trHeight w:val="199" w:hRule="atLeast"/>
          <w:jc w:val="center"/>
        </w:trPr>
        <w:tc>
          <w:tcPr>
            <w:tcW w:w="1570" w:type="dxa"/>
            <w:vMerge w:val="continue"/>
            <w:tcBorders>
              <w:top w:val="nil"/>
              <w:left w:val="single" w:color="auto" w:sz="4" w:space="0"/>
              <w:bottom w:val="single" w:color="auto" w:sz="4" w:space="0"/>
              <w:right w:val="single" w:color="auto" w:sz="4" w:space="0"/>
            </w:tcBorders>
            <w:vAlign w:val="center"/>
          </w:tcPr>
          <w:p w14:paraId="66C0977E">
            <w:pPr>
              <w:widowControl/>
              <w:snapToGrid w:val="0"/>
              <w:contextualSpacing/>
              <w:jc w:val="center"/>
              <w:rPr>
                <w:rFonts w:hint="eastAsia" w:ascii="微软雅黑" w:hAnsi="微软雅黑" w:eastAsia="微软雅黑" w:cs="微软雅黑"/>
                <w:b/>
                <w:bCs/>
                <w:color w:val="auto"/>
                <w:kern w:val="0"/>
                <w:sz w:val="22"/>
                <w:szCs w:val="22"/>
                <w:highlight w:val="none"/>
              </w:rPr>
            </w:pPr>
          </w:p>
        </w:tc>
        <w:tc>
          <w:tcPr>
            <w:tcW w:w="1660" w:type="dxa"/>
            <w:tcBorders>
              <w:top w:val="nil"/>
              <w:left w:val="nil"/>
              <w:bottom w:val="single" w:color="auto" w:sz="4" w:space="0"/>
              <w:right w:val="single" w:color="auto" w:sz="4" w:space="0"/>
            </w:tcBorders>
            <w:vAlign w:val="center"/>
          </w:tcPr>
          <w:p w14:paraId="3261C0A7">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营业收入（Y）</w:t>
            </w:r>
          </w:p>
        </w:tc>
        <w:tc>
          <w:tcPr>
            <w:tcW w:w="1466" w:type="dxa"/>
            <w:tcBorders>
              <w:top w:val="nil"/>
              <w:left w:val="nil"/>
              <w:bottom w:val="single" w:color="auto" w:sz="4" w:space="0"/>
              <w:right w:val="single" w:color="auto" w:sz="4" w:space="0"/>
            </w:tcBorders>
            <w:vAlign w:val="center"/>
          </w:tcPr>
          <w:p w14:paraId="539AF217">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万元</w:t>
            </w:r>
          </w:p>
        </w:tc>
        <w:tc>
          <w:tcPr>
            <w:tcW w:w="1903" w:type="dxa"/>
            <w:tcBorders>
              <w:top w:val="nil"/>
              <w:left w:val="nil"/>
              <w:bottom w:val="single" w:color="auto" w:sz="4" w:space="0"/>
              <w:right w:val="single" w:color="auto" w:sz="4" w:space="0"/>
            </w:tcBorders>
            <w:vAlign w:val="center"/>
          </w:tcPr>
          <w:p w14:paraId="3DF14DA0">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5000≤Y＜40000</w:t>
            </w:r>
          </w:p>
        </w:tc>
        <w:tc>
          <w:tcPr>
            <w:tcW w:w="1692" w:type="dxa"/>
            <w:tcBorders>
              <w:top w:val="nil"/>
              <w:left w:val="nil"/>
              <w:bottom w:val="single" w:color="auto" w:sz="4" w:space="0"/>
              <w:right w:val="single" w:color="auto" w:sz="4" w:space="0"/>
            </w:tcBorders>
            <w:vAlign w:val="center"/>
          </w:tcPr>
          <w:p w14:paraId="57B3A310">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1000≤Y＜5000</w:t>
            </w:r>
          </w:p>
        </w:tc>
        <w:tc>
          <w:tcPr>
            <w:tcW w:w="1087" w:type="dxa"/>
            <w:tcBorders>
              <w:top w:val="nil"/>
              <w:left w:val="nil"/>
              <w:bottom w:val="single" w:color="auto" w:sz="4" w:space="0"/>
              <w:right w:val="single" w:color="auto" w:sz="4" w:space="0"/>
            </w:tcBorders>
            <w:vAlign w:val="center"/>
          </w:tcPr>
          <w:p w14:paraId="5EDFB8A4">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Y＜1000</w:t>
            </w:r>
          </w:p>
        </w:tc>
      </w:tr>
      <w:tr w14:paraId="18D97503">
        <w:tblPrEx>
          <w:tblCellMar>
            <w:top w:w="0" w:type="dxa"/>
            <w:left w:w="108" w:type="dxa"/>
            <w:bottom w:w="0" w:type="dxa"/>
            <w:right w:w="108" w:type="dxa"/>
          </w:tblCellMar>
        </w:tblPrEx>
        <w:trPr>
          <w:trHeight w:val="199" w:hRule="atLeast"/>
          <w:jc w:val="center"/>
        </w:trPr>
        <w:tc>
          <w:tcPr>
            <w:tcW w:w="1570" w:type="dxa"/>
            <w:vMerge w:val="restart"/>
            <w:tcBorders>
              <w:top w:val="nil"/>
              <w:left w:val="single" w:color="auto" w:sz="4" w:space="0"/>
              <w:bottom w:val="single" w:color="auto" w:sz="4" w:space="0"/>
              <w:right w:val="single" w:color="auto" w:sz="4" w:space="0"/>
            </w:tcBorders>
            <w:vAlign w:val="center"/>
          </w:tcPr>
          <w:p w14:paraId="0AC59ABF">
            <w:pPr>
              <w:widowControl/>
              <w:snapToGrid w:val="0"/>
              <w:contextualSpacing/>
              <w:jc w:val="center"/>
              <w:rPr>
                <w:rFonts w:hint="eastAsia" w:ascii="微软雅黑" w:hAnsi="微软雅黑" w:eastAsia="微软雅黑" w:cs="微软雅黑"/>
                <w:b/>
                <w:bCs/>
                <w:color w:val="auto"/>
                <w:kern w:val="0"/>
                <w:sz w:val="22"/>
                <w:szCs w:val="22"/>
                <w:highlight w:val="none"/>
              </w:rPr>
            </w:pPr>
            <w:r>
              <w:rPr>
                <w:rFonts w:hint="eastAsia" w:ascii="微软雅黑" w:hAnsi="微软雅黑" w:eastAsia="微软雅黑" w:cs="微软雅黑"/>
                <w:b/>
                <w:bCs/>
                <w:color w:val="auto"/>
                <w:kern w:val="0"/>
                <w:sz w:val="22"/>
                <w:szCs w:val="22"/>
                <w:highlight w:val="none"/>
              </w:rPr>
              <w:t>零售业</w:t>
            </w:r>
          </w:p>
        </w:tc>
        <w:tc>
          <w:tcPr>
            <w:tcW w:w="1660" w:type="dxa"/>
            <w:tcBorders>
              <w:top w:val="nil"/>
              <w:left w:val="nil"/>
              <w:bottom w:val="single" w:color="auto" w:sz="4" w:space="0"/>
              <w:right w:val="single" w:color="auto" w:sz="4" w:space="0"/>
            </w:tcBorders>
            <w:vAlign w:val="center"/>
          </w:tcPr>
          <w:p w14:paraId="702C1B9F">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从业人员（X）</w:t>
            </w:r>
          </w:p>
        </w:tc>
        <w:tc>
          <w:tcPr>
            <w:tcW w:w="1466" w:type="dxa"/>
            <w:tcBorders>
              <w:top w:val="nil"/>
              <w:left w:val="nil"/>
              <w:bottom w:val="single" w:color="auto" w:sz="4" w:space="0"/>
              <w:right w:val="single" w:color="auto" w:sz="4" w:space="0"/>
            </w:tcBorders>
            <w:vAlign w:val="center"/>
          </w:tcPr>
          <w:p w14:paraId="3B15F292">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人</w:t>
            </w:r>
          </w:p>
        </w:tc>
        <w:tc>
          <w:tcPr>
            <w:tcW w:w="1903" w:type="dxa"/>
            <w:tcBorders>
              <w:top w:val="nil"/>
              <w:left w:val="nil"/>
              <w:bottom w:val="single" w:color="auto" w:sz="4" w:space="0"/>
              <w:right w:val="single" w:color="auto" w:sz="4" w:space="0"/>
            </w:tcBorders>
            <w:vAlign w:val="center"/>
          </w:tcPr>
          <w:p w14:paraId="3D164583">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50≤X＜300</w:t>
            </w:r>
          </w:p>
        </w:tc>
        <w:tc>
          <w:tcPr>
            <w:tcW w:w="1692" w:type="dxa"/>
            <w:tcBorders>
              <w:top w:val="nil"/>
              <w:left w:val="nil"/>
              <w:bottom w:val="single" w:color="auto" w:sz="4" w:space="0"/>
              <w:right w:val="single" w:color="auto" w:sz="4" w:space="0"/>
            </w:tcBorders>
            <w:vAlign w:val="center"/>
          </w:tcPr>
          <w:p w14:paraId="2CD5C710">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10≤X＜50</w:t>
            </w:r>
          </w:p>
        </w:tc>
        <w:tc>
          <w:tcPr>
            <w:tcW w:w="1087" w:type="dxa"/>
            <w:tcBorders>
              <w:top w:val="nil"/>
              <w:left w:val="nil"/>
              <w:bottom w:val="single" w:color="auto" w:sz="4" w:space="0"/>
              <w:right w:val="single" w:color="auto" w:sz="4" w:space="0"/>
            </w:tcBorders>
            <w:vAlign w:val="center"/>
          </w:tcPr>
          <w:p w14:paraId="3257FA18">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X＜10</w:t>
            </w:r>
          </w:p>
        </w:tc>
      </w:tr>
      <w:tr w14:paraId="5038DADE">
        <w:tblPrEx>
          <w:tblCellMar>
            <w:top w:w="0" w:type="dxa"/>
            <w:left w:w="108" w:type="dxa"/>
            <w:bottom w:w="0" w:type="dxa"/>
            <w:right w:w="108" w:type="dxa"/>
          </w:tblCellMar>
        </w:tblPrEx>
        <w:trPr>
          <w:trHeight w:val="199" w:hRule="atLeast"/>
          <w:jc w:val="center"/>
        </w:trPr>
        <w:tc>
          <w:tcPr>
            <w:tcW w:w="1570" w:type="dxa"/>
            <w:vMerge w:val="continue"/>
            <w:tcBorders>
              <w:top w:val="nil"/>
              <w:left w:val="single" w:color="auto" w:sz="4" w:space="0"/>
              <w:bottom w:val="single" w:color="auto" w:sz="4" w:space="0"/>
              <w:right w:val="single" w:color="auto" w:sz="4" w:space="0"/>
            </w:tcBorders>
            <w:vAlign w:val="center"/>
          </w:tcPr>
          <w:p w14:paraId="754F1D10">
            <w:pPr>
              <w:widowControl/>
              <w:snapToGrid w:val="0"/>
              <w:contextualSpacing/>
              <w:jc w:val="center"/>
              <w:rPr>
                <w:rFonts w:hint="eastAsia" w:ascii="微软雅黑" w:hAnsi="微软雅黑" w:eastAsia="微软雅黑" w:cs="微软雅黑"/>
                <w:b/>
                <w:bCs/>
                <w:color w:val="auto"/>
                <w:kern w:val="0"/>
                <w:sz w:val="22"/>
                <w:szCs w:val="22"/>
                <w:highlight w:val="none"/>
              </w:rPr>
            </w:pPr>
          </w:p>
        </w:tc>
        <w:tc>
          <w:tcPr>
            <w:tcW w:w="1660" w:type="dxa"/>
            <w:tcBorders>
              <w:top w:val="nil"/>
              <w:left w:val="nil"/>
              <w:bottom w:val="single" w:color="auto" w:sz="4" w:space="0"/>
              <w:right w:val="single" w:color="auto" w:sz="4" w:space="0"/>
            </w:tcBorders>
            <w:vAlign w:val="center"/>
          </w:tcPr>
          <w:p w14:paraId="1215D4A0">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营业收入（Y）</w:t>
            </w:r>
          </w:p>
        </w:tc>
        <w:tc>
          <w:tcPr>
            <w:tcW w:w="1466" w:type="dxa"/>
            <w:tcBorders>
              <w:top w:val="nil"/>
              <w:left w:val="nil"/>
              <w:bottom w:val="single" w:color="auto" w:sz="4" w:space="0"/>
              <w:right w:val="single" w:color="auto" w:sz="4" w:space="0"/>
            </w:tcBorders>
            <w:vAlign w:val="center"/>
          </w:tcPr>
          <w:p w14:paraId="2303B89B">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万元</w:t>
            </w:r>
          </w:p>
        </w:tc>
        <w:tc>
          <w:tcPr>
            <w:tcW w:w="1903" w:type="dxa"/>
            <w:tcBorders>
              <w:top w:val="nil"/>
              <w:left w:val="nil"/>
              <w:bottom w:val="single" w:color="auto" w:sz="4" w:space="0"/>
              <w:right w:val="single" w:color="auto" w:sz="4" w:space="0"/>
            </w:tcBorders>
            <w:vAlign w:val="center"/>
          </w:tcPr>
          <w:p w14:paraId="6B9D8A96">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500≤Y＜20000</w:t>
            </w:r>
          </w:p>
        </w:tc>
        <w:tc>
          <w:tcPr>
            <w:tcW w:w="1692" w:type="dxa"/>
            <w:tcBorders>
              <w:top w:val="nil"/>
              <w:left w:val="nil"/>
              <w:bottom w:val="single" w:color="auto" w:sz="4" w:space="0"/>
              <w:right w:val="single" w:color="auto" w:sz="4" w:space="0"/>
            </w:tcBorders>
            <w:vAlign w:val="center"/>
          </w:tcPr>
          <w:p w14:paraId="3D53FD9C">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100≤Y＜500</w:t>
            </w:r>
          </w:p>
        </w:tc>
        <w:tc>
          <w:tcPr>
            <w:tcW w:w="1087" w:type="dxa"/>
            <w:tcBorders>
              <w:top w:val="nil"/>
              <w:left w:val="nil"/>
              <w:bottom w:val="single" w:color="auto" w:sz="4" w:space="0"/>
              <w:right w:val="single" w:color="auto" w:sz="4" w:space="0"/>
            </w:tcBorders>
            <w:vAlign w:val="center"/>
          </w:tcPr>
          <w:p w14:paraId="76946901">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Y＜100</w:t>
            </w:r>
          </w:p>
        </w:tc>
      </w:tr>
      <w:tr w14:paraId="2EC2E59B">
        <w:tblPrEx>
          <w:tblCellMar>
            <w:top w:w="0" w:type="dxa"/>
            <w:left w:w="108" w:type="dxa"/>
            <w:bottom w:w="0" w:type="dxa"/>
            <w:right w:w="108" w:type="dxa"/>
          </w:tblCellMar>
        </w:tblPrEx>
        <w:trPr>
          <w:trHeight w:val="199" w:hRule="atLeast"/>
          <w:jc w:val="center"/>
        </w:trPr>
        <w:tc>
          <w:tcPr>
            <w:tcW w:w="1570" w:type="dxa"/>
            <w:vMerge w:val="restart"/>
            <w:tcBorders>
              <w:top w:val="nil"/>
              <w:left w:val="single" w:color="auto" w:sz="4" w:space="0"/>
              <w:bottom w:val="single" w:color="auto" w:sz="4" w:space="0"/>
              <w:right w:val="single" w:color="auto" w:sz="4" w:space="0"/>
            </w:tcBorders>
            <w:vAlign w:val="center"/>
          </w:tcPr>
          <w:p w14:paraId="5B6D0B67">
            <w:pPr>
              <w:widowControl/>
              <w:snapToGrid w:val="0"/>
              <w:contextualSpacing/>
              <w:jc w:val="center"/>
              <w:rPr>
                <w:rFonts w:hint="eastAsia" w:ascii="微软雅黑" w:hAnsi="微软雅黑" w:eastAsia="微软雅黑" w:cs="微软雅黑"/>
                <w:b/>
                <w:bCs/>
                <w:color w:val="auto"/>
                <w:kern w:val="0"/>
                <w:sz w:val="22"/>
                <w:szCs w:val="22"/>
                <w:highlight w:val="none"/>
              </w:rPr>
            </w:pPr>
            <w:r>
              <w:rPr>
                <w:rFonts w:hint="eastAsia" w:ascii="微软雅黑" w:hAnsi="微软雅黑" w:eastAsia="微软雅黑" w:cs="微软雅黑"/>
                <w:b/>
                <w:bCs/>
                <w:color w:val="auto"/>
                <w:kern w:val="0"/>
                <w:sz w:val="22"/>
                <w:szCs w:val="22"/>
                <w:highlight w:val="none"/>
              </w:rPr>
              <w:t>交通运输业</w:t>
            </w:r>
          </w:p>
        </w:tc>
        <w:tc>
          <w:tcPr>
            <w:tcW w:w="1660" w:type="dxa"/>
            <w:tcBorders>
              <w:top w:val="nil"/>
              <w:left w:val="nil"/>
              <w:bottom w:val="single" w:color="auto" w:sz="4" w:space="0"/>
              <w:right w:val="single" w:color="auto" w:sz="4" w:space="0"/>
            </w:tcBorders>
            <w:vAlign w:val="center"/>
          </w:tcPr>
          <w:p w14:paraId="7D45421D">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从业人员（X）</w:t>
            </w:r>
          </w:p>
        </w:tc>
        <w:tc>
          <w:tcPr>
            <w:tcW w:w="1466" w:type="dxa"/>
            <w:tcBorders>
              <w:top w:val="nil"/>
              <w:left w:val="nil"/>
              <w:bottom w:val="single" w:color="auto" w:sz="4" w:space="0"/>
              <w:right w:val="single" w:color="auto" w:sz="4" w:space="0"/>
            </w:tcBorders>
            <w:vAlign w:val="center"/>
          </w:tcPr>
          <w:p w14:paraId="78FD9C5D">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人</w:t>
            </w:r>
          </w:p>
        </w:tc>
        <w:tc>
          <w:tcPr>
            <w:tcW w:w="1903" w:type="dxa"/>
            <w:tcBorders>
              <w:top w:val="nil"/>
              <w:left w:val="nil"/>
              <w:bottom w:val="single" w:color="auto" w:sz="4" w:space="0"/>
              <w:right w:val="single" w:color="auto" w:sz="4" w:space="0"/>
            </w:tcBorders>
            <w:vAlign w:val="center"/>
          </w:tcPr>
          <w:p w14:paraId="7ABF095C">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300≤X＜1000</w:t>
            </w:r>
          </w:p>
        </w:tc>
        <w:tc>
          <w:tcPr>
            <w:tcW w:w="1692" w:type="dxa"/>
            <w:tcBorders>
              <w:top w:val="nil"/>
              <w:left w:val="nil"/>
              <w:bottom w:val="single" w:color="auto" w:sz="4" w:space="0"/>
              <w:right w:val="single" w:color="auto" w:sz="4" w:space="0"/>
            </w:tcBorders>
            <w:vAlign w:val="center"/>
          </w:tcPr>
          <w:p w14:paraId="2F2C15B0">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20≤X＜300</w:t>
            </w:r>
          </w:p>
        </w:tc>
        <w:tc>
          <w:tcPr>
            <w:tcW w:w="1087" w:type="dxa"/>
            <w:tcBorders>
              <w:top w:val="nil"/>
              <w:left w:val="nil"/>
              <w:bottom w:val="single" w:color="auto" w:sz="4" w:space="0"/>
              <w:right w:val="single" w:color="auto" w:sz="4" w:space="0"/>
            </w:tcBorders>
            <w:vAlign w:val="center"/>
          </w:tcPr>
          <w:p w14:paraId="3B72734E">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X＜20</w:t>
            </w:r>
          </w:p>
        </w:tc>
      </w:tr>
      <w:tr w14:paraId="5A9F2F77">
        <w:tblPrEx>
          <w:tblCellMar>
            <w:top w:w="0" w:type="dxa"/>
            <w:left w:w="108" w:type="dxa"/>
            <w:bottom w:w="0" w:type="dxa"/>
            <w:right w:w="108" w:type="dxa"/>
          </w:tblCellMar>
        </w:tblPrEx>
        <w:trPr>
          <w:trHeight w:val="199" w:hRule="atLeast"/>
          <w:jc w:val="center"/>
        </w:trPr>
        <w:tc>
          <w:tcPr>
            <w:tcW w:w="1570" w:type="dxa"/>
            <w:vMerge w:val="continue"/>
            <w:tcBorders>
              <w:top w:val="nil"/>
              <w:left w:val="single" w:color="auto" w:sz="4" w:space="0"/>
              <w:bottom w:val="single" w:color="auto" w:sz="4" w:space="0"/>
              <w:right w:val="single" w:color="auto" w:sz="4" w:space="0"/>
            </w:tcBorders>
            <w:vAlign w:val="center"/>
          </w:tcPr>
          <w:p w14:paraId="6856960E">
            <w:pPr>
              <w:widowControl/>
              <w:snapToGrid w:val="0"/>
              <w:contextualSpacing/>
              <w:jc w:val="center"/>
              <w:rPr>
                <w:rFonts w:hint="eastAsia" w:ascii="微软雅黑" w:hAnsi="微软雅黑" w:eastAsia="微软雅黑" w:cs="微软雅黑"/>
                <w:b/>
                <w:bCs/>
                <w:color w:val="auto"/>
                <w:kern w:val="0"/>
                <w:sz w:val="22"/>
                <w:szCs w:val="22"/>
                <w:highlight w:val="none"/>
              </w:rPr>
            </w:pPr>
          </w:p>
        </w:tc>
        <w:tc>
          <w:tcPr>
            <w:tcW w:w="1660" w:type="dxa"/>
            <w:tcBorders>
              <w:top w:val="nil"/>
              <w:left w:val="nil"/>
              <w:bottom w:val="single" w:color="auto" w:sz="4" w:space="0"/>
              <w:right w:val="single" w:color="auto" w:sz="4" w:space="0"/>
            </w:tcBorders>
            <w:vAlign w:val="center"/>
          </w:tcPr>
          <w:p w14:paraId="7612DD51">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营业收入（Y）</w:t>
            </w:r>
          </w:p>
        </w:tc>
        <w:tc>
          <w:tcPr>
            <w:tcW w:w="1466" w:type="dxa"/>
            <w:tcBorders>
              <w:top w:val="nil"/>
              <w:left w:val="nil"/>
              <w:bottom w:val="single" w:color="auto" w:sz="4" w:space="0"/>
              <w:right w:val="single" w:color="auto" w:sz="4" w:space="0"/>
            </w:tcBorders>
            <w:vAlign w:val="center"/>
          </w:tcPr>
          <w:p w14:paraId="21272CA1">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万元</w:t>
            </w:r>
          </w:p>
        </w:tc>
        <w:tc>
          <w:tcPr>
            <w:tcW w:w="1903" w:type="dxa"/>
            <w:tcBorders>
              <w:top w:val="nil"/>
              <w:left w:val="nil"/>
              <w:bottom w:val="single" w:color="auto" w:sz="4" w:space="0"/>
              <w:right w:val="single" w:color="auto" w:sz="4" w:space="0"/>
            </w:tcBorders>
            <w:vAlign w:val="center"/>
          </w:tcPr>
          <w:p w14:paraId="50467B11">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3000≤Y＜30000</w:t>
            </w:r>
          </w:p>
        </w:tc>
        <w:tc>
          <w:tcPr>
            <w:tcW w:w="1692" w:type="dxa"/>
            <w:tcBorders>
              <w:top w:val="nil"/>
              <w:left w:val="nil"/>
              <w:bottom w:val="single" w:color="auto" w:sz="4" w:space="0"/>
              <w:right w:val="single" w:color="auto" w:sz="4" w:space="0"/>
            </w:tcBorders>
            <w:vAlign w:val="center"/>
          </w:tcPr>
          <w:p w14:paraId="044FC1F4">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200≤Y＜3000</w:t>
            </w:r>
          </w:p>
        </w:tc>
        <w:tc>
          <w:tcPr>
            <w:tcW w:w="1087" w:type="dxa"/>
            <w:tcBorders>
              <w:top w:val="nil"/>
              <w:left w:val="nil"/>
              <w:bottom w:val="single" w:color="auto" w:sz="4" w:space="0"/>
              <w:right w:val="single" w:color="auto" w:sz="4" w:space="0"/>
            </w:tcBorders>
            <w:vAlign w:val="center"/>
          </w:tcPr>
          <w:p w14:paraId="05FA7BDC">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Y＜200</w:t>
            </w:r>
          </w:p>
        </w:tc>
      </w:tr>
      <w:tr w14:paraId="03453C4F">
        <w:tblPrEx>
          <w:tblCellMar>
            <w:top w:w="0" w:type="dxa"/>
            <w:left w:w="108" w:type="dxa"/>
            <w:bottom w:w="0" w:type="dxa"/>
            <w:right w:w="108" w:type="dxa"/>
          </w:tblCellMar>
        </w:tblPrEx>
        <w:trPr>
          <w:trHeight w:val="199" w:hRule="atLeast"/>
          <w:jc w:val="center"/>
        </w:trPr>
        <w:tc>
          <w:tcPr>
            <w:tcW w:w="1570" w:type="dxa"/>
            <w:vMerge w:val="restart"/>
            <w:tcBorders>
              <w:top w:val="nil"/>
              <w:left w:val="single" w:color="auto" w:sz="4" w:space="0"/>
              <w:bottom w:val="single" w:color="auto" w:sz="4" w:space="0"/>
              <w:right w:val="single" w:color="auto" w:sz="4" w:space="0"/>
            </w:tcBorders>
            <w:vAlign w:val="center"/>
          </w:tcPr>
          <w:p w14:paraId="3C562284">
            <w:pPr>
              <w:widowControl/>
              <w:snapToGrid w:val="0"/>
              <w:contextualSpacing/>
              <w:jc w:val="center"/>
              <w:rPr>
                <w:rFonts w:hint="eastAsia" w:ascii="微软雅黑" w:hAnsi="微软雅黑" w:eastAsia="微软雅黑" w:cs="微软雅黑"/>
                <w:b/>
                <w:bCs/>
                <w:color w:val="auto"/>
                <w:kern w:val="0"/>
                <w:sz w:val="22"/>
                <w:szCs w:val="22"/>
                <w:highlight w:val="none"/>
              </w:rPr>
            </w:pPr>
            <w:r>
              <w:rPr>
                <w:rFonts w:hint="eastAsia" w:ascii="微软雅黑" w:hAnsi="微软雅黑" w:eastAsia="微软雅黑" w:cs="微软雅黑"/>
                <w:b/>
                <w:bCs/>
                <w:color w:val="auto"/>
                <w:kern w:val="0"/>
                <w:sz w:val="22"/>
                <w:szCs w:val="22"/>
                <w:highlight w:val="none"/>
              </w:rPr>
              <w:t>仓储业</w:t>
            </w:r>
          </w:p>
        </w:tc>
        <w:tc>
          <w:tcPr>
            <w:tcW w:w="1660" w:type="dxa"/>
            <w:tcBorders>
              <w:top w:val="nil"/>
              <w:left w:val="nil"/>
              <w:bottom w:val="single" w:color="auto" w:sz="4" w:space="0"/>
              <w:right w:val="single" w:color="auto" w:sz="4" w:space="0"/>
            </w:tcBorders>
            <w:vAlign w:val="center"/>
          </w:tcPr>
          <w:p w14:paraId="589570D8">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从业人员（X）</w:t>
            </w:r>
          </w:p>
        </w:tc>
        <w:tc>
          <w:tcPr>
            <w:tcW w:w="1466" w:type="dxa"/>
            <w:tcBorders>
              <w:top w:val="nil"/>
              <w:left w:val="nil"/>
              <w:bottom w:val="single" w:color="auto" w:sz="4" w:space="0"/>
              <w:right w:val="single" w:color="auto" w:sz="4" w:space="0"/>
            </w:tcBorders>
            <w:vAlign w:val="center"/>
          </w:tcPr>
          <w:p w14:paraId="171312AE">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人</w:t>
            </w:r>
          </w:p>
        </w:tc>
        <w:tc>
          <w:tcPr>
            <w:tcW w:w="1903" w:type="dxa"/>
            <w:tcBorders>
              <w:top w:val="nil"/>
              <w:left w:val="nil"/>
              <w:bottom w:val="single" w:color="auto" w:sz="4" w:space="0"/>
              <w:right w:val="single" w:color="auto" w:sz="4" w:space="0"/>
            </w:tcBorders>
            <w:vAlign w:val="center"/>
          </w:tcPr>
          <w:p w14:paraId="339E9AAE">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100≤X＜200</w:t>
            </w:r>
          </w:p>
        </w:tc>
        <w:tc>
          <w:tcPr>
            <w:tcW w:w="1692" w:type="dxa"/>
            <w:tcBorders>
              <w:top w:val="nil"/>
              <w:left w:val="nil"/>
              <w:bottom w:val="single" w:color="auto" w:sz="4" w:space="0"/>
              <w:right w:val="single" w:color="auto" w:sz="4" w:space="0"/>
            </w:tcBorders>
            <w:vAlign w:val="center"/>
          </w:tcPr>
          <w:p w14:paraId="5C2A96DA">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20≤X＜100</w:t>
            </w:r>
          </w:p>
        </w:tc>
        <w:tc>
          <w:tcPr>
            <w:tcW w:w="1087" w:type="dxa"/>
            <w:tcBorders>
              <w:top w:val="nil"/>
              <w:left w:val="nil"/>
              <w:bottom w:val="single" w:color="auto" w:sz="4" w:space="0"/>
              <w:right w:val="single" w:color="auto" w:sz="4" w:space="0"/>
            </w:tcBorders>
            <w:vAlign w:val="center"/>
          </w:tcPr>
          <w:p w14:paraId="26D96670">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X＜20</w:t>
            </w:r>
          </w:p>
        </w:tc>
      </w:tr>
      <w:tr w14:paraId="3F486791">
        <w:tblPrEx>
          <w:tblCellMar>
            <w:top w:w="0" w:type="dxa"/>
            <w:left w:w="108" w:type="dxa"/>
            <w:bottom w:w="0" w:type="dxa"/>
            <w:right w:w="108" w:type="dxa"/>
          </w:tblCellMar>
        </w:tblPrEx>
        <w:trPr>
          <w:trHeight w:val="199" w:hRule="atLeast"/>
          <w:jc w:val="center"/>
        </w:trPr>
        <w:tc>
          <w:tcPr>
            <w:tcW w:w="1570" w:type="dxa"/>
            <w:vMerge w:val="continue"/>
            <w:tcBorders>
              <w:top w:val="nil"/>
              <w:left w:val="single" w:color="auto" w:sz="4" w:space="0"/>
              <w:bottom w:val="single" w:color="auto" w:sz="4" w:space="0"/>
              <w:right w:val="single" w:color="auto" w:sz="4" w:space="0"/>
            </w:tcBorders>
            <w:vAlign w:val="center"/>
          </w:tcPr>
          <w:p w14:paraId="116FB68D">
            <w:pPr>
              <w:widowControl/>
              <w:snapToGrid w:val="0"/>
              <w:contextualSpacing/>
              <w:jc w:val="center"/>
              <w:rPr>
                <w:rFonts w:hint="eastAsia" w:ascii="微软雅黑" w:hAnsi="微软雅黑" w:eastAsia="微软雅黑" w:cs="微软雅黑"/>
                <w:b/>
                <w:bCs/>
                <w:color w:val="auto"/>
                <w:kern w:val="0"/>
                <w:sz w:val="22"/>
                <w:szCs w:val="22"/>
                <w:highlight w:val="none"/>
              </w:rPr>
            </w:pPr>
          </w:p>
        </w:tc>
        <w:tc>
          <w:tcPr>
            <w:tcW w:w="1660" w:type="dxa"/>
            <w:tcBorders>
              <w:top w:val="nil"/>
              <w:left w:val="nil"/>
              <w:bottom w:val="single" w:color="auto" w:sz="4" w:space="0"/>
              <w:right w:val="single" w:color="auto" w:sz="4" w:space="0"/>
            </w:tcBorders>
            <w:vAlign w:val="center"/>
          </w:tcPr>
          <w:p w14:paraId="76A83F67">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营业收入（Y）</w:t>
            </w:r>
          </w:p>
        </w:tc>
        <w:tc>
          <w:tcPr>
            <w:tcW w:w="1466" w:type="dxa"/>
            <w:tcBorders>
              <w:top w:val="nil"/>
              <w:left w:val="nil"/>
              <w:bottom w:val="single" w:color="auto" w:sz="4" w:space="0"/>
              <w:right w:val="single" w:color="auto" w:sz="4" w:space="0"/>
            </w:tcBorders>
            <w:vAlign w:val="center"/>
          </w:tcPr>
          <w:p w14:paraId="5FA6A2FD">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万元</w:t>
            </w:r>
          </w:p>
        </w:tc>
        <w:tc>
          <w:tcPr>
            <w:tcW w:w="1903" w:type="dxa"/>
            <w:tcBorders>
              <w:top w:val="nil"/>
              <w:left w:val="nil"/>
              <w:bottom w:val="single" w:color="auto" w:sz="4" w:space="0"/>
              <w:right w:val="single" w:color="auto" w:sz="4" w:space="0"/>
            </w:tcBorders>
            <w:vAlign w:val="center"/>
          </w:tcPr>
          <w:p w14:paraId="5CC95335">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1000≤Y＜30000</w:t>
            </w:r>
          </w:p>
        </w:tc>
        <w:tc>
          <w:tcPr>
            <w:tcW w:w="1692" w:type="dxa"/>
            <w:tcBorders>
              <w:top w:val="nil"/>
              <w:left w:val="nil"/>
              <w:bottom w:val="single" w:color="auto" w:sz="4" w:space="0"/>
              <w:right w:val="single" w:color="auto" w:sz="4" w:space="0"/>
            </w:tcBorders>
            <w:vAlign w:val="center"/>
          </w:tcPr>
          <w:p w14:paraId="328221A7">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100≤Y＜1000</w:t>
            </w:r>
          </w:p>
        </w:tc>
        <w:tc>
          <w:tcPr>
            <w:tcW w:w="1087" w:type="dxa"/>
            <w:tcBorders>
              <w:top w:val="nil"/>
              <w:left w:val="nil"/>
              <w:bottom w:val="single" w:color="auto" w:sz="4" w:space="0"/>
              <w:right w:val="single" w:color="auto" w:sz="4" w:space="0"/>
            </w:tcBorders>
            <w:vAlign w:val="center"/>
          </w:tcPr>
          <w:p w14:paraId="0A0F3789">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Y＜100</w:t>
            </w:r>
          </w:p>
        </w:tc>
      </w:tr>
      <w:tr w14:paraId="4DF5219A">
        <w:tblPrEx>
          <w:tblCellMar>
            <w:top w:w="0" w:type="dxa"/>
            <w:left w:w="108" w:type="dxa"/>
            <w:bottom w:w="0" w:type="dxa"/>
            <w:right w:w="108" w:type="dxa"/>
          </w:tblCellMar>
        </w:tblPrEx>
        <w:trPr>
          <w:trHeight w:val="199" w:hRule="atLeast"/>
          <w:jc w:val="center"/>
        </w:trPr>
        <w:tc>
          <w:tcPr>
            <w:tcW w:w="1570" w:type="dxa"/>
            <w:vMerge w:val="restart"/>
            <w:tcBorders>
              <w:top w:val="nil"/>
              <w:left w:val="single" w:color="auto" w:sz="4" w:space="0"/>
              <w:bottom w:val="single" w:color="auto" w:sz="4" w:space="0"/>
              <w:right w:val="single" w:color="auto" w:sz="4" w:space="0"/>
            </w:tcBorders>
            <w:vAlign w:val="center"/>
          </w:tcPr>
          <w:p w14:paraId="198B97F0">
            <w:pPr>
              <w:widowControl/>
              <w:snapToGrid w:val="0"/>
              <w:contextualSpacing/>
              <w:jc w:val="center"/>
              <w:rPr>
                <w:rFonts w:hint="eastAsia" w:ascii="微软雅黑" w:hAnsi="微软雅黑" w:eastAsia="微软雅黑" w:cs="微软雅黑"/>
                <w:b/>
                <w:bCs/>
                <w:color w:val="auto"/>
                <w:kern w:val="0"/>
                <w:sz w:val="22"/>
                <w:szCs w:val="22"/>
                <w:highlight w:val="none"/>
              </w:rPr>
            </w:pPr>
            <w:r>
              <w:rPr>
                <w:rFonts w:hint="eastAsia" w:ascii="微软雅黑" w:hAnsi="微软雅黑" w:eastAsia="微软雅黑" w:cs="微软雅黑"/>
                <w:b/>
                <w:bCs/>
                <w:color w:val="auto"/>
                <w:kern w:val="0"/>
                <w:sz w:val="22"/>
                <w:szCs w:val="22"/>
                <w:highlight w:val="none"/>
              </w:rPr>
              <w:t>邮政业</w:t>
            </w:r>
          </w:p>
        </w:tc>
        <w:tc>
          <w:tcPr>
            <w:tcW w:w="1660" w:type="dxa"/>
            <w:tcBorders>
              <w:top w:val="nil"/>
              <w:left w:val="nil"/>
              <w:bottom w:val="single" w:color="auto" w:sz="4" w:space="0"/>
              <w:right w:val="single" w:color="auto" w:sz="4" w:space="0"/>
            </w:tcBorders>
            <w:vAlign w:val="center"/>
          </w:tcPr>
          <w:p w14:paraId="3313A295">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从业人员（X）</w:t>
            </w:r>
          </w:p>
        </w:tc>
        <w:tc>
          <w:tcPr>
            <w:tcW w:w="1466" w:type="dxa"/>
            <w:tcBorders>
              <w:top w:val="nil"/>
              <w:left w:val="nil"/>
              <w:bottom w:val="single" w:color="auto" w:sz="4" w:space="0"/>
              <w:right w:val="single" w:color="auto" w:sz="4" w:space="0"/>
            </w:tcBorders>
            <w:vAlign w:val="center"/>
          </w:tcPr>
          <w:p w14:paraId="3FD6F039">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人</w:t>
            </w:r>
          </w:p>
        </w:tc>
        <w:tc>
          <w:tcPr>
            <w:tcW w:w="1903" w:type="dxa"/>
            <w:tcBorders>
              <w:top w:val="nil"/>
              <w:left w:val="nil"/>
              <w:bottom w:val="single" w:color="auto" w:sz="4" w:space="0"/>
              <w:right w:val="single" w:color="auto" w:sz="4" w:space="0"/>
            </w:tcBorders>
            <w:vAlign w:val="center"/>
          </w:tcPr>
          <w:p w14:paraId="4B85A3E3">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300≤X＜1000</w:t>
            </w:r>
          </w:p>
        </w:tc>
        <w:tc>
          <w:tcPr>
            <w:tcW w:w="1692" w:type="dxa"/>
            <w:tcBorders>
              <w:top w:val="nil"/>
              <w:left w:val="nil"/>
              <w:bottom w:val="single" w:color="auto" w:sz="4" w:space="0"/>
              <w:right w:val="single" w:color="auto" w:sz="4" w:space="0"/>
            </w:tcBorders>
            <w:vAlign w:val="center"/>
          </w:tcPr>
          <w:p w14:paraId="49E356BD">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20≤X＜300</w:t>
            </w:r>
          </w:p>
        </w:tc>
        <w:tc>
          <w:tcPr>
            <w:tcW w:w="1087" w:type="dxa"/>
            <w:tcBorders>
              <w:top w:val="nil"/>
              <w:left w:val="nil"/>
              <w:bottom w:val="single" w:color="auto" w:sz="4" w:space="0"/>
              <w:right w:val="single" w:color="auto" w:sz="4" w:space="0"/>
            </w:tcBorders>
            <w:vAlign w:val="center"/>
          </w:tcPr>
          <w:p w14:paraId="6736D632">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X＜20</w:t>
            </w:r>
          </w:p>
        </w:tc>
      </w:tr>
      <w:tr w14:paraId="66AD1711">
        <w:tblPrEx>
          <w:tblCellMar>
            <w:top w:w="0" w:type="dxa"/>
            <w:left w:w="108" w:type="dxa"/>
            <w:bottom w:w="0" w:type="dxa"/>
            <w:right w:w="108" w:type="dxa"/>
          </w:tblCellMar>
        </w:tblPrEx>
        <w:trPr>
          <w:trHeight w:val="199" w:hRule="atLeast"/>
          <w:jc w:val="center"/>
        </w:trPr>
        <w:tc>
          <w:tcPr>
            <w:tcW w:w="1570" w:type="dxa"/>
            <w:vMerge w:val="continue"/>
            <w:tcBorders>
              <w:top w:val="nil"/>
              <w:left w:val="single" w:color="auto" w:sz="4" w:space="0"/>
              <w:bottom w:val="single" w:color="auto" w:sz="4" w:space="0"/>
              <w:right w:val="single" w:color="auto" w:sz="4" w:space="0"/>
            </w:tcBorders>
            <w:vAlign w:val="center"/>
          </w:tcPr>
          <w:p w14:paraId="0646D3F2">
            <w:pPr>
              <w:widowControl/>
              <w:snapToGrid w:val="0"/>
              <w:contextualSpacing/>
              <w:jc w:val="center"/>
              <w:rPr>
                <w:rFonts w:hint="eastAsia" w:ascii="微软雅黑" w:hAnsi="微软雅黑" w:eastAsia="微软雅黑" w:cs="微软雅黑"/>
                <w:b/>
                <w:bCs/>
                <w:color w:val="auto"/>
                <w:kern w:val="0"/>
                <w:sz w:val="22"/>
                <w:szCs w:val="22"/>
                <w:highlight w:val="none"/>
              </w:rPr>
            </w:pPr>
          </w:p>
        </w:tc>
        <w:tc>
          <w:tcPr>
            <w:tcW w:w="1660" w:type="dxa"/>
            <w:tcBorders>
              <w:top w:val="nil"/>
              <w:left w:val="nil"/>
              <w:bottom w:val="single" w:color="auto" w:sz="4" w:space="0"/>
              <w:right w:val="single" w:color="auto" w:sz="4" w:space="0"/>
            </w:tcBorders>
            <w:vAlign w:val="center"/>
          </w:tcPr>
          <w:p w14:paraId="22D65DD1">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营业收入（Y）</w:t>
            </w:r>
          </w:p>
        </w:tc>
        <w:tc>
          <w:tcPr>
            <w:tcW w:w="1466" w:type="dxa"/>
            <w:tcBorders>
              <w:top w:val="nil"/>
              <w:left w:val="nil"/>
              <w:bottom w:val="single" w:color="auto" w:sz="4" w:space="0"/>
              <w:right w:val="single" w:color="auto" w:sz="4" w:space="0"/>
            </w:tcBorders>
            <w:vAlign w:val="center"/>
          </w:tcPr>
          <w:p w14:paraId="5DFD8FBE">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万元</w:t>
            </w:r>
          </w:p>
        </w:tc>
        <w:tc>
          <w:tcPr>
            <w:tcW w:w="1903" w:type="dxa"/>
            <w:tcBorders>
              <w:top w:val="nil"/>
              <w:left w:val="nil"/>
              <w:bottom w:val="single" w:color="auto" w:sz="4" w:space="0"/>
              <w:right w:val="single" w:color="auto" w:sz="4" w:space="0"/>
            </w:tcBorders>
            <w:vAlign w:val="center"/>
          </w:tcPr>
          <w:p w14:paraId="1B855813">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2000≤Y＜30000</w:t>
            </w:r>
          </w:p>
        </w:tc>
        <w:tc>
          <w:tcPr>
            <w:tcW w:w="1692" w:type="dxa"/>
            <w:tcBorders>
              <w:top w:val="nil"/>
              <w:left w:val="nil"/>
              <w:bottom w:val="single" w:color="auto" w:sz="4" w:space="0"/>
              <w:right w:val="single" w:color="auto" w:sz="4" w:space="0"/>
            </w:tcBorders>
            <w:vAlign w:val="center"/>
          </w:tcPr>
          <w:p w14:paraId="1A7CE69C">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100≤Y＜2000</w:t>
            </w:r>
          </w:p>
        </w:tc>
        <w:tc>
          <w:tcPr>
            <w:tcW w:w="1087" w:type="dxa"/>
            <w:tcBorders>
              <w:top w:val="nil"/>
              <w:left w:val="nil"/>
              <w:bottom w:val="single" w:color="auto" w:sz="4" w:space="0"/>
              <w:right w:val="single" w:color="auto" w:sz="4" w:space="0"/>
            </w:tcBorders>
            <w:vAlign w:val="center"/>
          </w:tcPr>
          <w:p w14:paraId="702D440B">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Y＜100</w:t>
            </w:r>
          </w:p>
        </w:tc>
      </w:tr>
      <w:tr w14:paraId="57D8E5E1">
        <w:tblPrEx>
          <w:tblCellMar>
            <w:top w:w="0" w:type="dxa"/>
            <w:left w:w="108" w:type="dxa"/>
            <w:bottom w:w="0" w:type="dxa"/>
            <w:right w:w="108" w:type="dxa"/>
          </w:tblCellMar>
        </w:tblPrEx>
        <w:trPr>
          <w:trHeight w:val="199" w:hRule="atLeast"/>
          <w:jc w:val="center"/>
        </w:trPr>
        <w:tc>
          <w:tcPr>
            <w:tcW w:w="1570" w:type="dxa"/>
            <w:vMerge w:val="restart"/>
            <w:tcBorders>
              <w:top w:val="nil"/>
              <w:left w:val="single" w:color="auto" w:sz="4" w:space="0"/>
              <w:bottom w:val="single" w:color="auto" w:sz="4" w:space="0"/>
              <w:right w:val="single" w:color="auto" w:sz="4" w:space="0"/>
            </w:tcBorders>
            <w:vAlign w:val="center"/>
          </w:tcPr>
          <w:p w14:paraId="3810BE80">
            <w:pPr>
              <w:widowControl/>
              <w:snapToGrid w:val="0"/>
              <w:contextualSpacing/>
              <w:jc w:val="center"/>
              <w:rPr>
                <w:rFonts w:hint="eastAsia" w:ascii="微软雅黑" w:hAnsi="微软雅黑" w:eastAsia="微软雅黑" w:cs="微软雅黑"/>
                <w:b/>
                <w:bCs/>
                <w:color w:val="auto"/>
                <w:kern w:val="0"/>
                <w:sz w:val="22"/>
                <w:szCs w:val="22"/>
                <w:highlight w:val="none"/>
              </w:rPr>
            </w:pPr>
            <w:r>
              <w:rPr>
                <w:rFonts w:hint="eastAsia" w:ascii="微软雅黑" w:hAnsi="微软雅黑" w:eastAsia="微软雅黑" w:cs="微软雅黑"/>
                <w:b/>
                <w:bCs/>
                <w:color w:val="auto"/>
                <w:kern w:val="0"/>
                <w:sz w:val="22"/>
                <w:szCs w:val="22"/>
                <w:highlight w:val="none"/>
              </w:rPr>
              <w:t>住宿业</w:t>
            </w:r>
          </w:p>
        </w:tc>
        <w:tc>
          <w:tcPr>
            <w:tcW w:w="1660" w:type="dxa"/>
            <w:tcBorders>
              <w:top w:val="nil"/>
              <w:left w:val="nil"/>
              <w:bottom w:val="single" w:color="auto" w:sz="4" w:space="0"/>
              <w:right w:val="single" w:color="auto" w:sz="4" w:space="0"/>
            </w:tcBorders>
            <w:vAlign w:val="center"/>
          </w:tcPr>
          <w:p w14:paraId="6A0B1D1A">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从业人员（X）</w:t>
            </w:r>
          </w:p>
        </w:tc>
        <w:tc>
          <w:tcPr>
            <w:tcW w:w="1466" w:type="dxa"/>
            <w:tcBorders>
              <w:top w:val="nil"/>
              <w:left w:val="nil"/>
              <w:bottom w:val="single" w:color="auto" w:sz="4" w:space="0"/>
              <w:right w:val="single" w:color="auto" w:sz="4" w:space="0"/>
            </w:tcBorders>
            <w:vAlign w:val="center"/>
          </w:tcPr>
          <w:p w14:paraId="6AA53B9E">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人</w:t>
            </w:r>
          </w:p>
        </w:tc>
        <w:tc>
          <w:tcPr>
            <w:tcW w:w="1903" w:type="dxa"/>
            <w:tcBorders>
              <w:top w:val="nil"/>
              <w:left w:val="nil"/>
              <w:bottom w:val="single" w:color="auto" w:sz="4" w:space="0"/>
              <w:right w:val="single" w:color="auto" w:sz="4" w:space="0"/>
            </w:tcBorders>
            <w:vAlign w:val="center"/>
          </w:tcPr>
          <w:p w14:paraId="63059CA3">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100≤X＜300</w:t>
            </w:r>
          </w:p>
        </w:tc>
        <w:tc>
          <w:tcPr>
            <w:tcW w:w="1692" w:type="dxa"/>
            <w:tcBorders>
              <w:top w:val="nil"/>
              <w:left w:val="nil"/>
              <w:bottom w:val="single" w:color="auto" w:sz="4" w:space="0"/>
              <w:right w:val="single" w:color="auto" w:sz="4" w:space="0"/>
            </w:tcBorders>
            <w:vAlign w:val="center"/>
          </w:tcPr>
          <w:p w14:paraId="190F3E25">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10≤X＜100</w:t>
            </w:r>
          </w:p>
        </w:tc>
        <w:tc>
          <w:tcPr>
            <w:tcW w:w="1087" w:type="dxa"/>
            <w:tcBorders>
              <w:top w:val="nil"/>
              <w:left w:val="nil"/>
              <w:bottom w:val="single" w:color="auto" w:sz="4" w:space="0"/>
              <w:right w:val="single" w:color="auto" w:sz="4" w:space="0"/>
            </w:tcBorders>
            <w:vAlign w:val="center"/>
          </w:tcPr>
          <w:p w14:paraId="126BAC8C">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X＜10</w:t>
            </w:r>
          </w:p>
        </w:tc>
      </w:tr>
      <w:tr w14:paraId="262A6B29">
        <w:tblPrEx>
          <w:tblCellMar>
            <w:top w:w="0" w:type="dxa"/>
            <w:left w:w="108" w:type="dxa"/>
            <w:bottom w:w="0" w:type="dxa"/>
            <w:right w:w="108" w:type="dxa"/>
          </w:tblCellMar>
        </w:tblPrEx>
        <w:trPr>
          <w:trHeight w:val="199" w:hRule="atLeast"/>
          <w:jc w:val="center"/>
        </w:trPr>
        <w:tc>
          <w:tcPr>
            <w:tcW w:w="1570" w:type="dxa"/>
            <w:vMerge w:val="continue"/>
            <w:tcBorders>
              <w:top w:val="nil"/>
              <w:left w:val="single" w:color="auto" w:sz="4" w:space="0"/>
              <w:bottom w:val="single" w:color="auto" w:sz="4" w:space="0"/>
              <w:right w:val="single" w:color="auto" w:sz="4" w:space="0"/>
            </w:tcBorders>
            <w:vAlign w:val="center"/>
          </w:tcPr>
          <w:p w14:paraId="700F1D8B">
            <w:pPr>
              <w:widowControl/>
              <w:snapToGrid w:val="0"/>
              <w:contextualSpacing/>
              <w:jc w:val="center"/>
              <w:rPr>
                <w:rFonts w:hint="eastAsia" w:ascii="微软雅黑" w:hAnsi="微软雅黑" w:eastAsia="微软雅黑" w:cs="微软雅黑"/>
                <w:b/>
                <w:bCs/>
                <w:color w:val="auto"/>
                <w:kern w:val="0"/>
                <w:sz w:val="22"/>
                <w:szCs w:val="22"/>
                <w:highlight w:val="none"/>
              </w:rPr>
            </w:pPr>
          </w:p>
        </w:tc>
        <w:tc>
          <w:tcPr>
            <w:tcW w:w="1660" w:type="dxa"/>
            <w:tcBorders>
              <w:top w:val="nil"/>
              <w:left w:val="nil"/>
              <w:bottom w:val="single" w:color="auto" w:sz="4" w:space="0"/>
              <w:right w:val="single" w:color="auto" w:sz="4" w:space="0"/>
            </w:tcBorders>
            <w:vAlign w:val="center"/>
          </w:tcPr>
          <w:p w14:paraId="3A019B72">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营业收入（Y）</w:t>
            </w:r>
          </w:p>
        </w:tc>
        <w:tc>
          <w:tcPr>
            <w:tcW w:w="1466" w:type="dxa"/>
            <w:tcBorders>
              <w:top w:val="nil"/>
              <w:left w:val="nil"/>
              <w:bottom w:val="single" w:color="auto" w:sz="4" w:space="0"/>
              <w:right w:val="single" w:color="auto" w:sz="4" w:space="0"/>
            </w:tcBorders>
            <w:vAlign w:val="center"/>
          </w:tcPr>
          <w:p w14:paraId="0F9DDCB8">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万元</w:t>
            </w:r>
          </w:p>
        </w:tc>
        <w:tc>
          <w:tcPr>
            <w:tcW w:w="1903" w:type="dxa"/>
            <w:tcBorders>
              <w:top w:val="nil"/>
              <w:left w:val="nil"/>
              <w:bottom w:val="single" w:color="auto" w:sz="4" w:space="0"/>
              <w:right w:val="single" w:color="auto" w:sz="4" w:space="0"/>
            </w:tcBorders>
            <w:vAlign w:val="center"/>
          </w:tcPr>
          <w:p w14:paraId="07B27E89">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2000≤Y＜10000</w:t>
            </w:r>
          </w:p>
        </w:tc>
        <w:tc>
          <w:tcPr>
            <w:tcW w:w="1692" w:type="dxa"/>
            <w:tcBorders>
              <w:top w:val="nil"/>
              <w:left w:val="nil"/>
              <w:bottom w:val="single" w:color="auto" w:sz="4" w:space="0"/>
              <w:right w:val="single" w:color="auto" w:sz="4" w:space="0"/>
            </w:tcBorders>
            <w:vAlign w:val="center"/>
          </w:tcPr>
          <w:p w14:paraId="34C5C33B">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100≤Y＜2000</w:t>
            </w:r>
          </w:p>
        </w:tc>
        <w:tc>
          <w:tcPr>
            <w:tcW w:w="1087" w:type="dxa"/>
            <w:tcBorders>
              <w:top w:val="nil"/>
              <w:left w:val="nil"/>
              <w:bottom w:val="single" w:color="auto" w:sz="4" w:space="0"/>
              <w:right w:val="single" w:color="auto" w:sz="4" w:space="0"/>
            </w:tcBorders>
            <w:vAlign w:val="center"/>
          </w:tcPr>
          <w:p w14:paraId="25542F38">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Y＜100</w:t>
            </w:r>
          </w:p>
        </w:tc>
      </w:tr>
      <w:tr w14:paraId="6B78FFE0">
        <w:tblPrEx>
          <w:tblCellMar>
            <w:top w:w="0" w:type="dxa"/>
            <w:left w:w="108" w:type="dxa"/>
            <w:bottom w:w="0" w:type="dxa"/>
            <w:right w:w="108" w:type="dxa"/>
          </w:tblCellMar>
        </w:tblPrEx>
        <w:trPr>
          <w:trHeight w:val="199" w:hRule="atLeast"/>
          <w:jc w:val="center"/>
        </w:trPr>
        <w:tc>
          <w:tcPr>
            <w:tcW w:w="1570" w:type="dxa"/>
            <w:vMerge w:val="restart"/>
            <w:tcBorders>
              <w:top w:val="nil"/>
              <w:left w:val="single" w:color="auto" w:sz="4" w:space="0"/>
              <w:bottom w:val="single" w:color="auto" w:sz="4" w:space="0"/>
              <w:right w:val="single" w:color="auto" w:sz="4" w:space="0"/>
            </w:tcBorders>
            <w:vAlign w:val="center"/>
          </w:tcPr>
          <w:p w14:paraId="263DC84A">
            <w:pPr>
              <w:widowControl/>
              <w:snapToGrid w:val="0"/>
              <w:contextualSpacing/>
              <w:jc w:val="center"/>
              <w:rPr>
                <w:rFonts w:hint="eastAsia" w:ascii="微软雅黑" w:hAnsi="微软雅黑" w:eastAsia="微软雅黑" w:cs="微软雅黑"/>
                <w:b/>
                <w:bCs/>
                <w:color w:val="auto"/>
                <w:kern w:val="0"/>
                <w:sz w:val="22"/>
                <w:szCs w:val="22"/>
                <w:highlight w:val="none"/>
              </w:rPr>
            </w:pPr>
            <w:r>
              <w:rPr>
                <w:rFonts w:hint="eastAsia" w:ascii="微软雅黑" w:hAnsi="微软雅黑" w:eastAsia="微软雅黑" w:cs="微软雅黑"/>
                <w:b/>
                <w:bCs/>
                <w:color w:val="auto"/>
                <w:kern w:val="0"/>
                <w:sz w:val="22"/>
                <w:szCs w:val="22"/>
                <w:highlight w:val="none"/>
              </w:rPr>
              <w:t>餐饮业</w:t>
            </w:r>
          </w:p>
        </w:tc>
        <w:tc>
          <w:tcPr>
            <w:tcW w:w="1660" w:type="dxa"/>
            <w:tcBorders>
              <w:top w:val="nil"/>
              <w:left w:val="nil"/>
              <w:bottom w:val="single" w:color="auto" w:sz="4" w:space="0"/>
              <w:right w:val="single" w:color="auto" w:sz="4" w:space="0"/>
            </w:tcBorders>
            <w:vAlign w:val="center"/>
          </w:tcPr>
          <w:p w14:paraId="39F17082">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从业人员（X）</w:t>
            </w:r>
          </w:p>
        </w:tc>
        <w:tc>
          <w:tcPr>
            <w:tcW w:w="1466" w:type="dxa"/>
            <w:tcBorders>
              <w:top w:val="nil"/>
              <w:left w:val="nil"/>
              <w:bottom w:val="single" w:color="auto" w:sz="4" w:space="0"/>
              <w:right w:val="single" w:color="auto" w:sz="4" w:space="0"/>
            </w:tcBorders>
            <w:vAlign w:val="center"/>
          </w:tcPr>
          <w:p w14:paraId="54BF67C0">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人</w:t>
            </w:r>
          </w:p>
        </w:tc>
        <w:tc>
          <w:tcPr>
            <w:tcW w:w="1903" w:type="dxa"/>
            <w:tcBorders>
              <w:top w:val="nil"/>
              <w:left w:val="nil"/>
              <w:bottom w:val="single" w:color="auto" w:sz="4" w:space="0"/>
              <w:right w:val="single" w:color="auto" w:sz="4" w:space="0"/>
            </w:tcBorders>
            <w:vAlign w:val="center"/>
          </w:tcPr>
          <w:p w14:paraId="78CDE485">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100≤X＜300</w:t>
            </w:r>
          </w:p>
        </w:tc>
        <w:tc>
          <w:tcPr>
            <w:tcW w:w="1692" w:type="dxa"/>
            <w:tcBorders>
              <w:top w:val="nil"/>
              <w:left w:val="nil"/>
              <w:bottom w:val="single" w:color="auto" w:sz="4" w:space="0"/>
              <w:right w:val="single" w:color="auto" w:sz="4" w:space="0"/>
            </w:tcBorders>
            <w:vAlign w:val="center"/>
          </w:tcPr>
          <w:p w14:paraId="5C73D7C7">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10≤X＜100</w:t>
            </w:r>
          </w:p>
        </w:tc>
        <w:tc>
          <w:tcPr>
            <w:tcW w:w="1087" w:type="dxa"/>
            <w:tcBorders>
              <w:top w:val="nil"/>
              <w:left w:val="nil"/>
              <w:bottom w:val="single" w:color="auto" w:sz="4" w:space="0"/>
              <w:right w:val="single" w:color="auto" w:sz="4" w:space="0"/>
            </w:tcBorders>
            <w:vAlign w:val="center"/>
          </w:tcPr>
          <w:p w14:paraId="3B10226A">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X＜10</w:t>
            </w:r>
          </w:p>
        </w:tc>
      </w:tr>
      <w:tr w14:paraId="714CAC55">
        <w:tblPrEx>
          <w:tblCellMar>
            <w:top w:w="0" w:type="dxa"/>
            <w:left w:w="108" w:type="dxa"/>
            <w:bottom w:w="0" w:type="dxa"/>
            <w:right w:w="108" w:type="dxa"/>
          </w:tblCellMar>
        </w:tblPrEx>
        <w:trPr>
          <w:trHeight w:val="199" w:hRule="atLeast"/>
          <w:jc w:val="center"/>
        </w:trPr>
        <w:tc>
          <w:tcPr>
            <w:tcW w:w="1570" w:type="dxa"/>
            <w:vMerge w:val="continue"/>
            <w:tcBorders>
              <w:top w:val="nil"/>
              <w:left w:val="single" w:color="auto" w:sz="4" w:space="0"/>
              <w:bottom w:val="single" w:color="auto" w:sz="4" w:space="0"/>
              <w:right w:val="single" w:color="auto" w:sz="4" w:space="0"/>
            </w:tcBorders>
            <w:vAlign w:val="center"/>
          </w:tcPr>
          <w:p w14:paraId="69D1EA50">
            <w:pPr>
              <w:widowControl/>
              <w:snapToGrid w:val="0"/>
              <w:contextualSpacing/>
              <w:jc w:val="center"/>
              <w:rPr>
                <w:rFonts w:hint="eastAsia" w:ascii="微软雅黑" w:hAnsi="微软雅黑" w:eastAsia="微软雅黑" w:cs="微软雅黑"/>
                <w:b/>
                <w:bCs/>
                <w:color w:val="auto"/>
                <w:kern w:val="0"/>
                <w:sz w:val="22"/>
                <w:szCs w:val="22"/>
                <w:highlight w:val="none"/>
              </w:rPr>
            </w:pPr>
          </w:p>
        </w:tc>
        <w:tc>
          <w:tcPr>
            <w:tcW w:w="1660" w:type="dxa"/>
            <w:tcBorders>
              <w:top w:val="nil"/>
              <w:left w:val="nil"/>
              <w:bottom w:val="single" w:color="auto" w:sz="4" w:space="0"/>
              <w:right w:val="single" w:color="auto" w:sz="4" w:space="0"/>
            </w:tcBorders>
            <w:vAlign w:val="center"/>
          </w:tcPr>
          <w:p w14:paraId="3B068562">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营业收入（Y）</w:t>
            </w:r>
          </w:p>
        </w:tc>
        <w:tc>
          <w:tcPr>
            <w:tcW w:w="1466" w:type="dxa"/>
            <w:tcBorders>
              <w:top w:val="nil"/>
              <w:left w:val="nil"/>
              <w:bottom w:val="single" w:color="auto" w:sz="4" w:space="0"/>
              <w:right w:val="single" w:color="auto" w:sz="4" w:space="0"/>
            </w:tcBorders>
            <w:vAlign w:val="center"/>
          </w:tcPr>
          <w:p w14:paraId="7E77D372">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万元</w:t>
            </w:r>
          </w:p>
        </w:tc>
        <w:tc>
          <w:tcPr>
            <w:tcW w:w="1903" w:type="dxa"/>
            <w:tcBorders>
              <w:top w:val="nil"/>
              <w:left w:val="nil"/>
              <w:bottom w:val="single" w:color="auto" w:sz="4" w:space="0"/>
              <w:right w:val="single" w:color="auto" w:sz="4" w:space="0"/>
            </w:tcBorders>
            <w:vAlign w:val="center"/>
          </w:tcPr>
          <w:p w14:paraId="31F2017F">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2000≤Y＜10000</w:t>
            </w:r>
          </w:p>
        </w:tc>
        <w:tc>
          <w:tcPr>
            <w:tcW w:w="1692" w:type="dxa"/>
            <w:tcBorders>
              <w:top w:val="nil"/>
              <w:left w:val="nil"/>
              <w:bottom w:val="single" w:color="auto" w:sz="4" w:space="0"/>
              <w:right w:val="single" w:color="auto" w:sz="4" w:space="0"/>
            </w:tcBorders>
            <w:vAlign w:val="center"/>
          </w:tcPr>
          <w:p w14:paraId="0AA1921C">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100≤Y＜2000</w:t>
            </w:r>
          </w:p>
        </w:tc>
        <w:tc>
          <w:tcPr>
            <w:tcW w:w="1087" w:type="dxa"/>
            <w:tcBorders>
              <w:top w:val="nil"/>
              <w:left w:val="nil"/>
              <w:bottom w:val="single" w:color="auto" w:sz="4" w:space="0"/>
              <w:right w:val="single" w:color="auto" w:sz="4" w:space="0"/>
            </w:tcBorders>
            <w:vAlign w:val="center"/>
          </w:tcPr>
          <w:p w14:paraId="7D160F8E">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Y＜100</w:t>
            </w:r>
          </w:p>
        </w:tc>
      </w:tr>
      <w:tr w14:paraId="0F4746B2">
        <w:tblPrEx>
          <w:tblCellMar>
            <w:top w:w="0" w:type="dxa"/>
            <w:left w:w="108" w:type="dxa"/>
            <w:bottom w:w="0" w:type="dxa"/>
            <w:right w:w="108" w:type="dxa"/>
          </w:tblCellMar>
        </w:tblPrEx>
        <w:trPr>
          <w:trHeight w:val="199" w:hRule="atLeast"/>
          <w:jc w:val="center"/>
        </w:trPr>
        <w:tc>
          <w:tcPr>
            <w:tcW w:w="1570" w:type="dxa"/>
            <w:vMerge w:val="restart"/>
            <w:tcBorders>
              <w:top w:val="nil"/>
              <w:left w:val="single" w:color="auto" w:sz="4" w:space="0"/>
              <w:bottom w:val="single" w:color="auto" w:sz="4" w:space="0"/>
              <w:right w:val="single" w:color="auto" w:sz="4" w:space="0"/>
            </w:tcBorders>
            <w:vAlign w:val="center"/>
          </w:tcPr>
          <w:p w14:paraId="6793BE3B">
            <w:pPr>
              <w:widowControl/>
              <w:snapToGrid w:val="0"/>
              <w:contextualSpacing/>
              <w:jc w:val="center"/>
              <w:rPr>
                <w:rFonts w:hint="eastAsia" w:ascii="微软雅黑" w:hAnsi="微软雅黑" w:eastAsia="微软雅黑" w:cs="微软雅黑"/>
                <w:b/>
                <w:bCs/>
                <w:color w:val="auto"/>
                <w:kern w:val="0"/>
                <w:sz w:val="22"/>
                <w:szCs w:val="22"/>
                <w:highlight w:val="none"/>
              </w:rPr>
            </w:pPr>
            <w:r>
              <w:rPr>
                <w:rFonts w:hint="eastAsia" w:ascii="微软雅黑" w:hAnsi="微软雅黑" w:eastAsia="微软雅黑" w:cs="微软雅黑"/>
                <w:b/>
                <w:bCs/>
                <w:color w:val="auto"/>
                <w:kern w:val="0"/>
                <w:sz w:val="22"/>
                <w:szCs w:val="22"/>
                <w:highlight w:val="none"/>
              </w:rPr>
              <w:t>信息传输业</w:t>
            </w:r>
          </w:p>
        </w:tc>
        <w:tc>
          <w:tcPr>
            <w:tcW w:w="1660" w:type="dxa"/>
            <w:tcBorders>
              <w:top w:val="nil"/>
              <w:left w:val="nil"/>
              <w:bottom w:val="single" w:color="auto" w:sz="4" w:space="0"/>
              <w:right w:val="single" w:color="auto" w:sz="4" w:space="0"/>
            </w:tcBorders>
            <w:vAlign w:val="center"/>
          </w:tcPr>
          <w:p w14:paraId="09991190">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从业人员（X）</w:t>
            </w:r>
          </w:p>
        </w:tc>
        <w:tc>
          <w:tcPr>
            <w:tcW w:w="1466" w:type="dxa"/>
            <w:tcBorders>
              <w:top w:val="nil"/>
              <w:left w:val="nil"/>
              <w:bottom w:val="single" w:color="auto" w:sz="4" w:space="0"/>
              <w:right w:val="single" w:color="auto" w:sz="4" w:space="0"/>
            </w:tcBorders>
            <w:vAlign w:val="center"/>
          </w:tcPr>
          <w:p w14:paraId="20D7C8F7">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人</w:t>
            </w:r>
          </w:p>
        </w:tc>
        <w:tc>
          <w:tcPr>
            <w:tcW w:w="1903" w:type="dxa"/>
            <w:tcBorders>
              <w:top w:val="nil"/>
              <w:left w:val="nil"/>
              <w:bottom w:val="single" w:color="auto" w:sz="4" w:space="0"/>
              <w:right w:val="single" w:color="auto" w:sz="4" w:space="0"/>
            </w:tcBorders>
            <w:vAlign w:val="center"/>
          </w:tcPr>
          <w:p w14:paraId="4013DBFB">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100≤X＜2000</w:t>
            </w:r>
          </w:p>
        </w:tc>
        <w:tc>
          <w:tcPr>
            <w:tcW w:w="1692" w:type="dxa"/>
            <w:tcBorders>
              <w:top w:val="nil"/>
              <w:left w:val="nil"/>
              <w:bottom w:val="single" w:color="auto" w:sz="4" w:space="0"/>
              <w:right w:val="single" w:color="auto" w:sz="4" w:space="0"/>
            </w:tcBorders>
            <w:vAlign w:val="center"/>
          </w:tcPr>
          <w:p w14:paraId="74817F6B">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10≤X＜100</w:t>
            </w:r>
          </w:p>
        </w:tc>
        <w:tc>
          <w:tcPr>
            <w:tcW w:w="1087" w:type="dxa"/>
            <w:tcBorders>
              <w:top w:val="nil"/>
              <w:left w:val="nil"/>
              <w:bottom w:val="single" w:color="auto" w:sz="4" w:space="0"/>
              <w:right w:val="single" w:color="auto" w:sz="4" w:space="0"/>
            </w:tcBorders>
            <w:vAlign w:val="center"/>
          </w:tcPr>
          <w:p w14:paraId="6F7A6069">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X＜10</w:t>
            </w:r>
          </w:p>
        </w:tc>
      </w:tr>
      <w:tr w14:paraId="74FDA8F7">
        <w:tblPrEx>
          <w:tblCellMar>
            <w:top w:w="0" w:type="dxa"/>
            <w:left w:w="108" w:type="dxa"/>
            <w:bottom w:w="0" w:type="dxa"/>
            <w:right w:w="108" w:type="dxa"/>
          </w:tblCellMar>
        </w:tblPrEx>
        <w:trPr>
          <w:trHeight w:val="199" w:hRule="atLeast"/>
          <w:jc w:val="center"/>
        </w:trPr>
        <w:tc>
          <w:tcPr>
            <w:tcW w:w="1570" w:type="dxa"/>
            <w:vMerge w:val="continue"/>
            <w:tcBorders>
              <w:top w:val="nil"/>
              <w:left w:val="single" w:color="auto" w:sz="4" w:space="0"/>
              <w:bottom w:val="single" w:color="auto" w:sz="4" w:space="0"/>
              <w:right w:val="single" w:color="auto" w:sz="4" w:space="0"/>
            </w:tcBorders>
            <w:vAlign w:val="center"/>
          </w:tcPr>
          <w:p w14:paraId="4907090B">
            <w:pPr>
              <w:widowControl/>
              <w:snapToGrid w:val="0"/>
              <w:contextualSpacing/>
              <w:jc w:val="center"/>
              <w:rPr>
                <w:rFonts w:hint="eastAsia" w:ascii="微软雅黑" w:hAnsi="微软雅黑" w:eastAsia="微软雅黑" w:cs="微软雅黑"/>
                <w:b/>
                <w:bCs/>
                <w:color w:val="auto"/>
                <w:kern w:val="0"/>
                <w:sz w:val="22"/>
                <w:szCs w:val="22"/>
                <w:highlight w:val="none"/>
              </w:rPr>
            </w:pPr>
          </w:p>
        </w:tc>
        <w:tc>
          <w:tcPr>
            <w:tcW w:w="1660" w:type="dxa"/>
            <w:tcBorders>
              <w:top w:val="nil"/>
              <w:left w:val="nil"/>
              <w:bottom w:val="single" w:color="auto" w:sz="4" w:space="0"/>
              <w:right w:val="single" w:color="auto" w:sz="4" w:space="0"/>
            </w:tcBorders>
            <w:vAlign w:val="center"/>
          </w:tcPr>
          <w:p w14:paraId="558AE8BA">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营业收入（Y）</w:t>
            </w:r>
          </w:p>
        </w:tc>
        <w:tc>
          <w:tcPr>
            <w:tcW w:w="1466" w:type="dxa"/>
            <w:tcBorders>
              <w:top w:val="nil"/>
              <w:left w:val="nil"/>
              <w:bottom w:val="single" w:color="auto" w:sz="4" w:space="0"/>
              <w:right w:val="single" w:color="auto" w:sz="4" w:space="0"/>
            </w:tcBorders>
            <w:vAlign w:val="center"/>
          </w:tcPr>
          <w:p w14:paraId="12D6697D">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万元</w:t>
            </w:r>
          </w:p>
        </w:tc>
        <w:tc>
          <w:tcPr>
            <w:tcW w:w="1903" w:type="dxa"/>
            <w:tcBorders>
              <w:top w:val="nil"/>
              <w:left w:val="nil"/>
              <w:bottom w:val="single" w:color="auto" w:sz="4" w:space="0"/>
              <w:right w:val="single" w:color="auto" w:sz="4" w:space="0"/>
            </w:tcBorders>
            <w:vAlign w:val="center"/>
          </w:tcPr>
          <w:p w14:paraId="6F86E531">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1000≤Y＜100000</w:t>
            </w:r>
          </w:p>
        </w:tc>
        <w:tc>
          <w:tcPr>
            <w:tcW w:w="1692" w:type="dxa"/>
            <w:tcBorders>
              <w:top w:val="nil"/>
              <w:left w:val="nil"/>
              <w:bottom w:val="single" w:color="auto" w:sz="4" w:space="0"/>
              <w:right w:val="single" w:color="auto" w:sz="4" w:space="0"/>
            </w:tcBorders>
            <w:vAlign w:val="center"/>
          </w:tcPr>
          <w:p w14:paraId="69DB3F24">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100≤Y＜1000</w:t>
            </w:r>
          </w:p>
        </w:tc>
        <w:tc>
          <w:tcPr>
            <w:tcW w:w="1087" w:type="dxa"/>
            <w:tcBorders>
              <w:top w:val="nil"/>
              <w:left w:val="nil"/>
              <w:bottom w:val="single" w:color="auto" w:sz="4" w:space="0"/>
              <w:right w:val="single" w:color="auto" w:sz="4" w:space="0"/>
            </w:tcBorders>
            <w:vAlign w:val="center"/>
          </w:tcPr>
          <w:p w14:paraId="370F755B">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Y＜100</w:t>
            </w:r>
          </w:p>
        </w:tc>
      </w:tr>
      <w:tr w14:paraId="06D3A2BE">
        <w:tblPrEx>
          <w:tblCellMar>
            <w:top w:w="0" w:type="dxa"/>
            <w:left w:w="108" w:type="dxa"/>
            <w:bottom w:w="0" w:type="dxa"/>
            <w:right w:w="108" w:type="dxa"/>
          </w:tblCellMar>
        </w:tblPrEx>
        <w:trPr>
          <w:trHeight w:val="199" w:hRule="atLeast"/>
          <w:jc w:val="center"/>
        </w:trPr>
        <w:tc>
          <w:tcPr>
            <w:tcW w:w="1570" w:type="dxa"/>
            <w:vMerge w:val="restart"/>
            <w:tcBorders>
              <w:top w:val="nil"/>
              <w:left w:val="single" w:color="auto" w:sz="4" w:space="0"/>
              <w:bottom w:val="single" w:color="auto" w:sz="4" w:space="0"/>
              <w:right w:val="single" w:color="auto" w:sz="4" w:space="0"/>
            </w:tcBorders>
            <w:vAlign w:val="center"/>
          </w:tcPr>
          <w:p w14:paraId="51C92245">
            <w:pPr>
              <w:widowControl/>
              <w:snapToGrid w:val="0"/>
              <w:contextualSpacing/>
              <w:jc w:val="center"/>
              <w:rPr>
                <w:rFonts w:hint="eastAsia" w:ascii="微软雅黑" w:hAnsi="微软雅黑" w:eastAsia="微软雅黑" w:cs="微软雅黑"/>
                <w:b/>
                <w:bCs/>
                <w:color w:val="auto"/>
                <w:kern w:val="0"/>
                <w:sz w:val="22"/>
                <w:szCs w:val="22"/>
                <w:highlight w:val="none"/>
              </w:rPr>
            </w:pPr>
            <w:r>
              <w:rPr>
                <w:rFonts w:hint="eastAsia" w:ascii="微软雅黑" w:hAnsi="微软雅黑" w:eastAsia="微软雅黑" w:cs="微软雅黑"/>
                <w:b/>
                <w:bCs/>
                <w:color w:val="auto"/>
                <w:kern w:val="0"/>
                <w:sz w:val="22"/>
                <w:szCs w:val="22"/>
                <w:highlight w:val="none"/>
              </w:rPr>
              <w:t>软件和信息技术服务业</w:t>
            </w:r>
          </w:p>
        </w:tc>
        <w:tc>
          <w:tcPr>
            <w:tcW w:w="1660" w:type="dxa"/>
            <w:tcBorders>
              <w:top w:val="nil"/>
              <w:left w:val="nil"/>
              <w:bottom w:val="single" w:color="auto" w:sz="4" w:space="0"/>
              <w:right w:val="single" w:color="auto" w:sz="4" w:space="0"/>
            </w:tcBorders>
            <w:vAlign w:val="center"/>
          </w:tcPr>
          <w:p w14:paraId="4DD86344">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从业人员（X）</w:t>
            </w:r>
          </w:p>
        </w:tc>
        <w:tc>
          <w:tcPr>
            <w:tcW w:w="1466" w:type="dxa"/>
            <w:tcBorders>
              <w:top w:val="nil"/>
              <w:left w:val="nil"/>
              <w:bottom w:val="single" w:color="auto" w:sz="4" w:space="0"/>
              <w:right w:val="single" w:color="auto" w:sz="4" w:space="0"/>
            </w:tcBorders>
            <w:vAlign w:val="center"/>
          </w:tcPr>
          <w:p w14:paraId="72342985">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人</w:t>
            </w:r>
          </w:p>
        </w:tc>
        <w:tc>
          <w:tcPr>
            <w:tcW w:w="1903" w:type="dxa"/>
            <w:tcBorders>
              <w:top w:val="nil"/>
              <w:left w:val="nil"/>
              <w:bottom w:val="single" w:color="auto" w:sz="4" w:space="0"/>
              <w:right w:val="single" w:color="auto" w:sz="4" w:space="0"/>
            </w:tcBorders>
            <w:vAlign w:val="center"/>
          </w:tcPr>
          <w:p w14:paraId="1D901D85">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100≤X＜300</w:t>
            </w:r>
          </w:p>
        </w:tc>
        <w:tc>
          <w:tcPr>
            <w:tcW w:w="1692" w:type="dxa"/>
            <w:tcBorders>
              <w:top w:val="nil"/>
              <w:left w:val="nil"/>
              <w:bottom w:val="single" w:color="auto" w:sz="4" w:space="0"/>
              <w:right w:val="single" w:color="auto" w:sz="4" w:space="0"/>
            </w:tcBorders>
            <w:vAlign w:val="center"/>
          </w:tcPr>
          <w:p w14:paraId="2D127242">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10≤X＜100</w:t>
            </w:r>
          </w:p>
        </w:tc>
        <w:tc>
          <w:tcPr>
            <w:tcW w:w="1087" w:type="dxa"/>
            <w:tcBorders>
              <w:top w:val="nil"/>
              <w:left w:val="nil"/>
              <w:bottom w:val="single" w:color="auto" w:sz="4" w:space="0"/>
              <w:right w:val="single" w:color="auto" w:sz="4" w:space="0"/>
            </w:tcBorders>
            <w:vAlign w:val="center"/>
          </w:tcPr>
          <w:p w14:paraId="317965EA">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X＜10</w:t>
            </w:r>
          </w:p>
        </w:tc>
      </w:tr>
      <w:tr w14:paraId="04045C14">
        <w:tblPrEx>
          <w:tblCellMar>
            <w:top w:w="0" w:type="dxa"/>
            <w:left w:w="108" w:type="dxa"/>
            <w:bottom w:w="0" w:type="dxa"/>
            <w:right w:w="108" w:type="dxa"/>
          </w:tblCellMar>
        </w:tblPrEx>
        <w:trPr>
          <w:trHeight w:val="199" w:hRule="atLeast"/>
          <w:jc w:val="center"/>
        </w:trPr>
        <w:tc>
          <w:tcPr>
            <w:tcW w:w="1570" w:type="dxa"/>
            <w:vMerge w:val="continue"/>
            <w:tcBorders>
              <w:top w:val="nil"/>
              <w:left w:val="single" w:color="auto" w:sz="4" w:space="0"/>
              <w:bottom w:val="single" w:color="auto" w:sz="4" w:space="0"/>
              <w:right w:val="single" w:color="auto" w:sz="4" w:space="0"/>
            </w:tcBorders>
            <w:vAlign w:val="center"/>
          </w:tcPr>
          <w:p w14:paraId="42326152">
            <w:pPr>
              <w:widowControl/>
              <w:snapToGrid w:val="0"/>
              <w:contextualSpacing/>
              <w:jc w:val="center"/>
              <w:rPr>
                <w:rFonts w:hint="eastAsia" w:ascii="微软雅黑" w:hAnsi="微软雅黑" w:eastAsia="微软雅黑" w:cs="微软雅黑"/>
                <w:b/>
                <w:bCs/>
                <w:color w:val="auto"/>
                <w:kern w:val="0"/>
                <w:sz w:val="22"/>
                <w:szCs w:val="22"/>
                <w:highlight w:val="none"/>
              </w:rPr>
            </w:pPr>
          </w:p>
        </w:tc>
        <w:tc>
          <w:tcPr>
            <w:tcW w:w="1660" w:type="dxa"/>
            <w:tcBorders>
              <w:top w:val="nil"/>
              <w:left w:val="nil"/>
              <w:bottom w:val="single" w:color="auto" w:sz="4" w:space="0"/>
              <w:right w:val="single" w:color="auto" w:sz="4" w:space="0"/>
            </w:tcBorders>
            <w:vAlign w:val="center"/>
          </w:tcPr>
          <w:p w14:paraId="3399E3B6">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营业收入（Y）</w:t>
            </w:r>
          </w:p>
        </w:tc>
        <w:tc>
          <w:tcPr>
            <w:tcW w:w="1466" w:type="dxa"/>
            <w:tcBorders>
              <w:top w:val="nil"/>
              <w:left w:val="nil"/>
              <w:bottom w:val="single" w:color="auto" w:sz="4" w:space="0"/>
              <w:right w:val="single" w:color="auto" w:sz="4" w:space="0"/>
            </w:tcBorders>
            <w:vAlign w:val="center"/>
          </w:tcPr>
          <w:p w14:paraId="7BB25EA9">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万元</w:t>
            </w:r>
          </w:p>
        </w:tc>
        <w:tc>
          <w:tcPr>
            <w:tcW w:w="1903" w:type="dxa"/>
            <w:tcBorders>
              <w:top w:val="nil"/>
              <w:left w:val="nil"/>
              <w:bottom w:val="single" w:color="auto" w:sz="4" w:space="0"/>
              <w:right w:val="single" w:color="auto" w:sz="4" w:space="0"/>
            </w:tcBorders>
            <w:vAlign w:val="center"/>
          </w:tcPr>
          <w:p w14:paraId="309CDBA9">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1000≤Y＜10000</w:t>
            </w:r>
          </w:p>
        </w:tc>
        <w:tc>
          <w:tcPr>
            <w:tcW w:w="1692" w:type="dxa"/>
            <w:tcBorders>
              <w:top w:val="nil"/>
              <w:left w:val="nil"/>
              <w:bottom w:val="single" w:color="auto" w:sz="4" w:space="0"/>
              <w:right w:val="single" w:color="auto" w:sz="4" w:space="0"/>
            </w:tcBorders>
            <w:vAlign w:val="center"/>
          </w:tcPr>
          <w:p w14:paraId="63BD1789">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50≤Y＜1000</w:t>
            </w:r>
          </w:p>
        </w:tc>
        <w:tc>
          <w:tcPr>
            <w:tcW w:w="1087" w:type="dxa"/>
            <w:tcBorders>
              <w:top w:val="nil"/>
              <w:left w:val="nil"/>
              <w:bottom w:val="single" w:color="auto" w:sz="4" w:space="0"/>
              <w:right w:val="single" w:color="auto" w:sz="4" w:space="0"/>
            </w:tcBorders>
            <w:vAlign w:val="center"/>
          </w:tcPr>
          <w:p w14:paraId="4247B49D">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Y＜50</w:t>
            </w:r>
          </w:p>
        </w:tc>
      </w:tr>
      <w:tr w14:paraId="3ADE50E0">
        <w:tblPrEx>
          <w:tblCellMar>
            <w:top w:w="0" w:type="dxa"/>
            <w:left w:w="108" w:type="dxa"/>
            <w:bottom w:w="0" w:type="dxa"/>
            <w:right w:w="108" w:type="dxa"/>
          </w:tblCellMar>
        </w:tblPrEx>
        <w:trPr>
          <w:trHeight w:val="199" w:hRule="atLeast"/>
          <w:jc w:val="center"/>
        </w:trPr>
        <w:tc>
          <w:tcPr>
            <w:tcW w:w="1570" w:type="dxa"/>
            <w:vMerge w:val="restart"/>
            <w:tcBorders>
              <w:top w:val="nil"/>
              <w:left w:val="single" w:color="auto" w:sz="4" w:space="0"/>
              <w:bottom w:val="single" w:color="auto" w:sz="4" w:space="0"/>
              <w:right w:val="single" w:color="auto" w:sz="4" w:space="0"/>
            </w:tcBorders>
            <w:vAlign w:val="center"/>
          </w:tcPr>
          <w:p w14:paraId="2B23B72C">
            <w:pPr>
              <w:widowControl/>
              <w:snapToGrid w:val="0"/>
              <w:contextualSpacing/>
              <w:jc w:val="center"/>
              <w:rPr>
                <w:rFonts w:hint="eastAsia" w:ascii="微软雅黑" w:hAnsi="微软雅黑" w:eastAsia="微软雅黑" w:cs="微软雅黑"/>
                <w:b/>
                <w:bCs/>
                <w:color w:val="auto"/>
                <w:kern w:val="0"/>
                <w:sz w:val="22"/>
                <w:szCs w:val="22"/>
                <w:highlight w:val="none"/>
              </w:rPr>
            </w:pPr>
            <w:r>
              <w:rPr>
                <w:rFonts w:hint="eastAsia" w:ascii="微软雅黑" w:hAnsi="微软雅黑" w:eastAsia="微软雅黑" w:cs="微软雅黑"/>
                <w:b/>
                <w:bCs/>
                <w:color w:val="auto"/>
                <w:kern w:val="0"/>
                <w:sz w:val="22"/>
                <w:szCs w:val="22"/>
                <w:highlight w:val="none"/>
              </w:rPr>
              <w:t>房地产开发经营</w:t>
            </w:r>
          </w:p>
        </w:tc>
        <w:tc>
          <w:tcPr>
            <w:tcW w:w="1660" w:type="dxa"/>
            <w:tcBorders>
              <w:top w:val="nil"/>
              <w:left w:val="nil"/>
              <w:bottom w:val="single" w:color="auto" w:sz="4" w:space="0"/>
              <w:right w:val="single" w:color="auto" w:sz="4" w:space="0"/>
            </w:tcBorders>
            <w:vAlign w:val="center"/>
          </w:tcPr>
          <w:p w14:paraId="70155720">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营业收入（Y）</w:t>
            </w:r>
          </w:p>
        </w:tc>
        <w:tc>
          <w:tcPr>
            <w:tcW w:w="1466" w:type="dxa"/>
            <w:tcBorders>
              <w:top w:val="nil"/>
              <w:left w:val="nil"/>
              <w:bottom w:val="single" w:color="auto" w:sz="4" w:space="0"/>
              <w:right w:val="single" w:color="auto" w:sz="4" w:space="0"/>
            </w:tcBorders>
            <w:vAlign w:val="center"/>
          </w:tcPr>
          <w:p w14:paraId="1410D460">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万元</w:t>
            </w:r>
          </w:p>
        </w:tc>
        <w:tc>
          <w:tcPr>
            <w:tcW w:w="1903" w:type="dxa"/>
            <w:tcBorders>
              <w:top w:val="nil"/>
              <w:left w:val="nil"/>
              <w:bottom w:val="single" w:color="auto" w:sz="4" w:space="0"/>
              <w:right w:val="single" w:color="auto" w:sz="4" w:space="0"/>
            </w:tcBorders>
            <w:vAlign w:val="center"/>
          </w:tcPr>
          <w:p w14:paraId="03285D6F">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1000≤Y＜200000</w:t>
            </w:r>
          </w:p>
        </w:tc>
        <w:tc>
          <w:tcPr>
            <w:tcW w:w="1692" w:type="dxa"/>
            <w:tcBorders>
              <w:top w:val="nil"/>
              <w:left w:val="nil"/>
              <w:bottom w:val="single" w:color="auto" w:sz="4" w:space="0"/>
              <w:right w:val="single" w:color="auto" w:sz="4" w:space="0"/>
            </w:tcBorders>
            <w:vAlign w:val="center"/>
          </w:tcPr>
          <w:p w14:paraId="00180FED">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100≤X＜1000</w:t>
            </w:r>
          </w:p>
        </w:tc>
        <w:tc>
          <w:tcPr>
            <w:tcW w:w="1087" w:type="dxa"/>
            <w:tcBorders>
              <w:top w:val="nil"/>
              <w:left w:val="nil"/>
              <w:bottom w:val="single" w:color="auto" w:sz="4" w:space="0"/>
              <w:right w:val="single" w:color="auto" w:sz="4" w:space="0"/>
            </w:tcBorders>
            <w:vAlign w:val="center"/>
          </w:tcPr>
          <w:p w14:paraId="0846E7B4">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X＜100</w:t>
            </w:r>
          </w:p>
        </w:tc>
      </w:tr>
      <w:tr w14:paraId="664A692C">
        <w:tblPrEx>
          <w:tblCellMar>
            <w:top w:w="0" w:type="dxa"/>
            <w:left w:w="108" w:type="dxa"/>
            <w:bottom w:w="0" w:type="dxa"/>
            <w:right w:w="108" w:type="dxa"/>
          </w:tblCellMar>
        </w:tblPrEx>
        <w:trPr>
          <w:trHeight w:val="199" w:hRule="atLeast"/>
          <w:jc w:val="center"/>
        </w:trPr>
        <w:tc>
          <w:tcPr>
            <w:tcW w:w="1570" w:type="dxa"/>
            <w:vMerge w:val="continue"/>
            <w:tcBorders>
              <w:top w:val="nil"/>
              <w:left w:val="single" w:color="auto" w:sz="4" w:space="0"/>
              <w:bottom w:val="single" w:color="auto" w:sz="4" w:space="0"/>
              <w:right w:val="single" w:color="auto" w:sz="4" w:space="0"/>
            </w:tcBorders>
            <w:vAlign w:val="center"/>
          </w:tcPr>
          <w:p w14:paraId="7480E8F8">
            <w:pPr>
              <w:widowControl/>
              <w:snapToGrid w:val="0"/>
              <w:contextualSpacing/>
              <w:jc w:val="center"/>
              <w:rPr>
                <w:rFonts w:hint="eastAsia" w:ascii="微软雅黑" w:hAnsi="微软雅黑" w:eastAsia="微软雅黑" w:cs="微软雅黑"/>
                <w:b/>
                <w:bCs/>
                <w:color w:val="auto"/>
                <w:kern w:val="0"/>
                <w:sz w:val="22"/>
                <w:szCs w:val="22"/>
                <w:highlight w:val="none"/>
              </w:rPr>
            </w:pPr>
          </w:p>
        </w:tc>
        <w:tc>
          <w:tcPr>
            <w:tcW w:w="1660" w:type="dxa"/>
            <w:tcBorders>
              <w:top w:val="nil"/>
              <w:left w:val="nil"/>
              <w:bottom w:val="single" w:color="auto" w:sz="4" w:space="0"/>
              <w:right w:val="single" w:color="auto" w:sz="4" w:space="0"/>
            </w:tcBorders>
            <w:vAlign w:val="center"/>
          </w:tcPr>
          <w:p w14:paraId="7D1BBEEE">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资产总额（Z）</w:t>
            </w:r>
          </w:p>
        </w:tc>
        <w:tc>
          <w:tcPr>
            <w:tcW w:w="1466" w:type="dxa"/>
            <w:tcBorders>
              <w:top w:val="nil"/>
              <w:left w:val="nil"/>
              <w:bottom w:val="single" w:color="auto" w:sz="4" w:space="0"/>
              <w:right w:val="single" w:color="auto" w:sz="4" w:space="0"/>
            </w:tcBorders>
            <w:vAlign w:val="center"/>
          </w:tcPr>
          <w:p w14:paraId="1BE80CDC">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万元</w:t>
            </w:r>
          </w:p>
        </w:tc>
        <w:tc>
          <w:tcPr>
            <w:tcW w:w="1903" w:type="dxa"/>
            <w:tcBorders>
              <w:top w:val="nil"/>
              <w:left w:val="nil"/>
              <w:bottom w:val="single" w:color="auto" w:sz="4" w:space="0"/>
              <w:right w:val="single" w:color="auto" w:sz="4" w:space="0"/>
            </w:tcBorders>
            <w:vAlign w:val="center"/>
          </w:tcPr>
          <w:p w14:paraId="07B4EE96">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5000≤Z＜10000</w:t>
            </w:r>
          </w:p>
        </w:tc>
        <w:tc>
          <w:tcPr>
            <w:tcW w:w="1692" w:type="dxa"/>
            <w:tcBorders>
              <w:top w:val="nil"/>
              <w:left w:val="nil"/>
              <w:bottom w:val="single" w:color="auto" w:sz="4" w:space="0"/>
              <w:right w:val="single" w:color="auto" w:sz="4" w:space="0"/>
            </w:tcBorders>
            <w:vAlign w:val="center"/>
          </w:tcPr>
          <w:p w14:paraId="0E19A12B">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2000≤Y＜5000</w:t>
            </w:r>
          </w:p>
        </w:tc>
        <w:tc>
          <w:tcPr>
            <w:tcW w:w="1087" w:type="dxa"/>
            <w:tcBorders>
              <w:top w:val="nil"/>
              <w:left w:val="nil"/>
              <w:bottom w:val="single" w:color="auto" w:sz="4" w:space="0"/>
              <w:right w:val="single" w:color="auto" w:sz="4" w:space="0"/>
            </w:tcBorders>
            <w:vAlign w:val="center"/>
          </w:tcPr>
          <w:p w14:paraId="40795EAF">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Y＜2000</w:t>
            </w:r>
          </w:p>
        </w:tc>
      </w:tr>
      <w:tr w14:paraId="2BBAE10B">
        <w:tblPrEx>
          <w:tblCellMar>
            <w:top w:w="0" w:type="dxa"/>
            <w:left w:w="108" w:type="dxa"/>
            <w:bottom w:w="0" w:type="dxa"/>
            <w:right w:w="108" w:type="dxa"/>
          </w:tblCellMar>
        </w:tblPrEx>
        <w:trPr>
          <w:trHeight w:val="199" w:hRule="atLeast"/>
          <w:jc w:val="center"/>
        </w:trPr>
        <w:tc>
          <w:tcPr>
            <w:tcW w:w="1570" w:type="dxa"/>
            <w:vMerge w:val="restart"/>
            <w:tcBorders>
              <w:top w:val="nil"/>
              <w:left w:val="single" w:color="auto" w:sz="4" w:space="0"/>
              <w:bottom w:val="single" w:color="auto" w:sz="4" w:space="0"/>
              <w:right w:val="single" w:color="auto" w:sz="4" w:space="0"/>
            </w:tcBorders>
            <w:vAlign w:val="center"/>
          </w:tcPr>
          <w:p w14:paraId="2B1FE5A5">
            <w:pPr>
              <w:widowControl/>
              <w:snapToGrid w:val="0"/>
              <w:contextualSpacing/>
              <w:jc w:val="center"/>
              <w:rPr>
                <w:rFonts w:hint="eastAsia" w:ascii="微软雅黑" w:hAnsi="微软雅黑" w:eastAsia="微软雅黑" w:cs="微软雅黑"/>
                <w:b/>
                <w:bCs/>
                <w:color w:val="auto"/>
                <w:kern w:val="0"/>
                <w:sz w:val="22"/>
                <w:szCs w:val="22"/>
                <w:highlight w:val="none"/>
              </w:rPr>
            </w:pPr>
            <w:r>
              <w:rPr>
                <w:rFonts w:hint="eastAsia" w:ascii="微软雅黑" w:hAnsi="微软雅黑" w:eastAsia="微软雅黑" w:cs="微软雅黑"/>
                <w:b/>
                <w:bCs/>
                <w:color w:val="auto"/>
                <w:kern w:val="0"/>
                <w:sz w:val="22"/>
                <w:szCs w:val="22"/>
                <w:highlight w:val="none"/>
              </w:rPr>
              <w:t>物业管理</w:t>
            </w:r>
          </w:p>
        </w:tc>
        <w:tc>
          <w:tcPr>
            <w:tcW w:w="1660" w:type="dxa"/>
            <w:tcBorders>
              <w:top w:val="nil"/>
              <w:left w:val="nil"/>
              <w:bottom w:val="single" w:color="auto" w:sz="4" w:space="0"/>
              <w:right w:val="single" w:color="auto" w:sz="4" w:space="0"/>
            </w:tcBorders>
            <w:vAlign w:val="center"/>
          </w:tcPr>
          <w:p w14:paraId="4A27313F">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从业人员（X）</w:t>
            </w:r>
          </w:p>
        </w:tc>
        <w:tc>
          <w:tcPr>
            <w:tcW w:w="1466" w:type="dxa"/>
            <w:tcBorders>
              <w:top w:val="nil"/>
              <w:left w:val="nil"/>
              <w:bottom w:val="single" w:color="auto" w:sz="4" w:space="0"/>
              <w:right w:val="single" w:color="auto" w:sz="4" w:space="0"/>
            </w:tcBorders>
            <w:vAlign w:val="center"/>
          </w:tcPr>
          <w:p w14:paraId="52CBA1EB">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人</w:t>
            </w:r>
          </w:p>
        </w:tc>
        <w:tc>
          <w:tcPr>
            <w:tcW w:w="1903" w:type="dxa"/>
            <w:tcBorders>
              <w:top w:val="nil"/>
              <w:left w:val="nil"/>
              <w:bottom w:val="single" w:color="auto" w:sz="4" w:space="0"/>
              <w:right w:val="single" w:color="auto" w:sz="4" w:space="0"/>
            </w:tcBorders>
            <w:vAlign w:val="center"/>
          </w:tcPr>
          <w:p w14:paraId="4AA705CE">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300≤X＜1000</w:t>
            </w:r>
          </w:p>
        </w:tc>
        <w:tc>
          <w:tcPr>
            <w:tcW w:w="1692" w:type="dxa"/>
            <w:tcBorders>
              <w:top w:val="nil"/>
              <w:left w:val="nil"/>
              <w:bottom w:val="single" w:color="auto" w:sz="4" w:space="0"/>
              <w:right w:val="single" w:color="auto" w:sz="4" w:space="0"/>
            </w:tcBorders>
            <w:vAlign w:val="center"/>
          </w:tcPr>
          <w:p w14:paraId="0E8BB118">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100≤X＜300</w:t>
            </w:r>
          </w:p>
        </w:tc>
        <w:tc>
          <w:tcPr>
            <w:tcW w:w="1087" w:type="dxa"/>
            <w:tcBorders>
              <w:top w:val="nil"/>
              <w:left w:val="nil"/>
              <w:bottom w:val="single" w:color="auto" w:sz="4" w:space="0"/>
              <w:right w:val="single" w:color="auto" w:sz="4" w:space="0"/>
            </w:tcBorders>
            <w:vAlign w:val="center"/>
          </w:tcPr>
          <w:p w14:paraId="459D55FB">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X＜100</w:t>
            </w:r>
          </w:p>
        </w:tc>
      </w:tr>
      <w:tr w14:paraId="24E7BA1A">
        <w:tblPrEx>
          <w:tblCellMar>
            <w:top w:w="0" w:type="dxa"/>
            <w:left w:w="108" w:type="dxa"/>
            <w:bottom w:w="0" w:type="dxa"/>
            <w:right w:w="108" w:type="dxa"/>
          </w:tblCellMar>
        </w:tblPrEx>
        <w:trPr>
          <w:trHeight w:val="199" w:hRule="atLeast"/>
          <w:jc w:val="center"/>
        </w:trPr>
        <w:tc>
          <w:tcPr>
            <w:tcW w:w="1570" w:type="dxa"/>
            <w:vMerge w:val="continue"/>
            <w:tcBorders>
              <w:top w:val="nil"/>
              <w:left w:val="single" w:color="auto" w:sz="4" w:space="0"/>
              <w:bottom w:val="single" w:color="auto" w:sz="4" w:space="0"/>
              <w:right w:val="single" w:color="auto" w:sz="4" w:space="0"/>
            </w:tcBorders>
            <w:vAlign w:val="center"/>
          </w:tcPr>
          <w:p w14:paraId="73364A0E">
            <w:pPr>
              <w:widowControl/>
              <w:snapToGrid w:val="0"/>
              <w:contextualSpacing/>
              <w:jc w:val="center"/>
              <w:rPr>
                <w:rFonts w:hint="eastAsia" w:ascii="微软雅黑" w:hAnsi="微软雅黑" w:eastAsia="微软雅黑" w:cs="微软雅黑"/>
                <w:b/>
                <w:bCs/>
                <w:color w:val="auto"/>
                <w:kern w:val="0"/>
                <w:sz w:val="22"/>
                <w:szCs w:val="22"/>
                <w:highlight w:val="none"/>
              </w:rPr>
            </w:pPr>
          </w:p>
        </w:tc>
        <w:tc>
          <w:tcPr>
            <w:tcW w:w="1660" w:type="dxa"/>
            <w:tcBorders>
              <w:top w:val="nil"/>
              <w:left w:val="nil"/>
              <w:bottom w:val="single" w:color="auto" w:sz="4" w:space="0"/>
              <w:right w:val="single" w:color="auto" w:sz="4" w:space="0"/>
            </w:tcBorders>
            <w:vAlign w:val="center"/>
          </w:tcPr>
          <w:p w14:paraId="7D3C5B83">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营业收入（Y）</w:t>
            </w:r>
          </w:p>
        </w:tc>
        <w:tc>
          <w:tcPr>
            <w:tcW w:w="1466" w:type="dxa"/>
            <w:tcBorders>
              <w:top w:val="nil"/>
              <w:left w:val="nil"/>
              <w:bottom w:val="single" w:color="auto" w:sz="4" w:space="0"/>
              <w:right w:val="single" w:color="auto" w:sz="4" w:space="0"/>
            </w:tcBorders>
            <w:vAlign w:val="center"/>
          </w:tcPr>
          <w:p w14:paraId="00F25A14">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万元</w:t>
            </w:r>
          </w:p>
        </w:tc>
        <w:tc>
          <w:tcPr>
            <w:tcW w:w="1903" w:type="dxa"/>
            <w:tcBorders>
              <w:top w:val="nil"/>
              <w:left w:val="nil"/>
              <w:bottom w:val="single" w:color="auto" w:sz="4" w:space="0"/>
              <w:right w:val="single" w:color="auto" w:sz="4" w:space="0"/>
            </w:tcBorders>
            <w:vAlign w:val="center"/>
          </w:tcPr>
          <w:p w14:paraId="72C55D7B">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1000≤Y＜5000</w:t>
            </w:r>
          </w:p>
        </w:tc>
        <w:tc>
          <w:tcPr>
            <w:tcW w:w="1692" w:type="dxa"/>
            <w:tcBorders>
              <w:top w:val="nil"/>
              <w:left w:val="nil"/>
              <w:bottom w:val="single" w:color="auto" w:sz="4" w:space="0"/>
              <w:right w:val="single" w:color="auto" w:sz="4" w:space="0"/>
            </w:tcBorders>
            <w:vAlign w:val="center"/>
          </w:tcPr>
          <w:p w14:paraId="0F28C313">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500≤Y＜1000</w:t>
            </w:r>
          </w:p>
        </w:tc>
        <w:tc>
          <w:tcPr>
            <w:tcW w:w="1087" w:type="dxa"/>
            <w:tcBorders>
              <w:top w:val="nil"/>
              <w:left w:val="nil"/>
              <w:bottom w:val="single" w:color="auto" w:sz="4" w:space="0"/>
              <w:right w:val="single" w:color="auto" w:sz="4" w:space="0"/>
            </w:tcBorders>
            <w:vAlign w:val="center"/>
          </w:tcPr>
          <w:p w14:paraId="53CE06A9">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Y＜500</w:t>
            </w:r>
          </w:p>
        </w:tc>
      </w:tr>
      <w:tr w14:paraId="132C0B86">
        <w:tblPrEx>
          <w:tblCellMar>
            <w:top w:w="0" w:type="dxa"/>
            <w:left w:w="108" w:type="dxa"/>
            <w:bottom w:w="0" w:type="dxa"/>
            <w:right w:w="108" w:type="dxa"/>
          </w:tblCellMar>
        </w:tblPrEx>
        <w:trPr>
          <w:trHeight w:val="242" w:hRule="atLeast"/>
          <w:jc w:val="center"/>
        </w:trPr>
        <w:tc>
          <w:tcPr>
            <w:tcW w:w="1570" w:type="dxa"/>
            <w:vMerge w:val="restart"/>
            <w:tcBorders>
              <w:top w:val="nil"/>
              <w:left w:val="single" w:color="auto" w:sz="4" w:space="0"/>
              <w:bottom w:val="single" w:color="auto" w:sz="4" w:space="0"/>
              <w:right w:val="single" w:color="auto" w:sz="4" w:space="0"/>
            </w:tcBorders>
            <w:vAlign w:val="center"/>
          </w:tcPr>
          <w:p w14:paraId="3E40587F">
            <w:pPr>
              <w:widowControl/>
              <w:snapToGrid w:val="0"/>
              <w:contextualSpacing/>
              <w:jc w:val="center"/>
              <w:rPr>
                <w:rFonts w:hint="eastAsia" w:ascii="微软雅黑" w:hAnsi="微软雅黑" w:eastAsia="微软雅黑" w:cs="微软雅黑"/>
                <w:b/>
                <w:bCs/>
                <w:color w:val="auto"/>
                <w:kern w:val="0"/>
                <w:sz w:val="22"/>
                <w:szCs w:val="22"/>
                <w:highlight w:val="none"/>
              </w:rPr>
            </w:pPr>
            <w:r>
              <w:rPr>
                <w:rFonts w:hint="eastAsia" w:ascii="微软雅黑" w:hAnsi="微软雅黑" w:eastAsia="微软雅黑" w:cs="微软雅黑"/>
                <w:b/>
                <w:bCs/>
                <w:color w:val="auto"/>
                <w:kern w:val="0"/>
                <w:sz w:val="22"/>
                <w:szCs w:val="22"/>
                <w:highlight w:val="none"/>
              </w:rPr>
              <w:t>租赁和商务服务业</w:t>
            </w:r>
          </w:p>
        </w:tc>
        <w:tc>
          <w:tcPr>
            <w:tcW w:w="1660" w:type="dxa"/>
            <w:tcBorders>
              <w:top w:val="nil"/>
              <w:left w:val="nil"/>
              <w:bottom w:val="single" w:color="auto" w:sz="4" w:space="0"/>
              <w:right w:val="single" w:color="auto" w:sz="4" w:space="0"/>
            </w:tcBorders>
            <w:vAlign w:val="center"/>
          </w:tcPr>
          <w:p w14:paraId="448BCE95">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从业人员（X）</w:t>
            </w:r>
          </w:p>
        </w:tc>
        <w:tc>
          <w:tcPr>
            <w:tcW w:w="1466" w:type="dxa"/>
            <w:tcBorders>
              <w:top w:val="nil"/>
              <w:left w:val="nil"/>
              <w:bottom w:val="single" w:color="auto" w:sz="4" w:space="0"/>
              <w:right w:val="single" w:color="auto" w:sz="4" w:space="0"/>
            </w:tcBorders>
            <w:vAlign w:val="center"/>
          </w:tcPr>
          <w:p w14:paraId="732E5C19">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人</w:t>
            </w:r>
          </w:p>
        </w:tc>
        <w:tc>
          <w:tcPr>
            <w:tcW w:w="1903" w:type="dxa"/>
            <w:tcBorders>
              <w:top w:val="nil"/>
              <w:left w:val="nil"/>
              <w:bottom w:val="single" w:color="auto" w:sz="4" w:space="0"/>
              <w:right w:val="single" w:color="auto" w:sz="4" w:space="0"/>
            </w:tcBorders>
            <w:vAlign w:val="center"/>
          </w:tcPr>
          <w:p w14:paraId="72DE7392">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100≤X＜300</w:t>
            </w:r>
          </w:p>
        </w:tc>
        <w:tc>
          <w:tcPr>
            <w:tcW w:w="1692" w:type="dxa"/>
            <w:tcBorders>
              <w:top w:val="nil"/>
              <w:left w:val="nil"/>
              <w:bottom w:val="single" w:color="auto" w:sz="4" w:space="0"/>
              <w:right w:val="single" w:color="auto" w:sz="4" w:space="0"/>
            </w:tcBorders>
            <w:vAlign w:val="center"/>
          </w:tcPr>
          <w:p w14:paraId="20601941">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10≤X＜100</w:t>
            </w:r>
          </w:p>
        </w:tc>
        <w:tc>
          <w:tcPr>
            <w:tcW w:w="1087" w:type="dxa"/>
            <w:tcBorders>
              <w:top w:val="nil"/>
              <w:left w:val="nil"/>
              <w:bottom w:val="single" w:color="auto" w:sz="4" w:space="0"/>
              <w:right w:val="single" w:color="auto" w:sz="4" w:space="0"/>
            </w:tcBorders>
            <w:vAlign w:val="center"/>
          </w:tcPr>
          <w:p w14:paraId="77D76332">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X＜10</w:t>
            </w:r>
          </w:p>
        </w:tc>
      </w:tr>
      <w:tr w14:paraId="6D2DAA97">
        <w:tblPrEx>
          <w:tblCellMar>
            <w:top w:w="0" w:type="dxa"/>
            <w:left w:w="108" w:type="dxa"/>
            <w:bottom w:w="0" w:type="dxa"/>
            <w:right w:w="108" w:type="dxa"/>
          </w:tblCellMar>
        </w:tblPrEx>
        <w:trPr>
          <w:trHeight w:val="199" w:hRule="atLeast"/>
          <w:jc w:val="center"/>
        </w:trPr>
        <w:tc>
          <w:tcPr>
            <w:tcW w:w="1570" w:type="dxa"/>
            <w:vMerge w:val="continue"/>
            <w:tcBorders>
              <w:top w:val="nil"/>
              <w:left w:val="single" w:color="auto" w:sz="4" w:space="0"/>
              <w:bottom w:val="single" w:color="auto" w:sz="4" w:space="0"/>
              <w:right w:val="single" w:color="auto" w:sz="4" w:space="0"/>
            </w:tcBorders>
            <w:vAlign w:val="center"/>
          </w:tcPr>
          <w:p w14:paraId="6745A944">
            <w:pPr>
              <w:widowControl/>
              <w:snapToGrid w:val="0"/>
              <w:contextualSpacing/>
              <w:jc w:val="center"/>
              <w:rPr>
                <w:rFonts w:hint="eastAsia" w:ascii="微软雅黑" w:hAnsi="微软雅黑" w:eastAsia="微软雅黑" w:cs="微软雅黑"/>
                <w:b/>
                <w:bCs/>
                <w:color w:val="auto"/>
                <w:kern w:val="0"/>
                <w:sz w:val="22"/>
                <w:szCs w:val="22"/>
                <w:highlight w:val="none"/>
              </w:rPr>
            </w:pPr>
          </w:p>
        </w:tc>
        <w:tc>
          <w:tcPr>
            <w:tcW w:w="1660" w:type="dxa"/>
            <w:tcBorders>
              <w:top w:val="nil"/>
              <w:left w:val="nil"/>
              <w:bottom w:val="single" w:color="auto" w:sz="4" w:space="0"/>
              <w:right w:val="single" w:color="auto" w:sz="4" w:space="0"/>
            </w:tcBorders>
            <w:vAlign w:val="center"/>
          </w:tcPr>
          <w:p w14:paraId="3C18BBF1">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资产总额（Z）</w:t>
            </w:r>
          </w:p>
        </w:tc>
        <w:tc>
          <w:tcPr>
            <w:tcW w:w="1466" w:type="dxa"/>
            <w:tcBorders>
              <w:top w:val="nil"/>
              <w:left w:val="nil"/>
              <w:bottom w:val="single" w:color="auto" w:sz="4" w:space="0"/>
              <w:right w:val="single" w:color="auto" w:sz="4" w:space="0"/>
            </w:tcBorders>
            <w:vAlign w:val="center"/>
          </w:tcPr>
          <w:p w14:paraId="31352AAB">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万元</w:t>
            </w:r>
          </w:p>
        </w:tc>
        <w:tc>
          <w:tcPr>
            <w:tcW w:w="1903" w:type="dxa"/>
            <w:tcBorders>
              <w:top w:val="nil"/>
              <w:left w:val="nil"/>
              <w:bottom w:val="single" w:color="auto" w:sz="4" w:space="0"/>
              <w:right w:val="single" w:color="auto" w:sz="4" w:space="0"/>
            </w:tcBorders>
            <w:vAlign w:val="center"/>
          </w:tcPr>
          <w:p w14:paraId="34DE0394">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8000≤Z＜120000</w:t>
            </w:r>
          </w:p>
        </w:tc>
        <w:tc>
          <w:tcPr>
            <w:tcW w:w="1692" w:type="dxa"/>
            <w:tcBorders>
              <w:top w:val="nil"/>
              <w:left w:val="nil"/>
              <w:bottom w:val="single" w:color="auto" w:sz="4" w:space="0"/>
              <w:right w:val="single" w:color="auto" w:sz="4" w:space="0"/>
            </w:tcBorders>
            <w:vAlign w:val="center"/>
          </w:tcPr>
          <w:p w14:paraId="270C5620">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100≤Z＜8000</w:t>
            </w:r>
          </w:p>
        </w:tc>
        <w:tc>
          <w:tcPr>
            <w:tcW w:w="1087" w:type="dxa"/>
            <w:tcBorders>
              <w:top w:val="nil"/>
              <w:left w:val="nil"/>
              <w:bottom w:val="single" w:color="auto" w:sz="4" w:space="0"/>
              <w:right w:val="single" w:color="auto" w:sz="4" w:space="0"/>
            </w:tcBorders>
            <w:vAlign w:val="center"/>
          </w:tcPr>
          <w:p w14:paraId="57603F8B">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Y＜100</w:t>
            </w:r>
          </w:p>
        </w:tc>
      </w:tr>
      <w:tr w14:paraId="390C91F6">
        <w:tblPrEx>
          <w:tblCellMar>
            <w:top w:w="0" w:type="dxa"/>
            <w:left w:w="108" w:type="dxa"/>
            <w:bottom w:w="0" w:type="dxa"/>
            <w:right w:w="108" w:type="dxa"/>
          </w:tblCellMar>
        </w:tblPrEx>
        <w:trPr>
          <w:trHeight w:val="199" w:hRule="atLeast"/>
          <w:jc w:val="center"/>
        </w:trPr>
        <w:tc>
          <w:tcPr>
            <w:tcW w:w="1570" w:type="dxa"/>
            <w:tcBorders>
              <w:top w:val="nil"/>
              <w:left w:val="single" w:color="auto" w:sz="4" w:space="0"/>
              <w:bottom w:val="single" w:color="auto" w:sz="4" w:space="0"/>
              <w:right w:val="single" w:color="auto" w:sz="4" w:space="0"/>
            </w:tcBorders>
            <w:vAlign w:val="center"/>
          </w:tcPr>
          <w:p w14:paraId="1B4D0D21">
            <w:pPr>
              <w:widowControl/>
              <w:snapToGrid w:val="0"/>
              <w:contextualSpacing/>
              <w:jc w:val="center"/>
              <w:rPr>
                <w:rFonts w:hint="eastAsia" w:ascii="微软雅黑" w:hAnsi="微软雅黑" w:eastAsia="微软雅黑" w:cs="微软雅黑"/>
                <w:b/>
                <w:bCs/>
                <w:color w:val="auto"/>
                <w:kern w:val="0"/>
                <w:sz w:val="22"/>
                <w:szCs w:val="22"/>
                <w:highlight w:val="none"/>
              </w:rPr>
            </w:pPr>
            <w:r>
              <w:rPr>
                <w:rFonts w:hint="eastAsia" w:ascii="微软雅黑" w:hAnsi="微软雅黑" w:eastAsia="微软雅黑" w:cs="微软雅黑"/>
                <w:b/>
                <w:bCs/>
                <w:color w:val="auto"/>
                <w:kern w:val="0"/>
                <w:sz w:val="22"/>
                <w:szCs w:val="22"/>
                <w:highlight w:val="none"/>
              </w:rPr>
              <w:t>其他未列明行业</w:t>
            </w:r>
          </w:p>
        </w:tc>
        <w:tc>
          <w:tcPr>
            <w:tcW w:w="1660" w:type="dxa"/>
            <w:tcBorders>
              <w:top w:val="nil"/>
              <w:left w:val="nil"/>
              <w:bottom w:val="single" w:color="auto" w:sz="4" w:space="0"/>
              <w:right w:val="single" w:color="auto" w:sz="4" w:space="0"/>
            </w:tcBorders>
            <w:vAlign w:val="center"/>
          </w:tcPr>
          <w:p w14:paraId="13C36CE8">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从业人员（X）</w:t>
            </w:r>
          </w:p>
        </w:tc>
        <w:tc>
          <w:tcPr>
            <w:tcW w:w="1466" w:type="dxa"/>
            <w:tcBorders>
              <w:top w:val="nil"/>
              <w:left w:val="nil"/>
              <w:bottom w:val="single" w:color="auto" w:sz="4" w:space="0"/>
              <w:right w:val="single" w:color="auto" w:sz="4" w:space="0"/>
            </w:tcBorders>
            <w:vAlign w:val="center"/>
          </w:tcPr>
          <w:p w14:paraId="7C3380BE">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人</w:t>
            </w:r>
          </w:p>
        </w:tc>
        <w:tc>
          <w:tcPr>
            <w:tcW w:w="1903" w:type="dxa"/>
            <w:tcBorders>
              <w:top w:val="nil"/>
              <w:left w:val="nil"/>
              <w:bottom w:val="single" w:color="auto" w:sz="4" w:space="0"/>
              <w:right w:val="single" w:color="auto" w:sz="4" w:space="0"/>
            </w:tcBorders>
            <w:vAlign w:val="center"/>
          </w:tcPr>
          <w:p w14:paraId="06EF7E62">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100≤X＜300</w:t>
            </w:r>
          </w:p>
        </w:tc>
        <w:tc>
          <w:tcPr>
            <w:tcW w:w="1692" w:type="dxa"/>
            <w:tcBorders>
              <w:top w:val="nil"/>
              <w:left w:val="nil"/>
              <w:bottom w:val="single" w:color="auto" w:sz="4" w:space="0"/>
              <w:right w:val="single" w:color="auto" w:sz="4" w:space="0"/>
            </w:tcBorders>
            <w:vAlign w:val="center"/>
          </w:tcPr>
          <w:p w14:paraId="1EC0871C">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10≤X＜100</w:t>
            </w:r>
          </w:p>
        </w:tc>
        <w:tc>
          <w:tcPr>
            <w:tcW w:w="1087" w:type="dxa"/>
            <w:tcBorders>
              <w:top w:val="nil"/>
              <w:left w:val="nil"/>
              <w:bottom w:val="single" w:color="auto" w:sz="4" w:space="0"/>
              <w:right w:val="single" w:color="auto" w:sz="4" w:space="0"/>
            </w:tcBorders>
            <w:vAlign w:val="center"/>
          </w:tcPr>
          <w:p w14:paraId="32409D66">
            <w:pPr>
              <w:widowControl/>
              <w:snapToGrid w:val="0"/>
              <w:contextualSpacing/>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X＜10</w:t>
            </w:r>
          </w:p>
        </w:tc>
      </w:tr>
    </w:tbl>
    <w:p w14:paraId="69801C54">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1" w:after="0" w:afterAutospacing="1" w:line="400" w:lineRule="exact"/>
        <w:ind w:left="0" w:right="0" w:firstLine="386"/>
        <w:jc w:val="left"/>
        <w:textAlignment w:val="auto"/>
        <w:rPr>
          <w:rFonts w:hint="eastAsia" w:ascii="微软雅黑" w:hAnsi="微软雅黑" w:eastAsia="微软雅黑" w:cs="微软雅黑"/>
          <w:i w:val="0"/>
          <w:iCs w:val="0"/>
          <w:caps w:val="0"/>
          <w:color w:val="auto"/>
          <w:spacing w:val="0"/>
          <w:kern w:val="0"/>
          <w:sz w:val="22"/>
          <w:szCs w:val="22"/>
          <w:highlight w:val="none"/>
          <w:shd w:val="clear" w:color="auto" w:fill="FFFFFF"/>
          <w:lang w:val="en-US" w:eastAsia="zh-CN"/>
        </w:rPr>
      </w:pPr>
      <w:r>
        <w:rPr>
          <w:rFonts w:hint="eastAsia" w:ascii="微软雅黑" w:hAnsi="微软雅黑" w:eastAsia="微软雅黑" w:cs="微软雅黑"/>
          <w:b/>
          <w:bCs/>
          <w:i w:val="0"/>
          <w:iCs w:val="0"/>
          <w:caps w:val="0"/>
          <w:color w:val="auto"/>
          <w:spacing w:val="0"/>
          <w:kern w:val="0"/>
          <w:sz w:val="22"/>
          <w:szCs w:val="22"/>
          <w:highlight w:val="none"/>
          <w:shd w:val="clear" w:color="auto" w:fill="FFFFFF"/>
          <w:lang w:val="en-US" w:eastAsia="zh-CN"/>
        </w:rPr>
        <w:t>说明：</w:t>
      </w:r>
      <w:r>
        <w:rPr>
          <w:rFonts w:hint="eastAsia" w:ascii="微软雅黑" w:hAnsi="微软雅黑" w:eastAsia="微软雅黑" w:cs="微软雅黑"/>
          <w:i w:val="0"/>
          <w:iCs w:val="0"/>
          <w:caps w:val="0"/>
          <w:color w:val="auto"/>
          <w:spacing w:val="0"/>
          <w:kern w:val="0"/>
          <w:sz w:val="22"/>
          <w:szCs w:val="22"/>
          <w:highlight w:val="none"/>
          <w:shd w:val="clear" w:color="auto" w:fill="FFFFFF"/>
          <w:lang w:val="en-US" w:eastAsia="zh-CN"/>
        </w:rPr>
        <w:t>上述标准参照《关于印发中小企业划型标准规定的通知》（工信部联企业[2011]300号），大型、中型和小型企业须同时满足所列指标的下限，否则下划一档；微型企业只须满足所列指标中的一项即可。</w:t>
      </w:r>
    </w:p>
    <w:p w14:paraId="2BB11568">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1" w:after="0" w:afterAutospacing="1" w:line="400" w:lineRule="exact"/>
        <w:ind w:left="0" w:right="0" w:firstLine="386"/>
        <w:jc w:val="left"/>
        <w:textAlignment w:val="auto"/>
        <w:rPr>
          <w:rFonts w:hint="eastAsia" w:ascii="微软雅黑" w:hAnsi="微软雅黑" w:eastAsia="微软雅黑" w:cs="微软雅黑"/>
          <w:i w:val="0"/>
          <w:iCs w:val="0"/>
          <w:caps w:val="0"/>
          <w:color w:val="auto"/>
          <w:spacing w:val="0"/>
          <w:kern w:val="0"/>
          <w:sz w:val="22"/>
          <w:szCs w:val="22"/>
          <w:highlight w:val="none"/>
          <w:shd w:val="clear" w:color="auto" w:fill="FFFFFF"/>
          <w:lang w:val="en-US" w:eastAsia="zh-CN"/>
        </w:rPr>
      </w:pPr>
      <w:r>
        <w:rPr>
          <w:rFonts w:hint="eastAsia" w:ascii="微软雅黑" w:hAnsi="微软雅黑" w:eastAsia="微软雅黑" w:cs="微软雅黑"/>
          <w:i w:val="0"/>
          <w:iCs w:val="0"/>
          <w:caps w:val="0"/>
          <w:color w:val="auto"/>
          <w:spacing w:val="0"/>
          <w:kern w:val="0"/>
          <w:sz w:val="22"/>
          <w:szCs w:val="22"/>
          <w:highlight w:val="none"/>
          <w:shd w:val="clear" w:color="auto" w:fill="FFFFFF"/>
          <w:lang w:val="en-US" w:eastAsia="zh-CN"/>
        </w:rPr>
        <w:t>本招标文件所称中小企业，是指在中华人民共和国境内依法设立，依据国务院批准的。</w:t>
      </w:r>
    </w:p>
    <w:p w14:paraId="09FBC2A1">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1" w:after="0" w:afterAutospacing="1" w:line="400" w:lineRule="exact"/>
        <w:ind w:left="0" w:right="0" w:firstLine="386"/>
        <w:jc w:val="left"/>
        <w:textAlignment w:val="auto"/>
        <w:rPr>
          <w:rFonts w:hint="eastAsia" w:ascii="微软雅黑" w:hAnsi="微软雅黑" w:eastAsia="微软雅黑" w:cs="微软雅黑"/>
          <w:i w:val="0"/>
          <w:iCs w:val="0"/>
          <w:caps w:val="0"/>
          <w:color w:val="auto"/>
          <w:spacing w:val="0"/>
          <w:kern w:val="0"/>
          <w:sz w:val="22"/>
          <w:szCs w:val="22"/>
          <w:highlight w:val="none"/>
          <w:shd w:val="clear" w:color="auto" w:fill="FFFFFF"/>
          <w:lang w:val="en-US" w:eastAsia="zh-CN"/>
        </w:rPr>
      </w:pPr>
      <w:r>
        <w:rPr>
          <w:rFonts w:hint="eastAsia" w:ascii="微软雅黑" w:hAnsi="微软雅黑" w:eastAsia="微软雅黑" w:cs="微软雅黑"/>
          <w:i w:val="0"/>
          <w:iCs w:val="0"/>
          <w:caps w:val="0"/>
          <w:color w:val="auto"/>
          <w:spacing w:val="0"/>
          <w:kern w:val="0"/>
          <w:sz w:val="22"/>
          <w:szCs w:val="22"/>
          <w:highlight w:val="none"/>
          <w:shd w:val="clear" w:color="auto" w:fill="FFFFFF"/>
          <w:lang w:val="en-US" w:eastAsia="zh-CN"/>
        </w:rPr>
        <w:t>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服务符合下列情形的，享受本招标文件规定的中小企业扶持政策：</w:t>
      </w:r>
    </w:p>
    <w:p w14:paraId="5F74FC3E">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1" w:after="0" w:afterAutospacing="1" w:line="400" w:lineRule="exact"/>
        <w:ind w:left="0" w:right="0" w:firstLine="386"/>
        <w:jc w:val="left"/>
        <w:textAlignment w:val="auto"/>
        <w:rPr>
          <w:rFonts w:hint="eastAsia" w:ascii="微软雅黑" w:hAnsi="微软雅黑" w:eastAsia="微软雅黑" w:cs="微软雅黑"/>
          <w:i w:val="0"/>
          <w:iCs w:val="0"/>
          <w:caps w:val="0"/>
          <w:color w:val="auto"/>
          <w:spacing w:val="0"/>
          <w:kern w:val="0"/>
          <w:sz w:val="22"/>
          <w:szCs w:val="22"/>
          <w:highlight w:val="none"/>
          <w:shd w:val="clear" w:color="auto" w:fill="FFFFFF"/>
          <w:lang w:val="en-US" w:eastAsia="zh-CN"/>
        </w:rPr>
      </w:pPr>
      <w:r>
        <w:rPr>
          <w:rFonts w:hint="eastAsia" w:ascii="微软雅黑" w:hAnsi="微软雅黑" w:eastAsia="微软雅黑" w:cs="微软雅黑"/>
          <w:i w:val="0"/>
          <w:iCs w:val="0"/>
          <w:caps w:val="0"/>
          <w:color w:val="auto"/>
          <w:spacing w:val="0"/>
          <w:kern w:val="0"/>
          <w:sz w:val="22"/>
          <w:szCs w:val="22"/>
          <w:highlight w:val="none"/>
          <w:shd w:val="clear" w:color="auto" w:fill="FFFFFF"/>
          <w:lang w:val="en-US" w:eastAsia="zh-CN"/>
        </w:rPr>
        <w:t>（1）在货物采购项目中，货物由中小企业制造，即货物由中小企业生产且使用该中小企业商号或者注册商标，不对其中涉及的工程承建商和服务的承接商作出要求；</w:t>
      </w:r>
    </w:p>
    <w:p w14:paraId="320B0AFD">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1" w:after="0" w:afterAutospacing="1" w:line="400" w:lineRule="exact"/>
        <w:ind w:left="0" w:right="0" w:firstLine="386"/>
        <w:jc w:val="left"/>
        <w:textAlignment w:val="auto"/>
        <w:rPr>
          <w:rFonts w:hint="eastAsia" w:ascii="微软雅黑" w:hAnsi="微软雅黑" w:eastAsia="微软雅黑" w:cs="微软雅黑"/>
          <w:i w:val="0"/>
          <w:iCs w:val="0"/>
          <w:caps w:val="0"/>
          <w:color w:val="auto"/>
          <w:spacing w:val="0"/>
          <w:kern w:val="0"/>
          <w:sz w:val="22"/>
          <w:szCs w:val="22"/>
          <w:highlight w:val="none"/>
          <w:shd w:val="clear" w:color="auto" w:fill="FFFFFF"/>
          <w:lang w:val="en-US" w:eastAsia="zh-CN"/>
        </w:rPr>
      </w:pPr>
      <w:r>
        <w:rPr>
          <w:rFonts w:hint="eastAsia" w:ascii="微软雅黑" w:hAnsi="微软雅黑" w:eastAsia="微软雅黑" w:cs="微软雅黑"/>
          <w:i w:val="0"/>
          <w:iCs w:val="0"/>
          <w:caps w:val="0"/>
          <w:color w:val="auto"/>
          <w:spacing w:val="0"/>
          <w:kern w:val="0"/>
          <w:sz w:val="22"/>
          <w:szCs w:val="22"/>
          <w:highlight w:val="none"/>
          <w:shd w:val="clear" w:color="auto" w:fill="FFFFFF"/>
          <w:lang w:val="en-US" w:eastAsia="zh-CN"/>
        </w:rPr>
        <w:t>（2）在工程采购项目中，工程由中小企业承建，即工程施工单位为中小企业，不对其中涉及的货物的制造商和服务的承接商作出要求；</w:t>
      </w:r>
    </w:p>
    <w:p w14:paraId="3D81ACA9">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1" w:after="0" w:afterAutospacing="1" w:line="400" w:lineRule="exact"/>
        <w:ind w:left="0" w:right="0" w:firstLine="386"/>
        <w:jc w:val="left"/>
        <w:textAlignment w:val="auto"/>
        <w:rPr>
          <w:rFonts w:hint="eastAsia" w:ascii="微软雅黑" w:hAnsi="微软雅黑" w:eastAsia="微软雅黑" w:cs="微软雅黑"/>
          <w:i w:val="0"/>
          <w:iCs w:val="0"/>
          <w:caps w:val="0"/>
          <w:color w:val="auto"/>
          <w:spacing w:val="0"/>
          <w:kern w:val="0"/>
          <w:sz w:val="22"/>
          <w:szCs w:val="22"/>
          <w:highlight w:val="none"/>
          <w:shd w:val="clear" w:color="auto" w:fill="FFFFFF"/>
          <w:lang w:val="en-US" w:eastAsia="zh-CN"/>
        </w:rPr>
      </w:pPr>
      <w:r>
        <w:rPr>
          <w:rFonts w:hint="eastAsia" w:ascii="微软雅黑" w:hAnsi="微软雅黑" w:eastAsia="微软雅黑" w:cs="微软雅黑"/>
          <w:i w:val="0"/>
          <w:iCs w:val="0"/>
          <w:caps w:val="0"/>
          <w:color w:val="auto"/>
          <w:spacing w:val="0"/>
          <w:kern w:val="0"/>
          <w:sz w:val="22"/>
          <w:szCs w:val="22"/>
          <w:highlight w:val="none"/>
          <w:shd w:val="clear" w:color="auto" w:fill="FFFFFF"/>
          <w:lang w:val="en-US" w:eastAsia="zh-CN"/>
        </w:rPr>
        <w:t>（3）在服务采购项目中，服务由中小企业承接，即提供服务的人员为中小企业依照《中华人民共和国劳动合同法》订立劳动合同的从业人员，不对其中涉及的货物的制造商和工程承建商作出要求。</w:t>
      </w:r>
    </w:p>
    <w:p w14:paraId="59875FD8">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1" w:after="0" w:afterAutospacing="1" w:line="400" w:lineRule="exact"/>
        <w:ind w:left="0" w:right="0" w:firstLine="386"/>
        <w:jc w:val="left"/>
        <w:textAlignment w:val="auto"/>
        <w:rPr>
          <w:rFonts w:hint="eastAsia" w:ascii="微软雅黑" w:hAnsi="微软雅黑" w:eastAsia="微软雅黑" w:cs="微软雅黑"/>
          <w:i w:val="0"/>
          <w:iCs w:val="0"/>
          <w:caps w:val="0"/>
          <w:color w:val="auto"/>
          <w:spacing w:val="0"/>
          <w:kern w:val="0"/>
          <w:sz w:val="22"/>
          <w:szCs w:val="22"/>
          <w:highlight w:val="none"/>
          <w:shd w:val="clear" w:color="auto" w:fill="FFFFFF"/>
          <w:lang w:val="en-US" w:eastAsia="zh-CN"/>
        </w:rPr>
      </w:pPr>
      <w:r>
        <w:rPr>
          <w:rFonts w:hint="eastAsia" w:ascii="微软雅黑" w:hAnsi="微软雅黑" w:eastAsia="微软雅黑" w:cs="微软雅黑"/>
          <w:i w:val="0"/>
          <w:iCs w:val="0"/>
          <w:caps w:val="0"/>
          <w:color w:val="auto"/>
          <w:spacing w:val="0"/>
          <w:kern w:val="0"/>
          <w:sz w:val="22"/>
          <w:szCs w:val="22"/>
          <w:highlight w:val="none"/>
          <w:shd w:val="clear" w:color="auto" w:fill="FFFFFF"/>
          <w:lang w:val="en-US" w:eastAsia="zh-CN"/>
        </w:rPr>
        <w:t>在货物采购项目中，供应商提供的货物既有中小企业制造货物，也有大型企业制造货物的，不享受本招标文件规定的中小企业扶持政策。以联合体形式参加政府采购活动，联合体各方均为中小企业的，联合体视同中小企业。其中，联合体各方均为小微企业的，联合体视同小微企业。</w:t>
      </w:r>
    </w:p>
    <w:p w14:paraId="3E6BF45A">
      <w:pPr>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1" w:after="0" w:afterAutospacing="1" w:line="400" w:lineRule="exact"/>
        <w:ind w:left="0" w:right="0" w:firstLine="384"/>
        <w:jc w:val="left"/>
        <w:textAlignment w:val="auto"/>
        <w:rPr>
          <w:rFonts w:hint="eastAsia" w:ascii="微软雅黑" w:hAnsi="微软雅黑" w:eastAsia="微软雅黑" w:cs="微软雅黑"/>
          <w:i w:val="0"/>
          <w:iCs w:val="0"/>
          <w:caps w:val="0"/>
          <w:color w:val="auto"/>
          <w:spacing w:val="0"/>
          <w:kern w:val="0"/>
          <w:sz w:val="22"/>
          <w:szCs w:val="22"/>
          <w:highlight w:val="none"/>
          <w:shd w:val="clear" w:color="auto" w:fill="FFFFFF"/>
          <w:lang w:val="en-US" w:eastAsia="zh-CN"/>
        </w:rPr>
      </w:pPr>
      <w:r>
        <w:rPr>
          <w:rFonts w:hint="eastAsia" w:ascii="微软雅黑" w:hAnsi="微软雅黑" w:eastAsia="微软雅黑" w:cs="微软雅黑"/>
          <w:i w:val="0"/>
          <w:iCs w:val="0"/>
          <w:caps w:val="0"/>
          <w:color w:val="auto"/>
          <w:spacing w:val="0"/>
          <w:kern w:val="0"/>
          <w:sz w:val="22"/>
          <w:szCs w:val="22"/>
          <w:highlight w:val="none"/>
          <w:shd w:val="clear" w:color="auto" w:fill="FFFFFF"/>
          <w:lang w:val="en-US" w:eastAsia="zh-CN"/>
        </w:rPr>
        <w:t>依据本招标文件规定享受扶持政策获得政府采购合同的，小微企业不得将合同分包给大中型企业，中型企业不得将合同分包给大型企业。</w:t>
      </w:r>
    </w:p>
    <w:p w14:paraId="681D9C0F">
      <w:pPr>
        <w:pStyle w:val="14"/>
        <w:rPr>
          <w:rFonts w:hint="eastAsia" w:ascii="微软雅黑" w:hAnsi="微软雅黑" w:eastAsia="微软雅黑" w:cs="微软雅黑"/>
          <w:sz w:val="20"/>
          <w:szCs w:val="22"/>
          <w:highlight w:val="none"/>
          <w:lang w:val="en-US" w:eastAsia="zh-CN"/>
        </w:rPr>
      </w:pPr>
    </w:p>
    <w:p w14:paraId="13FDA06F">
      <w:pPr>
        <w:pStyle w:val="3"/>
        <w:spacing w:before="0" w:line="400" w:lineRule="exact"/>
        <w:jc w:val="center"/>
        <w:rPr>
          <w:rFonts w:hint="eastAsia" w:ascii="微软雅黑" w:hAnsi="微软雅黑" w:eastAsia="微软雅黑" w:cs="微软雅黑"/>
          <w:color w:val="auto"/>
          <w:sz w:val="22"/>
          <w:szCs w:val="22"/>
          <w:highlight w:val="none"/>
        </w:rPr>
      </w:pPr>
      <w:bookmarkStart w:id="1571" w:name="_Toc19993"/>
      <w:bookmarkStart w:id="1572" w:name="_Toc7541"/>
      <w:r>
        <w:rPr>
          <w:rFonts w:hint="eastAsia" w:ascii="微软雅黑" w:hAnsi="微软雅黑" w:eastAsia="微软雅黑" w:cs="微软雅黑"/>
          <w:color w:val="auto"/>
          <w:sz w:val="22"/>
          <w:szCs w:val="22"/>
          <w:highlight w:val="none"/>
        </w:rPr>
        <w:t xml:space="preserve">6-2  </w:t>
      </w:r>
      <w:bookmarkEnd w:id="1564"/>
      <w:bookmarkEnd w:id="1565"/>
      <w:bookmarkEnd w:id="1566"/>
      <w:bookmarkEnd w:id="1567"/>
      <w:bookmarkEnd w:id="1568"/>
      <w:bookmarkEnd w:id="1569"/>
      <w:bookmarkEnd w:id="1570"/>
      <w:bookmarkStart w:id="1573" w:name="OLE_LINK14"/>
      <w:bookmarkStart w:id="1574" w:name="_Toc19284"/>
      <w:bookmarkStart w:id="1575" w:name="_Toc23068"/>
      <w:bookmarkStart w:id="1576" w:name="_Toc15294"/>
      <w:bookmarkStart w:id="1577" w:name="OLE_LINK13"/>
      <w:bookmarkStart w:id="1578" w:name="_Toc19312"/>
      <w:bookmarkStart w:id="1579" w:name="_Toc31700"/>
      <w:bookmarkStart w:id="1580" w:name="_Toc11516"/>
      <w:bookmarkStart w:id="1581" w:name="_Toc515647825"/>
      <w:r>
        <w:rPr>
          <w:rFonts w:hint="eastAsia" w:ascii="微软雅黑" w:hAnsi="微软雅黑" w:eastAsia="微软雅黑" w:cs="微软雅黑"/>
          <w:color w:val="auto"/>
          <w:sz w:val="22"/>
          <w:szCs w:val="22"/>
          <w:highlight w:val="none"/>
        </w:rPr>
        <w:t>残疾人福利性单位声明函</w:t>
      </w:r>
      <w:bookmarkEnd w:id="1571"/>
      <w:bookmarkEnd w:id="1572"/>
      <w:bookmarkEnd w:id="1573"/>
      <w:bookmarkEnd w:id="1574"/>
      <w:bookmarkEnd w:id="1575"/>
      <w:bookmarkEnd w:id="1576"/>
      <w:bookmarkEnd w:id="1577"/>
      <w:bookmarkEnd w:id="1578"/>
      <w:bookmarkEnd w:id="1579"/>
      <w:bookmarkEnd w:id="1580"/>
      <w:bookmarkEnd w:id="1581"/>
    </w:p>
    <w:p w14:paraId="1089AE2B">
      <w:pPr>
        <w:spacing w:line="400" w:lineRule="exact"/>
        <w:ind w:left="1080" w:leftChars="257" w:hanging="540"/>
        <w:jc w:val="center"/>
        <w:rPr>
          <w:rFonts w:hint="eastAsia" w:ascii="微软雅黑" w:hAnsi="微软雅黑" w:eastAsia="微软雅黑" w:cs="微软雅黑"/>
          <w:b/>
          <w:bCs/>
          <w:color w:val="auto"/>
          <w:kern w:val="0"/>
          <w:sz w:val="22"/>
          <w:szCs w:val="22"/>
          <w:highlight w:val="none"/>
          <w:lang w:eastAsia="zh-CN"/>
        </w:rPr>
      </w:pPr>
      <w:r>
        <w:rPr>
          <w:rFonts w:hint="eastAsia" w:ascii="微软雅黑" w:hAnsi="微软雅黑" w:eastAsia="微软雅黑" w:cs="微软雅黑"/>
          <w:b/>
          <w:bCs/>
          <w:color w:val="auto"/>
          <w:kern w:val="0"/>
          <w:sz w:val="22"/>
          <w:szCs w:val="22"/>
          <w:highlight w:val="none"/>
          <w:lang w:eastAsia="zh-CN"/>
        </w:rPr>
        <w:t>（注：如不为残疾人福利性单位无需提供此项，可自行删除或不填写）</w:t>
      </w:r>
    </w:p>
    <w:p w14:paraId="4343F6EB">
      <w:pPr>
        <w:spacing w:line="400" w:lineRule="exact"/>
        <w:ind w:firstLine="567"/>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w:t>
      </w:r>
      <w:r>
        <w:rPr>
          <w:rFonts w:hint="eastAsia" w:ascii="微软雅黑" w:hAnsi="微软雅黑" w:eastAsia="微软雅黑" w:cs="微软雅黑"/>
          <w:color w:val="auto"/>
          <w:kern w:val="0"/>
          <w:sz w:val="22"/>
          <w:szCs w:val="22"/>
          <w:highlight w:val="none"/>
          <w:lang w:val="en-US" w:eastAsia="zh-CN"/>
        </w:rPr>
        <w:t>货物</w:t>
      </w:r>
      <w:r>
        <w:rPr>
          <w:rFonts w:hint="eastAsia" w:ascii="微软雅黑" w:hAnsi="微软雅黑" w:eastAsia="微软雅黑" w:cs="微软雅黑"/>
          <w:color w:val="auto"/>
          <w:kern w:val="0"/>
          <w:sz w:val="22"/>
          <w:szCs w:val="22"/>
          <w:highlight w:val="none"/>
        </w:rPr>
        <w:t>，或者提供其他残疾人福利性单位制造的</w:t>
      </w:r>
      <w:r>
        <w:rPr>
          <w:rFonts w:hint="eastAsia" w:ascii="微软雅黑" w:hAnsi="微软雅黑" w:eastAsia="微软雅黑" w:cs="微软雅黑"/>
          <w:color w:val="auto"/>
          <w:kern w:val="0"/>
          <w:sz w:val="22"/>
          <w:szCs w:val="22"/>
          <w:highlight w:val="none"/>
          <w:lang w:val="en-US" w:eastAsia="zh-CN"/>
        </w:rPr>
        <w:t>货物</w:t>
      </w:r>
      <w:r>
        <w:rPr>
          <w:rFonts w:hint="eastAsia" w:ascii="微软雅黑" w:hAnsi="微软雅黑" w:eastAsia="微软雅黑" w:cs="微软雅黑"/>
          <w:color w:val="auto"/>
          <w:kern w:val="0"/>
          <w:sz w:val="22"/>
          <w:szCs w:val="22"/>
          <w:highlight w:val="none"/>
        </w:rPr>
        <w:t>（不包括使用非残疾人福利性单位注册商标的</w:t>
      </w:r>
      <w:r>
        <w:rPr>
          <w:rFonts w:hint="eastAsia" w:ascii="微软雅黑" w:hAnsi="微软雅黑" w:eastAsia="微软雅黑" w:cs="微软雅黑"/>
          <w:color w:val="auto"/>
          <w:kern w:val="0"/>
          <w:sz w:val="22"/>
          <w:szCs w:val="22"/>
          <w:highlight w:val="none"/>
          <w:lang w:val="en-US" w:eastAsia="zh-CN"/>
        </w:rPr>
        <w:t>货物</w:t>
      </w:r>
      <w:r>
        <w:rPr>
          <w:rFonts w:hint="eastAsia" w:ascii="微软雅黑" w:hAnsi="微软雅黑" w:eastAsia="微软雅黑" w:cs="微软雅黑"/>
          <w:color w:val="auto"/>
          <w:kern w:val="0"/>
          <w:sz w:val="22"/>
          <w:szCs w:val="22"/>
          <w:highlight w:val="none"/>
        </w:rPr>
        <w:t>）。</w:t>
      </w:r>
    </w:p>
    <w:p w14:paraId="7AA94F81">
      <w:pPr>
        <w:spacing w:line="400" w:lineRule="exact"/>
        <w:ind w:left="1080" w:leftChars="257" w:hanging="540"/>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本单位对上述声明的真实性负责。如有虚假，将依法承担相应责任。</w:t>
      </w:r>
    </w:p>
    <w:p w14:paraId="54AFEEE4">
      <w:pPr>
        <w:spacing w:line="400" w:lineRule="exact"/>
        <w:ind w:left="1080" w:leftChars="257" w:hanging="540"/>
        <w:jc w:val="center"/>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 xml:space="preserve">              残疾人福利性单位名称（公章）：______________</w:t>
      </w:r>
    </w:p>
    <w:p w14:paraId="5C5022C5">
      <w:pPr>
        <w:spacing w:line="400" w:lineRule="exact"/>
        <w:ind w:left="1080" w:leftChars="257" w:hanging="540"/>
        <w:jc w:val="center"/>
        <w:rPr>
          <w:rFonts w:hint="eastAsia" w:ascii="微软雅黑" w:hAnsi="微软雅黑" w:eastAsia="微软雅黑" w:cs="微软雅黑"/>
          <w:b/>
          <w:color w:val="auto"/>
          <w:kern w:val="0"/>
          <w:sz w:val="22"/>
          <w:szCs w:val="22"/>
          <w:highlight w:val="none"/>
        </w:rPr>
      </w:pPr>
      <w:r>
        <w:rPr>
          <w:rFonts w:hint="eastAsia" w:ascii="微软雅黑" w:hAnsi="微软雅黑" w:eastAsia="微软雅黑" w:cs="微软雅黑"/>
          <w:color w:val="auto"/>
          <w:kern w:val="0"/>
          <w:sz w:val="22"/>
          <w:szCs w:val="22"/>
          <w:highlight w:val="none"/>
        </w:rPr>
        <w:t xml:space="preserve"> </w:t>
      </w:r>
      <w:r>
        <w:rPr>
          <w:rFonts w:hint="eastAsia" w:ascii="微软雅黑" w:hAnsi="微软雅黑" w:eastAsia="微软雅黑" w:cs="微软雅黑"/>
          <w:color w:val="auto"/>
          <w:kern w:val="0"/>
          <w:sz w:val="22"/>
          <w:szCs w:val="22"/>
          <w:highlight w:val="none"/>
          <w:lang w:val="en-US" w:eastAsia="zh-CN"/>
        </w:rPr>
        <w:t xml:space="preserve">      </w:t>
      </w:r>
      <w:r>
        <w:rPr>
          <w:rFonts w:hint="eastAsia" w:ascii="微软雅黑" w:hAnsi="微软雅黑" w:eastAsia="微软雅黑" w:cs="微软雅黑"/>
          <w:color w:val="auto"/>
          <w:kern w:val="0"/>
          <w:sz w:val="22"/>
          <w:szCs w:val="22"/>
          <w:highlight w:val="none"/>
        </w:rPr>
        <w:t>日  期：_____________________________________________</w:t>
      </w:r>
    </w:p>
    <w:p w14:paraId="29DA7A5C">
      <w:pPr>
        <w:pStyle w:val="31"/>
        <w:spacing w:line="400" w:lineRule="exact"/>
        <w:ind w:firstLine="480"/>
        <w:rPr>
          <w:rFonts w:hint="eastAsia" w:ascii="微软雅黑" w:hAnsi="微软雅黑" w:eastAsia="微软雅黑" w:cs="微软雅黑"/>
          <w:color w:val="auto"/>
          <w:sz w:val="22"/>
          <w:szCs w:val="22"/>
          <w:highlight w:val="none"/>
        </w:rPr>
      </w:pPr>
    </w:p>
    <w:p w14:paraId="2B73BA2C">
      <w:pPr>
        <w:pStyle w:val="5"/>
        <w:rPr>
          <w:rFonts w:hint="eastAsia" w:ascii="微软雅黑" w:hAnsi="微软雅黑" w:eastAsia="微软雅黑" w:cs="微软雅黑"/>
          <w:color w:val="auto"/>
          <w:sz w:val="22"/>
          <w:szCs w:val="22"/>
          <w:highlight w:val="none"/>
        </w:rPr>
      </w:pPr>
    </w:p>
    <w:p w14:paraId="67B7EBDB">
      <w:pPr>
        <w:pStyle w:val="6"/>
        <w:rPr>
          <w:rFonts w:hint="eastAsia" w:ascii="微软雅黑" w:hAnsi="微软雅黑" w:eastAsia="微软雅黑" w:cs="微软雅黑"/>
          <w:color w:val="auto"/>
          <w:sz w:val="22"/>
          <w:szCs w:val="22"/>
          <w:highlight w:val="none"/>
        </w:rPr>
      </w:pPr>
    </w:p>
    <w:p w14:paraId="66C2AD92">
      <w:pPr>
        <w:rPr>
          <w:rFonts w:hint="eastAsia" w:ascii="微软雅黑" w:hAnsi="微软雅黑" w:eastAsia="微软雅黑" w:cs="微软雅黑"/>
          <w:sz w:val="20"/>
          <w:szCs w:val="22"/>
          <w:highlight w:val="none"/>
        </w:rPr>
      </w:pPr>
    </w:p>
    <w:p w14:paraId="5820EAFC">
      <w:pPr>
        <w:rPr>
          <w:rFonts w:hint="eastAsia" w:ascii="微软雅黑" w:hAnsi="微软雅黑" w:eastAsia="微软雅黑" w:cs="微软雅黑"/>
          <w:color w:val="auto"/>
          <w:sz w:val="22"/>
          <w:szCs w:val="22"/>
          <w:highlight w:val="none"/>
        </w:rPr>
      </w:pPr>
      <w:bookmarkStart w:id="1582" w:name="_Toc515647827"/>
      <w:bookmarkStart w:id="1583" w:name="_Toc16863"/>
      <w:bookmarkStart w:id="1584" w:name="_Toc30795"/>
      <w:bookmarkStart w:id="1585" w:name="_Toc6004"/>
      <w:bookmarkStart w:id="1586" w:name="_Toc26573"/>
      <w:bookmarkStart w:id="1587" w:name="_Toc28099"/>
      <w:bookmarkStart w:id="1588" w:name="_Toc22102"/>
      <w:bookmarkStart w:id="1589" w:name="_Toc23926"/>
      <w:bookmarkStart w:id="1590" w:name="_Toc17401"/>
      <w:r>
        <w:rPr>
          <w:rFonts w:hint="eastAsia" w:ascii="微软雅黑" w:hAnsi="微软雅黑" w:eastAsia="微软雅黑" w:cs="微软雅黑"/>
          <w:color w:val="auto"/>
          <w:sz w:val="22"/>
          <w:szCs w:val="22"/>
          <w:highlight w:val="none"/>
        </w:rPr>
        <w:br w:type="page"/>
      </w:r>
    </w:p>
    <w:p w14:paraId="671A84D1">
      <w:pPr>
        <w:jc w:val="center"/>
        <w:outlineLvl w:val="1"/>
        <w:rPr>
          <w:rFonts w:hint="eastAsia" w:ascii="微软雅黑" w:hAnsi="微软雅黑" w:eastAsia="微软雅黑" w:cs="微软雅黑"/>
          <w:b/>
          <w:bCs/>
          <w:color w:val="0000FF"/>
          <w:sz w:val="24"/>
          <w:highlight w:val="none"/>
        </w:rPr>
      </w:pPr>
      <w:bookmarkStart w:id="1591" w:name="_Toc12174"/>
      <w:r>
        <w:rPr>
          <w:rFonts w:hint="eastAsia" w:ascii="微软雅黑" w:hAnsi="微软雅黑" w:eastAsia="微软雅黑" w:cs="微软雅黑"/>
          <w:b/>
          <w:bCs/>
          <w:color w:val="auto"/>
          <w:sz w:val="22"/>
          <w:szCs w:val="22"/>
          <w:highlight w:val="none"/>
        </w:rPr>
        <w:t>7</w:t>
      </w:r>
      <w:r>
        <w:rPr>
          <w:rFonts w:hint="eastAsia" w:ascii="微软雅黑" w:hAnsi="微软雅黑" w:eastAsia="微软雅黑" w:cs="微软雅黑"/>
          <w:b/>
          <w:bCs/>
          <w:color w:val="auto"/>
          <w:sz w:val="22"/>
          <w:szCs w:val="22"/>
          <w:highlight w:val="none"/>
          <w:lang w:eastAsia="zh-CN"/>
        </w:rPr>
        <w:t>、</w:t>
      </w:r>
      <w:r>
        <w:rPr>
          <w:rFonts w:hint="eastAsia" w:ascii="微软雅黑" w:hAnsi="微软雅黑" w:eastAsia="微软雅黑" w:cs="微软雅黑"/>
          <w:b/>
          <w:bCs/>
          <w:color w:val="0000FF"/>
          <w:kern w:val="0"/>
          <w:sz w:val="24"/>
          <w:szCs w:val="24"/>
          <w:highlight w:val="none"/>
          <w:lang w:val="en-US" w:eastAsia="zh-CN" w:bidi="ar-SA"/>
        </w:rPr>
        <w:t>关于符合本国产品标准的声明函或财政部规定的其他证明文件</w:t>
      </w:r>
      <w:bookmarkEnd w:id="1591"/>
      <w:bookmarkStart w:id="1592" w:name="_Toc14371"/>
    </w:p>
    <w:p w14:paraId="702EF4B6">
      <w:pPr>
        <w:widowControl/>
        <w:jc w:val="center"/>
        <w:rPr>
          <w:rFonts w:hint="eastAsia" w:ascii="微软雅黑" w:hAnsi="微软雅黑" w:eastAsia="微软雅黑" w:cs="微软雅黑"/>
          <w:b/>
          <w:bCs/>
          <w:color w:val="0000FF"/>
          <w:sz w:val="24"/>
          <w:szCs w:val="24"/>
          <w:highlight w:val="none"/>
          <w:lang w:val="en-US" w:eastAsia="zh-CN"/>
        </w:rPr>
      </w:pPr>
      <w:r>
        <w:rPr>
          <w:rFonts w:hint="eastAsia" w:ascii="微软雅黑" w:hAnsi="微软雅黑" w:eastAsia="微软雅黑" w:cs="微软雅黑"/>
          <w:b/>
          <w:bCs/>
          <w:color w:val="0000FF"/>
          <w:sz w:val="24"/>
          <w:highlight w:val="none"/>
        </w:rPr>
        <w:t>（注：</w:t>
      </w:r>
      <w:r>
        <w:rPr>
          <w:rFonts w:hint="eastAsia" w:ascii="微软雅黑" w:hAnsi="微软雅黑" w:eastAsia="微软雅黑" w:cs="微软雅黑"/>
          <w:b/>
          <w:bCs/>
          <w:color w:val="0000FF"/>
          <w:sz w:val="24"/>
          <w:highlight w:val="none"/>
          <w:lang w:val="en-US" w:eastAsia="zh-CN"/>
        </w:rPr>
        <w:t>供应商可根据所投产品情况自行填写此声明函</w:t>
      </w:r>
      <w:r>
        <w:rPr>
          <w:rFonts w:hint="eastAsia" w:ascii="微软雅黑" w:hAnsi="微软雅黑" w:eastAsia="微软雅黑" w:cs="微软雅黑"/>
          <w:b/>
          <w:bCs/>
          <w:color w:val="0000FF"/>
          <w:sz w:val="24"/>
          <w:highlight w:val="none"/>
        </w:rPr>
        <w:t>，</w:t>
      </w:r>
      <w:r>
        <w:rPr>
          <w:rFonts w:hint="eastAsia" w:ascii="微软雅黑" w:hAnsi="微软雅黑" w:eastAsia="微软雅黑" w:cs="微软雅黑"/>
          <w:b/>
          <w:bCs/>
          <w:color w:val="0000FF"/>
          <w:sz w:val="24"/>
          <w:highlight w:val="none"/>
          <w:lang w:val="en-US" w:eastAsia="zh-CN"/>
        </w:rPr>
        <w:t>也</w:t>
      </w:r>
      <w:r>
        <w:rPr>
          <w:rFonts w:hint="eastAsia" w:ascii="微软雅黑" w:hAnsi="微软雅黑" w:eastAsia="微软雅黑" w:cs="微软雅黑"/>
          <w:b/>
          <w:bCs/>
          <w:color w:val="0000FF"/>
          <w:sz w:val="24"/>
          <w:highlight w:val="none"/>
        </w:rPr>
        <w:t>可自行删除</w:t>
      </w:r>
      <w:r>
        <w:rPr>
          <w:rFonts w:hint="eastAsia" w:ascii="微软雅黑" w:hAnsi="微软雅黑" w:eastAsia="微软雅黑" w:cs="微软雅黑"/>
          <w:b/>
          <w:bCs/>
          <w:color w:val="0000FF"/>
          <w:sz w:val="24"/>
          <w:highlight w:val="none"/>
          <w:lang w:val="en-US" w:eastAsia="zh-CN"/>
        </w:rPr>
        <w:t>或不填此项</w:t>
      </w:r>
      <w:r>
        <w:rPr>
          <w:rFonts w:hint="eastAsia" w:ascii="微软雅黑" w:hAnsi="微软雅黑" w:eastAsia="微软雅黑" w:cs="微软雅黑"/>
          <w:b/>
          <w:bCs/>
          <w:color w:val="0000FF"/>
          <w:sz w:val="24"/>
          <w:highlight w:val="none"/>
        </w:rPr>
        <w:t>）</w:t>
      </w:r>
      <w:bookmarkEnd w:id="1592"/>
    </w:p>
    <w:p w14:paraId="6103F3C6">
      <w:pPr>
        <w:jc w:val="center"/>
        <w:rPr>
          <w:rFonts w:hint="eastAsia" w:ascii="微软雅黑" w:hAnsi="微软雅黑" w:eastAsia="微软雅黑" w:cs="微软雅黑"/>
          <w:b/>
          <w:bCs/>
          <w:color w:val="0000FF"/>
          <w:sz w:val="24"/>
          <w:szCs w:val="24"/>
          <w:highlight w:val="none"/>
          <w:lang w:val="en-US" w:eastAsia="zh-CN"/>
        </w:rPr>
      </w:pPr>
      <w:r>
        <w:rPr>
          <w:rFonts w:hint="eastAsia" w:ascii="微软雅黑" w:hAnsi="微软雅黑" w:eastAsia="微软雅黑" w:cs="微软雅黑"/>
          <w:b/>
          <w:bCs/>
          <w:color w:val="0000FF"/>
          <w:sz w:val="24"/>
          <w:szCs w:val="24"/>
          <w:highlight w:val="none"/>
          <w:lang w:val="en-US" w:eastAsia="zh-CN"/>
        </w:rPr>
        <w:t>（一）关于符合本国产品标准的声明函</w:t>
      </w:r>
    </w:p>
    <w:p w14:paraId="08B40CF3">
      <w:pPr>
        <w:keepNext w:val="0"/>
        <w:keepLines w:val="0"/>
        <w:pageBreakBefore w:val="0"/>
        <w:kinsoku/>
        <w:wordWrap/>
        <w:overflowPunct/>
        <w:topLinePunct w:val="0"/>
        <w:bidi w:val="0"/>
        <w:snapToGrid/>
        <w:spacing w:line="400" w:lineRule="exact"/>
        <w:ind w:firstLine="480" w:firstLineChars="200"/>
        <w:textAlignment w:val="auto"/>
        <w:rPr>
          <w:rFonts w:hint="eastAsia" w:ascii="微软雅黑" w:hAnsi="微软雅黑" w:eastAsia="微软雅黑" w:cs="微软雅黑"/>
          <w:color w:val="0000FF"/>
          <w:sz w:val="24"/>
          <w:szCs w:val="24"/>
          <w:highlight w:val="none"/>
          <w:lang w:val="en-US" w:eastAsia="zh-CN"/>
        </w:rPr>
      </w:pPr>
      <w:r>
        <w:rPr>
          <w:rFonts w:hint="eastAsia" w:ascii="微软雅黑" w:hAnsi="微软雅黑" w:eastAsia="微软雅黑" w:cs="微软雅黑"/>
          <w:color w:val="0000FF"/>
          <w:sz w:val="24"/>
          <w:szCs w:val="24"/>
          <w:highlight w:val="none"/>
          <w:lang w:val="en-US" w:eastAsia="zh-CN"/>
        </w:rPr>
        <w:t>本公司（单位）郑重声明，根据《国务院办公厅关于在政府采购中实施本国产品标准及相关政策的通知》（国办发〔2025〕34号）的规定，本公司（单位）提供的以下产品属于本国产品。具体情况如下：</w:t>
      </w:r>
    </w:p>
    <w:p w14:paraId="07BDD9C4">
      <w:pPr>
        <w:keepNext w:val="0"/>
        <w:keepLines w:val="0"/>
        <w:pageBreakBefore w:val="0"/>
        <w:widowControl/>
        <w:suppressLineNumbers w:val="0"/>
        <w:kinsoku/>
        <w:wordWrap/>
        <w:overflowPunct/>
        <w:topLinePunct w:val="0"/>
        <w:bidi w:val="0"/>
        <w:snapToGrid/>
        <w:spacing w:line="400" w:lineRule="exact"/>
        <w:ind w:firstLine="480" w:firstLineChars="200"/>
        <w:jc w:val="both"/>
        <w:textAlignment w:val="auto"/>
        <w:rPr>
          <w:rFonts w:hint="eastAsia" w:ascii="微软雅黑" w:hAnsi="微软雅黑" w:eastAsia="微软雅黑" w:cs="微软雅黑"/>
          <w:color w:val="0000FF"/>
          <w:kern w:val="0"/>
          <w:sz w:val="24"/>
          <w:szCs w:val="24"/>
          <w:highlight w:val="none"/>
          <w:lang w:val="en-US" w:eastAsia="zh-CN" w:bidi="ar"/>
        </w:rPr>
      </w:pPr>
      <w:r>
        <w:rPr>
          <w:rFonts w:hint="eastAsia" w:ascii="微软雅黑" w:hAnsi="微软雅黑" w:eastAsia="微软雅黑" w:cs="微软雅黑"/>
          <w:color w:val="0000FF"/>
          <w:kern w:val="0"/>
          <w:sz w:val="24"/>
          <w:szCs w:val="24"/>
          <w:highlight w:val="none"/>
          <w:lang w:val="en-US" w:eastAsia="zh-CN" w:bidi="ar"/>
        </w:rPr>
        <w:t>1.</w:t>
      </w:r>
      <w:r>
        <w:rPr>
          <w:rFonts w:hint="eastAsia" w:ascii="微软雅黑" w:hAnsi="微软雅黑" w:eastAsia="微软雅黑" w:cs="微软雅黑"/>
          <w:color w:val="0000FF"/>
          <w:kern w:val="0"/>
          <w:sz w:val="24"/>
          <w:szCs w:val="24"/>
          <w:highlight w:val="none"/>
          <w:u w:val="single"/>
          <w:lang w:val="en-US" w:eastAsia="zh-CN" w:bidi="ar"/>
        </w:rPr>
        <w:t>（产品名称1）</w:t>
      </w:r>
      <w:r>
        <w:rPr>
          <w:rFonts w:hint="eastAsia" w:ascii="微软雅黑" w:hAnsi="微软雅黑" w:eastAsia="微软雅黑" w:cs="微软雅黑"/>
          <w:color w:val="0000FF"/>
          <w:kern w:val="0"/>
          <w:sz w:val="24"/>
          <w:szCs w:val="24"/>
          <w:highlight w:val="none"/>
          <w:lang w:val="en-US" w:eastAsia="zh-CN" w:bidi="ar"/>
        </w:rPr>
        <w:t>1，生产厂为</w:t>
      </w:r>
      <w:r>
        <w:rPr>
          <w:rFonts w:hint="eastAsia" w:ascii="微软雅黑" w:hAnsi="微软雅黑" w:eastAsia="微软雅黑" w:cs="微软雅黑"/>
          <w:color w:val="0000FF"/>
          <w:kern w:val="0"/>
          <w:sz w:val="24"/>
          <w:szCs w:val="24"/>
          <w:highlight w:val="none"/>
          <w:u w:val="single"/>
          <w:lang w:val="en-US" w:eastAsia="zh-CN" w:bidi="ar"/>
        </w:rPr>
        <w:t>（厂名）</w:t>
      </w:r>
      <w:r>
        <w:rPr>
          <w:rFonts w:hint="eastAsia" w:ascii="微软雅黑" w:hAnsi="微软雅黑" w:eastAsia="微软雅黑" w:cs="微软雅黑"/>
          <w:color w:val="0000FF"/>
          <w:kern w:val="0"/>
          <w:sz w:val="24"/>
          <w:szCs w:val="24"/>
          <w:highlight w:val="none"/>
          <w:lang w:val="en-US" w:eastAsia="zh-CN" w:bidi="ar"/>
        </w:rPr>
        <w:t>2，厂址为</w:t>
      </w:r>
      <w:r>
        <w:rPr>
          <w:rFonts w:hint="eastAsia" w:ascii="微软雅黑" w:hAnsi="微软雅黑" w:eastAsia="微软雅黑" w:cs="微软雅黑"/>
          <w:color w:val="0000FF"/>
          <w:kern w:val="0"/>
          <w:sz w:val="24"/>
          <w:szCs w:val="24"/>
          <w:highlight w:val="none"/>
          <w:u w:val="single"/>
          <w:lang w:val="en-US" w:eastAsia="zh-CN" w:bidi="ar"/>
        </w:rPr>
        <w:t>（生产厂址）</w:t>
      </w:r>
      <w:r>
        <w:rPr>
          <w:rFonts w:hint="eastAsia" w:ascii="微软雅黑" w:hAnsi="微软雅黑" w:eastAsia="微软雅黑" w:cs="微软雅黑"/>
          <w:color w:val="0000FF"/>
          <w:kern w:val="0"/>
          <w:sz w:val="24"/>
          <w:szCs w:val="24"/>
          <w:highlight w:val="none"/>
          <w:lang w:val="en-US" w:eastAsia="zh-CN" w:bidi="ar"/>
        </w:rPr>
        <w:t>。</w:t>
      </w:r>
      <w:r>
        <w:rPr>
          <w:rFonts w:hint="eastAsia" w:ascii="微软雅黑" w:hAnsi="微软雅黑" w:eastAsia="微软雅黑" w:cs="微软雅黑"/>
          <w:color w:val="0000FF"/>
          <w:kern w:val="0"/>
          <w:sz w:val="24"/>
          <w:szCs w:val="24"/>
          <w:highlight w:val="none"/>
          <w:u w:val="single"/>
          <w:lang w:val="en-US" w:eastAsia="zh-CN" w:bidi="ar"/>
        </w:rPr>
        <w:t>（产品名称1）</w:t>
      </w:r>
      <w:r>
        <w:rPr>
          <w:rFonts w:hint="eastAsia" w:ascii="微软雅黑" w:hAnsi="微软雅黑" w:eastAsia="微软雅黑" w:cs="微软雅黑"/>
          <w:color w:val="0000FF"/>
          <w:kern w:val="0"/>
          <w:sz w:val="24"/>
          <w:szCs w:val="24"/>
          <w:highlight w:val="none"/>
          <w:lang w:val="en-US" w:eastAsia="zh-CN" w:bidi="ar"/>
        </w:rPr>
        <w:t>的中国境内生产的组件成本占比≥</w:t>
      </w:r>
      <w:r>
        <w:rPr>
          <w:rFonts w:hint="eastAsia" w:ascii="微软雅黑" w:hAnsi="微软雅黑" w:eastAsia="微软雅黑" w:cs="微软雅黑"/>
          <w:color w:val="0000FF"/>
          <w:kern w:val="0"/>
          <w:sz w:val="24"/>
          <w:szCs w:val="24"/>
          <w:highlight w:val="none"/>
          <w:u w:val="single"/>
          <w:lang w:val="en-US" w:eastAsia="zh-CN" w:bidi="ar"/>
        </w:rPr>
        <w:t>（规定比例）</w:t>
      </w:r>
      <w:r>
        <w:rPr>
          <w:rFonts w:hint="eastAsia" w:ascii="微软雅黑" w:hAnsi="微软雅黑" w:eastAsia="微软雅黑" w:cs="微软雅黑"/>
          <w:color w:val="0000FF"/>
          <w:kern w:val="0"/>
          <w:sz w:val="24"/>
          <w:szCs w:val="24"/>
          <w:highlight w:val="none"/>
          <w:lang w:val="en-US" w:eastAsia="zh-CN" w:bidi="ar"/>
        </w:rPr>
        <w:t>3。</w:t>
      </w:r>
      <w:r>
        <w:rPr>
          <w:rFonts w:hint="eastAsia" w:ascii="微软雅黑" w:hAnsi="微软雅黑" w:eastAsia="微软雅黑" w:cs="微软雅黑"/>
          <w:color w:val="0000FF"/>
          <w:kern w:val="0"/>
          <w:sz w:val="24"/>
          <w:szCs w:val="24"/>
          <w:highlight w:val="none"/>
          <w:u w:val="single"/>
          <w:lang w:val="en-US" w:eastAsia="zh-CN" w:bidi="ar"/>
        </w:rPr>
        <w:t>（产品名称1）</w:t>
      </w:r>
      <w:r>
        <w:rPr>
          <w:rFonts w:hint="eastAsia" w:ascii="微软雅黑" w:hAnsi="微软雅黑" w:eastAsia="微软雅黑" w:cs="微软雅黑"/>
          <w:color w:val="0000FF"/>
          <w:kern w:val="0"/>
          <w:sz w:val="24"/>
          <w:szCs w:val="24"/>
          <w:highlight w:val="none"/>
          <w:lang w:val="en-US" w:eastAsia="zh-CN" w:bidi="ar"/>
        </w:rPr>
        <w:t>的</w:t>
      </w:r>
      <w:r>
        <w:rPr>
          <w:rFonts w:hint="eastAsia" w:ascii="微软雅黑" w:hAnsi="微软雅黑" w:eastAsia="微软雅黑" w:cs="微软雅黑"/>
          <w:color w:val="0000FF"/>
          <w:kern w:val="0"/>
          <w:sz w:val="24"/>
          <w:szCs w:val="24"/>
          <w:highlight w:val="none"/>
          <w:u w:val="single"/>
          <w:lang w:val="en-US" w:eastAsia="zh-CN" w:bidi="ar"/>
        </w:rPr>
        <w:t>（关键组件）</w:t>
      </w:r>
      <w:r>
        <w:rPr>
          <w:rFonts w:hint="eastAsia" w:ascii="微软雅黑" w:hAnsi="微软雅黑" w:eastAsia="微软雅黑" w:cs="微软雅黑"/>
          <w:color w:val="0000FF"/>
          <w:kern w:val="0"/>
          <w:sz w:val="24"/>
          <w:szCs w:val="24"/>
          <w:highlight w:val="none"/>
          <w:lang w:val="en-US" w:eastAsia="zh-CN" w:bidi="ar"/>
        </w:rPr>
        <w:t>4在中国境内生产。</w:t>
      </w:r>
      <w:r>
        <w:rPr>
          <w:rFonts w:hint="eastAsia" w:ascii="微软雅黑" w:hAnsi="微软雅黑" w:eastAsia="微软雅黑" w:cs="微软雅黑"/>
          <w:color w:val="0000FF"/>
          <w:kern w:val="0"/>
          <w:sz w:val="24"/>
          <w:szCs w:val="24"/>
          <w:highlight w:val="none"/>
          <w:u w:val="single"/>
          <w:lang w:val="en-US" w:eastAsia="zh-CN" w:bidi="ar"/>
        </w:rPr>
        <w:t>（产品名称1）</w:t>
      </w:r>
      <w:r>
        <w:rPr>
          <w:rFonts w:hint="eastAsia" w:ascii="微软雅黑" w:hAnsi="微软雅黑" w:eastAsia="微软雅黑" w:cs="微软雅黑"/>
          <w:color w:val="0000FF"/>
          <w:kern w:val="0"/>
          <w:sz w:val="24"/>
          <w:szCs w:val="24"/>
          <w:highlight w:val="none"/>
          <w:lang w:val="en-US" w:eastAsia="zh-CN" w:bidi="ar"/>
        </w:rPr>
        <w:t>的</w:t>
      </w:r>
      <w:r>
        <w:rPr>
          <w:rFonts w:hint="eastAsia" w:ascii="微软雅黑" w:hAnsi="微软雅黑" w:eastAsia="微软雅黑" w:cs="微软雅黑"/>
          <w:color w:val="0000FF"/>
          <w:kern w:val="0"/>
          <w:sz w:val="24"/>
          <w:szCs w:val="24"/>
          <w:highlight w:val="none"/>
          <w:u w:val="single"/>
          <w:lang w:val="en-US" w:eastAsia="zh-CN" w:bidi="ar"/>
        </w:rPr>
        <w:t>（关键工序）</w:t>
      </w:r>
      <w:r>
        <w:rPr>
          <w:rFonts w:hint="eastAsia" w:ascii="微软雅黑" w:hAnsi="微软雅黑" w:eastAsia="微软雅黑" w:cs="微软雅黑"/>
          <w:color w:val="0000FF"/>
          <w:kern w:val="0"/>
          <w:sz w:val="24"/>
          <w:szCs w:val="24"/>
          <w:highlight w:val="none"/>
          <w:lang w:val="en-US" w:eastAsia="zh-CN" w:bidi="ar"/>
        </w:rPr>
        <w:t>5在中国境内完成。</w:t>
      </w:r>
    </w:p>
    <w:p w14:paraId="786EE9F1">
      <w:pPr>
        <w:keepNext w:val="0"/>
        <w:keepLines w:val="0"/>
        <w:pageBreakBefore w:val="0"/>
        <w:widowControl/>
        <w:suppressLineNumbers w:val="0"/>
        <w:kinsoku/>
        <w:wordWrap/>
        <w:overflowPunct/>
        <w:topLinePunct w:val="0"/>
        <w:bidi w:val="0"/>
        <w:snapToGrid/>
        <w:spacing w:line="400" w:lineRule="exact"/>
        <w:ind w:firstLine="480" w:firstLineChars="200"/>
        <w:jc w:val="both"/>
        <w:textAlignment w:val="auto"/>
        <w:rPr>
          <w:rFonts w:hint="eastAsia" w:ascii="微软雅黑" w:hAnsi="微软雅黑" w:eastAsia="微软雅黑" w:cs="微软雅黑"/>
          <w:color w:val="0000FF"/>
          <w:kern w:val="0"/>
          <w:sz w:val="24"/>
          <w:szCs w:val="24"/>
          <w:highlight w:val="none"/>
          <w:lang w:val="en-US" w:eastAsia="zh-CN" w:bidi="ar"/>
        </w:rPr>
      </w:pPr>
      <w:r>
        <w:rPr>
          <w:rFonts w:hint="eastAsia" w:ascii="微软雅黑" w:hAnsi="微软雅黑" w:eastAsia="微软雅黑" w:cs="微软雅黑"/>
          <w:color w:val="0000FF"/>
          <w:kern w:val="0"/>
          <w:sz w:val="24"/>
          <w:szCs w:val="24"/>
          <w:highlight w:val="none"/>
          <w:lang w:val="en-US" w:eastAsia="zh-CN" w:bidi="ar"/>
        </w:rPr>
        <w:t>2.</w:t>
      </w:r>
      <w:r>
        <w:rPr>
          <w:rFonts w:hint="eastAsia" w:ascii="微软雅黑" w:hAnsi="微软雅黑" w:eastAsia="微软雅黑" w:cs="微软雅黑"/>
          <w:color w:val="0000FF"/>
          <w:kern w:val="0"/>
          <w:sz w:val="24"/>
          <w:szCs w:val="24"/>
          <w:highlight w:val="none"/>
          <w:u w:val="single"/>
          <w:lang w:val="en-US" w:eastAsia="zh-CN" w:bidi="ar"/>
        </w:rPr>
        <w:t>（产品名称2）</w:t>
      </w:r>
      <w:r>
        <w:rPr>
          <w:rFonts w:hint="eastAsia" w:ascii="微软雅黑" w:hAnsi="微软雅黑" w:eastAsia="微软雅黑" w:cs="微软雅黑"/>
          <w:color w:val="0000FF"/>
          <w:kern w:val="0"/>
          <w:sz w:val="24"/>
          <w:szCs w:val="24"/>
          <w:highlight w:val="none"/>
          <w:lang w:val="en-US" w:eastAsia="zh-CN" w:bidi="ar"/>
        </w:rPr>
        <w:t>，生产厂为</w:t>
      </w:r>
      <w:r>
        <w:rPr>
          <w:rFonts w:hint="eastAsia" w:ascii="微软雅黑" w:hAnsi="微软雅黑" w:eastAsia="微软雅黑" w:cs="微软雅黑"/>
          <w:color w:val="0000FF"/>
          <w:kern w:val="0"/>
          <w:sz w:val="24"/>
          <w:szCs w:val="24"/>
          <w:highlight w:val="none"/>
          <w:u w:val="single"/>
          <w:lang w:val="en-US" w:eastAsia="zh-CN" w:bidi="ar"/>
        </w:rPr>
        <w:t>（厂名）</w:t>
      </w:r>
      <w:r>
        <w:rPr>
          <w:rFonts w:hint="eastAsia" w:ascii="微软雅黑" w:hAnsi="微软雅黑" w:eastAsia="微软雅黑" w:cs="微软雅黑"/>
          <w:color w:val="0000FF"/>
          <w:kern w:val="0"/>
          <w:sz w:val="24"/>
          <w:szCs w:val="24"/>
          <w:highlight w:val="none"/>
          <w:lang w:val="en-US" w:eastAsia="zh-CN" w:bidi="ar"/>
        </w:rPr>
        <w:t>，厂址为</w:t>
      </w:r>
      <w:r>
        <w:rPr>
          <w:rFonts w:hint="eastAsia" w:ascii="微软雅黑" w:hAnsi="微软雅黑" w:eastAsia="微软雅黑" w:cs="微软雅黑"/>
          <w:color w:val="0000FF"/>
          <w:kern w:val="0"/>
          <w:sz w:val="24"/>
          <w:szCs w:val="24"/>
          <w:highlight w:val="none"/>
          <w:u w:val="single"/>
          <w:lang w:val="en-US" w:eastAsia="zh-CN" w:bidi="ar"/>
        </w:rPr>
        <w:t>（生产厂址）</w:t>
      </w:r>
      <w:r>
        <w:rPr>
          <w:rFonts w:hint="eastAsia" w:ascii="微软雅黑" w:hAnsi="微软雅黑" w:eastAsia="微软雅黑" w:cs="微软雅黑"/>
          <w:color w:val="0000FF"/>
          <w:kern w:val="0"/>
          <w:sz w:val="24"/>
          <w:szCs w:val="24"/>
          <w:highlight w:val="none"/>
          <w:lang w:val="en-US" w:eastAsia="zh-CN" w:bidi="ar"/>
        </w:rPr>
        <w:t>。</w:t>
      </w:r>
      <w:r>
        <w:rPr>
          <w:rFonts w:hint="eastAsia" w:ascii="微软雅黑" w:hAnsi="微软雅黑" w:eastAsia="微软雅黑" w:cs="微软雅黑"/>
          <w:color w:val="0000FF"/>
          <w:kern w:val="0"/>
          <w:sz w:val="24"/>
          <w:szCs w:val="24"/>
          <w:highlight w:val="none"/>
          <w:u w:val="single"/>
          <w:lang w:val="en-US" w:eastAsia="zh-CN" w:bidi="ar"/>
        </w:rPr>
        <w:t>（产品名称2）</w:t>
      </w:r>
      <w:r>
        <w:rPr>
          <w:rFonts w:hint="eastAsia" w:ascii="微软雅黑" w:hAnsi="微软雅黑" w:eastAsia="微软雅黑" w:cs="微软雅黑"/>
          <w:color w:val="0000FF"/>
          <w:kern w:val="0"/>
          <w:sz w:val="24"/>
          <w:szCs w:val="24"/>
          <w:highlight w:val="none"/>
          <w:lang w:val="en-US" w:eastAsia="zh-CN" w:bidi="ar"/>
        </w:rPr>
        <w:t>的中国境内生产的组件成本占比≥</w:t>
      </w:r>
      <w:r>
        <w:rPr>
          <w:rFonts w:hint="eastAsia" w:ascii="微软雅黑" w:hAnsi="微软雅黑" w:eastAsia="微软雅黑" w:cs="微软雅黑"/>
          <w:color w:val="0000FF"/>
          <w:kern w:val="0"/>
          <w:sz w:val="24"/>
          <w:szCs w:val="24"/>
          <w:highlight w:val="none"/>
          <w:u w:val="single"/>
          <w:lang w:val="en-US" w:eastAsia="zh-CN" w:bidi="ar"/>
        </w:rPr>
        <w:t>（规定比例）</w:t>
      </w:r>
      <w:r>
        <w:rPr>
          <w:rFonts w:hint="eastAsia" w:ascii="微软雅黑" w:hAnsi="微软雅黑" w:eastAsia="微软雅黑" w:cs="微软雅黑"/>
          <w:color w:val="0000FF"/>
          <w:kern w:val="0"/>
          <w:sz w:val="24"/>
          <w:szCs w:val="24"/>
          <w:highlight w:val="none"/>
          <w:lang w:val="en-US" w:eastAsia="zh-CN" w:bidi="ar"/>
        </w:rPr>
        <w:t>。</w:t>
      </w:r>
      <w:r>
        <w:rPr>
          <w:rFonts w:hint="eastAsia" w:ascii="微软雅黑" w:hAnsi="微软雅黑" w:eastAsia="微软雅黑" w:cs="微软雅黑"/>
          <w:color w:val="0000FF"/>
          <w:kern w:val="0"/>
          <w:sz w:val="24"/>
          <w:szCs w:val="24"/>
          <w:highlight w:val="none"/>
          <w:u w:val="single"/>
          <w:lang w:val="en-US" w:eastAsia="zh-CN" w:bidi="ar"/>
        </w:rPr>
        <w:t>（产品名称2）</w:t>
      </w:r>
      <w:r>
        <w:rPr>
          <w:rFonts w:hint="eastAsia" w:ascii="微软雅黑" w:hAnsi="微软雅黑" w:eastAsia="微软雅黑" w:cs="微软雅黑"/>
          <w:color w:val="0000FF"/>
          <w:kern w:val="0"/>
          <w:sz w:val="24"/>
          <w:szCs w:val="24"/>
          <w:highlight w:val="none"/>
          <w:lang w:val="en-US" w:eastAsia="zh-CN" w:bidi="ar"/>
        </w:rPr>
        <w:t>的</w:t>
      </w:r>
      <w:r>
        <w:rPr>
          <w:rFonts w:hint="eastAsia" w:ascii="微软雅黑" w:hAnsi="微软雅黑" w:eastAsia="微软雅黑" w:cs="微软雅黑"/>
          <w:color w:val="0000FF"/>
          <w:kern w:val="0"/>
          <w:sz w:val="24"/>
          <w:szCs w:val="24"/>
          <w:highlight w:val="none"/>
          <w:u w:val="single"/>
          <w:lang w:val="en-US" w:eastAsia="zh-CN" w:bidi="ar"/>
        </w:rPr>
        <w:t>（关键组件）</w:t>
      </w:r>
      <w:r>
        <w:rPr>
          <w:rFonts w:hint="eastAsia" w:ascii="微软雅黑" w:hAnsi="微软雅黑" w:eastAsia="微软雅黑" w:cs="微软雅黑"/>
          <w:color w:val="0000FF"/>
          <w:kern w:val="0"/>
          <w:sz w:val="24"/>
          <w:szCs w:val="24"/>
          <w:highlight w:val="none"/>
          <w:lang w:val="en-US" w:eastAsia="zh-CN" w:bidi="ar"/>
        </w:rPr>
        <w:t>在中国境内生产。</w:t>
      </w:r>
      <w:r>
        <w:rPr>
          <w:rFonts w:hint="eastAsia" w:ascii="微软雅黑" w:hAnsi="微软雅黑" w:eastAsia="微软雅黑" w:cs="微软雅黑"/>
          <w:color w:val="0000FF"/>
          <w:kern w:val="0"/>
          <w:sz w:val="24"/>
          <w:szCs w:val="24"/>
          <w:highlight w:val="none"/>
          <w:u w:val="single"/>
          <w:lang w:val="en-US" w:eastAsia="zh-CN" w:bidi="ar"/>
        </w:rPr>
        <w:t>（产品名称2）</w:t>
      </w:r>
      <w:r>
        <w:rPr>
          <w:rFonts w:hint="eastAsia" w:ascii="微软雅黑" w:hAnsi="微软雅黑" w:eastAsia="微软雅黑" w:cs="微软雅黑"/>
          <w:color w:val="0000FF"/>
          <w:kern w:val="0"/>
          <w:sz w:val="24"/>
          <w:szCs w:val="24"/>
          <w:highlight w:val="none"/>
          <w:lang w:val="en-US" w:eastAsia="zh-CN" w:bidi="ar"/>
        </w:rPr>
        <w:t>的（关键工序）在中国境内完成。</w:t>
      </w:r>
    </w:p>
    <w:p w14:paraId="5B89AF66">
      <w:pPr>
        <w:keepNext w:val="0"/>
        <w:keepLines w:val="0"/>
        <w:pageBreakBefore w:val="0"/>
        <w:kinsoku/>
        <w:wordWrap/>
        <w:overflowPunct/>
        <w:topLinePunct w:val="0"/>
        <w:bidi w:val="0"/>
        <w:snapToGrid/>
        <w:spacing w:line="400" w:lineRule="exact"/>
        <w:ind w:firstLine="480" w:firstLineChars="200"/>
        <w:textAlignment w:val="auto"/>
        <w:rPr>
          <w:rFonts w:hint="eastAsia" w:ascii="微软雅黑" w:hAnsi="微软雅黑" w:eastAsia="微软雅黑" w:cs="微软雅黑"/>
          <w:color w:val="0000FF"/>
          <w:sz w:val="24"/>
          <w:szCs w:val="24"/>
          <w:highlight w:val="none"/>
          <w:lang w:val="en-US" w:eastAsia="zh-CN"/>
        </w:rPr>
      </w:pPr>
      <w:r>
        <w:rPr>
          <w:rFonts w:hint="eastAsia" w:ascii="微软雅黑" w:hAnsi="微软雅黑" w:eastAsia="微软雅黑" w:cs="微软雅黑"/>
          <w:color w:val="0000FF"/>
          <w:sz w:val="24"/>
          <w:szCs w:val="24"/>
          <w:highlight w:val="none"/>
          <w:lang w:val="en-US" w:eastAsia="zh-CN"/>
        </w:rPr>
        <w:t>……</w:t>
      </w:r>
    </w:p>
    <w:p w14:paraId="2A36728E">
      <w:pPr>
        <w:keepNext w:val="0"/>
        <w:keepLines w:val="0"/>
        <w:pageBreakBefore w:val="0"/>
        <w:kinsoku/>
        <w:wordWrap/>
        <w:overflowPunct/>
        <w:topLinePunct w:val="0"/>
        <w:bidi w:val="0"/>
        <w:snapToGrid/>
        <w:spacing w:line="400" w:lineRule="exact"/>
        <w:ind w:firstLine="480" w:firstLineChars="200"/>
        <w:textAlignment w:val="auto"/>
        <w:rPr>
          <w:rFonts w:hint="eastAsia" w:ascii="微软雅黑" w:hAnsi="微软雅黑" w:eastAsia="微软雅黑" w:cs="微软雅黑"/>
          <w:color w:val="0000FF"/>
          <w:sz w:val="24"/>
          <w:szCs w:val="24"/>
          <w:highlight w:val="none"/>
          <w:lang w:val="en-US" w:eastAsia="zh-CN"/>
        </w:rPr>
      </w:pPr>
      <w:r>
        <w:rPr>
          <w:rFonts w:hint="eastAsia" w:ascii="微软雅黑" w:hAnsi="微软雅黑" w:eastAsia="微软雅黑" w:cs="微软雅黑"/>
          <w:color w:val="0000FF"/>
          <w:sz w:val="24"/>
          <w:szCs w:val="24"/>
          <w:highlight w:val="none"/>
          <w:lang w:val="en-US" w:eastAsia="zh-CN"/>
        </w:rPr>
        <w:t>本公司（单位）对上述声明内容的真实性负责。如有虚假，愿承担相应法律责任。</w:t>
      </w:r>
    </w:p>
    <w:p w14:paraId="0213BFC5">
      <w:pPr>
        <w:keepNext w:val="0"/>
        <w:keepLines w:val="0"/>
        <w:pageBreakBefore w:val="0"/>
        <w:kinsoku/>
        <w:wordWrap/>
        <w:overflowPunct/>
        <w:topLinePunct w:val="0"/>
        <w:bidi w:val="0"/>
        <w:snapToGrid/>
        <w:spacing w:line="400" w:lineRule="exact"/>
        <w:jc w:val="right"/>
        <w:textAlignment w:val="auto"/>
        <w:rPr>
          <w:rFonts w:hint="eastAsia" w:ascii="微软雅黑" w:hAnsi="微软雅黑" w:eastAsia="微软雅黑" w:cs="微软雅黑"/>
          <w:color w:val="0000FF"/>
          <w:sz w:val="24"/>
          <w:szCs w:val="24"/>
          <w:highlight w:val="none"/>
          <w:lang w:val="en-US" w:eastAsia="zh-CN"/>
        </w:rPr>
      </w:pPr>
      <w:r>
        <w:rPr>
          <w:rFonts w:hint="eastAsia" w:ascii="微软雅黑" w:hAnsi="微软雅黑" w:eastAsia="微软雅黑" w:cs="微软雅黑"/>
          <w:color w:val="0000FF"/>
          <w:sz w:val="24"/>
          <w:szCs w:val="24"/>
          <w:highlight w:val="none"/>
          <w:lang w:val="en-US" w:eastAsia="zh-CN"/>
        </w:rPr>
        <w:t>公司（单位）名称（盖章）：　        </w:t>
      </w:r>
    </w:p>
    <w:p w14:paraId="3C06D9D7">
      <w:pPr>
        <w:keepNext w:val="0"/>
        <w:keepLines w:val="0"/>
        <w:pageBreakBefore w:val="0"/>
        <w:kinsoku/>
        <w:wordWrap/>
        <w:overflowPunct/>
        <w:topLinePunct w:val="0"/>
        <w:bidi w:val="0"/>
        <w:snapToGrid/>
        <w:spacing w:line="400" w:lineRule="exact"/>
        <w:jc w:val="right"/>
        <w:textAlignment w:val="auto"/>
        <w:rPr>
          <w:rFonts w:hint="eastAsia" w:ascii="微软雅黑" w:hAnsi="微软雅黑" w:eastAsia="微软雅黑" w:cs="微软雅黑"/>
          <w:color w:val="0000FF"/>
          <w:sz w:val="24"/>
          <w:szCs w:val="24"/>
          <w:highlight w:val="none"/>
          <w:lang w:val="en-US" w:eastAsia="zh-CN"/>
        </w:rPr>
      </w:pPr>
      <w:r>
        <w:rPr>
          <w:rFonts w:hint="eastAsia" w:ascii="微软雅黑" w:hAnsi="微软雅黑" w:eastAsia="微软雅黑" w:cs="微软雅黑"/>
          <w:color w:val="0000FF"/>
          <w:sz w:val="24"/>
          <w:szCs w:val="24"/>
          <w:highlight w:val="none"/>
          <w:lang w:val="en-US" w:eastAsia="zh-CN"/>
        </w:rPr>
        <w:t>日期：　     年　  月　  日         </w:t>
      </w:r>
    </w:p>
    <w:p w14:paraId="68AAA6ED">
      <w:pPr>
        <w:keepNext w:val="0"/>
        <w:keepLines w:val="0"/>
        <w:pageBreakBefore w:val="0"/>
        <w:kinsoku/>
        <w:wordWrap/>
        <w:overflowPunct/>
        <w:topLinePunct w:val="0"/>
        <w:bidi w:val="0"/>
        <w:snapToGrid/>
        <w:spacing w:line="400" w:lineRule="exact"/>
        <w:textAlignment w:val="auto"/>
        <w:rPr>
          <w:rFonts w:hint="eastAsia" w:ascii="微软雅黑" w:hAnsi="微软雅黑" w:eastAsia="微软雅黑" w:cs="微软雅黑"/>
          <w:color w:val="0000FF"/>
          <w:sz w:val="24"/>
          <w:szCs w:val="24"/>
          <w:highlight w:val="none"/>
          <w:lang w:val="en-US" w:eastAsia="zh-CN"/>
        </w:rPr>
      </w:pPr>
    </w:p>
    <w:p w14:paraId="2CA8E3AC">
      <w:pPr>
        <w:keepNext w:val="0"/>
        <w:keepLines w:val="0"/>
        <w:pageBreakBefore w:val="0"/>
        <w:kinsoku/>
        <w:wordWrap/>
        <w:overflowPunct/>
        <w:topLinePunct w:val="0"/>
        <w:bidi w:val="0"/>
        <w:snapToGrid/>
        <w:spacing w:line="400" w:lineRule="exact"/>
        <w:textAlignment w:val="auto"/>
        <w:rPr>
          <w:rFonts w:hint="eastAsia" w:ascii="微软雅黑" w:hAnsi="微软雅黑" w:eastAsia="微软雅黑" w:cs="微软雅黑"/>
          <w:color w:val="0000FF"/>
          <w:sz w:val="24"/>
          <w:szCs w:val="24"/>
          <w:highlight w:val="none"/>
          <w:lang w:val="en-US" w:eastAsia="zh-CN"/>
        </w:rPr>
      </w:pPr>
      <w:r>
        <w:rPr>
          <w:rFonts w:hint="eastAsia" w:ascii="微软雅黑" w:hAnsi="微软雅黑" w:eastAsia="微软雅黑" w:cs="微软雅黑"/>
          <w:color w:val="0000FF"/>
          <w:sz w:val="24"/>
          <w:szCs w:val="24"/>
          <w:highlight w:val="none"/>
          <w:lang w:val="en-US" w:eastAsia="zh-CN"/>
        </w:rPr>
        <w:t>注：1.产品如有型号，请在“产品名称”栏一并填写。</w:t>
      </w:r>
    </w:p>
    <w:p w14:paraId="3512AACB">
      <w:pPr>
        <w:keepNext w:val="0"/>
        <w:keepLines w:val="0"/>
        <w:pageBreakBefore w:val="0"/>
        <w:kinsoku/>
        <w:wordWrap/>
        <w:overflowPunct/>
        <w:topLinePunct w:val="0"/>
        <w:bidi w:val="0"/>
        <w:snapToGrid/>
        <w:spacing w:line="400" w:lineRule="exact"/>
        <w:textAlignment w:val="auto"/>
        <w:rPr>
          <w:rFonts w:hint="eastAsia" w:ascii="微软雅黑" w:hAnsi="微软雅黑" w:eastAsia="微软雅黑" w:cs="微软雅黑"/>
          <w:color w:val="0000FF"/>
          <w:sz w:val="24"/>
          <w:szCs w:val="24"/>
          <w:highlight w:val="none"/>
          <w:lang w:val="en-US" w:eastAsia="zh-CN"/>
        </w:rPr>
      </w:pPr>
      <w:r>
        <w:rPr>
          <w:rFonts w:hint="eastAsia" w:ascii="微软雅黑" w:hAnsi="微软雅黑" w:eastAsia="微软雅黑" w:cs="微软雅黑"/>
          <w:color w:val="0000FF"/>
          <w:sz w:val="24"/>
          <w:szCs w:val="24"/>
          <w:highlight w:val="none"/>
          <w:lang w:val="en-US" w:eastAsia="zh-CN"/>
        </w:rPr>
        <w:t>2.生产厂名与厂址应与生产厂营业执照载明的相关信息保持一致。</w:t>
      </w:r>
    </w:p>
    <w:p w14:paraId="3FD35E1D">
      <w:pPr>
        <w:keepNext w:val="0"/>
        <w:keepLines w:val="0"/>
        <w:pageBreakBefore w:val="0"/>
        <w:kinsoku/>
        <w:wordWrap/>
        <w:overflowPunct/>
        <w:topLinePunct w:val="0"/>
        <w:bidi w:val="0"/>
        <w:snapToGrid/>
        <w:spacing w:line="400" w:lineRule="exact"/>
        <w:textAlignment w:val="auto"/>
        <w:rPr>
          <w:rFonts w:hint="eastAsia" w:ascii="微软雅黑" w:hAnsi="微软雅黑" w:eastAsia="微软雅黑" w:cs="微软雅黑"/>
          <w:color w:val="0000FF"/>
          <w:sz w:val="24"/>
          <w:szCs w:val="24"/>
          <w:highlight w:val="none"/>
          <w:lang w:val="en-US" w:eastAsia="zh-CN"/>
        </w:rPr>
      </w:pPr>
      <w:r>
        <w:rPr>
          <w:rFonts w:hint="eastAsia" w:ascii="微软雅黑" w:hAnsi="微软雅黑" w:eastAsia="微软雅黑" w:cs="微软雅黑"/>
          <w:color w:val="0000FF"/>
          <w:sz w:val="24"/>
          <w:szCs w:val="24"/>
          <w:highlight w:val="none"/>
          <w:lang w:val="en-US" w:eastAsia="zh-CN"/>
        </w:rPr>
        <w:t>3.该产品的中国境内生产的组件成本占比相关要求实施前，“规定比例”栏可不填，下同。</w:t>
      </w:r>
    </w:p>
    <w:p w14:paraId="1B95A138">
      <w:pPr>
        <w:keepNext w:val="0"/>
        <w:keepLines w:val="0"/>
        <w:pageBreakBefore w:val="0"/>
        <w:kinsoku/>
        <w:wordWrap/>
        <w:overflowPunct/>
        <w:topLinePunct w:val="0"/>
        <w:bidi w:val="0"/>
        <w:snapToGrid/>
        <w:spacing w:line="400" w:lineRule="exact"/>
        <w:textAlignment w:val="auto"/>
        <w:rPr>
          <w:rFonts w:hint="eastAsia" w:ascii="微软雅黑" w:hAnsi="微软雅黑" w:eastAsia="微软雅黑" w:cs="微软雅黑"/>
          <w:color w:val="0000FF"/>
          <w:sz w:val="24"/>
          <w:szCs w:val="24"/>
          <w:highlight w:val="none"/>
          <w:lang w:val="en-US" w:eastAsia="zh-CN"/>
        </w:rPr>
      </w:pPr>
      <w:r>
        <w:rPr>
          <w:rFonts w:hint="eastAsia" w:ascii="微软雅黑" w:hAnsi="微软雅黑" w:eastAsia="微软雅黑" w:cs="微软雅黑"/>
          <w:color w:val="0000FF"/>
          <w:sz w:val="24"/>
          <w:szCs w:val="24"/>
          <w:highlight w:val="none"/>
          <w:lang w:val="en-US" w:eastAsia="zh-CN"/>
        </w:rPr>
        <w:t>4.该产品的关键组件要求实施前，“关键组件”栏可不填，下同。</w:t>
      </w:r>
    </w:p>
    <w:p w14:paraId="75BB2927">
      <w:pPr>
        <w:pStyle w:val="5"/>
        <w:keepNext w:val="0"/>
        <w:keepLines w:val="0"/>
        <w:pageBreakBefore w:val="0"/>
        <w:kinsoku/>
        <w:wordWrap/>
        <w:overflowPunct/>
        <w:topLinePunct w:val="0"/>
        <w:bidi w:val="0"/>
        <w:snapToGrid/>
        <w:spacing w:line="400" w:lineRule="exac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0000FF"/>
          <w:sz w:val="24"/>
          <w:szCs w:val="24"/>
          <w:highlight w:val="none"/>
          <w:lang w:val="en-US" w:eastAsia="zh-CN"/>
        </w:rPr>
        <w:t>5.该产品的关键工序要求实施前，“关键工序”栏可不填，下同。</w:t>
      </w:r>
    </w:p>
    <w:p w14:paraId="4E9F3DF0">
      <w:pPr>
        <w:pStyle w:val="6"/>
        <w:outlineLvl w:val="9"/>
        <w:rPr>
          <w:rFonts w:hint="eastAsia" w:ascii="微软雅黑" w:hAnsi="微软雅黑" w:eastAsia="微软雅黑" w:cs="微软雅黑"/>
          <w:color w:val="auto"/>
          <w:sz w:val="22"/>
          <w:szCs w:val="22"/>
          <w:highlight w:val="none"/>
        </w:rPr>
      </w:pPr>
    </w:p>
    <w:p w14:paraId="7DCD75D2">
      <w:pPr>
        <w:outlineLvl w:val="9"/>
        <w:rPr>
          <w:rFonts w:hint="eastAsia" w:ascii="微软雅黑" w:hAnsi="微软雅黑" w:eastAsia="微软雅黑" w:cs="微软雅黑"/>
          <w:color w:val="auto"/>
          <w:sz w:val="22"/>
          <w:szCs w:val="22"/>
          <w:highlight w:val="none"/>
        </w:rPr>
      </w:pPr>
    </w:p>
    <w:p w14:paraId="2999D7E2">
      <w:pPr>
        <w:outlineLvl w:val="9"/>
        <w:rPr>
          <w:rFonts w:hint="eastAsia"/>
        </w:rPr>
      </w:pPr>
    </w:p>
    <w:p w14:paraId="7C87EBEF">
      <w:pPr>
        <w:outlineLvl w:val="9"/>
        <w:rPr>
          <w:rFonts w:hint="eastAsia"/>
        </w:rPr>
      </w:pPr>
    </w:p>
    <w:p w14:paraId="6238DBA5">
      <w:pPr>
        <w:outlineLvl w:val="9"/>
        <w:rPr>
          <w:rFonts w:hint="eastAsia"/>
        </w:rPr>
      </w:pPr>
    </w:p>
    <w:p w14:paraId="0EB10121">
      <w:pPr>
        <w:jc w:val="center"/>
        <w:outlineLvl w:val="9"/>
        <w:rPr>
          <w:rFonts w:hint="eastAsia" w:ascii="微软雅黑" w:hAnsi="微软雅黑" w:eastAsia="微软雅黑" w:cs="微软雅黑"/>
          <w:b/>
          <w:color w:val="0000FF"/>
          <w:kern w:val="0"/>
          <w:sz w:val="24"/>
          <w:szCs w:val="24"/>
          <w:highlight w:val="none"/>
          <w:lang w:val="en-US" w:eastAsia="zh-CN" w:bidi="ar-SA"/>
        </w:rPr>
      </w:pPr>
    </w:p>
    <w:p w14:paraId="3D918B74">
      <w:pPr>
        <w:jc w:val="center"/>
        <w:outlineLvl w:val="9"/>
        <w:rPr>
          <w:rFonts w:hint="eastAsia" w:ascii="微软雅黑" w:hAnsi="微软雅黑" w:eastAsia="微软雅黑" w:cs="微软雅黑"/>
          <w:b/>
          <w:color w:val="0000FF"/>
          <w:kern w:val="0"/>
          <w:sz w:val="24"/>
          <w:szCs w:val="24"/>
          <w:highlight w:val="none"/>
          <w:lang w:val="en-US" w:eastAsia="zh-CN" w:bidi="ar-SA"/>
        </w:rPr>
      </w:pPr>
      <w:r>
        <w:rPr>
          <w:rFonts w:hint="eastAsia" w:ascii="微软雅黑" w:hAnsi="微软雅黑" w:eastAsia="微软雅黑" w:cs="微软雅黑"/>
          <w:b/>
          <w:color w:val="0000FF"/>
          <w:kern w:val="0"/>
          <w:sz w:val="24"/>
          <w:szCs w:val="24"/>
          <w:highlight w:val="none"/>
          <w:lang w:val="en-US" w:eastAsia="zh-CN" w:bidi="ar-SA"/>
        </w:rPr>
        <w:t>本国产品成本占比承诺函</w:t>
      </w:r>
    </w:p>
    <w:p w14:paraId="30198518">
      <w:pPr>
        <w:rPr>
          <w:rFonts w:hint="eastAsia" w:ascii="微软雅黑" w:hAnsi="微软雅黑" w:eastAsia="微软雅黑" w:cs="微软雅黑"/>
          <w:color w:val="0000FF"/>
          <w:sz w:val="24"/>
          <w:szCs w:val="24"/>
          <w:highlight w:val="none"/>
          <w:lang w:val="en-US" w:eastAsia="zh-CN"/>
        </w:rPr>
      </w:pPr>
    </w:p>
    <w:p w14:paraId="439C09F8">
      <w:pPr>
        <w:rPr>
          <w:rFonts w:hint="eastAsia" w:ascii="微软雅黑" w:hAnsi="微软雅黑" w:eastAsia="微软雅黑" w:cs="微软雅黑"/>
          <w:color w:val="0000FF"/>
          <w:sz w:val="24"/>
          <w:szCs w:val="24"/>
          <w:highlight w:val="none"/>
          <w:lang w:val="en-US" w:eastAsia="zh-CN"/>
        </w:rPr>
      </w:pPr>
      <w:r>
        <w:rPr>
          <w:rFonts w:hint="eastAsia" w:ascii="微软雅黑" w:hAnsi="微软雅黑" w:eastAsia="微软雅黑" w:cs="微软雅黑"/>
          <w:color w:val="0000FF"/>
          <w:sz w:val="24"/>
          <w:szCs w:val="24"/>
          <w:highlight w:val="none"/>
          <w:lang w:val="en-US" w:eastAsia="zh-CN"/>
        </w:rPr>
        <w:t>致:[采购人/采购代理机构名称]</w:t>
      </w:r>
    </w:p>
    <w:p w14:paraId="65E4103C">
      <w:pPr>
        <w:ind w:firstLine="480" w:firstLineChars="200"/>
        <w:rPr>
          <w:rFonts w:hint="eastAsia" w:ascii="微软雅黑" w:hAnsi="微软雅黑" w:eastAsia="微软雅黑" w:cs="微软雅黑"/>
          <w:color w:val="0000FF"/>
          <w:sz w:val="24"/>
          <w:szCs w:val="24"/>
          <w:highlight w:val="none"/>
          <w:lang w:val="en-US" w:eastAsia="zh-CN"/>
        </w:rPr>
      </w:pPr>
      <w:r>
        <w:rPr>
          <w:rFonts w:hint="eastAsia" w:ascii="微软雅黑" w:hAnsi="微软雅黑" w:eastAsia="微软雅黑" w:cs="微软雅黑"/>
          <w:color w:val="0000FF"/>
          <w:sz w:val="24"/>
          <w:szCs w:val="24"/>
          <w:highlight w:val="none"/>
          <w:lang w:val="en-US" w:eastAsia="zh-CN"/>
        </w:rPr>
        <w:t>本单位就参与[</w:t>
      </w:r>
      <w:r>
        <w:rPr>
          <w:rFonts w:hint="eastAsia" w:ascii="微软雅黑" w:hAnsi="微软雅黑" w:eastAsia="微软雅黑" w:cs="微软雅黑"/>
          <w:color w:val="0000FF"/>
          <w:sz w:val="24"/>
          <w:szCs w:val="24"/>
          <w:highlight w:val="none"/>
          <w:u w:val="single"/>
          <w:lang w:val="en-US" w:eastAsia="zh-CN"/>
        </w:rPr>
        <w:t xml:space="preserve">项目名称           、编号          </w:t>
      </w:r>
      <w:r>
        <w:rPr>
          <w:rFonts w:hint="eastAsia" w:ascii="微软雅黑" w:hAnsi="微软雅黑" w:eastAsia="微软雅黑" w:cs="微软雅黑"/>
          <w:color w:val="0000FF"/>
          <w:sz w:val="24"/>
          <w:szCs w:val="24"/>
          <w:highlight w:val="none"/>
          <w:lang w:val="en-US" w:eastAsia="zh-CN"/>
        </w:rPr>
        <w:t>]政府采购项目，郑重承诺如下:</w:t>
      </w:r>
    </w:p>
    <w:p w14:paraId="1DE0AADB">
      <w:pPr>
        <w:ind w:firstLine="480" w:firstLineChars="200"/>
        <w:rPr>
          <w:rFonts w:hint="eastAsia" w:ascii="微软雅黑" w:hAnsi="微软雅黑" w:eastAsia="微软雅黑" w:cs="微软雅黑"/>
          <w:color w:val="0000FF"/>
          <w:sz w:val="24"/>
          <w:szCs w:val="24"/>
          <w:highlight w:val="none"/>
          <w:lang w:val="en-US" w:eastAsia="zh-CN"/>
        </w:rPr>
      </w:pPr>
      <w:r>
        <w:rPr>
          <w:rFonts w:hint="eastAsia" w:ascii="微软雅黑" w:hAnsi="微软雅黑" w:eastAsia="微软雅黑" w:cs="微软雅黑"/>
          <w:color w:val="0000FF"/>
          <w:sz w:val="24"/>
          <w:szCs w:val="24"/>
          <w:highlight w:val="none"/>
          <w:lang w:val="en-US" w:eastAsia="zh-CN"/>
        </w:rPr>
        <w:t>本单位为该项目(或采购包)提供的符合本国产品标准的产品成本之和，占所提供全部产品成本之和的比例为</w:t>
      </w:r>
      <w:r>
        <w:rPr>
          <w:rFonts w:hint="eastAsia" w:ascii="微软雅黑" w:hAnsi="微软雅黑" w:eastAsia="微软雅黑" w:cs="微软雅黑"/>
          <w:color w:val="0000FF"/>
          <w:sz w:val="24"/>
          <w:szCs w:val="24"/>
          <w:highlight w:val="none"/>
          <w:u w:val="single"/>
          <w:lang w:val="en-US" w:eastAsia="zh-CN"/>
        </w:rPr>
        <w:t xml:space="preserve">     </w:t>
      </w:r>
      <w:r>
        <w:rPr>
          <w:rFonts w:hint="eastAsia" w:ascii="微软雅黑" w:hAnsi="微软雅黑" w:eastAsia="微软雅黑" w:cs="微软雅黑"/>
          <w:color w:val="0000FF"/>
          <w:sz w:val="24"/>
          <w:szCs w:val="24"/>
          <w:highlight w:val="none"/>
          <w:lang w:val="en-US" w:eastAsia="zh-CN"/>
        </w:rPr>
        <w:t>%。本承诺内容真实有效，若存在虚假承诺，愿意承担相应法律责任，放弃中标(成交)资格，并接受政府采购监管部门处罚。</w:t>
      </w:r>
    </w:p>
    <w:p w14:paraId="4807E74A">
      <w:pPr>
        <w:rPr>
          <w:rFonts w:hint="eastAsia" w:ascii="微软雅黑" w:hAnsi="微软雅黑" w:eastAsia="微软雅黑" w:cs="微软雅黑"/>
          <w:color w:val="0000FF"/>
          <w:sz w:val="24"/>
          <w:szCs w:val="24"/>
          <w:highlight w:val="none"/>
          <w:lang w:val="en-US" w:eastAsia="zh-CN"/>
        </w:rPr>
      </w:pPr>
    </w:p>
    <w:p w14:paraId="347F1CB0">
      <w:pPr>
        <w:jc w:val="center"/>
        <w:rPr>
          <w:rFonts w:hint="eastAsia" w:ascii="微软雅黑" w:hAnsi="微软雅黑" w:eastAsia="微软雅黑" w:cs="微软雅黑"/>
          <w:color w:val="0000FF"/>
          <w:sz w:val="24"/>
          <w:szCs w:val="24"/>
          <w:highlight w:val="none"/>
          <w:lang w:val="en-US" w:eastAsia="zh-CN"/>
        </w:rPr>
      </w:pPr>
      <w:r>
        <w:rPr>
          <w:rFonts w:hint="eastAsia" w:ascii="微软雅黑" w:hAnsi="微软雅黑" w:eastAsia="微软雅黑" w:cs="微软雅黑"/>
          <w:color w:val="0000FF"/>
          <w:sz w:val="24"/>
          <w:szCs w:val="24"/>
          <w:highlight w:val="none"/>
          <w:lang w:val="en-US" w:eastAsia="zh-CN"/>
        </w:rPr>
        <w:t>承诺人(供应商公章):</w:t>
      </w:r>
    </w:p>
    <w:p w14:paraId="0CD2D733">
      <w:pPr>
        <w:jc w:val="center"/>
        <w:rPr>
          <w:rFonts w:hint="eastAsia" w:ascii="微软雅黑" w:hAnsi="微软雅黑" w:eastAsia="微软雅黑" w:cs="微软雅黑"/>
          <w:color w:val="0000FF"/>
          <w:sz w:val="24"/>
          <w:szCs w:val="24"/>
          <w:highlight w:val="none"/>
          <w:lang w:val="en-US" w:eastAsia="zh-CN"/>
        </w:rPr>
      </w:pPr>
      <w:r>
        <w:rPr>
          <w:rFonts w:hint="eastAsia" w:ascii="微软雅黑" w:hAnsi="微软雅黑" w:eastAsia="微软雅黑" w:cs="微软雅黑"/>
          <w:color w:val="0000FF"/>
          <w:sz w:val="24"/>
          <w:szCs w:val="24"/>
          <w:highlight w:val="none"/>
          <w:lang w:val="en-US" w:eastAsia="zh-CN"/>
        </w:rPr>
        <w:t>法定代表人或委托代理人签字:</w:t>
      </w:r>
    </w:p>
    <w:p w14:paraId="6B5F0036">
      <w:pPr>
        <w:jc w:val="center"/>
        <w:rPr>
          <w:rFonts w:hint="eastAsia" w:ascii="微软雅黑" w:hAnsi="微软雅黑" w:eastAsia="微软雅黑" w:cs="微软雅黑"/>
          <w:color w:val="0000FF"/>
          <w:sz w:val="24"/>
          <w:szCs w:val="24"/>
          <w:highlight w:val="none"/>
          <w:lang w:val="en-US" w:eastAsia="zh-CN"/>
        </w:rPr>
      </w:pPr>
      <w:r>
        <w:rPr>
          <w:rFonts w:hint="eastAsia" w:ascii="微软雅黑" w:hAnsi="微软雅黑" w:eastAsia="微软雅黑" w:cs="微软雅黑"/>
          <w:color w:val="0000FF"/>
          <w:sz w:val="24"/>
          <w:szCs w:val="24"/>
          <w:highlight w:val="none"/>
          <w:lang w:val="en-US" w:eastAsia="zh-CN"/>
        </w:rPr>
        <w:t>日期:  年  月  日</w:t>
      </w:r>
    </w:p>
    <w:p w14:paraId="64523C80">
      <w:pPr>
        <w:rPr>
          <w:rFonts w:hint="eastAsia" w:ascii="微软雅黑" w:hAnsi="微软雅黑" w:eastAsia="微软雅黑" w:cs="微软雅黑"/>
          <w:color w:val="0000FF"/>
          <w:sz w:val="24"/>
          <w:szCs w:val="24"/>
          <w:highlight w:val="none"/>
          <w:lang w:val="en-US" w:eastAsia="zh-CN"/>
        </w:rPr>
      </w:pPr>
    </w:p>
    <w:p w14:paraId="2CF6CC20">
      <w:pPr>
        <w:rPr>
          <w:rFonts w:hint="eastAsia" w:ascii="微软雅黑" w:hAnsi="微软雅黑" w:eastAsia="微软雅黑" w:cs="微软雅黑"/>
          <w:color w:val="0000FF"/>
          <w:sz w:val="24"/>
          <w:szCs w:val="24"/>
          <w:highlight w:val="none"/>
          <w:lang w:val="en-US" w:eastAsia="zh-CN"/>
        </w:rPr>
        <w:sectPr>
          <w:headerReference r:id="rId3" w:type="default"/>
          <w:footerReference r:id="rId4" w:type="default"/>
          <w:pgSz w:w="11906" w:h="16838"/>
          <w:pgMar w:top="1440" w:right="1803" w:bottom="1440" w:left="1803" w:header="851" w:footer="992" w:gutter="0"/>
          <w:pgBorders>
            <w:top w:val="none" w:sz="0" w:space="0"/>
            <w:left w:val="none" w:sz="0" w:space="0"/>
            <w:bottom w:val="none" w:sz="0" w:space="0"/>
            <w:right w:val="none" w:sz="0" w:space="0"/>
          </w:pgBorders>
          <w:pgNumType w:fmt="decimal" w:start="1"/>
          <w:cols w:space="0" w:num="1"/>
          <w:rtlGutter w:val="0"/>
          <w:docGrid w:type="lines" w:linePitch="332" w:charSpace="0"/>
        </w:sectPr>
      </w:pPr>
      <w:r>
        <w:rPr>
          <w:rFonts w:hint="eastAsia" w:ascii="微软雅黑" w:hAnsi="微软雅黑" w:eastAsia="微软雅黑" w:cs="微软雅黑"/>
          <w:color w:val="0000FF"/>
          <w:sz w:val="24"/>
          <w:szCs w:val="24"/>
          <w:highlight w:val="none"/>
          <w:lang w:val="en-US" w:eastAsia="zh-CN"/>
        </w:rPr>
        <w:t>注：若供应商所投产品均符合本国产品标准，且已提供《声明函》，可不填写《承诺函》</w:t>
      </w:r>
    </w:p>
    <w:p w14:paraId="061EDE1E">
      <w:pPr>
        <w:pStyle w:val="3"/>
        <w:spacing w:before="0" w:line="400" w:lineRule="exact"/>
        <w:jc w:val="both"/>
        <w:rPr>
          <w:rFonts w:hint="eastAsia" w:ascii="微软雅黑" w:hAnsi="微软雅黑" w:eastAsia="微软雅黑" w:cs="微软雅黑"/>
          <w:color w:val="auto"/>
          <w:sz w:val="22"/>
          <w:szCs w:val="22"/>
          <w:highlight w:val="none"/>
        </w:rPr>
      </w:pPr>
      <w:bookmarkStart w:id="1593" w:name="_Toc20370"/>
      <w:r>
        <w:rPr>
          <w:rFonts w:hint="eastAsia" w:ascii="微软雅黑" w:hAnsi="微软雅黑" w:eastAsia="微软雅黑" w:cs="微软雅黑"/>
          <w:color w:val="auto"/>
          <w:sz w:val="22"/>
          <w:szCs w:val="22"/>
          <w:highlight w:val="none"/>
          <w:lang w:val="en-US" w:eastAsia="zh-CN"/>
        </w:rPr>
        <w:t>8、</w:t>
      </w:r>
      <w:r>
        <w:rPr>
          <w:rFonts w:hint="eastAsia" w:ascii="微软雅黑" w:hAnsi="微软雅黑" w:eastAsia="微软雅黑" w:cs="微软雅黑"/>
          <w:color w:val="auto"/>
          <w:sz w:val="22"/>
          <w:szCs w:val="22"/>
          <w:highlight w:val="none"/>
        </w:rPr>
        <w:t>供应商关联单位的说明</w:t>
      </w:r>
      <w:bookmarkEnd w:id="1582"/>
      <w:bookmarkEnd w:id="1583"/>
      <w:bookmarkEnd w:id="1584"/>
      <w:bookmarkEnd w:id="1585"/>
      <w:bookmarkEnd w:id="1586"/>
      <w:bookmarkEnd w:id="1587"/>
      <w:bookmarkEnd w:id="1588"/>
      <w:bookmarkEnd w:id="1589"/>
      <w:bookmarkEnd w:id="1590"/>
      <w:bookmarkEnd w:id="1593"/>
    </w:p>
    <w:p w14:paraId="05B8F9A1">
      <w:pPr>
        <w:pStyle w:val="5"/>
        <w:spacing w:line="400" w:lineRule="exact"/>
        <w:jc w:val="center"/>
        <w:rPr>
          <w:rFonts w:hint="eastAsia" w:ascii="微软雅黑" w:hAnsi="微软雅黑" w:eastAsia="微软雅黑" w:cs="微软雅黑"/>
          <w:color w:val="auto"/>
          <w:sz w:val="22"/>
          <w:szCs w:val="22"/>
          <w:highlight w:val="none"/>
        </w:rPr>
      </w:pPr>
    </w:p>
    <w:p w14:paraId="693BDB28">
      <w:pPr>
        <w:pStyle w:val="5"/>
        <w:spacing w:line="400" w:lineRule="exact"/>
        <w:ind w:firstLine="440" w:firstLineChars="200"/>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说明：供应商应当如实披露与本单位存在下列关联关系的单位名称：</w:t>
      </w:r>
    </w:p>
    <w:p w14:paraId="77DFC823">
      <w:pPr>
        <w:pStyle w:val="5"/>
        <w:spacing w:line="400" w:lineRule="exact"/>
        <w:ind w:firstLine="880" w:firstLineChars="400"/>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rPr>
        <w:t>（1）与供应商单位负责人为同一人的其他单位；</w:t>
      </w:r>
    </w:p>
    <w:p w14:paraId="34FBDB24">
      <w:pPr>
        <w:pStyle w:val="5"/>
        <w:spacing w:line="400" w:lineRule="exact"/>
        <w:ind w:firstLine="440" w:firstLineChars="200"/>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 xml:space="preserve">    （2）与供应商存在直接控股、管理关系的其他单位。</w:t>
      </w:r>
    </w:p>
    <w:p w14:paraId="38EDC2F4">
      <w:pPr>
        <w:pStyle w:val="6"/>
        <w:rPr>
          <w:rFonts w:hint="eastAsia" w:ascii="微软雅黑" w:hAnsi="微软雅黑" w:eastAsia="微软雅黑" w:cs="微软雅黑"/>
          <w:color w:val="auto"/>
          <w:sz w:val="22"/>
          <w:szCs w:val="22"/>
          <w:highlight w:val="none"/>
        </w:rPr>
      </w:pPr>
    </w:p>
    <w:p w14:paraId="473919BA">
      <w:pPr>
        <w:pStyle w:val="25"/>
        <w:rPr>
          <w:rFonts w:hint="eastAsia" w:ascii="微软雅黑" w:hAnsi="微软雅黑" w:eastAsia="微软雅黑" w:cs="微软雅黑"/>
          <w:b/>
          <w:color w:val="auto"/>
          <w:kern w:val="0"/>
          <w:sz w:val="22"/>
          <w:szCs w:val="22"/>
          <w:highlight w:val="none"/>
        </w:rPr>
      </w:pPr>
    </w:p>
    <w:p w14:paraId="1D287FD4">
      <w:pPr>
        <w:pStyle w:val="25"/>
        <w:rPr>
          <w:rFonts w:hint="eastAsia" w:ascii="微软雅黑" w:hAnsi="微软雅黑" w:eastAsia="微软雅黑" w:cs="微软雅黑"/>
          <w:b/>
          <w:color w:val="auto"/>
          <w:kern w:val="0"/>
          <w:sz w:val="22"/>
          <w:szCs w:val="22"/>
          <w:highlight w:val="none"/>
        </w:rPr>
      </w:pPr>
    </w:p>
    <w:p w14:paraId="03ED0BA3">
      <w:pPr>
        <w:pStyle w:val="25"/>
        <w:rPr>
          <w:rFonts w:hint="eastAsia" w:ascii="微软雅黑" w:hAnsi="微软雅黑" w:eastAsia="微软雅黑" w:cs="微软雅黑"/>
          <w:b/>
          <w:color w:val="auto"/>
          <w:kern w:val="0"/>
          <w:sz w:val="22"/>
          <w:szCs w:val="22"/>
          <w:highlight w:val="none"/>
        </w:rPr>
      </w:pPr>
    </w:p>
    <w:p w14:paraId="1723BA69">
      <w:pPr>
        <w:pStyle w:val="25"/>
        <w:rPr>
          <w:rFonts w:hint="eastAsia" w:ascii="微软雅黑" w:hAnsi="微软雅黑" w:eastAsia="微软雅黑" w:cs="微软雅黑"/>
          <w:b/>
          <w:color w:val="auto"/>
          <w:kern w:val="0"/>
          <w:sz w:val="22"/>
          <w:szCs w:val="22"/>
          <w:highlight w:val="none"/>
        </w:rPr>
      </w:pPr>
    </w:p>
    <w:p w14:paraId="7E2EE7F5">
      <w:pPr>
        <w:pStyle w:val="5"/>
        <w:ind w:left="0" w:leftChars="0" w:firstLine="0" w:firstLineChars="0"/>
        <w:outlineLvl w:val="1"/>
        <w:rPr>
          <w:rFonts w:hint="eastAsia" w:ascii="微软雅黑" w:hAnsi="微软雅黑" w:eastAsia="微软雅黑" w:cs="微软雅黑"/>
          <w:color w:val="auto"/>
          <w:sz w:val="22"/>
          <w:szCs w:val="22"/>
          <w:highlight w:val="none"/>
        </w:rPr>
      </w:pPr>
      <w:bookmarkStart w:id="1594" w:name="_Toc1363"/>
      <w:bookmarkStart w:id="1595" w:name="_Toc6979"/>
      <w:bookmarkStart w:id="1596" w:name="_Toc31438"/>
      <w:r>
        <w:rPr>
          <w:rFonts w:hint="eastAsia" w:ascii="微软雅黑" w:hAnsi="微软雅黑" w:eastAsia="微软雅黑" w:cs="微软雅黑"/>
          <w:b/>
          <w:bCs/>
          <w:color w:val="auto"/>
          <w:sz w:val="22"/>
          <w:szCs w:val="22"/>
          <w:highlight w:val="none"/>
          <w:lang w:val="en-US" w:eastAsia="zh-CN"/>
        </w:rPr>
        <w:t>9、</w:t>
      </w:r>
      <w:r>
        <w:rPr>
          <w:rFonts w:hint="eastAsia" w:ascii="微软雅黑" w:hAnsi="微软雅黑" w:eastAsia="微软雅黑" w:cs="微软雅黑"/>
          <w:b/>
          <w:bCs/>
          <w:color w:val="auto"/>
          <w:sz w:val="22"/>
          <w:szCs w:val="22"/>
          <w:highlight w:val="none"/>
        </w:rPr>
        <w:t>供应商可提供有利于投标的其他资格证明材料</w:t>
      </w:r>
      <w:bookmarkEnd w:id="1594"/>
      <w:bookmarkEnd w:id="1595"/>
      <w:bookmarkEnd w:id="1596"/>
    </w:p>
    <w:p w14:paraId="5DC051B2">
      <w:pPr>
        <w:pStyle w:val="5"/>
        <w:ind w:left="0" w:leftChars="0" w:firstLine="0" w:firstLineChars="0"/>
        <w:rPr>
          <w:rFonts w:hint="eastAsia" w:ascii="微软雅黑" w:hAnsi="微软雅黑" w:eastAsia="微软雅黑" w:cs="微软雅黑"/>
          <w:color w:val="auto"/>
          <w:sz w:val="22"/>
          <w:szCs w:val="22"/>
          <w:highlight w:val="none"/>
        </w:rPr>
      </w:pPr>
    </w:p>
    <w:p w14:paraId="7A93BB94">
      <w:pPr>
        <w:pStyle w:val="6"/>
        <w:rPr>
          <w:rFonts w:hint="eastAsia" w:ascii="微软雅黑" w:hAnsi="微软雅黑" w:eastAsia="微软雅黑" w:cs="微软雅黑"/>
          <w:color w:val="auto"/>
          <w:sz w:val="22"/>
          <w:szCs w:val="22"/>
          <w:highlight w:val="none"/>
        </w:rPr>
      </w:pPr>
    </w:p>
    <w:p w14:paraId="580B41D9">
      <w:pPr>
        <w:rPr>
          <w:rFonts w:hint="eastAsia" w:ascii="微软雅黑" w:hAnsi="微软雅黑" w:eastAsia="微软雅黑" w:cs="微软雅黑"/>
          <w:color w:val="auto"/>
          <w:sz w:val="22"/>
          <w:szCs w:val="22"/>
          <w:highlight w:val="none"/>
        </w:rPr>
      </w:pPr>
    </w:p>
    <w:p w14:paraId="5F8E3C28">
      <w:pPr>
        <w:pStyle w:val="25"/>
        <w:rPr>
          <w:rFonts w:hint="eastAsia" w:ascii="微软雅黑" w:hAnsi="微软雅黑" w:eastAsia="微软雅黑" w:cs="微软雅黑"/>
          <w:color w:val="auto"/>
          <w:sz w:val="22"/>
          <w:szCs w:val="22"/>
          <w:highlight w:val="none"/>
        </w:rPr>
      </w:pPr>
    </w:p>
    <w:p w14:paraId="48863129">
      <w:pPr>
        <w:pStyle w:val="25"/>
        <w:rPr>
          <w:rFonts w:hint="eastAsia" w:ascii="微软雅黑" w:hAnsi="微软雅黑" w:eastAsia="微软雅黑" w:cs="微软雅黑"/>
          <w:color w:val="auto"/>
          <w:sz w:val="22"/>
          <w:szCs w:val="22"/>
          <w:highlight w:val="none"/>
        </w:rPr>
      </w:pPr>
    </w:p>
    <w:p w14:paraId="3AE1437F">
      <w:pPr>
        <w:pStyle w:val="25"/>
        <w:rPr>
          <w:rFonts w:hint="eastAsia" w:ascii="微软雅黑" w:hAnsi="微软雅黑" w:eastAsia="微软雅黑" w:cs="微软雅黑"/>
          <w:color w:val="auto"/>
          <w:sz w:val="22"/>
          <w:szCs w:val="22"/>
          <w:highlight w:val="none"/>
        </w:rPr>
      </w:pPr>
    </w:p>
    <w:p w14:paraId="4FEF7397">
      <w:pPr>
        <w:pStyle w:val="25"/>
        <w:rPr>
          <w:rFonts w:hint="eastAsia" w:ascii="微软雅黑" w:hAnsi="微软雅黑" w:eastAsia="微软雅黑" w:cs="微软雅黑"/>
          <w:color w:val="auto"/>
          <w:sz w:val="22"/>
          <w:szCs w:val="22"/>
          <w:highlight w:val="none"/>
        </w:rPr>
      </w:pPr>
    </w:p>
    <w:p w14:paraId="6072D63E">
      <w:pPr>
        <w:rPr>
          <w:rFonts w:hint="eastAsia" w:ascii="微软雅黑" w:hAnsi="微软雅黑" w:eastAsia="微软雅黑" w:cs="微软雅黑"/>
          <w:b/>
          <w:color w:val="auto"/>
          <w:kern w:val="0"/>
          <w:sz w:val="22"/>
          <w:szCs w:val="22"/>
          <w:highlight w:val="none"/>
        </w:rPr>
      </w:pPr>
      <w:bookmarkStart w:id="1597" w:name="_Toc13460"/>
      <w:bookmarkStart w:id="1598" w:name="_Toc1808"/>
      <w:r>
        <w:rPr>
          <w:rFonts w:hint="eastAsia" w:ascii="微软雅黑" w:hAnsi="微软雅黑" w:eastAsia="微软雅黑" w:cs="微软雅黑"/>
          <w:b/>
          <w:color w:val="auto"/>
          <w:kern w:val="0"/>
          <w:sz w:val="22"/>
          <w:szCs w:val="22"/>
          <w:highlight w:val="none"/>
        </w:rPr>
        <w:br w:type="page"/>
      </w:r>
    </w:p>
    <w:p w14:paraId="3C5D4C66">
      <w:pPr>
        <w:outlineLvl w:val="1"/>
        <w:rPr>
          <w:rFonts w:hint="eastAsia" w:ascii="微软雅黑" w:hAnsi="微软雅黑" w:eastAsia="微软雅黑" w:cs="微软雅黑"/>
          <w:b/>
          <w:color w:val="auto"/>
          <w:kern w:val="0"/>
          <w:sz w:val="22"/>
          <w:szCs w:val="22"/>
          <w:highlight w:val="none"/>
        </w:rPr>
      </w:pPr>
      <w:r>
        <w:rPr>
          <w:rFonts w:hint="eastAsia" w:ascii="微软雅黑" w:hAnsi="微软雅黑" w:eastAsia="微软雅黑" w:cs="微软雅黑"/>
          <w:b/>
          <w:color w:val="auto"/>
          <w:kern w:val="0"/>
          <w:sz w:val="22"/>
          <w:szCs w:val="22"/>
          <w:highlight w:val="none"/>
          <w:lang w:val="en-US" w:eastAsia="zh-CN"/>
        </w:rPr>
        <w:t>10</w:t>
      </w:r>
      <w:r>
        <w:rPr>
          <w:rFonts w:hint="eastAsia" w:ascii="微软雅黑" w:hAnsi="微软雅黑" w:eastAsia="微软雅黑" w:cs="微软雅黑"/>
          <w:b/>
          <w:color w:val="auto"/>
          <w:kern w:val="0"/>
          <w:sz w:val="22"/>
          <w:szCs w:val="22"/>
          <w:highlight w:val="none"/>
          <w:lang w:eastAsia="zh-CN"/>
        </w:rPr>
        <w:t>、</w:t>
      </w:r>
      <w:r>
        <w:rPr>
          <w:rFonts w:hint="eastAsia" w:ascii="微软雅黑" w:hAnsi="微软雅黑" w:eastAsia="微软雅黑" w:cs="微软雅黑"/>
          <w:b/>
          <w:color w:val="auto"/>
          <w:kern w:val="0"/>
          <w:sz w:val="22"/>
          <w:szCs w:val="22"/>
          <w:highlight w:val="none"/>
        </w:rPr>
        <w:t>投标文件格式范本</w:t>
      </w:r>
      <w:bookmarkEnd w:id="1597"/>
      <w:bookmarkEnd w:id="1598"/>
    </w:p>
    <w:tbl>
      <w:tblPr>
        <w:tblStyle w:val="32"/>
        <w:tblpPr w:leftFromText="180" w:rightFromText="180" w:vertAnchor="text" w:horzAnchor="page" w:tblpX="1380" w:tblpY="440"/>
        <w:tblOverlap w:val="never"/>
        <w:tblW w:w="9120" w:type="dxa"/>
        <w:tblInd w:w="0" w:type="dxa"/>
        <w:tblBorders>
          <w:top w:val="double" w:color="666699" w:sz="4" w:space="0"/>
          <w:left w:val="double" w:color="666699" w:sz="4" w:space="0"/>
          <w:bottom w:val="double" w:color="666699" w:sz="4" w:space="0"/>
          <w:right w:val="double" w:color="666699" w:sz="4" w:space="0"/>
          <w:insideH w:val="double" w:color="666699" w:sz="4" w:space="0"/>
          <w:insideV w:val="double" w:color="666699" w:sz="4" w:space="0"/>
        </w:tblBorders>
        <w:shd w:val="clear" w:color="auto" w:fill="FCFEEA"/>
        <w:tblLayout w:type="fixed"/>
        <w:tblCellMar>
          <w:top w:w="0" w:type="dxa"/>
          <w:left w:w="108" w:type="dxa"/>
          <w:bottom w:w="0" w:type="dxa"/>
          <w:right w:w="108" w:type="dxa"/>
        </w:tblCellMar>
      </w:tblPr>
      <w:tblGrid>
        <w:gridCol w:w="9120"/>
      </w:tblGrid>
      <w:tr w14:paraId="07721444">
        <w:tblPrEx>
          <w:tblBorders>
            <w:top w:val="double" w:color="666699" w:sz="4" w:space="0"/>
            <w:left w:val="double" w:color="666699" w:sz="4" w:space="0"/>
            <w:bottom w:val="double" w:color="666699" w:sz="4" w:space="0"/>
            <w:right w:val="double" w:color="666699" w:sz="4" w:space="0"/>
            <w:insideH w:val="double" w:color="666699" w:sz="4" w:space="0"/>
            <w:insideV w:val="double" w:color="666699" w:sz="4" w:space="0"/>
          </w:tblBorders>
          <w:shd w:val="clear" w:color="auto" w:fill="FCFEEA"/>
          <w:tblCellMar>
            <w:top w:w="0" w:type="dxa"/>
            <w:left w:w="108" w:type="dxa"/>
            <w:bottom w:w="0" w:type="dxa"/>
            <w:right w:w="108" w:type="dxa"/>
          </w:tblCellMar>
        </w:tblPrEx>
        <w:trPr>
          <w:trHeight w:val="11132" w:hRule="atLeast"/>
        </w:trPr>
        <w:tc>
          <w:tcPr>
            <w:tcW w:w="9120" w:type="dxa"/>
            <w:shd w:val="clear" w:color="auto" w:fill="FCFEEA"/>
          </w:tcPr>
          <w:p w14:paraId="7129C9F8">
            <w:pPr>
              <w:pStyle w:val="11"/>
              <w:jc w:val="center"/>
              <w:rPr>
                <w:rFonts w:hint="eastAsia" w:ascii="微软雅黑" w:hAnsi="微软雅黑" w:eastAsia="微软雅黑" w:cs="微软雅黑"/>
                <w:b/>
                <w:bCs/>
                <w:color w:val="auto"/>
                <w:sz w:val="22"/>
                <w:szCs w:val="22"/>
                <w:highlight w:val="none"/>
              </w:rPr>
            </w:pPr>
            <w:r>
              <w:rPr>
                <w:rFonts w:hint="eastAsia" w:ascii="微软雅黑" w:hAnsi="微软雅黑" w:eastAsia="微软雅黑" w:cs="微软雅黑"/>
                <w:b/>
                <w:bCs/>
                <w:color w:val="auto"/>
                <w:sz w:val="22"/>
                <w:szCs w:val="22"/>
                <w:highlight w:val="none"/>
              </w:rPr>
              <w:t xml:space="preserve">                                                </w:t>
            </w:r>
          </w:p>
          <w:p w14:paraId="77F706C2">
            <w:pPr>
              <w:pStyle w:val="11"/>
              <w:ind w:firstLine="3302" w:firstLineChars="1500"/>
              <w:rPr>
                <w:rFonts w:hint="eastAsia" w:ascii="微软雅黑" w:hAnsi="微软雅黑" w:eastAsia="微软雅黑" w:cs="微软雅黑"/>
                <w:b/>
                <w:bCs/>
                <w:color w:val="auto"/>
                <w:sz w:val="22"/>
                <w:szCs w:val="22"/>
                <w:highlight w:val="none"/>
              </w:rPr>
            </w:pPr>
          </w:p>
          <w:p w14:paraId="2384225C">
            <w:pPr>
              <w:pStyle w:val="11"/>
              <w:ind w:firstLine="3302" w:firstLineChars="1500"/>
              <w:rPr>
                <w:rFonts w:hint="eastAsia" w:ascii="微软雅黑" w:hAnsi="微软雅黑" w:eastAsia="微软雅黑" w:cs="微软雅黑"/>
                <w:b/>
                <w:bCs/>
                <w:color w:val="auto"/>
                <w:sz w:val="22"/>
                <w:szCs w:val="22"/>
                <w:highlight w:val="none"/>
              </w:rPr>
            </w:pPr>
          </w:p>
          <w:p w14:paraId="07744827">
            <w:pPr>
              <w:pStyle w:val="11"/>
              <w:rPr>
                <w:rFonts w:hint="eastAsia" w:ascii="微软雅黑" w:hAnsi="微软雅黑" w:eastAsia="微软雅黑" w:cs="微软雅黑"/>
                <w:b/>
                <w:bCs/>
                <w:color w:val="auto"/>
                <w:sz w:val="22"/>
                <w:szCs w:val="22"/>
                <w:highlight w:val="none"/>
              </w:rPr>
            </w:pPr>
          </w:p>
          <w:p w14:paraId="2D80C0FD">
            <w:pPr>
              <w:pStyle w:val="11"/>
              <w:ind w:firstLine="1981" w:firstLineChars="900"/>
              <w:rPr>
                <w:rFonts w:hint="eastAsia" w:ascii="微软雅黑" w:hAnsi="微软雅黑" w:eastAsia="微软雅黑" w:cs="微软雅黑"/>
                <w:b/>
                <w:bCs/>
                <w:color w:val="auto"/>
                <w:sz w:val="22"/>
                <w:szCs w:val="22"/>
                <w:highlight w:val="none"/>
              </w:rPr>
            </w:pPr>
            <w:r>
              <w:rPr>
                <w:rFonts w:hint="eastAsia" w:ascii="微软雅黑" w:hAnsi="微软雅黑" w:eastAsia="微软雅黑" w:cs="微软雅黑"/>
                <w:b/>
                <w:bCs/>
                <w:color w:val="auto"/>
                <w:sz w:val="22"/>
                <w:szCs w:val="22"/>
                <w:highlight w:val="none"/>
              </w:rPr>
              <w:t>＊＊＊＊＊＊＊＊＊＊＊＊＊＊＊＊＊＊＊＊＊项目</w:t>
            </w:r>
          </w:p>
          <w:p w14:paraId="70F99534">
            <w:pPr>
              <w:pStyle w:val="11"/>
              <w:jc w:val="center"/>
              <w:rPr>
                <w:rFonts w:hint="eastAsia" w:ascii="微软雅黑" w:hAnsi="微软雅黑" w:eastAsia="微软雅黑" w:cs="微软雅黑"/>
                <w:b/>
                <w:bCs/>
                <w:color w:val="auto"/>
                <w:sz w:val="22"/>
                <w:szCs w:val="22"/>
                <w:highlight w:val="none"/>
              </w:rPr>
            </w:pPr>
          </w:p>
          <w:p w14:paraId="44208AC8">
            <w:pPr>
              <w:pStyle w:val="11"/>
              <w:ind w:firstLine="3302" w:firstLineChars="1500"/>
              <w:rPr>
                <w:rFonts w:hint="eastAsia" w:ascii="微软雅黑" w:hAnsi="微软雅黑" w:eastAsia="微软雅黑" w:cs="微软雅黑"/>
                <w:b/>
                <w:bCs/>
                <w:color w:val="auto"/>
                <w:sz w:val="22"/>
                <w:szCs w:val="22"/>
                <w:highlight w:val="none"/>
                <w:lang w:val="en-US" w:eastAsia="zh-CN"/>
              </w:rPr>
            </w:pPr>
            <w:r>
              <w:rPr>
                <w:rFonts w:hint="eastAsia" w:ascii="微软雅黑" w:hAnsi="微软雅黑" w:eastAsia="微软雅黑" w:cs="微软雅黑"/>
                <w:b/>
                <w:bCs/>
                <w:color w:val="auto"/>
                <w:sz w:val="22"/>
                <w:szCs w:val="22"/>
                <w:highlight w:val="none"/>
              </w:rPr>
              <w:t xml:space="preserve">编号 ＊＊＊      </w:t>
            </w:r>
            <w:r>
              <w:rPr>
                <w:rFonts w:hint="eastAsia" w:ascii="微软雅黑" w:hAnsi="微软雅黑" w:eastAsia="微软雅黑" w:cs="微软雅黑"/>
                <w:b/>
                <w:bCs/>
                <w:color w:val="auto"/>
                <w:sz w:val="22"/>
                <w:szCs w:val="22"/>
                <w:highlight w:val="none"/>
                <w:lang w:val="en-US" w:eastAsia="zh-CN"/>
              </w:rPr>
              <w:t>标项：</w:t>
            </w:r>
            <w:r>
              <w:rPr>
                <w:rFonts w:hint="eastAsia" w:ascii="微软雅黑" w:hAnsi="微软雅黑" w:eastAsia="微软雅黑" w:cs="微软雅黑"/>
                <w:b/>
                <w:bCs/>
                <w:color w:val="auto"/>
                <w:sz w:val="22"/>
                <w:szCs w:val="22"/>
                <w:highlight w:val="none"/>
              </w:rPr>
              <w:t>＊＊＊</w:t>
            </w:r>
          </w:p>
          <w:p w14:paraId="3F0C6A81">
            <w:pPr>
              <w:pStyle w:val="11"/>
              <w:jc w:val="center"/>
              <w:rPr>
                <w:rFonts w:hint="eastAsia" w:ascii="微软雅黑" w:hAnsi="微软雅黑" w:eastAsia="微软雅黑" w:cs="微软雅黑"/>
                <w:b/>
                <w:bCs/>
                <w:color w:val="auto"/>
                <w:sz w:val="22"/>
                <w:szCs w:val="22"/>
                <w:highlight w:val="none"/>
              </w:rPr>
            </w:pPr>
          </w:p>
          <w:p w14:paraId="1DB2FC38">
            <w:pPr>
              <w:pStyle w:val="11"/>
              <w:jc w:val="center"/>
              <w:rPr>
                <w:rFonts w:hint="eastAsia" w:ascii="微软雅黑" w:hAnsi="微软雅黑" w:eastAsia="微软雅黑" w:cs="微软雅黑"/>
                <w:b/>
                <w:bCs/>
                <w:color w:val="auto"/>
                <w:sz w:val="22"/>
                <w:szCs w:val="22"/>
                <w:highlight w:val="none"/>
              </w:rPr>
            </w:pPr>
            <w:r>
              <w:rPr>
                <w:rFonts w:hint="eastAsia" w:ascii="微软雅黑" w:hAnsi="微软雅黑" w:eastAsia="微软雅黑" w:cs="微软雅黑"/>
                <w:b/>
                <w:bCs/>
                <w:color w:val="auto"/>
                <w:sz w:val="22"/>
                <w:szCs w:val="22"/>
                <w:highlight w:val="none"/>
              </w:rPr>
              <w:t>投 标 文 件</w:t>
            </w:r>
          </w:p>
          <w:p w14:paraId="608127E7">
            <w:pPr>
              <w:pStyle w:val="5"/>
              <w:ind w:firstLine="0"/>
              <w:rPr>
                <w:rFonts w:hint="eastAsia" w:ascii="微软雅黑" w:hAnsi="微软雅黑" w:eastAsia="微软雅黑" w:cs="微软雅黑"/>
                <w:b/>
                <w:color w:val="auto"/>
                <w:sz w:val="22"/>
                <w:szCs w:val="22"/>
                <w:highlight w:val="none"/>
              </w:rPr>
            </w:pPr>
          </w:p>
          <w:p w14:paraId="4FF90BC1">
            <w:pPr>
              <w:pStyle w:val="5"/>
              <w:rPr>
                <w:rFonts w:hint="eastAsia" w:ascii="微软雅黑" w:hAnsi="微软雅黑" w:eastAsia="微软雅黑" w:cs="微软雅黑"/>
                <w:b/>
                <w:color w:val="auto"/>
                <w:sz w:val="22"/>
                <w:szCs w:val="22"/>
                <w:highlight w:val="none"/>
              </w:rPr>
            </w:pPr>
          </w:p>
          <w:p w14:paraId="763001B2">
            <w:pPr>
              <w:spacing w:line="360" w:lineRule="auto"/>
              <w:ind w:left="176" w:leftChars="84" w:firstLine="880" w:firstLineChars="400"/>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供应商：</w:t>
            </w:r>
            <w:r>
              <w:rPr>
                <w:rFonts w:hint="eastAsia" w:ascii="微软雅黑" w:hAnsi="微软雅黑" w:eastAsia="微软雅黑" w:cs="微软雅黑"/>
                <w:color w:val="auto"/>
                <w:sz w:val="22"/>
                <w:szCs w:val="22"/>
                <w:highlight w:val="none"/>
                <w:u w:val="single"/>
              </w:rPr>
              <w:t xml:space="preserve">                                       </w:t>
            </w:r>
            <w:r>
              <w:rPr>
                <w:rFonts w:hint="eastAsia" w:ascii="微软雅黑" w:hAnsi="微软雅黑" w:eastAsia="微软雅黑" w:cs="微软雅黑"/>
                <w:color w:val="auto"/>
                <w:sz w:val="22"/>
                <w:szCs w:val="22"/>
                <w:highlight w:val="none"/>
              </w:rPr>
              <w:t>（公章）</w:t>
            </w:r>
          </w:p>
          <w:p w14:paraId="08F257F3">
            <w:pPr>
              <w:spacing w:line="360" w:lineRule="auto"/>
              <w:ind w:left="176" w:leftChars="84" w:firstLine="880" w:firstLineChars="400"/>
              <w:rPr>
                <w:rFonts w:hint="eastAsia" w:ascii="微软雅黑" w:hAnsi="微软雅黑" w:eastAsia="微软雅黑" w:cs="微软雅黑"/>
                <w:color w:val="auto"/>
                <w:sz w:val="22"/>
                <w:szCs w:val="22"/>
                <w:highlight w:val="none"/>
                <w:u w:val="single"/>
                <w:lang w:val="en-US" w:eastAsia="zh-CN"/>
              </w:rPr>
            </w:pPr>
            <w:r>
              <w:rPr>
                <w:rFonts w:hint="eastAsia" w:ascii="微软雅黑" w:hAnsi="微软雅黑" w:eastAsia="微软雅黑" w:cs="微软雅黑"/>
                <w:color w:val="auto"/>
                <w:sz w:val="22"/>
                <w:szCs w:val="22"/>
                <w:highlight w:val="none"/>
              </w:rPr>
              <w:t>项目名称：</w:t>
            </w:r>
            <w:r>
              <w:rPr>
                <w:rFonts w:hint="eastAsia" w:ascii="微软雅黑" w:hAnsi="微软雅黑" w:eastAsia="微软雅黑" w:cs="微软雅黑"/>
                <w:color w:val="auto"/>
                <w:sz w:val="22"/>
                <w:szCs w:val="22"/>
                <w:highlight w:val="none"/>
                <w:u w:val="single"/>
              </w:rPr>
              <w:t xml:space="preserve">                                       </w:t>
            </w:r>
            <w:r>
              <w:rPr>
                <w:rFonts w:hint="eastAsia" w:ascii="微软雅黑" w:hAnsi="微软雅黑" w:eastAsia="微软雅黑" w:cs="微软雅黑"/>
                <w:color w:val="auto"/>
                <w:sz w:val="22"/>
                <w:szCs w:val="22"/>
                <w:highlight w:val="none"/>
                <w:u w:val="single"/>
                <w:lang w:val="en-US" w:eastAsia="zh-CN"/>
              </w:rPr>
              <w:t xml:space="preserve"> </w:t>
            </w:r>
          </w:p>
          <w:p w14:paraId="6B927292">
            <w:pPr>
              <w:spacing w:line="360" w:lineRule="auto"/>
              <w:ind w:left="176" w:leftChars="84" w:firstLine="880" w:firstLineChars="400"/>
              <w:rPr>
                <w:rFonts w:hint="eastAsia" w:ascii="微软雅黑" w:hAnsi="微软雅黑" w:eastAsia="微软雅黑" w:cs="微软雅黑"/>
                <w:color w:val="auto"/>
                <w:sz w:val="22"/>
                <w:szCs w:val="22"/>
                <w:highlight w:val="none"/>
                <w:u w:val="single"/>
              </w:rPr>
            </w:pPr>
            <w:r>
              <w:rPr>
                <w:rFonts w:hint="eastAsia" w:ascii="微软雅黑" w:hAnsi="微软雅黑" w:eastAsia="微软雅黑" w:cs="微软雅黑"/>
                <w:color w:val="auto"/>
                <w:sz w:val="22"/>
                <w:szCs w:val="22"/>
                <w:highlight w:val="none"/>
              </w:rPr>
              <w:t>项目编号：</w:t>
            </w:r>
            <w:r>
              <w:rPr>
                <w:rFonts w:hint="eastAsia" w:ascii="微软雅黑" w:hAnsi="微软雅黑" w:eastAsia="微软雅黑" w:cs="微软雅黑"/>
                <w:color w:val="auto"/>
                <w:sz w:val="22"/>
                <w:szCs w:val="22"/>
                <w:highlight w:val="none"/>
                <w:u w:val="single"/>
              </w:rPr>
              <w:t xml:space="preserve">                                        </w:t>
            </w:r>
          </w:p>
          <w:p w14:paraId="74BC5558">
            <w:pPr>
              <w:spacing w:line="360" w:lineRule="auto"/>
              <w:ind w:left="176" w:leftChars="84" w:firstLine="880" w:firstLineChars="400"/>
              <w:rPr>
                <w:rFonts w:hint="eastAsia" w:ascii="微软雅黑" w:hAnsi="微软雅黑" w:eastAsia="微软雅黑" w:cs="微软雅黑"/>
                <w:color w:val="auto"/>
                <w:sz w:val="22"/>
                <w:szCs w:val="22"/>
                <w:highlight w:val="none"/>
                <w:u w:val="single"/>
              </w:rPr>
            </w:pPr>
            <w:r>
              <w:rPr>
                <w:rFonts w:hint="eastAsia" w:ascii="微软雅黑" w:hAnsi="微软雅黑" w:eastAsia="微软雅黑" w:cs="微软雅黑"/>
                <w:color w:val="auto"/>
                <w:sz w:val="22"/>
                <w:szCs w:val="22"/>
                <w:highlight w:val="none"/>
              </w:rPr>
              <w:t>联 系 人：</w:t>
            </w:r>
            <w:r>
              <w:rPr>
                <w:rFonts w:hint="eastAsia" w:ascii="微软雅黑" w:hAnsi="微软雅黑" w:eastAsia="微软雅黑" w:cs="微软雅黑"/>
                <w:color w:val="auto"/>
                <w:sz w:val="22"/>
                <w:szCs w:val="22"/>
                <w:highlight w:val="none"/>
                <w:u w:val="single"/>
              </w:rPr>
              <w:t xml:space="preserve">                                 </w:t>
            </w:r>
            <w:r>
              <w:rPr>
                <w:rFonts w:hint="eastAsia" w:ascii="微软雅黑" w:hAnsi="微软雅黑" w:eastAsia="微软雅黑" w:cs="微软雅黑"/>
                <w:color w:val="auto"/>
                <w:sz w:val="22"/>
                <w:szCs w:val="22"/>
                <w:highlight w:val="none"/>
                <w:u w:val="single"/>
                <w:lang w:val="en-US" w:eastAsia="zh-CN"/>
              </w:rPr>
              <w:t xml:space="preserve"> </w:t>
            </w:r>
            <w:r>
              <w:rPr>
                <w:rFonts w:hint="eastAsia" w:ascii="微软雅黑" w:hAnsi="微软雅黑" w:eastAsia="微软雅黑" w:cs="微软雅黑"/>
                <w:color w:val="auto"/>
                <w:sz w:val="22"/>
                <w:szCs w:val="22"/>
                <w:highlight w:val="none"/>
                <w:u w:val="single"/>
              </w:rPr>
              <w:t xml:space="preserve">      </w:t>
            </w:r>
            <w:r>
              <w:rPr>
                <w:rFonts w:hint="eastAsia" w:ascii="微软雅黑" w:hAnsi="微软雅黑" w:eastAsia="微软雅黑" w:cs="微软雅黑"/>
                <w:color w:val="auto"/>
                <w:sz w:val="22"/>
                <w:szCs w:val="22"/>
                <w:highlight w:val="none"/>
              </w:rPr>
              <w:t xml:space="preserve"> </w:t>
            </w:r>
          </w:p>
          <w:p w14:paraId="7A6DE124">
            <w:pPr>
              <w:spacing w:line="360" w:lineRule="auto"/>
              <w:ind w:left="176" w:leftChars="84" w:firstLine="880" w:firstLineChars="400"/>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电    话：</w:t>
            </w:r>
            <w:r>
              <w:rPr>
                <w:rFonts w:hint="eastAsia" w:ascii="微软雅黑" w:hAnsi="微软雅黑" w:eastAsia="微软雅黑" w:cs="微软雅黑"/>
                <w:color w:val="auto"/>
                <w:sz w:val="22"/>
                <w:szCs w:val="22"/>
                <w:highlight w:val="none"/>
                <w:u w:val="single"/>
              </w:rPr>
              <w:t xml:space="preserve">                                        </w:t>
            </w:r>
          </w:p>
          <w:p w14:paraId="5D6C9C54">
            <w:pPr>
              <w:spacing w:line="360" w:lineRule="auto"/>
              <w:ind w:left="176" w:leftChars="84" w:firstLine="880" w:firstLineChars="400"/>
              <w:rPr>
                <w:rFonts w:hint="eastAsia" w:ascii="微软雅黑" w:hAnsi="微软雅黑" w:eastAsia="微软雅黑" w:cs="微软雅黑"/>
                <w:b/>
                <w:bCs/>
                <w:color w:val="auto"/>
                <w:sz w:val="22"/>
                <w:szCs w:val="22"/>
                <w:highlight w:val="none"/>
              </w:rPr>
            </w:pPr>
            <w:r>
              <w:rPr>
                <w:rFonts w:hint="eastAsia" w:ascii="微软雅黑" w:hAnsi="微软雅黑" w:eastAsia="微软雅黑" w:cs="微软雅黑"/>
                <w:color w:val="auto"/>
                <w:sz w:val="22"/>
                <w:szCs w:val="22"/>
                <w:highlight w:val="none"/>
              </w:rPr>
              <w:t xml:space="preserve">地    址  ：  </w:t>
            </w:r>
            <w:r>
              <w:rPr>
                <w:rFonts w:hint="eastAsia" w:ascii="微软雅黑" w:hAnsi="微软雅黑" w:eastAsia="微软雅黑" w:cs="微软雅黑"/>
                <w:color w:val="auto"/>
                <w:sz w:val="22"/>
                <w:szCs w:val="22"/>
                <w:highlight w:val="none"/>
                <w:u w:val="single"/>
              </w:rPr>
              <w:t xml:space="preserve">                                    </w:t>
            </w:r>
          </w:p>
          <w:p w14:paraId="504DCE4E">
            <w:pPr>
              <w:jc w:val="center"/>
              <w:rPr>
                <w:rFonts w:hint="eastAsia" w:ascii="微软雅黑" w:hAnsi="微软雅黑" w:eastAsia="微软雅黑" w:cs="微软雅黑"/>
                <w:b/>
                <w:bCs/>
                <w:color w:val="auto"/>
                <w:sz w:val="22"/>
                <w:szCs w:val="22"/>
                <w:highlight w:val="none"/>
              </w:rPr>
            </w:pPr>
          </w:p>
          <w:p w14:paraId="54138105">
            <w:pPr>
              <w:pStyle w:val="5"/>
              <w:rPr>
                <w:rFonts w:hint="eastAsia" w:ascii="微软雅黑" w:hAnsi="微软雅黑" w:eastAsia="微软雅黑" w:cs="微软雅黑"/>
                <w:color w:val="auto"/>
                <w:sz w:val="22"/>
                <w:szCs w:val="22"/>
                <w:highlight w:val="none"/>
              </w:rPr>
            </w:pPr>
          </w:p>
          <w:p w14:paraId="5ED990D9">
            <w:pPr>
              <w:jc w:val="center"/>
              <w:rPr>
                <w:rFonts w:hint="eastAsia" w:ascii="微软雅黑" w:hAnsi="微软雅黑" w:eastAsia="微软雅黑" w:cs="微软雅黑"/>
                <w:b/>
                <w:bCs/>
                <w:color w:val="auto"/>
                <w:sz w:val="22"/>
                <w:szCs w:val="22"/>
                <w:highlight w:val="none"/>
              </w:rPr>
            </w:pPr>
          </w:p>
          <w:p w14:paraId="7FB1F1FF">
            <w:pPr>
              <w:jc w:val="center"/>
              <w:rPr>
                <w:rFonts w:hint="eastAsia" w:ascii="微软雅黑" w:hAnsi="微软雅黑" w:eastAsia="微软雅黑" w:cs="微软雅黑"/>
                <w:b/>
                <w:bCs/>
                <w:color w:val="auto"/>
                <w:sz w:val="22"/>
                <w:szCs w:val="22"/>
                <w:highlight w:val="none"/>
              </w:rPr>
            </w:pPr>
          </w:p>
          <w:p w14:paraId="378632F1">
            <w:pPr>
              <w:jc w:val="center"/>
              <w:rPr>
                <w:rFonts w:hint="eastAsia" w:ascii="微软雅黑" w:hAnsi="微软雅黑" w:eastAsia="微软雅黑" w:cs="微软雅黑"/>
                <w:b/>
                <w:bCs/>
                <w:color w:val="auto"/>
                <w:sz w:val="22"/>
                <w:szCs w:val="22"/>
                <w:highlight w:val="none"/>
              </w:rPr>
            </w:pPr>
          </w:p>
        </w:tc>
      </w:tr>
    </w:tbl>
    <w:p w14:paraId="56F1674B">
      <w:pPr>
        <w:spacing w:line="240" w:lineRule="atLeast"/>
        <w:jc w:val="center"/>
        <w:rPr>
          <w:rFonts w:hint="eastAsia" w:ascii="微软雅黑" w:hAnsi="微软雅黑" w:eastAsia="微软雅黑" w:cs="微软雅黑"/>
          <w:b/>
          <w:color w:val="auto"/>
          <w:sz w:val="22"/>
          <w:szCs w:val="22"/>
          <w:highlight w:val="none"/>
        </w:rPr>
      </w:pPr>
    </w:p>
    <w:p w14:paraId="162F3F0E">
      <w:pPr>
        <w:spacing w:line="240" w:lineRule="atLeast"/>
        <w:jc w:val="center"/>
        <w:rPr>
          <w:rFonts w:hint="eastAsia" w:ascii="微软雅黑" w:hAnsi="微软雅黑" w:eastAsia="微软雅黑" w:cs="微软雅黑"/>
          <w:b/>
          <w:color w:val="auto"/>
          <w:sz w:val="22"/>
          <w:szCs w:val="22"/>
          <w:highlight w:val="none"/>
        </w:rPr>
      </w:pPr>
    </w:p>
    <w:p w14:paraId="4B54BE92">
      <w:pPr>
        <w:spacing w:line="240" w:lineRule="atLeast"/>
        <w:jc w:val="center"/>
        <w:rPr>
          <w:rFonts w:hint="eastAsia" w:ascii="微软雅黑" w:hAnsi="微软雅黑" w:eastAsia="微软雅黑" w:cs="微软雅黑"/>
          <w:b/>
          <w:color w:val="auto"/>
          <w:sz w:val="22"/>
          <w:szCs w:val="22"/>
          <w:highlight w:val="none"/>
        </w:rPr>
      </w:pPr>
    </w:p>
    <w:p w14:paraId="2021B5AF">
      <w:pPr>
        <w:spacing w:line="240" w:lineRule="atLeast"/>
        <w:jc w:val="center"/>
        <w:rPr>
          <w:rFonts w:hint="eastAsia" w:ascii="微软雅黑" w:hAnsi="微软雅黑" w:eastAsia="微软雅黑" w:cs="微软雅黑"/>
          <w:b/>
          <w:color w:val="auto"/>
          <w:sz w:val="22"/>
          <w:szCs w:val="22"/>
          <w:highlight w:val="none"/>
        </w:rPr>
      </w:pPr>
    </w:p>
    <w:p w14:paraId="1B783826">
      <w:pPr>
        <w:spacing w:line="240" w:lineRule="atLeast"/>
        <w:rPr>
          <w:rFonts w:hint="eastAsia" w:ascii="微软雅黑" w:hAnsi="微软雅黑" w:eastAsia="微软雅黑" w:cs="微软雅黑"/>
          <w:b/>
          <w:color w:val="auto"/>
          <w:sz w:val="22"/>
          <w:szCs w:val="22"/>
          <w:highlight w:val="none"/>
        </w:rPr>
      </w:pPr>
    </w:p>
    <w:p w14:paraId="0A95209E">
      <w:pPr>
        <w:spacing w:line="240" w:lineRule="atLeast"/>
        <w:jc w:val="center"/>
        <w:rPr>
          <w:rFonts w:hint="eastAsia" w:ascii="微软雅黑" w:hAnsi="微软雅黑" w:eastAsia="微软雅黑" w:cs="微软雅黑"/>
          <w:b/>
          <w:color w:val="auto"/>
          <w:sz w:val="22"/>
          <w:szCs w:val="22"/>
          <w:highlight w:val="none"/>
        </w:rPr>
      </w:pPr>
    </w:p>
    <w:p w14:paraId="55834720">
      <w:pPr>
        <w:outlineLvl w:val="9"/>
        <w:rPr>
          <w:rFonts w:hint="eastAsia" w:ascii="微软雅黑" w:hAnsi="微软雅黑" w:eastAsia="微软雅黑" w:cs="微软雅黑"/>
          <w:b/>
          <w:color w:val="auto"/>
          <w:sz w:val="22"/>
          <w:szCs w:val="22"/>
          <w:highlight w:val="none"/>
        </w:rPr>
      </w:pPr>
    </w:p>
    <w:p w14:paraId="0F3EC4DB">
      <w:pPr>
        <w:pStyle w:val="5"/>
        <w:outlineLvl w:val="9"/>
        <w:rPr>
          <w:rFonts w:hint="eastAsia" w:ascii="微软雅黑" w:hAnsi="微软雅黑" w:eastAsia="微软雅黑" w:cs="微软雅黑"/>
          <w:b/>
          <w:color w:val="auto"/>
          <w:sz w:val="22"/>
          <w:szCs w:val="22"/>
          <w:highlight w:val="none"/>
        </w:rPr>
      </w:pPr>
    </w:p>
    <w:p w14:paraId="4C8E3656">
      <w:pPr>
        <w:pStyle w:val="6"/>
        <w:outlineLvl w:val="9"/>
        <w:rPr>
          <w:rFonts w:hint="eastAsia" w:ascii="微软雅黑" w:hAnsi="微软雅黑" w:eastAsia="微软雅黑" w:cs="微软雅黑"/>
          <w:b/>
          <w:color w:val="auto"/>
          <w:sz w:val="22"/>
          <w:szCs w:val="22"/>
          <w:highlight w:val="none"/>
        </w:rPr>
      </w:pPr>
    </w:p>
    <w:p w14:paraId="12A3F7C6">
      <w:pPr>
        <w:rPr>
          <w:rFonts w:hint="eastAsia" w:ascii="微软雅黑" w:hAnsi="微软雅黑" w:eastAsia="微软雅黑" w:cs="微软雅黑"/>
          <w:b/>
          <w:color w:val="auto"/>
          <w:sz w:val="22"/>
          <w:szCs w:val="22"/>
          <w:highlight w:val="none"/>
        </w:rPr>
      </w:pPr>
    </w:p>
    <w:p w14:paraId="681C0C59">
      <w:pPr>
        <w:rPr>
          <w:rFonts w:hint="eastAsia" w:ascii="微软雅黑" w:hAnsi="微软雅黑" w:eastAsia="微软雅黑" w:cs="微软雅黑"/>
          <w:b/>
          <w:color w:val="auto"/>
          <w:sz w:val="22"/>
          <w:szCs w:val="22"/>
          <w:highlight w:val="none"/>
        </w:rPr>
      </w:pPr>
    </w:p>
    <w:p w14:paraId="55894FDB">
      <w:pPr>
        <w:outlineLvl w:val="9"/>
        <w:rPr>
          <w:rFonts w:hint="eastAsia" w:ascii="微软雅黑" w:hAnsi="微软雅黑" w:eastAsia="微软雅黑" w:cs="微软雅黑"/>
          <w:b/>
          <w:color w:val="auto"/>
          <w:sz w:val="22"/>
          <w:szCs w:val="22"/>
          <w:highlight w:val="none"/>
        </w:rPr>
      </w:pPr>
    </w:p>
    <w:p w14:paraId="28CCD794">
      <w:pPr>
        <w:outlineLvl w:val="9"/>
        <w:rPr>
          <w:rFonts w:hint="eastAsia" w:ascii="微软雅黑" w:hAnsi="微软雅黑" w:eastAsia="微软雅黑" w:cs="微软雅黑"/>
          <w:color w:val="auto"/>
          <w:sz w:val="20"/>
          <w:szCs w:val="22"/>
          <w:highlight w:val="none"/>
        </w:rPr>
      </w:pPr>
    </w:p>
    <w:p w14:paraId="71D1DADA">
      <w:pPr>
        <w:pStyle w:val="25"/>
        <w:rPr>
          <w:rFonts w:hint="eastAsia" w:ascii="微软雅黑" w:hAnsi="微软雅黑" w:eastAsia="微软雅黑" w:cs="微软雅黑"/>
          <w:color w:val="auto"/>
          <w:sz w:val="36"/>
          <w:szCs w:val="36"/>
          <w:highlight w:val="none"/>
        </w:rPr>
      </w:pPr>
    </w:p>
    <w:p w14:paraId="0A371208">
      <w:pPr>
        <w:spacing w:line="240" w:lineRule="atLeast"/>
        <w:jc w:val="center"/>
        <w:rPr>
          <w:rFonts w:hint="eastAsia" w:ascii="微软雅黑" w:hAnsi="微软雅黑" w:eastAsia="微软雅黑" w:cs="微软雅黑"/>
          <w:b/>
          <w:color w:val="auto"/>
          <w:sz w:val="36"/>
          <w:szCs w:val="36"/>
          <w:highlight w:val="none"/>
        </w:rPr>
      </w:pPr>
      <w:r>
        <w:rPr>
          <w:rFonts w:hint="eastAsia" w:ascii="微软雅黑" w:hAnsi="微软雅黑" w:eastAsia="微软雅黑" w:cs="微软雅黑"/>
          <w:b/>
          <w:color w:val="auto"/>
          <w:sz w:val="36"/>
          <w:szCs w:val="36"/>
          <w:highlight w:val="none"/>
        </w:rPr>
        <w:t>招 标 文 件</w:t>
      </w:r>
    </w:p>
    <w:p w14:paraId="452E7CEB">
      <w:pPr>
        <w:spacing w:line="360" w:lineRule="auto"/>
        <w:rPr>
          <w:rFonts w:hint="eastAsia" w:ascii="微软雅黑" w:hAnsi="微软雅黑" w:eastAsia="微软雅黑" w:cs="微软雅黑"/>
          <w:b/>
          <w:color w:val="auto"/>
          <w:sz w:val="36"/>
          <w:szCs w:val="36"/>
          <w:highlight w:val="none"/>
        </w:rPr>
      </w:pPr>
      <w:bookmarkStart w:id="1599" w:name="_Toc24900_WPSOffice_Level2"/>
    </w:p>
    <w:p w14:paraId="5A1C4392">
      <w:pPr>
        <w:spacing w:line="360" w:lineRule="auto"/>
        <w:jc w:val="center"/>
        <w:rPr>
          <w:rFonts w:hint="eastAsia" w:ascii="微软雅黑" w:hAnsi="微软雅黑" w:eastAsia="微软雅黑" w:cs="微软雅黑"/>
          <w:b/>
          <w:color w:val="auto"/>
          <w:sz w:val="36"/>
          <w:szCs w:val="36"/>
          <w:highlight w:val="none"/>
          <w:lang w:val="en-US" w:eastAsia="zh-CN"/>
        </w:rPr>
      </w:pPr>
      <w:r>
        <w:rPr>
          <w:rFonts w:hint="eastAsia" w:ascii="微软雅黑" w:hAnsi="微软雅黑" w:eastAsia="微软雅黑" w:cs="微软雅黑"/>
          <w:b/>
          <w:color w:val="auto"/>
          <w:sz w:val="36"/>
          <w:szCs w:val="36"/>
          <w:highlight w:val="none"/>
        </w:rPr>
        <w:t>项目编号：</w:t>
      </w:r>
      <w:bookmarkEnd w:id="1599"/>
      <w:r>
        <w:rPr>
          <w:rFonts w:hint="eastAsia" w:ascii="微软雅黑" w:hAnsi="微软雅黑" w:eastAsia="微软雅黑" w:cs="微软雅黑"/>
          <w:b/>
          <w:color w:val="auto"/>
          <w:sz w:val="36"/>
          <w:szCs w:val="36"/>
          <w:highlight w:val="none"/>
        </w:rPr>
        <w:t>ZPDL(202</w:t>
      </w:r>
      <w:r>
        <w:rPr>
          <w:rFonts w:hint="eastAsia" w:ascii="微软雅黑" w:hAnsi="微软雅黑" w:eastAsia="微软雅黑" w:cs="微软雅黑"/>
          <w:b/>
          <w:color w:val="auto"/>
          <w:sz w:val="36"/>
          <w:szCs w:val="36"/>
          <w:highlight w:val="none"/>
          <w:lang w:val="en-US" w:eastAsia="zh-CN"/>
        </w:rPr>
        <w:t>6</w:t>
      </w:r>
      <w:r>
        <w:rPr>
          <w:rFonts w:hint="eastAsia" w:ascii="微软雅黑" w:hAnsi="微软雅黑" w:eastAsia="微软雅黑" w:cs="微软雅黑"/>
          <w:b/>
          <w:color w:val="auto"/>
          <w:sz w:val="36"/>
          <w:szCs w:val="36"/>
          <w:highlight w:val="none"/>
        </w:rPr>
        <w:t>)0</w:t>
      </w:r>
      <w:r>
        <w:rPr>
          <w:rFonts w:hint="eastAsia" w:ascii="微软雅黑" w:hAnsi="微软雅黑" w:eastAsia="微软雅黑" w:cs="微软雅黑"/>
          <w:b/>
          <w:color w:val="auto"/>
          <w:sz w:val="36"/>
          <w:szCs w:val="36"/>
          <w:highlight w:val="none"/>
          <w:lang w:val="en-US" w:eastAsia="zh-CN"/>
        </w:rPr>
        <w:t>18</w:t>
      </w:r>
      <w:r>
        <w:rPr>
          <w:rFonts w:hint="eastAsia" w:ascii="微软雅黑" w:hAnsi="微软雅黑" w:eastAsia="微软雅黑" w:cs="微软雅黑"/>
          <w:b/>
          <w:color w:val="auto"/>
          <w:sz w:val="36"/>
          <w:szCs w:val="36"/>
          <w:highlight w:val="none"/>
          <w:lang w:eastAsia="zh-CN"/>
        </w:rPr>
        <w:t xml:space="preserve"> </w:t>
      </w:r>
    </w:p>
    <w:p w14:paraId="66F11EBA">
      <w:pPr>
        <w:spacing w:line="240" w:lineRule="atLeast"/>
        <w:jc w:val="both"/>
        <w:rPr>
          <w:rFonts w:hint="eastAsia" w:ascii="微软雅黑" w:hAnsi="微软雅黑" w:eastAsia="微软雅黑" w:cs="微软雅黑"/>
          <w:b/>
          <w:color w:val="auto"/>
          <w:sz w:val="36"/>
          <w:szCs w:val="36"/>
          <w:highlight w:val="none"/>
        </w:rPr>
      </w:pPr>
    </w:p>
    <w:p w14:paraId="64C4FD9F">
      <w:pPr>
        <w:spacing w:line="240" w:lineRule="atLeast"/>
        <w:jc w:val="center"/>
        <w:rPr>
          <w:rFonts w:hint="eastAsia" w:ascii="微软雅黑" w:hAnsi="微软雅黑" w:eastAsia="微软雅黑" w:cs="微软雅黑"/>
          <w:b/>
          <w:color w:val="auto"/>
          <w:sz w:val="36"/>
          <w:szCs w:val="36"/>
          <w:highlight w:val="none"/>
        </w:rPr>
      </w:pPr>
      <w:r>
        <w:rPr>
          <w:rFonts w:hint="eastAsia" w:ascii="微软雅黑" w:hAnsi="微软雅黑" w:eastAsia="微软雅黑" w:cs="微软雅黑"/>
          <w:b/>
          <w:color w:val="auto"/>
          <w:sz w:val="36"/>
          <w:szCs w:val="36"/>
          <w:highlight w:val="none"/>
        </w:rPr>
        <w:t>第 二 册</w:t>
      </w:r>
    </w:p>
    <w:p w14:paraId="22A0BEF1">
      <w:pPr>
        <w:rPr>
          <w:rFonts w:hint="eastAsia" w:ascii="微软雅黑" w:hAnsi="微软雅黑" w:eastAsia="微软雅黑" w:cs="微软雅黑"/>
          <w:color w:val="auto"/>
          <w:sz w:val="22"/>
          <w:szCs w:val="22"/>
          <w:highlight w:val="none"/>
        </w:rPr>
      </w:pPr>
    </w:p>
    <w:p w14:paraId="2EDF6218">
      <w:pPr>
        <w:rPr>
          <w:rFonts w:hint="eastAsia" w:ascii="微软雅黑" w:hAnsi="微软雅黑" w:eastAsia="微软雅黑" w:cs="微软雅黑"/>
          <w:color w:val="auto"/>
          <w:sz w:val="40"/>
          <w:szCs w:val="32"/>
          <w:highlight w:val="none"/>
        </w:rPr>
      </w:pPr>
    </w:p>
    <w:p w14:paraId="2941E624">
      <w:pPr>
        <w:pStyle w:val="5"/>
        <w:rPr>
          <w:rFonts w:hint="eastAsia" w:ascii="微软雅黑" w:hAnsi="微软雅黑" w:eastAsia="微软雅黑" w:cs="微软雅黑"/>
          <w:b/>
          <w:color w:val="auto"/>
          <w:sz w:val="40"/>
          <w:szCs w:val="32"/>
          <w:highlight w:val="none"/>
        </w:rPr>
      </w:pPr>
    </w:p>
    <w:p w14:paraId="0FF3B73E">
      <w:pPr>
        <w:pStyle w:val="6"/>
        <w:rPr>
          <w:rFonts w:hint="eastAsia" w:ascii="微软雅黑" w:hAnsi="微软雅黑" w:eastAsia="微软雅黑" w:cs="微软雅黑"/>
          <w:b/>
          <w:color w:val="auto"/>
          <w:sz w:val="40"/>
          <w:szCs w:val="32"/>
          <w:highlight w:val="none"/>
        </w:rPr>
      </w:pPr>
    </w:p>
    <w:p w14:paraId="2B3C2EF6">
      <w:pPr>
        <w:rPr>
          <w:rFonts w:hint="eastAsia" w:ascii="微软雅黑" w:hAnsi="微软雅黑" w:eastAsia="微软雅黑" w:cs="微软雅黑"/>
          <w:color w:val="auto"/>
          <w:sz w:val="20"/>
          <w:szCs w:val="22"/>
          <w:highlight w:val="none"/>
        </w:rPr>
      </w:pPr>
    </w:p>
    <w:p w14:paraId="53CC3E04">
      <w:pPr>
        <w:rPr>
          <w:rFonts w:hint="eastAsia" w:ascii="微软雅黑" w:hAnsi="微软雅黑" w:eastAsia="微软雅黑" w:cs="微软雅黑"/>
          <w:color w:val="auto"/>
          <w:sz w:val="20"/>
          <w:szCs w:val="22"/>
          <w:highlight w:val="none"/>
        </w:rPr>
      </w:pPr>
    </w:p>
    <w:p w14:paraId="049C80DE">
      <w:pPr>
        <w:spacing w:line="240" w:lineRule="atLeast"/>
        <w:jc w:val="center"/>
        <w:rPr>
          <w:rFonts w:hint="eastAsia" w:ascii="微软雅黑" w:hAnsi="微软雅黑" w:eastAsia="微软雅黑" w:cs="微软雅黑"/>
          <w:b/>
          <w:color w:val="auto"/>
          <w:sz w:val="28"/>
          <w:szCs w:val="22"/>
          <w:highlight w:val="none"/>
        </w:rPr>
      </w:pPr>
    </w:p>
    <w:bookmarkEnd w:id="1473"/>
    <w:bookmarkEnd w:id="1474"/>
    <w:bookmarkEnd w:id="1475"/>
    <w:bookmarkEnd w:id="1476"/>
    <w:bookmarkEnd w:id="1477"/>
    <w:bookmarkEnd w:id="1478"/>
    <w:bookmarkEnd w:id="1479"/>
    <w:bookmarkEnd w:id="1480"/>
    <w:bookmarkEnd w:id="1481"/>
    <w:bookmarkEnd w:id="1482"/>
    <w:p w14:paraId="54B72926">
      <w:pPr>
        <w:rPr>
          <w:rStyle w:val="48"/>
          <w:rFonts w:hint="eastAsia" w:ascii="微软雅黑" w:hAnsi="微软雅黑" w:eastAsia="微软雅黑" w:cs="微软雅黑"/>
          <w:color w:val="auto"/>
          <w:sz w:val="28"/>
          <w:szCs w:val="18"/>
          <w:highlight w:val="none"/>
        </w:rPr>
      </w:pPr>
      <w:bookmarkStart w:id="1600" w:name="_Toc28765"/>
      <w:bookmarkStart w:id="1601" w:name="_Toc219175634"/>
      <w:bookmarkStart w:id="1602" w:name="_Toc515647829"/>
      <w:bookmarkStart w:id="1603" w:name="_Toc218935350"/>
      <w:bookmarkStart w:id="1604" w:name="_Toc29715"/>
      <w:bookmarkStart w:id="1605" w:name="_Toc507399902"/>
      <w:bookmarkStart w:id="1606" w:name="_Toc22081"/>
      <w:bookmarkStart w:id="1607" w:name="_Toc16370"/>
      <w:bookmarkStart w:id="1608" w:name="_Toc216582822"/>
      <w:r>
        <w:rPr>
          <w:rStyle w:val="48"/>
          <w:rFonts w:hint="eastAsia" w:ascii="微软雅黑" w:hAnsi="微软雅黑" w:eastAsia="微软雅黑" w:cs="微软雅黑"/>
          <w:color w:val="auto"/>
          <w:sz w:val="28"/>
          <w:szCs w:val="18"/>
          <w:highlight w:val="none"/>
        </w:rPr>
        <w:br w:type="page"/>
      </w:r>
    </w:p>
    <w:p w14:paraId="7D3E1B00">
      <w:pPr>
        <w:widowControl/>
        <w:spacing w:line="440" w:lineRule="exact"/>
        <w:jc w:val="center"/>
        <w:outlineLvl w:val="0"/>
        <w:rPr>
          <w:rStyle w:val="48"/>
          <w:rFonts w:hint="eastAsia" w:ascii="微软雅黑" w:hAnsi="微软雅黑" w:eastAsia="微软雅黑" w:cs="微软雅黑"/>
          <w:color w:val="auto"/>
          <w:sz w:val="28"/>
          <w:szCs w:val="18"/>
          <w:highlight w:val="none"/>
        </w:rPr>
      </w:pPr>
      <w:bookmarkStart w:id="1609" w:name="_Toc27830"/>
      <w:r>
        <w:rPr>
          <w:rStyle w:val="48"/>
          <w:rFonts w:hint="eastAsia" w:ascii="微软雅黑" w:hAnsi="微软雅黑" w:eastAsia="微软雅黑" w:cs="微软雅黑"/>
          <w:color w:val="auto"/>
          <w:sz w:val="28"/>
          <w:szCs w:val="18"/>
          <w:highlight w:val="none"/>
        </w:rPr>
        <w:t>第3章  投标邀请</w:t>
      </w:r>
      <w:bookmarkEnd w:id="1600"/>
      <w:bookmarkEnd w:id="1601"/>
      <w:bookmarkEnd w:id="1602"/>
      <w:bookmarkEnd w:id="1603"/>
      <w:bookmarkEnd w:id="1604"/>
      <w:bookmarkEnd w:id="1605"/>
      <w:bookmarkEnd w:id="1606"/>
      <w:bookmarkEnd w:id="1607"/>
      <w:bookmarkEnd w:id="1608"/>
      <w:bookmarkEnd w:id="1609"/>
      <w:bookmarkStart w:id="1610" w:name="_Toc5272"/>
      <w:bookmarkStart w:id="1611" w:name="_Toc507399903"/>
      <w:bookmarkStart w:id="1612" w:name="_Toc31583"/>
      <w:bookmarkStart w:id="1613" w:name="_Toc10488"/>
      <w:bookmarkStart w:id="1614" w:name="_Toc216582823"/>
      <w:bookmarkStart w:id="1615" w:name="_Toc512937850"/>
      <w:bookmarkStart w:id="1616" w:name="_Toc515647830"/>
    </w:p>
    <w:p w14:paraId="6646C400">
      <w:pPr>
        <w:keepNext w:val="0"/>
        <w:keepLines w:val="0"/>
        <w:pageBreakBefore w:val="0"/>
        <w:tabs>
          <w:tab w:val="left" w:pos="0"/>
          <w:tab w:val="left" w:pos="3165"/>
          <w:tab w:val="center" w:pos="4153"/>
        </w:tabs>
        <w:kinsoku/>
        <w:overflowPunct/>
        <w:topLinePunct w:val="0"/>
        <w:bidi w:val="0"/>
        <w:snapToGrid/>
        <w:spacing w:before="0" w:after="0" w:line="440" w:lineRule="exact"/>
        <w:jc w:val="center"/>
        <w:textAlignment w:val="auto"/>
        <w:outlineLvl w:val="9"/>
        <w:rPr>
          <w:rFonts w:hint="eastAsia" w:ascii="微软雅黑" w:hAnsi="微软雅黑" w:eastAsia="微软雅黑" w:cs="微软雅黑"/>
          <w:b/>
          <w:bCs/>
          <w:color w:val="auto"/>
          <w:sz w:val="24"/>
          <w:szCs w:val="24"/>
          <w:highlight w:val="none"/>
          <w:lang w:eastAsia="zh-CN"/>
        </w:rPr>
      </w:pPr>
      <w:bookmarkStart w:id="1617" w:name="_Toc29132"/>
      <w:r>
        <w:rPr>
          <w:rFonts w:hint="eastAsia" w:ascii="微软雅黑" w:hAnsi="微软雅黑" w:eastAsia="微软雅黑" w:cs="微软雅黑"/>
          <w:b/>
          <w:bCs/>
          <w:color w:val="auto"/>
          <w:kern w:val="2"/>
          <w:sz w:val="28"/>
          <w:szCs w:val="28"/>
          <w:highlight w:val="none"/>
          <w:lang w:val="en-US" w:eastAsia="zh-CN" w:bidi="ar-SA"/>
        </w:rPr>
        <w:t>新疆共建恒业信息咨询有限责任公司关于泽普县维吾尔医医院中药饮片及包装材料采购项目</w:t>
      </w:r>
      <w:r>
        <w:rPr>
          <w:rFonts w:hint="eastAsia" w:ascii="微软雅黑" w:hAnsi="微软雅黑" w:eastAsia="微软雅黑" w:cs="微软雅黑"/>
          <w:b/>
          <w:bCs/>
          <w:color w:val="auto"/>
          <w:sz w:val="28"/>
          <w:szCs w:val="28"/>
          <w:highlight w:val="none"/>
          <w:lang w:eastAsia="zh-CN"/>
        </w:rPr>
        <w:t>公开招标公告</w:t>
      </w:r>
    </w:p>
    <w:p w14:paraId="5FCE1D2C">
      <w:pPr>
        <w:keepNext w:val="0"/>
        <w:keepLines w:val="0"/>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beforeAutospacing="0" w:afterAutospacing="0" w:line="440" w:lineRule="exact"/>
        <w:ind w:left="0" w:firstLine="440" w:firstLineChars="200"/>
        <w:textAlignment w:val="auto"/>
        <w:outlineLvl w:val="9"/>
        <w:rPr>
          <w:rFonts w:hint="eastAsia" w:ascii="微软雅黑" w:hAnsi="微软雅黑" w:eastAsia="微软雅黑" w:cs="微软雅黑"/>
          <w:b/>
          <w:bCs/>
          <w:color w:val="auto"/>
          <w:sz w:val="22"/>
          <w:szCs w:val="22"/>
          <w:highlight w:val="none"/>
        </w:rPr>
      </w:pPr>
      <w:r>
        <w:rPr>
          <w:rFonts w:hint="eastAsia" w:ascii="微软雅黑" w:hAnsi="微软雅黑" w:eastAsia="微软雅黑" w:cs="微软雅黑"/>
          <w:b/>
          <w:bCs/>
          <w:color w:val="auto"/>
          <w:sz w:val="22"/>
          <w:szCs w:val="22"/>
          <w:highlight w:val="none"/>
        </w:rPr>
        <w:t>项目概况</w:t>
      </w:r>
    </w:p>
    <w:p w14:paraId="72241524">
      <w:pPr>
        <w:keepNext w:val="0"/>
        <w:keepLines w:val="0"/>
        <w:pageBreakBefore w:val="0"/>
        <w:widowControl w:val="0"/>
        <w:pBdr>
          <w:top w:val="single" w:color="auto" w:sz="4" w:space="1"/>
          <w:left w:val="single" w:color="auto" w:sz="4" w:space="4"/>
          <w:bottom w:val="single" w:color="auto" w:sz="4" w:space="1"/>
          <w:right w:val="single" w:color="auto" w:sz="4" w:space="4"/>
        </w:pBdr>
        <w:kinsoku/>
        <w:wordWrap w:val="0"/>
        <w:overflowPunct/>
        <w:topLinePunct w:val="0"/>
        <w:autoSpaceDE/>
        <w:autoSpaceDN/>
        <w:bidi w:val="0"/>
        <w:adjustRightInd/>
        <w:snapToGrid/>
        <w:spacing w:beforeAutospacing="0" w:afterAutospacing="0" w:line="440" w:lineRule="exact"/>
        <w:ind w:left="0" w:firstLine="440" w:firstLineChars="200"/>
        <w:textAlignment w:val="auto"/>
        <w:outlineLvl w:val="9"/>
        <w:rPr>
          <w:rFonts w:hint="eastAsia" w:ascii="微软雅黑" w:hAnsi="微软雅黑" w:eastAsia="微软雅黑" w:cs="微软雅黑"/>
          <w:b/>
          <w:bCs/>
          <w:color w:val="auto"/>
          <w:sz w:val="22"/>
          <w:szCs w:val="22"/>
          <w:highlight w:val="none"/>
        </w:rPr>
      </w:pPr>
      <w:bookmarkStart w:id="1618" w:name="_Toc28359079"/>
      <w:bookmarkStart w:id="1619" w:name="_Toc35393790"/>
      <w:bookmarkStart w:id="1620" w:name="_Toc28359002"/>
      <w:bookmarkStart w:id="1621" w:name="_Toc35393621"/>
      <w:bookmarkStart w:id="1622" w:name="_Toc28217"/>
      <w:bookmarkStart w:id="1623" w:name="_Toc28253"/>
      <w:bookmarkStart w:id="1624" w:name="_Toc20970"/>
      <w:bookmarkStart w:id="1625" w:name="_Hlk24379207"/>
      <w:r>
        <w:rPr>
          <w:rFonts w:hint="eastAsia" w:ascii="微软雅黑" w:hAnsi="微软雅黑" w:eastAsia="微软雅黑" w:cs="微软雅黑"/>
          <w:color w:val="auto"/>
          <w:sz w:val="22"/>
          <w:szCs w:val="22"/>
          <w:highlight w:val="none"/>
          <w:u w:val="single"/>
          <w:lang w:eastAsia="zh-CN"/>
        </w:rPr>
        <w:t>泽普县维吾尔医医院中药饮片及包装材料采购项目</w:t>
      </w:r>
      <w:r>
        <w:rPr>
          <w:rFonts w:hint="eastAsia" w:ascii="微软雅黑" w:hAnsi="微软雅黑" w:eastAsia="微软雅黑" w:cs="微软雅黑"/>
          <w:color w:val="auto"/>
          <w:sz w:val="22"/>
          <w:szCs w:val="22"/>
          <w:highlight w:val="none"/>
        </w:rPr>
        <w:t>的潜在供应商应在</w:t>
      </w:r>
      <w:r>
        <w:rPr>
          <w:rFonts w:hint="eastAsia" w:ascii="微软雅黑" w:hAnsi="微软雅黑" w:eastAsia="微软雅黑" w:cs="微软雅黑"/>
          <w:color w:val="auto"/>
          <w:sz w:val="22"/>
          <w:szCs w:val="22"/>
          <w:highlight w:val="none"/>
          <w:u w:val="single"/>
          <w:lang w:val="en-US" w:eastAsia="zh-CN"/>
        </w:rPr>
        <w:t>政采云平台（https://login.zcygov.cn/user-login/#/login）</w:t>
      </w:r>
      <w:r>
        <w:rPr>
          <w:rFonts w:hint="eastAsia" w:ascii="微软雅黑" w:hAnsi="微软雅黑" w:eastAsia="微软雅黑" w:cs="微软雅黑"/>
          <w:color w:val="auto"/>
          <w:sz w:val="22"/>
          <w:szCs w:val="22"/>
          <w:highlight w:val="none"/>
        </w:rPr>
        <w:t>获取招标文件，并于</w:t>
      </w:r>
      <w:r>
        <w:rPr>
          <w:rFonts w:hint="eastAsia" w:ascii="微软雅黑" w:hAnsi="微软雅黑" w:eastAsia="微软雅黑" w:cs="微软雅黑"/>
          <w:color w:val="auto"/>
          <w:sz w:val="22"/>
          <w:szCs w:val="22"/>
          <w:highlight w:val="none"/>
          <w:u w:val="single"/>
          <w:lang w:eastAsia="zh-CN"/>
        </w:rPr>
        <w:t>2026年4月29日11:00</w:t>
      </w:r>
      <w:r>
        <w:rPr>
          <w:rFonts w:hint="eastAsia" w:ascii="微软雅黑" w:hAnsi="微软雅黑" w:eastAsia="微软雅黑" w:cs="微软雅黑"/>
          <w:color w:val="auto"/>
          <w:sz w:val="22"/>
          <w:szCs w:val="22"/>
          <w:highlight w:val="none"/>
          <w:u w:val="single"/>
        </w:rPr>
        <w:t>（北京时间）</w:t>
      </w:r>
      <w:r>
        <w:rPr>
          <w:rFonts w:hint="eastAsia" w:ascii="微软雅黑" w:hAnsi="微软雅黑" w:eastAsia="微软雅黑" w:cs="微软雅黑"/>
          <w:bCs/>
          <w:color w:val="auto"/>
          <w:sz w:val="22"/>
          <w:szCs w:val="22"/>
          <w:highlight w:val="none"/>
        </w:rPr>
        <w:t>前</w:t>
      </w:r>
      <w:r>
        <w:rPr>
          <w:rFonts w:hint="eastAsia" w:ascii="微软雅黑" w:hAnsi="微软雅黑" w:eastAsia="微软雅黑" w:cs="微软雅黑"/>
          <w:bCs/>
          <w:color w:val="auto"/>
          <w:sz w:val="22"/>
          <w:szCs w:val="22"/>
          <w:highlight w:val="none"/>
          <w:lang w:eastAsia="zh-CN"/>
        </w:rPr>
        <w:t>上传</w:t>
      </w:r>
      <w:r>
        <w:rPr>
          <w:rFonts w:hint="eastAsia" w:ascii="微软雅黑" w:hAnsi="微软雅黑" w:eastAsia="微软雅黑" w:cs="微软雅黑"/>
          <w:bCs/>
          <w:color w:val="auto"/>
          <w:sz w:val="22"/>
          <w:szCs w:val="22"/>
          <w:highlight w:val="none"/>
        </w:rPr>
        <w:t>投标文件</w:t>
      </w:r>
      <w:r>
        <w:rPr>
          <w:rFonts w:hint="eastAsia" w:ascii="微软雅黑" w:hAnsi="微软雅黑" w:eastAsia="微软雅黑" w:cs="微软雅黑"/>
          <w:color w:val="auto"/>
          <w:sz w:val="22"/>
          <w:szCs w:val="22"/>
          <w:highlight w:val="none"/>
        </w:rPr>
        <w:t>。</w:t>
      </w:r>
    </w:p>
    <w:p w14:paraId="52499056">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jc w:val="both"/>
        <w:textAlignment w:val="auto"/>
        <w:outlineLvl w:val="9"/>
        <w:rPr>
          <w:rFonts w:hint="eastAsia" w:ascii="微软雅黑" w:hAnsi="微软雅黑" w:eastAsia="微软雅黑" w:cs="微软雅黑"/>
          <w:b/>
          <w:bCs w:val="0"/>
          <w:color w:val="auto"/>
          <w:sz w:val="22"/>
          <w:szCs w:val="22"/>
          <w:highlight w:val="none"/>
        </w:rPr>
      </w:pPr>
      <w:r>
        <w:rPr>
          <w:rFonts w:hint="eastAsia" w:ascii="微软雅黑" w:hAnsi="微软雅黑" w:eastAsia="微软雅黑" w:cs="微软雅黑"/>
          <w:b/>
          <w:bCs w:val="0"/>
          <w:color w:val="auto"/>
          <w:sz w:val="22"/>
          <w:szCs w:val="22"/>
          <w:highlight w:val="none"/>
        </w:rPr>
        <w:t>一、</w:t>
      </w:r>
      <w:bookmarkEnd w:id="1618"/>
      <w:bookmarkEnd w:id="1619"/>
      <w:bookmarkEnd w:id="1620"/>
      <w:bookmarkEnd w:id="1621"/>
      <w:bookmarkEnd w:id="1622"/>
      <w:r>
        <w:rPr>
          <w:rFonts w:hint="eastAsia" w:ascii="微软雅黑" w:hAnsi="微软雅黑" w:eastAsia="微软雅黑" w:cs="微软雅黑"/>
          <w:b/>
          <w:bCs w:val="0"/>
          <w:color w:val="auto"/>
          <w:sz w:val="22"/>
          <w:szCs w:val="22"/>
          <w:highlight w:val="none"/>
        </w:rPr>
        <w:t>项目基本情况</w:t>
      </w:r>
      <w:bookmarkEnd w:id="1623"/>
      <w:bookmarkEnd w:id="1624"/>
    </w:p>
    <w:bookmarkEnd w:id="1625"/>
    <w:p w14:paraId="29C2C89D">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firstLine="440" w:firstLineChars="200"/>
        <w:textAlignment w:val="auto"/>
        <w:outlineLvl w:val="9"/>
        <w:rPr>
          <w:rFonts w:hint="eastAsia" w:ascii="微软雅黑" w:hAnsi="微软雅黑" w:eastAsia="微软雅黑" w:cs="微软雅黑"/>
          <w:color w:val="auto"/>
          <w:sz w:val="22"/>
          <w:szCs w:val="22"/>
          <w:highlight w:val="none"/>
          <w:lang w:val="en-US" w:eastAsia="zh-CN"/>
        </w:rPr>
      </w:pPr>
      <w:bookmarkStart w:id="1626" w:name="_Toc29506"/>
      <w:bookmarkStart w:id="1627" w:name="_Toc28359080"/>
      <w:bookmarkStart w:id="1628" w:name="_Toc35393791"/>
      <w:bookmarkStart w:id="1629" w:name="_Toc13688"/>
      <w:bookmarkStart w:id="1630" w:name="_Toc19260"/>
      <w:bookmarkStart w:id="1631" w:name="_Toc35393622"/>
      <w:bookmarkStart w:id="1632" w:name="_Toc28359003"/>
      <w:bookmarkStart w:id="1633" w:name="_Toc1145"/>
      <w:r>
        <w:rPr>
          <w:rFonts w:hint="eastAsia" w:ascii="微软雅黑" w:hAnsi="微软雅黑" w:eastAsia="微软雅黑" w:cs="微软雅黑"/>
          <w:color w:val="auto"/>
          <w:sz w:val="22"/>
          <w:szCs w:val="22"/>
          <w:highlight w:val="none"/>
          <w:lang w:val="en-US" w:eastAsia="zh-CN"/>
        </w:rPr>
        <w:t>1.</w:t>
      </w:r>
      <w:r>
        <w:rPr>
          <w:rFonts w:hint="eastAsia" w:ascii="微软雅黑" w:hAnsi="微软雅黑" w:eastAsia="微软雅黑" w:cs="微软雅黑"/>
          <w:color w:val="auto"/>
          <w:sz w:val="22"/>
          <w:szCs w:val="22"/>
          <w:highlight w:val="none"/>
        </w:rPr>
        <w:t>项目编号：ZPDL(2026)018</w:t>
      </w:r>
    </w:p>
    <w:p w14:paraId="3736F41A">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firstLine="440" w:firstLineChars="200"/>
        <w:textAlignment w:val="auto"/>
        <w:outlineLvl w:val="9"/>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lang w:val="en-US" w:eastAsia="zh-CN"/>
        </w:rPr>
        <w:t>2.</w:t>
      </w:r>
      <w:r>
        <w:rPr>
          <w:rFonts w:hint="eastAsia" w:ascii="微软雅黑" w:hAnsi="微软雅黑" w:eastAsia="微软雅黑" w:cs="微软雅黑"/>
          <w:color w:val="auto"/>
          <w:sz w:val="22"/>
          <w:szCs w:val="22"/>
          <w:highlight w:val="none"/>
        </w:rPr>
        <w:t>项目名称：</w:t>
      </w:r>
      <w:r>
        <w:rPr>
          <w:rFonts w:hint="eastAsia" w:ascii="微软雅黑" w:hAnsi="微软雅黑" w:eastAsia="微软雅黑" w:cs="微软雅黑"/>
          <w:color w:val="auto"/>
          <w:sz w:val="22"/>
          <w:szCs w:val="22"/>
          <w:highlight w:val="none"/>
          <w:lang w:eastAsia="zh-CN"/>
        </w:rPr>
        <w:t>泽普县维吾尔医医院中药饮片及包装材料采购项目</w:t>
      </w:r>
    </w:p>
    <w:p w14:paraId="283A3B1E">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firstLine="440" w:firstLineChars="200"/>
        <w:textAlignment w:val="auto"/>
        <w:outlineLvl w:val="9"/>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lang w:val="en-US" w:eastAsia="zh-CN"/>
        </w:rPr>
        <w:t>3.采购方式：公开招标</w:t>
      </w:r>
    </w:p>
    <w:p w14:paraId="3ADCF277">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firstLine="440" w:firstLineChars="200"/>
        <w:textAlignment w:val="auto"/>
        <w:outlineLvl w:val="9"/>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lang w:val="en-US" w:eastAsia="zh-CN"/>
        </w:rPr>
        <w:t>4.预算金额（元）：2330000</w:t>
      </w:r>
    </w:p>
    <w:p w14:paraId="3F509CCB">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firstLine="440" w:firstLineChars="200"/>
        <w:textAlignment w:val="auto"/>
        <w:outlineLvl w:val="9"/>
        <w:rPr>
          <w:rFonts w:hint="default"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lang w:val="en-US" w:eastAsia="zh-CN"/>
        </w:rPr>
        <w:t>5.最高限价（元）：857985、578760、662905、230350</w:t>
      </w:r>
    </w:p>
    <w:p w14:paraId="31AC40BC">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firstLine="440" w:firstLineChars="200"/>
        <w:textAlignment w:val="auto"/>
        <w:outlineLvl w:val="9"/>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lang w:val="en-US" w:eastAsia="zh-CN"/>
        </w:rPr>
        <w:t>6.采购需求：</w:t>
      </w:r>
    </w:p>
    <w:p w14:paraId="73D6DD9D">
      <w:pPr>
        <w:keepNext w:val="0"/>
        <w:keepLines w:val="0"/>
        <w:pageBreakBefore w:val="0"/>
        <w:widowControl w:val="0"/>
        <w:kinsoku/>
        <w:wordWrap/>
        <w:overflowPunct/>
        <w:topLinePunct w:val="0"/>
        <w:autoSpaceDE/>
        <w:autoSpaceDN/>
        <w:bidi w:val="0"/>
        <w:adjustRightInd/>
        <w:snapToGrid/>
        <w:spacing w:beforeAutospacing="0" w:afterAutospacing="0" w:line="440" w:lineRule="exact"/>
        <w:textAlignment w:val="auto"/>
        <w:outlineLvl w:val="9"/>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lang w:val="en-US" w:eastAsia="zh-CN"/>
        </w:rPr>
        <w:t>标项一：</w:t>
      </w:r>
    </w:p>
    <w:p w14:paraId="65C10543">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firstLine="440" w:firstLineChars="200"/>
        <w:textAlignment w:val="auto"/>
        <w:outlineLvl w:val="9"/>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lang w:val="en-US" w:eastAsia="zh-CN"/>
        </w:rPr>
        <w:t>标项名称：泽普县维吾尔医医院中药饮片及包装材料采购项目（标项一）</w:t>
      </w:r>
    </w:p>
    <w:p w14:paraId="559498B1">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firstLine="440" w:firstLineChars="200"/>
        <w:textAlignment w:val="auto"/>
        <w:outlineLvl w:val="9"/>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lang w:val="en-US" w:eastAsia="zh-CN"/>
        </w:rPr>
        <w:t>数量：不限</w:t>
      </w:r>
    </w:p>
    <w:p w14:paraId="6906DB7B">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firstLine="440" w:firstLineChars="200"/>
        <w:textAlignment w:val="auto"/>
        <w:outlineLvl w:val="9"/>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lang w:val="en-US" w:eastAsia="zh-CN"/>
        </w:rPr>
        <w:t>预算金额（元）：857985</w:t>
      </w:r>
    </w:p>
    <w:p w14:paraId="764D05AD">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firstLine="440" w:firstLineChars="200"/>
        <w:textAlignment w:val="auto"/>
        <w:outlineLvl w:val="9"/>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lang w:val="en-US" w:eastAsia="zh-CN"/>
        </w:rPr>
        <w:t>简要规格描述或项目基本概况介绍、用途：采购维吾尔医药饮片一批（规格参数详见招标文件）。</w:t>
      </w:r>
    </w:p>
    <w:p w14:paraId="23FE0818">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firstLine="440" w:firstLineChars="200"/>
        <w:textAlignment w:val="auto"/>
        <w:outlineLvl w:val="9"/>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lang w:val="en-US" w:eastAsia="zh-CN"/>
        </w:rPr>
        <w:t>备注：以综合单价招标</w:t>
      </w:r>
    </w:p>
    <w:p w14:paraId="0EFD1EB8">
      <w:pPr>
        <w:keepNext w:val="0"/>
        <w:keepLines w:val="0"/>
        <w:pageBreakBefore w:val="0"/>
        <w:widowControl w:val="0"/>
        <w:kinsoku/>
        <w:wordWrap/>
        <w:overflowPunct/>
        <w:topLinePunct w:val="0"/>
        <w:autoSpaceDE/>
        <w:autoSpaceDN/>
        <w:bidi w:val="0"/>
        <w:adjustRightInd/>
        <w:snapToGrid/>
        <w:spacing w:beforeAutospacing="0" w:afterAutospacing="0" w:line="440" w:lineRule="exact"/>
        <w:textAlignment w:val="auto"/>
        <w:outlineLvl w:val="9"/>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lang w:val="en-US" w:eastAsia="zh-CN"/>
        </w:rPr>
        <w:t>标项二：</w:t>
      </w:r>
    </w:p>
    <w:p w14:paraId="31097257">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firstLine="440" w:firstLineChars="200"/>
        <w:textAlignment w:val="auto"/>
        <w:outlineLvl w:val="9"/>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lang w:val="en-US" w:eastAsia="zh-CN"/>
        </w:rPr>
        <w:t>标项名称：泽普县维吾尔医医院中药饮片及包装材料采购项目（标项二）</w:t>
      </w:r>
    </w:p>
    <w:p w14:paraId="7AEC7B91">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firstLine="440" w:firstLineChars="200"/>
        <w:textAlignment w:val="auto"/>
        <w:outlineLvl w:val="9"/>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lang w:val="en-US" w:eastAsia="zh-CN"/>
        </w:rPr>
        <w:t>数量：不限</w:t>
      </w:r>
    </w:p>
    <w:p w14:paraId="2799D3F1">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firstLine="440" w:firstLineChars="200"/>
        <w:textAlignment w:val="auto"/>
        <w:outlineLvl w:val="9"/>
        <w:rPr>
          <w:rFonts w:hint="default"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lang w:val="en-US" w:eastAsia="zh-CN"/>
        </w:rPr>
        <w:t>预算金额（元）：578760</w:t>
      </w:r>
    </w:p>
    <w:p w14:paraId="31E2F4A1">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firstLine="440" w:firstLineChars="200"/>
        <w:textAlignment w:val="auto"/>
        <w:outlineLvl w:val="9"/>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lang w:val="en-US" w:eastAsia="zh-CN"/>
        </w:rPr>
        <w:t>简要规格描述或项目基本概况介绍、用途：采购维吾尔医药饮片一批（规格参数详见招标文件）。</w:t>
      </w:r>
    </w:p>
    <w:p w14:paraId="1C15CEC2">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firstLine="440" w:firstLineChars="200"/>
        <w:textAlignment w:val="auto"/>
        <w:outlineLvl w:val="9"/>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lang w:val="en-US" w:eastAsia="zh-CN"/>
        </w:rPr>
        <w:t>备注：以综合单价招标</w:t>
      </w:r>
    </w:p>
    <w:p w14:paraId="56486BA9">
      <w:pPr>
        <w:keepNext w:val="0"/>
        <w:keepLines w:val="0"/>
        <w:pageBreakBefore w:val="0"/>
        <w:widowControl w:val="0"/>
        <w:kinsoku/>
        <w:wordWrap/>
        <w:overflowPunct/>
        <w:topLinePunct w:val="0"/>
        <w:autoSpaceDE/>
        <w:autoSpaceDN/>
        <w:bidi w:val="0"/>
        <w:adjustRightInd/>
        <w:snapToGrid/>
        <w:spacing w:beforeAutospacing="0" w:afterAutospacing="0" w:line="440" w:lineRule="exact"/>
        <w:textAlignment w:val="auto"/>
        <w:outlineLvl w:val="9"/>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lang w:val="en-US" w:eastAsia="zh-CN"/>
        </w:rPr>
        <w:t>标项三：</w:t>
      </w:r>
    </w:p>
    <w:p w14:paraId="7D51B983">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firstLine="440" w:firstLineChars="200"/>
        <w:textAlignment w:val="auto"/>
        <w:outlineLvl w:val="9"/>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lang w:val="en-US" w:eastAsia="zh-CN"/>
        </w:rPr>
        <w:t>标项名称：泽普县维吾尔医医院中药饮片及包装材料采购项目（标项三）</w:t>
      </w:r>
    </w:p>
    <w:p w14:paraId="0F1D31AC">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firstLine="440" w:firstLineChars="200"/>
        <w:textAlignment w:val="auto"/>
        <w:outlineLvl w:val="9"/>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lang w:val="en-US" w:eastAsia="zh-CN"/>
        </w:rPr>
        <w:t>数量：不限</w:t>
      </w:r>
    </w:p>
    <w:p w14:paraId="40A77D8D">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firstLine="440" w:firstLineChars="200"/>
        <w:textAlignment w:val="auto"/>
        <w:outlineLvl w:val="9"/>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lang w:val="en-US" w:eastAsia="zh-CN"/>
        </w:rPr>
        <w:t>预算金额（元）：662905</w:t>
      </w:r>
    </w:p>
    <w:p w14:paraId="3813C871">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firstLine="440" w:firstLineChars="200"/>
        <w:textAlignment w:val="auto"/>
        <w:outlineLvl w:val="9"/>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lang w:val="en-US" w:eastAsia="zh-CN"/>
        </w:rPr>
        <w:t>简要规格描述或项目基本概况介绍、用途：采购维吾尔医药饮片、中药饮片一批（规格参数详见招标文件）。</w:t>
      </w:r>
    </w:p>
    <w:p w14:paraId="3DBC4F61">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firstLine="440" w:firstLineChars="200"/>
        <w:textAlignment w:val="auto"/>
        <w:outlineLvl w:val="9"/>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lang w:val="en-US" w:eastAsia="zh-CN"/>
        </w:rPr>
        <w:t>备注：以综合单价招标</w:t>
      </w:r>
    </w:p>
    <w:p w14:paraId="78816BD4">
      <w:pPr>
        <w:keepNext w:val="0"/>
        <w:keepLines w:val="0"/>
        <w:pageBreakBefore w:val="0"/>
        <w:widowControl w:val="0"/>
        <w:kinsoku/>
        <w:wordWrap/>
        <w:overflowPunct/>
        <w:topLinePunct w:val="0"/>
        <w:autoSpaceDE/>
        <w:autoSpaceDN/>
        <w:bidi w:val="0"/>
        <w:adjustRightInd/>
        <w:snapToGrid/>
        <w:spacing w:beforeAutospacing="0" w:afterAutospacing="0" w:line="440" w:lineRule="exact"/>
        <w:textAlignment w:val="auto"/>
        <w:outlineLvl w:val="9"/>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lang w:val="en-US" w:eastAsia="zh-CN"/>
        </w:rPr>
        <w:t>标项四：</w:t>
      </w:r>
    </w:p>
    <w:p w14:paraId="19A1C5A2">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firstLine="440" w:firstLineChars="200"/>
        <w:textAlignment w:val="auto"/>
        <w:outlineLvl w:val="9"/>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lang w:val="en-US" w:eastAsia="zh-CN"/>
        </w:rPr>
        <w:t>标项名称：泽普县维吾尔医医院中药饮片及包装材料采购项目（标项四）</w:t>
      </w:r>
    </w:p>
    <w:p w14:paraId="311D7BC2">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firstLine="440" w:firstLineChars="200"/>
        <w:textAlignment w:val="auto"/>
        <w:outlineLvl w:val="9"/>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lang w:val="en-US" w:eastAsia="zh-CN"/>
        </w:rPr>
        <w:t>数量：不限</w:t>
      </w:r>
    </w:p>
    <w:p w14:paraId="70744086">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firstLine="440" w:firstLineChars="200"/>
        <w:textAlignment w:val="auto"/>
        <w:outlineLvl w:val="9"/>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lang w:val="en-US" w:eastAsia="zh-CN"/>
        </w:rPr>
        <w:t>预算金额（元）：230350</w:t>
      </w:r>
    </w:p>
    <w:p w14:paraId="1C443939">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firstLine="440" w:firstLineChars="200"/>
        <w:textAlignment w:val="auto"/>
        <w:outlineLvl w:val="9"/>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lang w:val="en-US" w:eastAsia="zh-CN"/>
        </w:rPr>
        <w:t>简要规格描述或项目基本概况介绍、用途：采购一批包装材料（规格参数详见招标文件）。</w:t>
      </w:r>
    </w:p>
    <w:p w14:paraId="3590C849">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firstLine="440" w:firstLineChars="200"/>
        <w:textAlignment w:val="auto"/>
        <w:outlineLvl w:val="9"/>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lang w:val="en-US" w:eastAsia="zh-CN"/>
        </w:rPr>
        <w:t>备注：以综合单价招标</w:t>
      </w:r>
    </w:p>
    <w:p w14:paraId="5F79A263">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firstLine="440" w:firstLineChars="200"/>
        <w:textAlignment w:val="auto"/>
        <w:outlineLvl w:val="9"/>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lang w:val="en-US" w:eastAsia="zh-CN"/>
        </w:rPr>
        <w:t>7.合同履约期限：详见招标文件。</w:t>
      </w:r>
    </w:p>
    <w:p w14:paraId="00EC8598">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firstLine="440" w:firstLineChars="200"/>
        <w:textAlignment w:val="auto"/>
        <w:outlineLvl w:val="9"/>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lang w:val="en-US" w:eastAsia="zh-CN"/>
        </w:rPr>
        <w:t>8.本项目(否)接受联合体投标。</w:t>
      </w:r>
    </w:p>
    <w:p w14:paraId="3B74E46D">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jc w:val="both"/>
        <w:textAlignment w:val="auto"/>
        <w:outlineLvl w:val="9"/>
        <w:rPr>
          <w:rFonts w:hint="eastAsia" w:ascii="微软雅黑" w:hAnsi="微软雅黑" w:eastAsia="微软雅黑" w:cs="微软雅黑"/>
          <w:b/>
          <w:color w:val="auto"/>
          <w:sz w:val="22"/>
          <w:szCs w:val="22"/>
          <w:highlight w:val="none"/>
        </w:rPr>
      </w:pPr>
      <w:r>
        <w:rPr>
          <w:rFonts w:hint="eastAsia" w:ascii="微软雅黑" w:hAnsi="微软雅黑" w:eastAsia="微软雅黑" w:cs="微软雅黑"/>
          <w:b/>
          <w:color w:val="auto"/>
          <w:sz w:val="22"/>
          <w:szCs w:val="22"/>
          <w:highlight w:val="none"/>
        </w:rPr>
        <w:t>二、</w:t>
      </w:r>
      <w:r>
        <w:rPr>
          <w:rFonts w:hint="eastAsia" w:ascii="微软雅黑" w:hAnsi="微软雅黑" w:eastAsia="微软雅黑" w:cs="微软雅黑"/>
          <w:b/>
          <w:color w:val="auto"/>
          <w:sz w:val="22"/>
          <w:szCs w:val="22"/>
          <w:highlight w:val="none"/>
          <w:lang w:val="en-US" w:eastAsia="zh-CN"/>
        </w:rPr>
        <w:t>申请人的</w:t>
      </w:r>
      <w:r>
        <w:rPr>
          <w:rFonts w:hint="eastAsia" w:ascii="微软雅黑" w:hAnsi="微软雅黑" w:eastAsia="微软雅黑" w:cs="微软雅黑"/>
          <w:b/>
          <w:color w:val="auto"/>
          <w:sz w:val="22"/>
          <w:szCs w:val="22"/>
          <w:highlight w:val="none"/>
        </w:rPr>
        <w:t>资格要求：</w:t>
      </w:r>
      <w:bookmarkEnd w:id="1626"/>
      <w:bookmarkEnd w:id="1627"/>
      <w:bookmarkEnd w:id="1628"/>
      <w:bookmarkEnd w:id="1629"/>
      <w:bookmarkEnd w:id="1630"/>
      <w:bookmarkEnd w:id="1631"/>
      <w:bookmarkEnd w:id="1632"/>
      <w:bookmarkEnd w:id="1633"/>
    </w:p>
    <w:p w14:paraId="6462C8E1">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440" w:lineRule="exact"/>
        <w:ind w:left="0" w:leftChars="0" w:firstLine="440" w:firstLineChars="200"/>
        <w:textAlignment w:val="auto"/>
        <w:outlineLvl w:val="9"/>
        <w:rPr>
          <w:rFonts w:hint="eastAsia" w:ascii="微软雅黑" w:hAnsi="微软雅黑" w:eastAsia="微软雅黑" w:cs="微软雅黑"/>
          <w:b w:val="0"/>
          <w:bCs w:val="0"/>
          <w:color w:val="auto"/>
          <w:sz w:val="22"/>
          <w:szCs w:val="22"/>
          <w:highlight w:val="none"/>
          <w:lang w:val="en-US" w:eastAsia="zh-CN"/>
        </w:rPr>
      </w:pPr>
      <w:r>
        <w:rPr>
          <w:rFonts w:hint="eastAsia" w:ascii="微软雅黑" w:hAnsi="微软雅黑" w:eastAsia="微软雅黑" w:cs="微软雅黑"/>
          <w:b w:val="0"/>
          <w:bCs w:val="0"/>
          <w:color w:val="auto"/>
          <w:sz w:val="22"/>
          <w:szCs w:val="22"/>
          <w:highlight w:val="none"/>
          <w:lang w:val="en-US" w:eastAsia="zh-CN"/>
        </w:rPr>
        <w:t>1.满足《中华人民共和国政府采购法》第二十二条规定；</w:t>
      </w:r>
    </w:p>
    <w:p w14:paraId="778B7DE9">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firstLine="440" w:firstLineChars="200"/>
        <w:jc w:val="both"/>
        <w:textAlignment w:val="auto"/>
        <w:outlineLvl w:val="9"/>
        <w:rPr>
          <w:rFonts w:hint="eastAsia" w:ascii="微软雅黑" w:hAnsi="微软雅黑" w:eastAsia="微软雅黑" w:cs="微软雅黑"/>
          <w:b w:val="0"/>
          <w:bCs w:val="0"/>
          <w:color w:val="auto"/>
          <w:sz w:val="22"/>
          <w:szCs w:val="22"/>
          <w:highlight w:val="none"/>
          <w:lang w:val="en-US" w:eastAsia="zh-CN"/>
        </w:rPr>
      </w:pPr>
      <w:bookmarkStart w:id="1634" w:name="_Toc28359004"/>
      <w:bookmarkStart w:id="1635" w:name="_Toc28359081"/>
      <w:bookmarkStart w:id="1636" w:name="_Toc32226"/>
      <w:bookmarkStart w:id="1637" w:name="_Toc35393792"/>
      <w:bookmarkStart w:id="1638" w:name="_Toc27678"/>
      <w:bookmarkStart w:id="1639" w:name="_Toc35393623"/>
      <w:r>
        <w:rPr>
          <w:rFonts w:hint="eastAsia" w:ascii="微软雅黑" w:hAnsi="微软雅黑" w:eastAsia="微软雅黑" w:cs="微软雅黑"/>
          <w:b w:val="0"/>
          <w:bCs w:val="0"/>
          <w:color w:val="auto"/>
          <w:sz w:val="22"/>
          <w:szCs w:val="22"/>
          <w:highlight w:val="none"/>
          <w:lang w:val="en-US" w:eastAsia="zh-CN"/>
        </w:rPr>
        <w:t>2.落实政府采购政策需满足的资格要求：本项目专门面向中小企业；</w:t>
      </w:r>
    </w:p>
    <w:p w14:paraId="7887895A">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firstLine="440" w:firstLineChars="200"/>
        <w:textAlignment w:val="auto"/>
        <w:outlineLvl w:val="9"/>
        <w:rPr>
          <w:rFonts w:hint="eastAsia" w:ascii="微软雅黑" w:hAnsi="微软雅黑" w:eastAsia="微软雅黑" w:cs="微软雅黑"/>
          <w:b w:val="0"/>
          <w:bCs w:val="0"/>
          <w:color w:val="auto"/>
          <w:sz w:val="22"/>
          <w:szCs w:val="22"/>
          <w:highlight w:val="none"/>
          <w:lang w:val="en-US" w:eastAsia="zh-CN"/>
        </w:rPr>
      </w:pPr>
      <w:r>
        <w:rPr>
          <w:rFonts w:hint="eastAsia" w:ascii="微软雅黑" w:hAnsi="微软雅黑" w:eastAsia="微软雅黑" w:cs="微软雅黑"/>
          <w:b w:val="0"/>
          <w:bCs w:val="0"/>
          <w:color w:val="auto"/>
          <w:sz w:val="22"/>
          <w:szCs w:val="22"/>
          <w:highlight w:val="none"/>
          <w:lang w:val="en-US" w:eastAsia="zh-CN"/>
        </w:rPr>
        <w:t>3.本项目的特定资格要求：【标项一、二、三】：投标人是生产企业的须具备《药品生产许可证》（中药饮片）、投标人为经营企业或代理公司的须提供《药品经营许可证》（中药饮片）；所有证件均应在有效期内。所投产品中含有毒性饮片的，《药品生产许可证》内须含有医疗用毒性药品（中药饮片）；《药品经营许可证》内须含有医疗用毒性药品（中药饮片）。</w:t>
      </w:r>
    </w:p>
    <w:p w14:paraId="36B50C6B">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firstLine="440" w:firstLineChars="200"/>
        <w:textAlignment w:val="auto"/>
        <w:outlineLvl w:val="9"/>
        <w:rPr>
          <w:rFonts w:hint="eastAsia" w:ascii="微软雅黑" w:hAnsi="微软雅黑" w:eastAsia="微软雅黑" w:cs="微软雅黑"/>
          <w:b w:val="0"/>
          <w:bCs w:val="0"/>
          <w:color w:val="auto"/>
          <w:sz w:val="22"/>
          <w:szCs w:val="22"/>
          <w:highlight w:val="none"/>
          <w:lang w:val="en-US" w:eastAsia="zh-CN"/>
        </w:rPr>
      </w:pPr>
      <w:r>
        <w:rPr>
          <w:rFonts w:hint="eastAsia" w:ascii="微软雅黑" w:hAnsi="微软雅黑" w:eastAsia="微软雅黑" w:cs="微软雅黑"/>
          <w:b w:val="0"/>
          <w:bCs w:val="0"/>
          <w:color w:val="auto"/>
          <w:sz w:val="22"/>
          <w:szCs w:val="22"/>
          <w:highlight w:val="none"/>
          <w:lang w:val="en-US" w:eastAsia="zh-CN"/>
        </w:rPr>
        <w:t>所投产品中含麻黄的，还须投标人提供有效的《麻黄草收购许可证》或相关批准文件，所有证件均应在有效期内</w:t>
      </w:r>
    </w:p>
    <w:p w14:paraId="0CE10864">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firstLine="440" w:firstLineChars="200"/>
        <w:textAlignment w:val="auto"/>
        <w:outlineLvl w:val="9"/>
        <w:rPr>
          <w:rFonts w:hint="eastAsia" w:ascii="微软雅黑" w:hAnsi="微软雅黑" w:eastAsia="微软雅黑" w:cs="微软雅黑"/>
          <w:b w:val="0"/>
          <w:bCs w:val="0"/>
          <w:color w:val="auto"/>
          <w:sz w:val="22"/>
          <w:szCs w:val="22"/>
          <w:highlight w:val="none"/>
          <w:lang w:val="en-US" w:eastAsia="zh-CN"/>
        </w:rPr>
      </w:pPr>
      <w:r>
        <w:rPr>
          <w:rFonts w:hint="eastAsia" w:ascii="微软雅黑" w:hAnsi="微软雅黑" w:eastAsia="微软雅黑" w:cs="微软雅黑"/>
          <w:b w:val="0"/>
          <w:bCs w:val="0"/>
          <w:color w:val="auto"/>
          <w:sz w:val="22"/>
          <w:szCs w:val="22"/>
          <w:highlight w:val="none"/>
          <w:lang w:val="en-US" w:eastAsia="zh-CN"/>
        </w:rPr>
        <w:t>【标项四】：投标人须提供符合国家药用标准且在国家药品监督管理局药品审评中心备案结果为“A”的药包材或提供《药品包装材料和容器注册证》（所有证件均应在有效期内）</w:t>
      </w:r>
    </w:p>
    <w:p w14:paraId="12DA519B">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textAlignment w:val="auto"/>
        <w:outlineLvl w:val="9"/>
        <w:rPr>
          <w:rFonts w:hint="eastAsia" w:ascii="微软雅黑" w:hAnsi="微软雅黑" w:eastAsia="微软雅黑" w:cs="微软雅黑"/>
          <w:b/>
          <w:bCs/>
          <w:color w:val="auto"/>
          <w:kern w:val="0"/>
          <w:sz w:val="22"/>
          <w:szCs w:val="22"/>
          <w:highlight w:val="none"/>
        </w:rPr>
      </w:pPr>
      <w:r>
        <w:rPr>
          <w:rFonts w:hint="eastAsia" w:ascii="微软雅黑" w:hAnsi="微软雅黑" w:eastAsia="微软雅黑" w:cs="微软雅黑"/>
          <w:b/>
          <w:bCs/>
          <w:color w:val="auto"/>
          <w:kern w:val="0"/>
          <w:sz w:val="22"/>
          <w:szCs w:val="22"/>
          <w:highlight w:val="none"/>
        </w:rPr>
        <w:t>三、获取招标文件</w:t>
      </w:r>
      <w:bookmarkEnd w:id="1634"/>
      <w:bookmarkEnd w:id="1635"/>
      <w:bookmarkEnd w:id="1636"/>
      <w:bookmarkEnd w:id="1637"/>
      <w:bookmarkEnd w:id="1638"/>
      <w:bookmarkEnd w:id="1639"/>
    </w:p>
    <w:p w14:paraId="60B77F85">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firstLine="440" w:firstLineChars="200"/>
        <w:jc w:val="both"/>
        <w:textAlignment w:val="auto"/>
        <w:outlineLvl w:val="9"/>
        <w:rPr>
          <w:rFonts w:hint="eastAsia" w:ascii="微软雅黑" w:hAnsi="微软雅黑" w:eastAsia="微软雅黑" w:cs="微软雅黑"/>
          <w:b w:val="0"/>
          <w:bCs w:val="0"/>
          <w:color w:val="auto"/>
          <w:sz w:val="22"/>
          <w:szCs w:val="22"/>
          <w:highlight w:val="yellow"/>
          <w:lang w:val="en-US" w:eastAsia="zh-CN"/>
        </w:rPr>
      </w:pPr>
      <w:bookmarkStart w:id="1640" w:name="_Toc23672"/>
      <w:bookmarkStart w:id="1641" w:name="_Toc35393625"/>
      <w:bookmarkStart w:id="1642" w:name="_Toc28359007"/>
      <w:bookmarkStart w:id="1643" w:name="_Toc35393794"/>
      <w:bookmarkStart w:id="1644" w:name="_Toc32108"/>
      <w:bookmarkStart w:id="1645" w:name="_Toc20863"/>
      <w:bookmarkStart w:id="1646" w:name="_Toc28359084"/>
      <w:bookmarkStart w:id="1647" w:name="_Toc30400"/>
      <w:r>
        <w:rPr>
          <w:rFonts w:hint="eastAsia" w:ascii="微软雅黑" w:hAnsi="微软雅黑" w:eastAsia="微软雅黑" w:cs="微软雅黑"/>
          <w:b w:val="0"/>
          <w:bCs w:val="0"/>
          <w:color w:val="auto"/>
          <w:sz w:val="22"/>
          <w:szCs w:val="22"/>
          <w:highlight w:val="none"/>
          <w:lang w:val="en-US" w:eastAsia="zh-CN"/>
        </w:rPr>
        <w:t>时间：2026年4月8日至2026年4月15日，每天上午10:00至14:00，下午15:30至19:30（北京时间，法定节假日除外）</w:t>
      </w:r>
    </w:p>
    <w:p w14:paraId="6C51733E">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firstLine="440" w:firstLineChars="200"/>
        <w:jc w:val="both"/>
        <w:textAlignment w:val="auto"/>
        <w:outlineLvl w:val="9"/>
        <w:rPr>
          <w:rFonts w:hint="eastAsia" w:ascii="微软雅黑" w:hAnsi="微软雅黑" w:eastAsia="微软雅黑" w:cs="微软雅黑"/>
          <w:b w:val="0"/>
          <w:bCs w:val="0"/>
          <w:color w:val="auto"/>
          <w:sz w:val="22"/>
          <w:szCs w:val="22"/>
          <w:highlight w:val="none"/>
          <w:lang w:val="en-US" w:eastAsia="zh-CN"/>
        </w:rPr>
      </w:pPr>
      <w:r>
        <w:rPr>
          <w:rFonts w:hint="eastAsia" w:ascii="微软雅黑" w:hAnsi="微软雅黑" w:eastAsia="微软雅黑" w:cs="微软雅黑"/>
          <w:b w:val="0"/>
          <w:bCs w:val="0"/>
          <w:color w:val="auto"/>
          <w:sz w:val="22"/>
          <w:szCs w:val="22"/>
          <w:highlight w:val="none"/>
          <w:lang w:val="en-US" w:eastAsia="zh-CN"/>
        </w:rPr>
        <w:t>地点：政采云平台线上</w:t>
      </w:r>
    </w:p>
    <w:p w14:paraId="2BAD7205">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firstLine="440" w:firstLineChars="200"/>
        <w:jc w:val="both"/>
        <w:textAlignment w:val="auto"/>
        <w:outlineLvl w:val="9"/>
        <w:rPr>
          <w:rFonts w:hint="eastAsia" w:ascii="微软雅黑" w:hAnsi="微软雅黑" w:eastAsia="微软雅黑" w:cs="微软雅黑"/>
          <w:b w:val="0"/>
          <w:bCs w:val="0"/>
          <w:color w:val="auto"/>
          <w:sz w:val="22"/>
          <w:szCs w:val="22"/>
          <w:highlight w:val="none"/>
          <w:lang w:val="en-US" w:eastAsia="zh-CN"/>
        </w:rPr>
      </w:pPr>
      <w:r>
        <w:rPr>
          <w:rFonts w:hint="eastAsia" w:ascii="微软雅黑" w:hAnsi="微软雅黑" w:eastAsia="微软雅黑" w:cs="微软雅黑"/>
          <w:b w:val="0"/>
          <w:bCs w:val="0"/>
          <w:color w:val="auto"/>
          <w:sz w:val="22"/>
          <w:szCs w:val="22"/>
          <w:highlight w:val="none"/>
          <w:lang w:val="en-US" w:eastAsia="zh-CN"/>
        </w:rPr>
        <w:t xml:space="preserve">方式：供应商登录政采云平台https://www.zcygov.cn/在线申请获取采购文件（进入“项目采购”应用，在获取采购文件菜单中选择项目，申请获取采购文件），或者点击采购公告底部潜在供应商“获取采购文件”，页面跳转后登陆，直接获取采购文件。 </w:t>
      </w:r>
    </w:p>
    <w:p w14:paraId="1E922DB6">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firstLine="440" w:firstLineChars="200"/>
        <w:jc w:val="both"/>
        <w:textAlignment w:val="auto"/>
        <w:outlineLvl w:val="9"/>
        <w:rPr>
          <w:rFonts w:hint="eastAsia" w:ascii="微软雅黑" w:hAnsi="微软雅黑" w:eastAsia="微软雅黑" w:cs="微软雅黑"/>
          <w:b w:val="0"/>
          <w:bCs w:val="0"/>
          <w:color w:val="auto"/>
          <w:sz w:val="22"/>
          <w:szCs w:val="22"/>
          <w:highlight w:val="none"/>
          <w:lang w:val="en-US" w:eastAsia="zh-CN"/>
        </w:rPr>
      </w:pPr>
      <w:r>
        <w:rPr>
          <w:rFonts w:hint="eastAsia" w:ascii="微软雅黑" w:hAnsi="微软雅黑" w:eastAsia="微软雅黑" w:cs="微软雅黑"/>
          <w:b w:val="0"/>
          <w:bCs w:val="0"/>
          <w:color w:val="auto"/>
          <w:sz w:val="22"/>
          <w:szCs w:val="22"/>
          <w:highlight w:val="none"/>
          <w:lang w:val="en-US" w:eastAsia="zh-CN"/>
        </w:rPr>
        <w:t>售价（元）：0元</w:t>
      </w:r>
    </w:p>
    <w:p w14:paraId="65B901AA">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jc w:val="both"/>
        <w:textAlignment w:val="auto"/>
        <w:outlineLvl w:val="9"/>
        <w:rPr>
          <w:rFonts w:hint="eastAsia" w:ascii="微软雅黑" w:hAnsi="微软雅黑" w:eastAsia="微软雅黑" w:cs="微软雅黑"/>
          <w:b/>
          <w:bCs w:val="0"/>
          <w:color w:val="auto"/>
          <w:sz w:val="22"/>
          <w:szCs w:val="22"/>
          <w:highlight w:val="none"/>
          <w:u w:val="none"/>
        </w:rPr>
      </w:pPr>
      <w:bookmarkStart w:id="1648" w:name="_Toc28359005"/>
      <w:bookmarkStart w:id="1649" w:name="_Toc28359082"/>
      <w:bookmarkStart w:id="1650" w:name="_Toc35393793"/>
      <w:bookmarkStart w:id="1651" w:name="_Toc35393624"/>
      <w:bookmarkStart w:id="1652" w:name="_Toc2532"/>
      <w:bookmarkStart w:id="1653" w:name="_Toc2422"/>
      <w:bookmarkStart w:id="1654" w:name="_Toc9047"/>
      <w:bookmarkStart w:id="1655" w:name="_Toc952"/>
      <w:r>
        <w:rPr>
          <w:rFonts w:hint="eastAsia" w:ascii="微软雅黑" w:hAnsi="微软雅黑" w:eastAsia="微软雅黑" w:cs="微软雅黑"/>
          <w:b/>
          <w:bCs w:val="0"/>
          <w:color w:val="auto"/>
          <w:sz w:val="22"/>
          <w:szCs w:val="22"/>
          <w:highlight w:val="none"/>
          <w:u w:val="none"/>
        </w:rPr>
        <w:t>四、提交投标文件</w:t>
      </w:r>
      <w:bookmarkEnd w:id="1648"/>
      <w:bookmarkEnd w:id="1649"/>
      <w:r>
        <w:rPr>
          <w:rFonts w:hint="eastAsia" w:ascii="微软雅黑" w:hAnsi="微软雅黑" w:eastAsia="微软雅黑" w:cs="微软雅黑"/>
          <w:b/>
          <w:bCs w:val="0"/>
          <w:color w:val="auto"/>
          <w:sz w:val="22"/>
          <w:szCs w:val="22"/>
          <w:highlight w:val="none"/>
          <w:u w:val="none"/>
        </w:rPr>
        <w:t>截止时间、开标时间和地点</w:t>
      </w:r>
      <w:bookmarkEnd w:id="1650"/>
      <w:bookmarkEnd w:id="1651"/>
      <w:bookmarkEnd w:id="1652"/>
      <w:bookmarkEnd w:id="1653"/>
      <w:bookmarkEnd w:id="1654"/>
      <w:bookmarkEnd w:id="1655"/>
    </w:p>
    <w:p w14:paraId="504BD724">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firstLine="440" w:firstLineChars="200"/>
        <w:jc w:val="both"/>
        <w:textAlignment w:val="auto"/>
        <w:outlineLvl w:val="9"/>
        <w:rPr>
          <w:rFonts w:hint="eastAsia" w:ascii="微软雅黑" w:hAnsi="微软雅黑" w:eastAsia="微软雅黑" w:cs="微软雅黑"/>
          <w:b w:val="0"/>
          <w:bCs w:val="0"/>
          <w:color w:val="auto"/>
          <w:sz w:val="22"/>
          <w:szCs w:val="22"/>
          <w:highlight w:val="yellow"/>
          <w:lang w:val="en-US" w:eastAsia="zh-CN"/>
        </w:rPr>
      </w:pPr>
      <w:r>
        <w:rPr>
          <w:rFonts w:hint="eastAsia" w:ascii="微软雅黑" w:hAnsi="微软雅黑" w:eastAsia="微软雅黑" w:cs="微软雅黑"/>
          <w:b w:val="0"/>
          <w:bCs w:val="0"/>
          <w:color w:val="auto"/>
          <w:sz w:val="22"/>
          <w:szCs w:val="22"/>
          <w:highlight w:val="none"/>
          <w:lang w:val="en-US" w:eastAsia="zh-CN"/>
        </w:rPr>
        <w:t>提交投标文件截止时间：2026年4月29日11:00（北京时间）</w:t>
      </w:r>
    </w:p>
    <w:p w14:paraId="159BA002">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firstLine="440" w:firstLineChars="200"/>
        <w:jc w:val="both"/>
        <w:textAlignment w:val="auto"/>
        <w:outlineLvl w:val="9"/>
        <w:rPr>
          <w:rFonts w:hint="eastAsia" w:ascii="微软雅黑" w:hAnsi="微软雅黑" w:eastAsia="微软雅黑" w:cs="微软雅黑"/>
          <w:b w:val="0"/>
          <w:bCs w:val="0"/>
          <w:color w:val="auto"/>
          <w:sz w:val="22"/>
          <w:szCs w:val="22"/>
          <w:highlight w:val="none"/>
          <w:lang w:val="en-US" w:eastAsia="zh-CN"/>
        </w:rPr>
      </w:pPr>
      <w:r>
        <w:rPr>
          <w:rFonts w:hint="eastAsia" w:ascii="微软雅黑" w:hAnsi="微软雅黑" w:eastAsia="微软雅黑" w:cs="微软雅黑"/>
          <w:b w:val="0"/>
          <w:bCs w:val="0"/>
          <w:color w:val="auto"/>
          <w:sz w:val="22"/>
          <w:szCs w:val="22"/>
          <w:highlight w:val="none"/>
          <w:lang w:val="en-US" w:eastAsia="zh-CN"/>
        </w:rPr>
        <w:t>投标地点：请登录政采云投标客户端投标</w:t>
      </w:r>
    </w:p>
    <w:p w14:paraId="1C42D283">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firstLine="440" w:firstLineChars="200"/>
        <w:jc w:val="both"/>
        <w:textAlignment w:val="auto"/>
        <w:outlineLvl w:val="9"/>
        <w:rPr>
          <w:rFonts w:hint="eastAsia" w:ascii="微软雅黑" w:hAnsi="微软雅黑" w:eastAsia="微软雅黑" w:cs="微软雅黑"/>
          <w:b w:val="0"/>
          <w:bCs w:val="0"/>
          <w:color w:val="auto"/>
          <w:sz w:val="22"/>
          <w:szCs w:val="22"/>
          <w:highlight w:val="none"/>
          <w:lang w:val="en-US" w:eastAsia="zh-CN"/>
        </w:rPr>
      </w:pPr>
      <w:r>
        <w:rPr>
          <w:rFonts w:hint="eastAsia" w:ascii="微软雅黑" w:hAnsi="微软雅黑" w:eastAsia="微软雅黑" w:cs="微软雅黑"/>
          <w:b w:val="0"/>
          <w:bCs w:val="0"/>
          <w:color w:val="auto"/>
          <w:sz w:val="22"/>
          <w:szCs w:val="22"/>
          <w:highlight w:val="none"/>
          <w:lang w:val="en-US" w:eastAsia="zh-CN"/>
        </w:rPr>
        <w:t>开标时间：2026年4月29日11:00（北京时间）</w:t>
      </w:r>
    </w:p>
    <w:p w14:paraId="72611220">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firstLine="440" w:firstLineChars="200"/>
        <w:jc w:val="both"/>
        <w:textAlignment w:val="auto"/>
        <w:outlineLvl w:val="9"/>
        <w:rPr>
          <w:rFonts w:hint="eastAsia" w:ascii="微软雅黑" w:hAnsi="微软雅黑" w:eastAsia="微软雅黑" w:cs="微软雅黑"/>
          <w:b w:val="0"/>
          <w:bCs w:val="0"/>
          <w:color w:val="auto"/>
          <w:sz w:val="22"/>
          <w:szCs w:val="22"/>
          <w:highlight w:val="none"/>
          <w:lang w:val="en-US" w:eastAsia="zh-CN"/>
        </w:rPr>
      </w:pPr>
      <w:r>
        <w:rPr>
          <w:rFonts w:hint="eastAsia" w:ascii="微软雅黑" w:hAnsi="微软雅黑" w:eastAsia="微软雅黑" w:cs="微软雅黑"/>
          <w:b w:val="0"/>
          <w:bCs w:val="0"/>
          <w:color w:val="auto"/>
          <w:sz w:val="22"/>
          <w:szCs w:val="22"/>
          <w:highlight w:val="none"/>
          <w:lang w:val="en-US" w:eastAsia="zh-CN"/>
        </w:rPr>
        <w:t>开标地点：投标人登录政采云平台https://www.zcygov.cn/，进入“项目采购-开标评标-右边选择对应项目点击“进入项目”进入开标大厅。</w:t>
      </w:r>
    </w:p>
    <w:p w14:paraId="625E0BA3">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jc w:val="both"/>
        <w:textAlignment w:val="auto"/>
        <w:outlineLvl w:val="9"/>
        <w:rPr>
          <w:rFonts w:hint="eastAsia" w:ascii="微软雅黑" w:hAnsi="微软雅黑" w:eastAsia="微软雅黑" w:cs="微软雅黑"/>
          <w:b/>
          <w:bCs w:val="0"/>
          <w:color w:val="auto"/>
          <w:sz w:val="22"/>
          <w:szCs w:val="22"/>
          <w:highlight w:val="none"/>
          <w:u w:val="none"/>
        </w:rPr>
      </w:pPr>
      <w:r>
        <w:rPr>
          <w:rFonts w:hint="eastAsia" w:ascii="微软雅黑" w:hAnsi="微软雅黑" w:eastAsia="微软雅黑" w:cs="微软雅黑"/>
          <w:b/>
          <w:bCs w:val="0"/>
          <w:color w:val="auto"/>
          <w:sz w:val="22"/>
          <w:szCs w:val="22"/>
          <w:highlight w:val="none"/>
          <w:u w:val="none"/>
        </w:rPr>
        <w:t>五、公告期限</w:t>
      </w:r>
      <w:bookmarkEnd w:id="1640"/>
      <w:bookmarkEnd w:id="1641"/>
      <w:bookmarkEnd w:id="1642"/>
      <w:bookmarkEnd w:id="1643"/>
      <w:bookmarkEnd w:id="1644"/>
      <w:bookmarkEnd w:id="1645"/>
      <w:bookmarkEnd w:id="1646"/>
      <w:bookmarkEnd w:id="1647"/>
    </w:p>
    <w:p w14:paraId="41F37C68">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firstLine="440" w:firstLineChars="200"/>
        <w:textAlignment w:val="auto"/>
        <w:outlineLvl w:val="9"/>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自本公告发布之日起5个工作日。</w:t>
      </w:r>
    </w:p>
    <w:p w14:paraId="18ECF5D3">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jc w:val="both"/>
        <w:textAlignment w:val="auto"/>
        <w:outlineLvl w:val="9"/>
        <w:rPr>
          <w:rFonts w:hint="eastAsia" w:ascii="微软雅黑" w:hAnsi="微软雅黑" w:eastAsia="微软雅黑" w:cs="微软雅黑"/>
          <w:b/>
          <w:bCs w:val="0"/>
          <w:color w:val="auto"/>
          <w:sz w:val="22"/>
          <w:szCs w:val="22"/>
          <w:highlight w:val="none"/>
          <w:lang w:eastAsia="zh-CN"/>
        </w:rPr>
      </w:pPr>
      <w:r>
        <w:rPr>
          <w:rFonts w:hint="eastAsia" w:ascii="微软雅黑" w:hAnsi="微软雅黑" w:eastAsia="微软雅黑" w:cs="微软雅黑"/>
          <w:b/>
          <w:bCs w:val="0"/>
          <w:color w:val="auto"/>
          <w:sz w:val="22"/>
          <w:szCs w:val="22"/>
          <w:highlight w:val="none"/>
          <w:lang w:eastAsia="zh-CN"/>
        </w:rPr>
        <w:t>六、其它补充事宜</w:t>
      </w:r>
    </w:p>
    <w:p w14:paraId="668F153B">
      <w:pPr>
        <w:keepNext w:val="0"/>
        <w:keepLines w:val="0"/>
        <w:pageBreakBefore w:val="0"/>
        <w:widowControl w:val="0"/>
        <w:kinsoku/>
        <w:wordWrap/>
        <w:overflowPunct/>
        <w:topLinePunct w:val="0"/>
        <w:autoSpaceDE/>
        <w:autoSpaceDN/>
        <w:bidi w:val="0"/>
        <w:adjustRightInd/>
        <w:snapToGrid/>
        <w:spacing w:line="440" w:lineRule="exact"/>
        <w:ind w:firstLine="440" w:firstLineChars="200"/>
        <w:textAlignment w:val="auto"/>
        <w:rPr>
          <w:rFonts w:hint="eastAsia" w:ascii="微软雅黑" w:hAnsi="微软雅黑" w:eastAsia="微软雅黑" w:cs="微软雅黑"/>
          <w:color w:val="auto"/>
          <w:kern w:val="0"/>
          <w:sz w:val="22"/>
          <w:szCs w:val="22"/>
          <w:highlight w:val="none"/>
          <w:lang w:val="en-US" w:eastAsia="zh-CN"/>
        </w:rPr>
      </w:pPr>
      <w:bookmarkStart w:id="1656" w:name="_Toc35393626"/>
      <w:bookmarkStart w:id="1657" w:name="_Toc35393795"/>
      <w:bookmarkStart w:id="1658" w:name="_Toc18258"/>
      <w:bookmarkStart w:id="1659" w:name="_Toc647"/>
      <w:bookmarkStart w:id="1660" w:name="_Toc999"/>
      <w:bookmarkStart w:id="1661" w:name="_Toc13675"/>
      <w:r>
        <w:rPr>
          <w:rFonts w:hint="eastAsia" w:ascii="微软雅黑" w:hAnsi="微软雅黑" w:eastAsia="微软雅黑" w:cs="微软雅黑"/>
          <w:color w:val="auto"/>
          <w:kern w:val="0"/>
          <w:sz w:val="22"/>
          <w:szCs w:val="22"/>
          <w:highlight w:val="none"/>
          <w:lang w:val="en-US" w:eastAsia="zh-CN"/>
        </w:rPr>
        <w:t>1.本项目为电子招投标，供应商需要使用CA加密设备，凡参加本项目必须可自主通过新疆CA申领渠道“新疆政务通”申请政采云平台可使用的CA设备，如原有兵团或公共资源使用的CA，可与新疆CA联系，申请增加电子证书即可，无需重复申领。如需咨询，请联系新疆CA服务热线0991-2819290。</w:t>
      </w:r>
    </w:p>
    <w:p w14:paraId="79E527D9">
      <w:pPr>
        <w:keepNext w:val="0"/>
        <w:keepLines w:val="0"/>
        <w:pageBreakBefore w:val="0"/>
        <w:widowControl w:val="0"/>
        <w:kinsoku/>
        <w:wordWrap/>
        <w:overflowPunct/>
        <w:topLinePunct w:val="0"/>
        <w:autoSpaceDE/>
        <w:autoSpaceDN/>
        <w:bidi w:val="0"/>
        <w:adjustRightInd/>
        <w:snapToGrid/>
        <w:spacing w:line="440" w:lineRule="exact"/>
        <w:ind w:firstLine="440" w:firstLineChars="200"/>
        <w:textAlignment w:val="auto"/>
        <w:rPr>
          <w:rFonts w:hint="eastAsia" w:ascii="微软雅黑" w:hAnsi="微软雅黑" w:eastAsia="微软雅黑" w:cs="微软雅黑"/>
          <w:color w:val="auto"/>
          <w:kern w:val="0"/>
          <w:sz w:val="22"/>
          <w:szCs w:val="22"/>
          <w:highlight w:val="none"/>
          <w:lang w:val="en-US" w:eastAsia="zh-CN"/>
        </w:rPr>
      </w:pPr>
      <w:r>
        <w:rPr>
          <w:rFonts w:hint="eastAsia" w:ascii="微软雅黑" w:hAnsi="微软雅黑" w:eastAsia="微软雅黑" w:cs="微软雅黑"/>
          <w:color w:val="auto"/>
          <w:kern w:val="0"/>
          <w:sz w:val="22"/>
          <w:szCs w:val="22"/>
          <w:highlight w:val="none"/>
          <w:lang w:val="en-US" w:eastAsia="zh-CN"/>
        </w:rPr>
        <w:t xml:space="preserve"> 2.本项目实行网上投标，采用电子投标文件(供应商须使用CA加密设备通过政采云电子投标客户端制作投标文件)。若供应商参与投标，自行承担投标一切费用。 </w:t>
      </w:r>
    </w:p>
    <w:p w14:paraId="6956340A">
      <w:pPr>
        <w:keepNext w:val="0"/>
        <w:keepLines w:val="0"/>
        <w:pageBreakBefore w:val="0"/>
        <w:widowControl w:val="0"/>
        <w:kinsoku/>
        <w:wordWrap/>
        <w:overflowPunct/>
        <w:topLinePunct w:val="0"/>
        <w:autoSpaceDE/>
        <w:autoSpaceDN/>
        <w:bidi w:val="0"/>
        <w:adjustRightInd/>
        <w:snapToGrid/>
        <w:spacing w:line="440" w:lineRule="exact"/>
        <w:ind w:firstLine="440" w:firstLineChars="200"/>
        <w:textAlignment w:val="auto"/>
        <w:rPr>
          <w:rFonts w:hint="eastAsia" w:ascii="微软雅黑" w:hAnsi="微软雅黑" w:eastAsia="微软雅黑" w:cs="微软雅黑"/>
          <w:color w:val="auto"/>
          <w:kern w:val="0"/>
          <w:sz w:val="22"/>
          <w:szCs w:val="22"/>
          <w:highlight w:val="none"/>
          <w:lang w:val="en-US" w:eastAsia="zh-CN"/>
        </w:rPr>
      </w:pPr>
      <w:r>
        <w:rPr>
          <w:rFonts w:hint="eastAsia" w:ascii="微软雅黑" w:hAnsi="微软雅黑" w:eastAsia="微软雅黑" w:cs="微软雅黑"/>
          <w:color w:val="auto"/>
          <w:kern w:val="0"/>
          <w:sz w:val="22"/>
          <w:szCs w:val="22"/>
          <w:highlight w:val="none"/>
          <w:lang w:val="en-US" w:eastAsia="zh-CN"/>
        </w:rPr>
        <w:t xml:space="preserve">3.各供应商应在开标前应确保成为新疆政府采购网正式注册入库供应商，并完成CA数字证书申领。因未注册入库、未办理CA数字证书等原因造成无法投标或投标失败等后果由供应商自行承担。 </w:t>
      </w:r>
    </w:p>
    <w:p w14:paraId="5F7BF427">
      <w:pPr>
        <w:keepNext w:val="0"/>
        <w:keepLines w:val="0"/>
        <w:pageBreakBefore w:val="0"/>
        <w:widowControl w:val="0"/>
        <w:kinsoku/>
        <w:wordWrap/>
        <w:overflowPunct/>
        <w:topLinePunct w:val="0"/>
        <w:autoSpaceDE/>
        <w:autoSpaceDN/>
        <w:bidi w:val="0"/>
        <w:adjustRightInd/>
        <w:snapToGrid/>
        <w:spacing w:line="440" w:lineRule="exact"/>
        <w:ind w:firstLine="440" w:firstLineChars="200"/>
        <w:textAlignment w:val="auto"/>
        <w:rPr>
          <w:rFonts w:hint="eastAsia" w:ascii="微软雅黑" w:hAnsi="微软雅黑" w:eastAsia="微软雅黑" w:cs="微软雅黑"/>
          <w:color w:val="auto"/>
          <w:kern w:val="0"/>
          <w:sz w:val="22"/>
          <w:szCs w:val="22"/>
          <w:highlight w:val="none"/>
          <w:lang w:val="en-US" w:eastAsia="zh-CN"/>
        </w:rPr>
      </w:pPr>
      <w:r>
        <w:rPr>
          <w:rFonts w:hint="eastAsia" w:ascii="微软雅黑" w:hAnsi="微软雅黑" w:eastAsia="微软雅黑" w:cs="微软雅黑"/>
          <w:color w:val="auto"/>
          <w:kern w:val="0"/>
          <w:sz w:val="22"/>
          <w:szCs w:val="22"/>
          <w:highlight w:val="none"/>
          <w:lang w:val="en-US" w:eastAsia="zh-CN"/>
        </w:rPr>
        <w:t>4.供应商将政采云电子交易客户端下载、安装完成后，可通过账号密码或CA登录客户端进行投标文件制作。在使用政采云投标客户端时，建议使用WIN7及以上操作系统。客户端请至新疆政府采购网（http://www.ccgp-xinjiang.gov.cn/）下载专区查看，如有问题可拨打政采云客户服务热线95763进行咨询。</w:t>
      </w:r>
    </w:p>
    <w:p w14:paraId="24989509">
      <w:pPr>
        <w:keepNext w:val="0"/>
        <w:keepLines w:val="0"/>
        <w:pageBreakBefore w:val="0"/>
        <w:widowControl w:val="0"/>
        <w:kinsoku/>
        <w:wordWrap/>
        <w:overflowPunct/>
        <w:topLinePunct w:val="0"/>
        <w:autoSpaceDE/>
        <w:autoSpaceDN/>
        <w:bidi w:val="0"/>
        <w:adjustRightInd/>
        <w:snapToGrid/>
        <w:spacing w:line="440" w:lineRule="exact"/>
        <w:ind w:firstLine="440" w:firstLineChars="200"/>
        <w:textAlignment w:val="auto"/>
        <w:rPr>
          <w:rFonts w:hint="eastAsia" w:ascii="微软雅黑" w:hAnsi="微软雅黑" w:eastAsia="微软雅黑" w:cs="微软雅黑"/>
          <w:color w:val="auto"/>
          <w:kern w:val="0"/>
          <w:sz w:val="22"/>
          <w:szCs w:val="22"/>
          <w:highlight w:val="none"/>
          <w:lang w:val="en-US" w:eastAsia="zh-CN"/>
        </w:rPr>
      </w:pPr>
      <w:r>
        <w:rPr>
          <w:rFonts w:hint="eastAsia" w:ascii="微软雅黑" w:hAnsi="微软雅黑" w:eastAsia="微软雅黑" w:cs="微软雅黑"/>
          <w:color w:val="auto"/>
          <w:kern w:val="0"/>
          <w:sz w:val="22"/>
          <w:szCs w:val="22"/>
          <w:highlight w:val="none"/>
          <w:lang w:val="en-US" w:eastAsia="zh-CN"/>
        </w:rPr>
        <w:t xml:space="preserve"> 5.供应商在开标时须使用制作加密电子投标文件所使用的CA锁及电脑，电脑须提前配置好浏览器（建议使用谷歌浏览器），以便开标时解锁。</w:t>
      </w:r>
    </w:p>
    <w:p w14:paraId="4F986BE6">
      <w:pPr>
        <w:keepNext w:val="0"/>
        <w:keepLines w:val="0"/>
        <w:pageBreakBefore w:val="0"/>
        <w:widowControl w:val="0"/>
        <w:kinsoku/>
        <w:wordWrap/>
        <w:overflowPunct/>
        <w:topLinePunct w:val="0"/>
        <w:autoSpaceDE/>
        <w:autoSpaceDN/>
        <w:bidi w:val="0"/>
        <w:adjustRightInd/>
        <w:snapToGrid/>
        <w:spacing w:line="440" w:lineRule="exact"/>
        <w:ind w:firstLine="440" w:firstLineChars="200"/>
        <w:textAlignment w:val="auto"/>
        <w:rPr>
          <w:rFonts w:hint="eastAsia" w:ascii="微软雅黑" w:hAnsi="微软雅黑" w:eastAsia="微软雅黑" w:cs="微软雅黑"/>
          <w:color w:val="auto"/>
          <w:kern w:val="0"/>
          <w:sz w:val="22"/>
          <w:szCs w:val="22"/>
          <w:highlight w:val="none"/>
          <w:lang w:val="en-US" w:eastAsia="zh-CN"/>
        </w:rPr>
      </w:pPr>
      <w:r>
        <w:rPr>
          <w:rFonts w:hint="eastAsia" w:ascii="微软雅黑" w:hAnsi="微软雅黑" w:eastAsia="微软雅黑" w:cs="微软雅黑"/>
          <w:color w:val="auto"/>
          <w:kern w:val="0"/>
          <w:sz w:val="22"/>
          <w:szCs w:val="22"/>
          <w:highlight w:val="none"/>
          <w:lang w:val="en-US" w:eastAsia="zh-CN"/>
        </w:rPr>
        <w:t xml:space="preserve"> 6.投标保证金缴纳及确认时间：凡拟参加本次招标项目的供应商，必须在开标前将投标保证金汇入指定账户。投标保证金汇款凭证上用途栏应注明:招标项目名称+标项号+投标保证金。否则，届时其投标将被拒绝。 </w:t>
      </w:r>
    </w:p>
    <w:p w14:paraId="6FDC1600">
      <w:pPr>
        <w:keepNext w:val="0"/>
        <w:keepLines w:val="0"/>
        <w:pageBreakBefore w:val="0"/>
        <w:widowControl w:val="0"/>
        <w:kinsoku/>
        <w:wordWrap/>
        <w:overflowPunct/>
        <w:topLinePunct w:val="0"/>
        <w:autoSpaceDE/>
        <w:autoSpaceDN/>
        <w:bidi w:val="0"/>
        <w:adjustRightInd/>
        <w:snapToGrid/>
        <w:spacing w:line="440" w:lineRule="exact"/>
        <w:ind w:firstLine="440" w:firstLineChars="200"/>
        <w:textAlignment w:val="auto"/>
        <w:rPr>
          <w:rFonts w:hint="eastAsia" w:ascii="微软雅黑" w:hAnsi="微软雅黑" w:eastAsia="微软雅黑" w:cs="微软雅黑"/>
          <w:color w:val="auto"/>
          <w:kern w:val="0"/>
          <w:sz w:val="22"/>
          <w:szCs w:val="22"/>
          <w:highlight w:val="none"/>
          <w:lang w:val="en-US" w:eastAsia="zh-CN"/>
        </w:rPr>
      </w:pPr>
      <w:r>
        <w:rPr>
          <w:rFonts w:hint="eastAsia" w:ascii="微软雅黑" w:hAnsi="微软雅黑" w:eastAsia="微软雅黑" w:cs="微软雅黑"/>
          <w:color w:val="auto"/>
          <w:kern w:val="0"/>
          <w:sz w:val="22"/>
          <w:szCs w:val="22"/>
          <w:highlight w:val="none"/>
          <w:lang w:val="en-US" w:eastAsia="zh-CN"/>
        </w:rPr>
        <w:t>7.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供应商钉钉群号：政采云新疆网超供应商服务二十群：35547618（如已加入1-19群，无需重复加入），钉钉工具软件具有回放功能，直播培训结束后可在钉钉群中回放观看学习。</w:t>
      </w:r>
    </w:p>
    <w:p w14:paraId="4B6D3C95">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jc w:val="left"/>
        <w:textAlignment w:val="auto"/>
        <w:outlineLvl w:val="9"/>
        <w:rPr>
          <w:rFonts w:hint="eastAsia" w:ascii="微软雅黑" w:hAnsi="微软雅黑" w:eastAsia="微软雅黑" w:cs="微软雅黑"/>
          <w:b/>
          <w:bCs w:val="0"/>
          <w:color w:val="auto"/>
          <w:sz w:val="22"/>
          <w:szCs w:val="22"/>
          <w:highlight w:val="none"/>
        </w:rPr>
      </w:pPr>
      <w:r>
        <w:rPr>
          <w:rFonts w:hint="eastAsia" w:ascii="微软雅黑" w:hAnsi="微软雅黑" w:eastAsia="微软雅黑" w:cs="微软雅黑"/>
          <w:b/>
          <w:bCs w:val="0"/>
          <w:color w:val="auto"/>
          <w:sz w:val="22"/>
          <w:szCs w:val="22"/>
          <w:highlight w:val="none"/>
          <w:lang w:val="en-US" w:eastAsia="zh-CN"/>
        </w:rPr>
        <w:t>七</w:t>
      </w:r>
      <w:r>
        <w:rPr>
          <w:rFonts w:hint="eastAsia" w:ascii="微软雅黑" w:hAnsi="微软雅黑" w:eastAsia="微软雅黑" w:cs="微软雅黑"/>
          <w:b/>
          <w:bCs w:val="0"/>
          <w:color w:val="auto"/>
          <w:sz w:val="22"/>
          <w:szCs w:val="22"/>
          <w:highlight w:val="none"/>
        </w:rPr>
        <w:t>、</w:t>
      </w:r>
      <w:bookmarkEnd w:id="1656"/>
      <w:bookmarkEnd w:id="1657"/>
      <w:bookmarkStart w:id="1662" w:name="_Toc28359008"/>
      <w:bookmarkStart w:id="1663" w:name="_Toc28359085"/>
      <w:bookmarkStart w:id="1664" w:name="_Toc35393627"/>
      <w:bookmarkStart w:id="1665" w:name="_Toc35393796"/>
      <w:r>
        <w:rPr>
          <w:rFonts w:hint="eastAsia" w:ascii="微软雅黑" w:hAnsi="微软雅黑" w:eastAsia="微软雅黑" w:cs="微软雅黑"/>
          <w:b/>
          <w:bCs w:val="0"/>
          <w:color w:val="auto"/>
          <w:sz w:val="22"/>
          <w:szCs w:val="22"/>
          <w:highlight w:val="none"/>
        </w:rPr>
        <w:t>对本次采购提出询问，请按以下方式联系。</w:t>
      </w:r>
      <w:bookmarkEnd w:id="1658"/>
      <w:bookmarkEnd w:id="1659"/>
      <w:bookmarkEnd w:id="1660"/>
      <w:bookmarkEnd w:id="1661"/>
      <w:bookmarkEnd w:id="1662"/>
      <w:bookmarkEnd w:id="1663"/>
      <w:bookmarkEnd w:id="1664"/>
      <w:bookmarkEnd w:id="1665"/>
    </w:p>
    <w:p w14:paraId="19D1BF6D">
      <w:pPr>
        <w:keepNext w:val="0"/>
        <w:keepLines w:val="0"/>
        <w:pageBreakBefore w:val="0"/>
        <w:widowControl w:val="0"/>
        <w:kinsoku/>
        <w:wordWrap/>
        <w:overflowPunct/>
        <w:topLinePunct w:val="0"/>
        <w:autoSpaceDE/>
        <w:autoSpaceDN/>
        <w:bidi w:val="0"/>
        <w:adjustRightInd/>
        <w:snapToGrid/>
        <w:spacing w:line="440" w:lineRule="exact"/>
        <w:ind w:firstLine="440" w:firstLineChars="200"/>
        <w:textAlignment w:val="auto"/>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1.采购人信息</w:t>
      </w:r>
    </w:p>
    <w:p w14:paraId="27457912">
      <w:pPr>
        <w:keepNext w:val="0"/>
        <w:keepLines w:val="0"/>
        <w:pageBreakBefore w:val="0"/>
        <w:widowControl w:val="0"/>
        <w:kinsoku/>
        <w:wordWrap/>
        <w:overflowPunct/>
        <w:topLinePunct w:val="0"/>
        <w:autoSpaceDE/>
        <w:autoSpaceDN/>
        <w:bidi w:val="0"/>
        <w:adjustRightInd/>
        <w:snapToGrid/>
        <w:spacing w:line="440" w:lineRule="exact"/>
        <w:ind w:firstLine="440" w:firstLineChars="200"/>
        <w:textAlignment w:val="auto"/>
        <w:rPr>
          <w:rFonts w:hint="eastAsia" w:ascii="微软雅黑" w:hAnsi="微软雅黑" w:eastAsia="微软雅黑" w:cs="微软雅黑"/>
          <w:color w:val="auto"/>
          <w:kern w:val="0"/>
          <w:sz w:val="22"/>
          <w:szCs w:val="22"/>
          <w:highlight w:val="none"/>
          <w:lang w:eastAsia="zh-CN"/>
        </w:rPr>
      </w:pPr>
      <w:r>
        <w:rPr>
          <w:rFonts w:hint="eastAsia" w:ascii="微软雅黑" w:hAnsi="微软雅黑" w:eastAsia="微软雅黑" w:cs="微软雅黑"/>
          <w:color w:val="auto"/>
          <w:kern w:val="0"/>
          <w:sz w:val="22"/>
          <w:szCs w:val="22"/>
          <w:highlight w:val="none"/>
        </w:rPr>
        <w:t>名 称：</w:t>
      </w:r>
      <w:r>
        <w:rPr>
          <w:rFonts w:hint="eastAsia" w:ascii="微软雅黑" w:hAnsi="微软雅黑" w:eastAsia="微软雅黑" w:cs="微软雅黑"/>
          <w:color w:val="auto"/>
          <w:kern w:val="0"/>
          <w:sz w:val="22"/>
          <w:szCs w:val="22"/>
          <w:highlight w:val="none"/>
          <w:lang w:eastAsia="zh-CN"/>
        </w:rPr>
        <w:t>泽普县维吾尔医医院</w:t>
      </w:r>
    </w:p>
    <w:p w14:paraId="41A5FB4E">
      <w:pPr>
        <w:keepNext w:val="0"/>
        <w:keepLines w:val="0"/>
        <w:pageBreakBefore w:val="0"/>
        <w:widowControl w:val="0"/>
        <w:kinsoku/>
        <w:wordWrap/>
        <w:overflowPunct/>
        <w:topLinePunct w:val="0"/>
        <w:autoSpaceDE/>
        <w:autoSpaceDN/>
        <w:bidi w:val="0"/>
        <w:adjustRightInd/>
        <w:snapToGrid/>
        <w:spacing w:line="440" w:lineRule="exact"/>
        <w:ind w:firstLine="440" w:firstLineChars="200"/>
        <w:textAlignment w:val="auto"/>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地 址：</w:t>
      </w:r>
      <w:r>
        <w:rPr>
          <w:rFonts w:hint="eastAsia" w:ascii="微软雅黑" w:hAnsi="微软雅黑" w:eastAsia="微软雅黑" w:cs="微软雅黑"/>
          <w:color w:val="auto"/>
          <w:kern w:val="0"/>
          <w:sz w:val="22"/>
          <w:szCs w:val="22"/>
          <w:highlight w:val="none"/>
          <w:lang w:eastAsia="zh-CN"/>
        </w:rPr>
        <w:t>泽普县泽普镇和谐大街027号院（南环路与和谐大街交汇处）</w:t>
      </w:r>
      <w:r>
        <w:rPr>
          <w:rFonts w:hint="eastAsia" w:ascii="微软雅黑" w:hAnsi="微软雅黑" w:eastAsia="微软雅黑" w:cs="微软雅黑"/>
          <w:color w:val="auto"/>
          <w:kern w:val="0"/>
          <w:sz w:val="22"/>
          <w:szCs w:val="22"/>
          <w:highlight w:val="none"/>
        </w:rPr>
        <w:t xml:space="preserve"> </w:t>
      </w:r>
    </w:p>
    <w:p w14:paraId="0E8924B2">
      <w:pPr>
        <w:keepNext w:val="0"/>
        <w:keepLines w:val="0"/>
        <w:pageBreakBefore w:val="0"/>
        <w:widowControl w:val="0"/>
        <w:kinsoku/>
        <w:wordWrap/>
        <w:overflowPunct/>
        <w:topLinePunct w:val="0"/>
        <w:autoSpaceDE/>
        <w:autoSpaceDN/>
        <w:bidi w:val="0"/>
        <w:adjustRightInd/>
        <w:snapToGrid/>
        <w:spacing w:line="440" w:lineRule="exact"/>
        <w:ind w:firstLine="440" w:firstLineChars="200"/>
        <w:textAlignment w:val="auto"/>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联系方式：</w:t>
      </w:r>
      <w:r>
        <w:rPr>
          <w:rFonts w:hint="eastAsia" w:ascii="微软雅黑" w:hAnsi="微软雅黑" w:eastAsia="微软雅黑" w:cs="微软雅黑"/>
          <w:color w:val="auto"/>
          <w:kern w:val="0"/>
          <w:sz w:val="22"/>
          <w:szCs w:val="22"/>
          <w:highlight w:val="none"/>
          <w:lang w:eastAsia="zh-CN"/>
        </w:rPr>
        <w:t>努尔阿米娜·麦图地</w:t>
      </w:r>
      <w:r>
        <w:rPr>
          <w:rFonts w:hint="eastAsia" w:ascii="微软雅黑" w:hAnsi="微软雅黑" w:eastAsia="微软雅黑" w:cs="微软雅黑"/>
          <w:color w:val="auto"/>
          <w:kern w:val="0"/>
          <w:sz w:val="22"/>
          <w:szCs w:val="22"/>
          <w:highlight w:val="none"/>
          <w:lang w:val="en-US" w:eastAsia="zh-CN"/>
        </w:rPr>
        <w:t xml:space="preserve">  </w:t>
      </w:r>
      <w:r>
        <w:rPr>
          <w:rFonts w:hint="eastAsia" w:ascii="微软雅黑" w:hAnsi="微软雅黑" w:eastAsia="微软雅黑" w:cs="微软雅黑"/>
          <w:color w:val="auto"/>
          <w:kern w:val="0"/>
          <w:sz w:val="22"/>
          <w:szCs w:val="22"/>
          <w:highlight w:val="none"/>
          <w:lang w:eastAsia="zh-CN"/>
        </w:rPr>
        <w:t xml:space="preserve">13579075405 </w:t>
      </w:r>
      <w:r>
        <w:rPr>
          <w:rFonts w:hint="eastAsia" w:ascii="微软雅黑" w:hAnsi="微软雅黑" w:eastAsia="微软雅黑" w:cs="微软雅黑"/>
          <w:color w:val="auto"/>
          <w:kern w:val="0"/>
          <w:sz w:val="22"/>
          <w:szCs w:val="22"/>
          <w:highlight w:val="none"/>
        </w:rPr>
        <w:t xml:space="preserve">    </w:t>
      </w:r>
    </w:p>
    <w:p w14:paraId="6F5479BD">
      <w:pPr>
        <w:keepNext w:val="0"/>
        <w:keepLines w:val="0"/>
        <w:pageBreakBefore w:val="0"/>
        <w:widowControl w:val="0"/>
        <w:kinsoku/>
        <w:wordWrap/>
        <w:overflowPunct/>
        <w:topLinePunct w:val="0"/>
        <w:autoSpaceDE/>
        <w:autoSpaceDN/>
        <w:bidi w:val="0"/>
        <w:adjustRightInd/>
        <w:snapToGrid/>
        <w:spacing w:line="440" w:lineRule="exact"/>
        <w:ind w:firstLine="440" w:firstLineChars="200"/>
        <w:textAlignment w:val="auto"/>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2.采购代理机构信息</w:t>
      </w:r>
    </w:p>
    <w:p w14:paraId="2E4066E0">
      <w:pPr>
        <w:keepNext w:val="0"/>
        <w:keepLines w:val="0"/>
        <w:pageBreakBefore w:val="0"/>
        <w:widowControl w:val="0"/>
        <w:kinsoku/>
        <w:wordWrap/>
        <w:overflowPunct/>
        <w:topLinePunct w:val="0"/>
        <w:autoSpaceDE/>
        <w:autoSpaceDN/>
        <w:bidi w:val="0"/>
        <w:adjustRightInd/>
        <w:snapToGrid/>
        <w:spacing w:line="440" w:lineRule="exact"/>
        <w:ind w:firstLine="440" w:firstLineChars="200"/>
        <w:textAlignment w:val="auto"/>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名 称：新疆共建恒业信息咨询有限责任公司</w:t>
      </w:r>
    </w:p>
    <w:p w14:paraId="35AD6B93">
      <w:pPr>
        <w:keepNext w:val="0"/>
        <w:keepLines w:val="0"/>
        <w:pageBreakBefore w:val="0"/>
        <w:widowControl w:val="0"/>
        <w:kinsoku/>
        <w:wordWrap/>
        <w:overflowPunct/>
        <w:topLinePunct w:val="0"/>
        <w:autoSpaceDE/>
        <w:autoSpaceDN/>
        <w:bidi w:val="0"/>
        <w:adjustRightInd/>
        <w:snapToGrid/>
        <w:spacing w:line="440" w:lineRule="exact"/>
        <w:ind w:firstLine="440" w:firstLineChars="200"/>
        <w:textAlignment w:val="auto"/>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 xml:space="preserve">地 址：喀什经济开发区深喀大道陕西大厦12楼1208室 </w:t>
      </w:r>
    </w:p>
    <w:p w14:paraId="647B6252">
      <w:pPr>
        <w:keepNext w:val="0"/>
        <w:keepLines w:val="0"/>
        <w:pageBreakBefore w:val="0"/>
        <w:widowControl w:val="0"/>
        <w:kinsoku/>
        <w:wordWrap/>
        <w:overflowPunct/>
        <w:topLinePunct w:val="0"/>
        <w:autoSpaceDE/>
        <w:autoSpaceDN/>
        <w:bidi w:val="0"/>
        <w:adjustRightInd/>
        <w:snapToGrid/>
        <w:spacing w:line="440" w:lineRule="exact"/>
        <w:ind w:firstLine="440" w:firstLineChars="200"/>
        <w:textAlignment w:val="auto"/>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联系方式：</w:t>
      </w:r>
      <w:r>
        <w:rPr>
          <w:rFonts w:hint="eastAsia" w:ascii="微软雅黑" w:hAnsi="微软雅黑" w:eastAsia="微软雅黑" w:cs="微软雅黑"/>
          <w:color w:val="auto"/>
          <w:kern w:val="0"/>
          <w:sz w:val="22"/>
          <w:szCs w:val="22"/>
          <w:highlight w:val="none"/>
          <w:lang w:eastAsia="zh-CN"/>
        </w:rPr>
        <w:t>朱萍</w:t>
      </w:r>
      <w:r>
        <w:rPr>
          <w:rFonts w:hint="eastAsia" w:ascii="微软雅黑" w:hAnsi="微软雅黑" w:eastAsia="微软雅黑" w:cs="微软雅黑"/>
          <w:color w:val="auto"/>
          <w:kern w:val="0"/>
          <w:sz w:val="22"/>
          <w:szCs w:val="22"/>
          <w:highlight w:val="none"/>
        </w:rPr>
        <w:t xml:space="preserve"> 18209987338</w:t>
      </w:r>
    </w:p>
    <w:p w14:paraId="4536D6CA">
      <w:pPr>
        <w:keepNext w:val="0"/>
        <w:keepLines w:val="0"/>
        <w:pageBreakBefore w:val="0"/>
        <w:widowControl w:val="0"/>
        <w:kinsoku/>
        <w:wordWrap/>
        <w:overflowPunct/>
        <w:topLinePunct w:val="0"/>
        <w:autoSpaceDE/>
        <w:autoSpaceDN/>
        <w:bidi w:val="0"/>
        <w:adjustRightInd/>
        <w:snapToGrid/>
        <w:spacing w:line="440" w:lineRule="exact"/>
        <w:ind w:firstLine="440" w:firstLineChars="200"/>
        <w:textAlignment w:val="auto"/>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3.项目联系方式</w:t>
      </w:r>
    </w:p>
    <w:p w14:paraId="30B962D2">
      <w:pPr>
        <w:keepNext w:val="0"/>
        <w:keepLines w:val="0"/>
        <w:pageBreakBefore w:val="0"/>
        <w:widowControl w:val="0"/>
        <w:kinsoku/>
        <w:wordWrap/>
        <w:overflowPunct/>
        <w:topLinePunct w:val="0"/>
        <w:autoSpaceDE/>
        <w:autoSpaceDN/>
        <w:bidi w:val="0"/>
        <w:adjustRightInd/>
        <w:snapToGrid/>
        <w:spacing w:line="440" w:lineRule="exact"/>
        <w:ind w:firstLine="440" w:firstLineChars="200"/>
        <w:textAlignment w:val="auto"/>
        <w:rPr>
          <w:rFonts w:hint="eastAsia" w:ascii="微软雅黑" w:hAnsi="微软雅黑" w:eastAsia="微软雅黑" w:cs="微软雅黑"/>
          <w:color w:val="auto"/>
          <w:kern w:val="0"/>
          <w:sz w:val="22"/>
          <w:szCs w:val="22"/>
          <w:highlight w:val="none"/>
          <w:lang w:eastAsia="zh-CN"/>
        </w:rPr>
      </w:pPr>
      <w:r>
        <w:rPr>
          <w:rFonts w:hint="eastAsia" w:ascii="微软雅黑" w:hAnsi="微软雅黑" w:eastAsia="微软雅黑" w:cs="微软雅黑"/>
          <w:color w:val="auto"/>
          <w:kern w:val="0"/>
          <w:sz w:val="22"/>
          <w:szCs w:val="22"/>
          <w:highlight w:val="none"/>
        </w:rPr>
        <w:t>项目联系人：</w:t>
      </w:r>
      <w:r>
        <w:rPr>
          <w:rFonts w:hint="eastAsia" w:ascii="微软雅黑" w:hAnsi="微软雅黑" w:eastAsia="微软雅黑" w:cs="微软雅黑"/>
          <w:color w:val="auto"/>
          <w:kern w:val="0"/>
          <w:sz w:val="22"/>
          <w:szCs w:val="22"/>
          <w:highlight w:val="none"/>
          <w:lang w:eastAsia="zh-CN"/>
        </w:rPr>
        <w:t>朱萍</w:t>
      </w:r>
    </w:p>
    <w:p w14:paraId="5D7D54BC">
      <w:pPr>
        <w:keepNext w:val="0"/>
        <w:keepLines w:val="0"/>
        <w:pageBreakBefore w:val="0"/>
        <w:widowControl w:val="0"/>
        <w:kinsoku/>
        <w:wordWrap/>
        <w:overflowPunct/>
        <w:topLinePunct w:val="0"/>
        <w:autoSpaceDE/>
        <w:autoSpaceDN/>
        <w:bidi w:val="0"/>
        <w:adjustRightInd/>
        <w:snapToGrid/>
        <w:spacing w:line="440" w:lineRule="exact"/>
        <w:ind w:firstLine="440" w:firstLineChars="200"/>
        <w:textAlignment w:val="auto"/>
        <w:rPr>
          <w:rFonts w:hint="eastAsia" w:ascii="微软雅黑" w:hAnsi="微软雅黑" w:eastAsia="微软雅黑" w:cs="微软雅黑"/>
          <w:color w:val="auto"/>
          <w:kern w:val="0"/>
          <w:sz w:val="22"/>
          <w:szCs w:val="22"/>
          <w:highlight w:val="none"/>
        </w:rPr>
      </w:pPr>
      <w:r>
        <w:rPr>
          <w:rFonts w:hint="eastAsia" w:ascii="微软雅黑" w:hAnsi="微软雅黑" w:eastAsia="微软雅黑" w:cs="微软雅黑"/>
          <w:color w:val="auto"/>
          <w:kern w:val="0"/>
          <w:sz w:val="22"/>
          <w:szCs w:val="22"/>
          <w:highlight w:val="none"/>
        </w:rPr>
        <w:t>电 话：18209987338</w:t>
      </w:r>
    </w:p>
    <w:p w14:paraId="45AC9BE2">
      <w:pPr>
        <w:pStyle w:val="31"/>
        <w:keepNext w:val="0"/>
        <w:keepLines w:val="0"/>
        <w:pageBreakBefore w:val="0"/>
        <w:kinsoku/>
        <w:overflowPunct/>
        <w:topLinePunct w:val="0"/>
        <w:bidi w:val="0"/>
        <w:snapToGrid/>
        <w:spacing w:line="440" w:lineRule="exact"/>
        <w:textAlignment w:val="auto"/>
        <w:rPr>
          <w:rFonts w:hint="eastAsia" w:ascii="微软雅黑" w:hAnsi="微软雅黑" w:eastAsia="微软雅黑" w:cs="微软雅黑"/>
          <w:color w:val="auto"/>
          <w:kern w:val="0"/>
          <w:sz w:val="22"/>
          <w:szCs w:val="22"/>
          <w:highlight w:val="none"/>
        </w:rPr>
      </w:pPr>
    </w:p>
    <w:p w14:paraId="3C987C4C">
      <w:pPr>
        <w:pStyle w:val="5"/>
        <w:keepNext w:val="0"/>
        <w:keepLines w:val="0"/>
        <w:pageBreakBefore w:val="0"/>
        <w:kinsoku/>
        <w:overflowPunct/>
        <w:topLinePunct w:val="0"/>
        <w:bidi w:val="0"/>
        <w:snapToGrid/>
        <w:spacing w:line="440" w:lineRule="exact"/>
        <w:textAlignment w:val="auto"/>
        <w:rPr>
          <w:rFonts w:hint="eastAsia" w:ascii="微软雅黑" w:hAnsi="微软雅黑" w:eastAsia="微软雅黑" w:cs="微软雅黑"/>
          <w:color w:val="auto"/>
          <w:kern w:val="0"/>
          <w:sz w:val="22"/>
          <w:szCs w:val="22"/>
          <w:highlight w:val="none"/>
        </w:rPr>
      </w:pPr>
    </w:p>
    <w:p w14:paraId="55C37119">
      <w:pPr>
        <w:pStyle w:val="6"/>
        <w:keepNext w:val="0"/>
        <w:keepLines w:val="0"/>
        <w:pageBreakBefore w:val="0"/>
        <w:kinsoku/>
        <w:overflowPunct/>
        <w:topLinePunct w:val="0"/>
        <w:bidi w:val="0"/>
        <w:snapToGrid/>
        <w:spacing w:line="440" w:lineRule="exact"/>
        <w:textAlignment w:val="auto"/>
        <w:rPr>
          <w:rFonts w:hint="eastAsia" w:ascii="微软雅黑" w:hAnsi="微软雅黑" w:eastAsia="微软雅黑" w:cs="微软雅黑"/>
          <w:sz w:val="20"/>
          <w:szCs w:val="22"/>
          <w:highlight w:val="none"/>
        </w:rPr>
      </w:pPr>
    </w:p>
    <w:p w14:paraId="0C0C27E0">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firstLine="440" w:firstLineChars="200"/>
        <w:jc w:val="right"/>
        <w:textAlignment w:val="auto"/>
        <w:outlineLvl w:val="9"/>
        <w:rPr>
          <w:rFonts w:hint="eastAsia" w:ascii="微软雅黑" w:hAnsi="微软雅黑" w:eastAsia="微软雅黑" w:cs="微软雅黑"/>
          <w:color w:val="auto"/>
          <w:kern w:val="0"/>
          <w:sz w:val="22"/>
          <w:szCs w:val="22"/>
          <w:highlight w:val="none"/>
          <w:lang w:eastAsia="zh-CN"/>
        </w:rPr>
      </w:pPr>
      <w:r>
        <w:rPr>
          <w:rFonts w:hint="eastAsia" w:ascii="微软雅黑" w:hAnsi="微软雅黑" w:eastAsia="微软雅黑" w:cs="微软雅黑"/>
          <w:color w:val="auto"/>
          <w:kern w:val="0"/>
          <w:sz w:val="22"/>
          <w:szCs w:val="22"/>
          <w:highlight w:val="none"/>
          <w:lang w:eastAsia="zh-CN"/>
        </w:rPr>
        <w:t>新疆共建恒业信息咨询有限责任公司</w:t>
      </w:r>
    </w:p>
    <w:p w14:paraId="3BDAE791">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left="0" w:firstLine="440" w:firstLineChars="200"/>
        <w:textAlignment w:val="auto"/>
        <w:outlineLvl w:val="9"/>
        <w:rPr>
          <w:rFonts w:hint="eastAsia" w:ascii="微软雅黑" w:hAnsi="微软雅黑" w:eastAsia="微软雅黑" w:cs="微软雅黑"/>
        </w:rPr>
      </w:pPr>
      <w:r>
        <w:rPr>
          <w:rFonts w:hint="eastAsia" w:ascii="微软雅黑" w:hAnsi="微软雅黑" w:eastAsia="微软雅黑" w:cs="微软雅黑"/>
          <w:color w:val="auto"/>
          <w:kern w:val="0"/>
          <w:sz w:val="22"/>
          <w:szCs w:val="22"/>
          <w:highlight w:val="none"/>
        </w:rPr>
        <w:t xml:space="preserve">                              </w:t>
      </w:r>
      <w:r>
        <w:rPr>
          <w:rFonts w:hint="eastAsia" w:ascii="微软雅黑" w:hAnsi="微软雅黑" w:eastAsia="微软雅黑" w:cs="微软雅黑"/>
          <w:color w:val="auto"/>
          <w:kern w:val="0"/>
          <w:sz w:val="22"/>
          <w:szCs w:val="22"/>
          <w:highlight w:val="none"/>
          <w:lang w:val="en-US" w:eastAsia="zh-CN"/>
        </w:rPr>
        <w:t xml:space="preserve">    </w:t>
      </w:r>
      <w:r>
        <w:rPr>
          <w:rFonts w:hint="eastAsia" w:ascii="微软雅黑" w:hAnsi="微软雅黑" w:eastAsia="微软雅黑" w:cs="微软雅黑"/>
          <w:color w:val="auto"/>
          <w:kern w:val="0"/>
          <w:sz w:val="22"/>
          <w:szCs w:val="22"/>
          <w:highlight w:val="none"/>
        </w:rPr>
        <w:t xml:space="preserve"> </w:t>
      </w:r>
      <w:r>
        <w:rPr>
          <w:rFonts w:hint="eastAsia" w:ascii="微软雅黑" w:hAnsi="微软雅黑" w:eastAsia="微软雅黑" w:cs="微软雅黑"/>
          <w:color w:val="auto"/>
          <w:kern w:val="0"/>
          <w:sz w:val="22"/>
          <w:szCs w:val="22"/>
          <w:highlight w:val="none"/>
          <w:lang w:val="en-US" w:eastAsia="zh-CN"/>
        </w:rPr>
        <w:t xml:space="preserve">           </w:t>
      </w:r>
      <w:r>
        <w:rPr>
          <w:rFonts w:hint="eastAsia" w:ascii="微软雅黑" w:hAnsi="微软雅黑" w:eastAsia="微软雅黑" w:cs="微软雅黑"/>
          <w:color w:val="auto"/>
          <w:sz w:val="22"/>
          <w:szCs w:val="22"/>
          <w:highlight w:val="none"/>
          <w:lang w:eastAsia="zh-CN"/>
        </w:rPr>
        <w:t>20</w:t>
      </w:r>
      <w:r>
        <w:rPr>
          <w:rFonts w:hint="eastAsia" w:ascii="微软雅黑" w:hAnsi="微软雅黑" w:eastAsia="微软雅黑" w:cs="微软雅黑"/>
          <w:color w:val="auto"/>
          <w:sz w:val="22"/>
          <w:szCs w:val="22"/>
          <w:highlight w:val="none"/>
          <w:lang w:val="en-US" w:eastAsia="zh-CN"/>
        </w:rPr>
        <w:t>26</w:t>
      </w:r>
      <w:r>
        <w:rPr>
          <w:rFonts w:hint="eastAsia" w:ascii="微软雅黑" w:hAnsi="微软雅黑" w:eastAsia="微软雅黑" w:cs="微软雅黑"/>
          <w:color w:val="auto"/>
          <w:sz w:val="22"/>
          <w:szCs w:val="22"/>
          <w:highlight w:val="none"/>
          <w:lang w:eastAsia="zh-CN"/>
        </w:rPr>
        <w:t>年</w:t>
      </w:r>
      <w:r>
        <w:rPr>
          <w:rFonts w:hint="eastAsia" w:ascii="微软雅黑" w:hAnsi="微软雅黑" w:eastAsia="微软雅黑" w:cs="微软雅黑"/>
          <w:color w:val="auto"/>
          <w:sz w:val="22"/>
          <w:szCs w:val="22"/>
          <w:highlight w:val="none"/>
          <w:lang w:val="en-US" w:eastAsia="zh-CN"/>
        </w:rPr>
        <w:t>4月7日</w:t>
      </w:r>
    </w:p>
    <w:p w14:paraId="52EA92DF">
      <w:pPr>
        <w:rPr>
          <w:rFonts w:hint="eastAsia" w:ascii="微软雅黑" w:hAnsi="微软雅黑" w:eastAsia="微软雅黑" w:cs="微软雅黑"/>
          <w:b/>
          <w:bCs/>
          <w:color w:val="auto"/>
          <w:sz w:val="28"/>
          <w:szCs w:val="18"/>
          <w:highlight w:val="none"/>
          <w:lang w:val="en-US" w:eastAsia="zh-CN"/>
        </w:rPr>
      </w:pPr>
      <w:r>
        <w:rPr>
          <w:rFonts w:hint="eastAsia" w:ascii="微软雅黑" w:hAnsi="微软雅黑" w:eastAsia="微软雅黑" w:cs="微软雅黑"/>
          <w:b/>
          <w:bCs/>
          <w:color w:val="auto"/>
          <w:sz w:val="28"/>
          <w:szCs w:val="18"/>
          <w:highlight w:val="none"/>
          <w:lang w:val="en-US" w:eastAsia="zh-CN"/>
        </w:rPr>
        <w:br w:type="page"/>
      </w:r>
    </w:p>
    <w:p w14:paraId="63C291BB">
      <w:pPr>
        <w:pStyle w:val="2"/>
        <w:tabs>
          <w:tab w:val="left" w:pos="0"/>
        </w:tabs>
        <w:spacing w:before="0" w:after="0" w:line="240" w:lineRule="atLeast"/>
        <w:rPr>
          <w:rFonts w:hint="eastAsia" w:ascii="微软雅黑" w:hAnsi="微软雅黑" w:eastAsia="微软雅黑" w:cs="微软雅黑"/>
          <w:b/>
          <w:bCs/>
          <w:color w:val="auto"/>
          <w:sz w:val="28"/>
          <w:szCs w:val="28"/>
          <w:highlight w:val="none"/>
        </w:rPr>
      </w:pPr>
      <w:bookmarkStart w:id="1666" w:name="_Toc8397"/>
      <w:r>
        <w:rPr>
          <w:rFonts w:hint="eastAsia" w:ascii="微软雅黑" w:hAnsi="微软雅黑" w:eastAsia="微软雅黑" w:cs="微软雅黑"/>
          <w:b/>
          <w:bCs/>
          <w:color w:val="auto"/>
          <w:sz w:val="28"/>
          <w:szCs w:val="18"/>
          <w:highlight w:val="none"/>
          <w:lang w:val="en-US" w:eastAsia="zh-CN"/>
        </w:rPr>
        <w:t>第4章</w:t>
      </w:r>
      <w:r>
        <w:rPr>
          <w:rFonts w:hint="eastAsia" w:ascii="微软雅黑" w:hAnsi="微软雅黑" w:eastAsia="微软雅黑" w:cs="微软雅黑"/>
          <w:b/>
          <w:bCs/>
          <w:color w:val="auto"/>
          <w:sz w:val="28"/>
          <w:szCs w:val="18"/>
          <w:highlight w:val="none"/>
        </w:rPr>
        <w:t xml:space="preserve">  供应商须知资料表</w:t>
      </w:r>
      <w:bookmarkEnd w:id="1610"/>
      <w:bookmarkEnd w:id="1611"/>
      <w:bookmarkEnd w:id="1612"/>
      <w:bookmarkEnd w:id="1613"/>
      <w:bookmarkEnd w:id="1614"/>
      <w:bookmarkEnd w:id="1615"/>
      <w:bookmarkEnd w:id="1616"/>
      <w:bookmarkEnd w:id="1617"/>
      <w:bookmarkEnd w:id="1666"/>
    </w:p>
    <w:p w14:paraId="6EDFA19B">
      <w:pPr>
        <w:spacing w:line="400" w:lineRule="exact"/>
        <w:ind w:firstLine="330" w:firstLineChars="150"/>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 xml:space="preserve"> 本表是本招标项目的具体资料，是对供应商须知的具体补充和修改，如有矛盾，应以本资料表为准。</w:t>
      </w:r>
    </w:p>
    <w:tbl>
      <w:tblPr>
        <w:tblStyle w:val="32"/>
        <w:tblW w:w="9260" w:type="dxa"/>
        <w:tblInd w:w="-316"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378"/>
        <w:gridCol w:w="7882"/>
      </w:tblGrid>
      <w:tr w14:paraId="3DF9D1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86" w:hRule="atLeast"/>
        </w:trPr>
        <w:tc>
          <w:tcPr>
            <w:tcW w:w="1378" w:type="dxa"/>
            <w:vAlign w:val="center"/>
          </w:tcPr>
          <w:p w14:paraId="7BE182BD">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条款号</w:t>
            </w:r>
          </w:p>
        </w:tc>
        <w:tc>
          <w:tcPr>
            <w:tcW w:w="7882" w:type="dxa"/>
            <w:vAlign w:val="center"/>
          </w:tcPr>
          <w:p w14:paraId="5EC7F977">
            <w:pPr>
              <w:keepNext w:val="0"/>
              <w:keepLines w:val="0"/>
              <w:pageBreakBefore w:val="0"/>
              <w:kinsoku/>
              <w:wordWrap/>
              <w:overflowPunct/>
              <w:topLinePunct w:val="0"/>
              <w:autoSpaceDE/>
              <w:autoSpaceDN/>
              <w:bidi w:val="0"/>
              <w:adjustRightInd/>
              <w:snapToGrid/>
              <w:spacing w:line="360" w:lineRule="exact"/>
              <w:ind w:left="1080" w:leftChars="257" w:hanging="540"/>
              <w:textAlignment w:val="auto"/>
              <w:rPr>
                <w:rFonts w:hint="eastAsia" w:ascii="微软雅黑" w:hAnsi="微软雅黑" w:eastAsia="微软雅黑" w:cs="微软雅黑"/>
                <w:b/>
                <w:color w:val="auto"/>
                <w:sz w:val="22"/>
                <w:szCs w:val="22"/>
                <w:highlight w:val="none"/>
              </w:rPr>
            </w:pPr>
            <w:r>
              <w:rPr>
                <w:rFonts w:hint="eastAsia" w:ascii="微软雅黑" w:hAnsi="微软雅黑" w:eastAsia="微软雅黑" w:cs="微软雅黑"/>
                <w:b/>
                <w:color w:val="auto"/>
                <w:sz w:val="22"/>
                <w:szCs w:val="22"/>
                <w:highlight w:val="none"/>
              </w:rPr>
              <w:t>内      容</w:t>
            </w:r>
          </w:p>
        </w:tc>
      </w:tr>
      <w:tr w14:paraId="412769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778" w:hRule="atLeast"/>
        </w:trPr>
        <w:tc>
          <w:tcPr>
            <w:tcW w:w="1378" w:type="dxa"/>
            <w:vAlign w:val="center"/>
          </w:tcPr>
          <w:p w14:paraId="079C1BD2">
            <w:pPr>
              <w:keepNext w:val="0"/>
              <w:keepLines w:val="0"/>
              <w:pageBreakBefore w:val="0"/>
              <w:kinsoku/>
              <w:wordWrap/>
              <w:overflowPunct/>
              <w:topLinePunct w:val="0"/>
              <w:autoSpaceDE/>
              <w:autoSpaceDN/>
              <w:bidi w:val="0"/>
              <w:adjustRightInd/>
              <w:snapToGrid/>
              <w:spacing w:line="360" w:lineRule="exact"/>
              <w:ind w:firstLine="440" w:firstLineChars="20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1.1</w:t>
            </w:r>
          </w:p>
        </w:tc>
        <w:tc>
          <w:tcPr>
            <w:tcW w:w="7882" w:type="dxa"/>
            <w:vAlign w:val="center"/>
          </w:tcPr>
          <w:p w14:paraId="4BB8E7DD">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采购人：</w:t>
            </w:r>
            <w:r>
              <w:rPr>
                <w:rFonts w:hint="eastAsia" w:ascii="微软雅黑" w:hAnsi="微软雅黑" w:eastAsia="微软雅黑" w:cs="微软雅黑"/>
                <w:color w:val="auto"/>
                <w:kern w:val="0"/>
                <w:sz w:val="22"/>
                <w:szCs w:val="22"/>
                <w:highlight w:val="none"/>
                <w:u w:val="single"/>
                <w:lang w:eastAsia="zh-CN"/>
              </w:rPr>
              <w:t>泽普县维吾尔医医院</w:t>
            </w:r>
          </w:p>
          <w:p w14:paraId="210353C3">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rPr>
              <w:t>联系人：</w:t>
            </w:r>
            <w:r>
              <w:rPr>
                <w:rFonts w:hint="eastAsia" w:ascii="微软雅黑" w:hAnsi="微软雅黑" w:eastAsia="微软雅黑" w:cs="微软雅黑"/>
                <w:color w:val="auto"/>
                <w:sz w:val="22"/>
                <w:szCs w:val="22"/>
                <w:highlight w:val="none"/>
                <w:u w:val="single"/>
                <w:lang w:eastAsia="zh-CN"/>
              </w:rPr>
              <w:t>努尔阿米娜·麦图地</w:t>
            </w:r>
            <w:r>
              <w:rPr>
                <w:rFonts w:hint="eastAsia" w:ascii="微软雅黑" w:hAnsi="微软雅黑" w:eastAsia="微软雅黑" w:cs="微软雅黑"/>
                <w:color w:val="auto"/>
                <w:sz w:val="22"/>
                <w:szCs w:val="22"/>
                <w:highlight w:val="none"/>
              </w:rPr>
              <w:t xml:space="preserve">     联系电话：</w:t>
            </w:r>
            <w:r>
              <w:rPr>
                <w:rFonts w:hint="eastAsia" w:ascii="微软雅黑" w:hAnsi="微软雅黑" w:eastAsia="微软雅黑" w:cs="微软雅黑"/>
                <w:color w:val="auto"/>
                <w:sz w:val="22"/>
                <w:szCs w:val="22"/>
                <w:highlight w:val="none"/>
                <w:u w:val="single"/>
                <w:lang w:eastAsia="zh-CN"/>
              </w:rPr>
              <w:t xml:space="preserve"> 13579075405  </w:t>
            </w:r>
          </w:p>
        </w:tc>
      </w:tr>
      <w:tr w14:paraId="72584D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48" w:hRule="atLeast"/>
        </w:trPr>
        <w:tc>
          <w:tcPr>
            <w:tcW w:w="1378" w:type="dxa"/>
            <w:vAlign w:val="center"/>
          </w:tcPr>
          <w:p w14:paraId="6C472C71">
            <w:pPr>
              <w:keepNext w:val="0"/>
              <w:keepLines w:val="0"/>
              <w:pageBreakBefore w:val="0"/>
              <w:kinsoku/>
              <w:wordWrap/>
              <w:overflowPunct/>
              <w:topLinePunct w:val="0"/>
              <w:autoSpaceDE/>
              <w:autoSpaceDN/>
              <w:bidi w:val="0"/>
              <w:adjustRightInd/>
              <w:snapToGrid/>
              <w:spacing w:line="360" w:lineRule="exact"/>
              <w:ind w:left="1080" w:leftChars="257" w:hanging="54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1.2</w:t>
            </w:r>
          </w:p>
        </w:tc>
        <w:tc>
          <w:tcPr>
            <w:tcW w:w="7882" w:type="dxa"/>
            <w:vAlign w:val="center"/>
          </w:tcPr>
          <w:p w14:paraId="29F96F12">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采购代理机构：</w:t>
            </w:r>
            <w:r>
              <w:rPr>
                <w:rFonts w:hint="eastAsia" w:ascii="微软雅黑" w:hAnsi="微软雅黑" w:eastAsia="微软雅黑" w:cs="微软雅黑"/>
                <w:color w:val="auto"/>
                <w:sz w:val="22"/>
                <w:szCs w:val="22"/>
                <w:highlight w:val="none"/>
                <w:u w:val="single"/>
              </w:rPr>
              <w:t xml:space="preserve">新疆共建恒业信息咨询有限责任公司  </w:t>
            </w:r>
          </w:p>
          <w:p w14:paraId="70B0DC31">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sz w:val="22"/>
                <w:szCs w:val="22"/>
                <w:highlight w:val="none"/>
                <w:u w:val="single"/>
              </w:rPr>
            </w:pPr>
            <w:r>
              <w:rPr>
                <w:rFonts w:hint="eastAsia" w:ascii="微软雅黑" w:hAnsi="微软雅黑" w:eastAsia="微软雅黑" w:cs="微软雅黑"/>
                <w:color w:val="auto"/>
                <w:sz w:val="22"/>
                <w:szCs w:val="22"/>
                <w:highlight w:val="none"/>
              </w:rPr>
              <w:t>地址：</w:t>
            </w:r>
            <w:r>
              <w:rPr>
                <w:rFonts w:hint="eastAsia" w:ascii="微软雅黑" w:hAnsi="微软雅黑" w:eastAsia="微软雅黑" w:cs="微软雅黑"/>
                <w:color w:val="auto"/>
                <w:sz w:val="22"/>
                <w:szCs w:val="22"/>
                <w:highlight w:val="none"/>
                <w:u w:val="single"/>
              </w:rPr>
              <w:t>喀什经济开发区深喀大道陕西大厦12楼1208室</w:t>
            </w:r>
          </w:p>
          <w:p w14:paraId="3102808F">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业务联系人：</w:t>
            </w:r>
            <w:r>
              <w:rPr>
                <w:rFonts w:hint="eastAsia" w:ascii="微软雅黑" w:hAnsi="微软雅黑" w:eastAsia="微软雅黑" w:cs="微软雅黑"/>
                <w:color w:val="auto"/>
                <w:sz w:val="22"/>
                <w:szCs w:val="22"/>
                <w:highlight w:val="none"/>
                <w:u w:val="single"/>
                <w:lang w:eastAsia="zh-CN"/>
              </w:rPr>
              <w:t>朱萍</w:t>
            </w:r>
            <w:r>
              <w:rPr>
                <w:rFonts w:hint="eastAsia" w:ascii="微软雅黑" w:hAnsi="微软雅黑" w:eastAsia="微软雅黑" w:cs="微软雅黑"/>
                <w:color w:val="auto"/>
                <w:sz w:val="22"/>
                <w:szCs w:val="22"/>
                <w:highlight w:val="none"/>
                <w:u w:val="single"/>
              </w:rPr>
              <w:t xml:space="preserve"> </w:t>
            </w:r>
            <w:r>
              <w:rPr>
                <w:rFonts w:hint="eastAsia" w:ascii="微软雅黑" w:hAnsi="微软雅黑" w:eastAsia="微软雅黑" w:cs="微软雅黑"/>
                <w:color w:val="auto"/>
                <w:sz w:val="22"/>
                <w:szCs w:val="22"/>
                <w:highlight w:val="none"/>
              </w:rPr>
              <w:t xml:space="preserve">　   联系电话： </w:t>
            </w:r>
            <w:r>
              <w:rPr>
                <w:rFonts w:hint="eastAsia" w:ascii="微软雅黑" w:hAnsi="微软雅黑" w:eastAsia="微软雅黑" w:cs="微软雅黑"/>
                <w:color w:val="auto"/>
                <w:sz w:val="22"/>
                <w:szCs w:val="22"/>
                <w:highlight w:val="none"/>
                <w:u w:val="single"/>
              </w:rPr>
              <w:t>18209987338</w:t>
            </w:r>
          </w:p>
        </w:tc>
      </w:tr>
      <w:tr w14:paraId="254BC3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trPr>
        <w:tc>
          <w:tcPr>
            <w:tcW w:w="1378" w:type="dxa"/>
            <w:vAlign w:val="center"/>
          </w:tcPr>
          <w:p w14:paraId="5B0FD32B">
            <w:pPr>
              <w:keepNext w:val="0"/>
              <w:keepLines w:val="0"/>
              <w:pageBreakBefore w:val="0"/>
              <w:kinsoku/>
              <w:wordWrap/>
              <w:overflowPunct/>
              <w:topLinePunct w:val="0"/>
              <w:autoSpaceDE/>
              <w:autoSpaceDN/>
              <w:bidi w:val="0"/>
              <w:adjustRightInd/>
              <w:snapToGrid/>
              <w:spacing w:line="360" w:lineRule="exact"/>
              <w:ind w:left="1080" w:leftChars="257" w:hanging="54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1.3.4</w:t>
            </w:r>
          </w:p>
        </w:tc>
        <w:tc>
          <w:tcPr>
            <w:tcW w:w="7882" w:type="dxa"/>
            <w:vAlign w:val="center"/>
          </w:tcPr>
          <w:p w14:paraId="5C761264">
            <w:pPr>
              <w:widowControl/>
              <w:shd w:val="clear"/>
              <w:snapToGrid w:val="0"/>
              <w:spacing w:line="470" w:lineRule="exact"/>
              <w:jc w:val="left"/>
              <w:textAlignment w:val="baseline"/>
              <w:rPr>
                <w:rFonts w:hint="eastAsia" w:ascii="微软雅黑" w:hAnsi="微软雅黑" w:eastAsia="微软雅黑" w:cs="微软雅黑"/>
                <w:b/>
                <w:bCs/>
                <w:color w:val="auto"/>
                <w:sz w:val="22"/>
                <w:szCs w:val="22"/>
                <w:highlight w:val="none"/>
                <w:lang w:eastAsia="zh-CN"/>
              </w:rPr>
            </w:pPr>
            <w:r>
              <w:rPr>
                <w:rFonts w:hint="eastAsia" w:ascii="微软雅黑" w:hAnsi="微软雅黑" w:eastAsia="微软雅黑" w:cs="微软雅黑"/>
                <w:color w:val="auto"/>
                <w:sz w:val="22"/>
                <w:szCs w:val="22"/>
                <w:highlight w:val="none"/>
              </w:rPr>
              <w:t>合格供应商的其他资格要求：</w:t>
            </w:r>
            <w:r>
              <w:rPr>
                <w:rFonts w:hint="eastAsia" w:ascii="微软雅黑" w:hAnsi="微软雅黑" w:eastAsia="微软雅黑" w:cs="微软雅黑"/>
                <w:b/>
                <w:bCs/>
                <w:color w:val="auto"/>
                <w:sz w:val="22"/>
                <w:szCs w:val="22"/>
                <w:highlight w:val="none"/>
                <w:lang w:val="en-US" w:eastAsia="zh-CN"/>
              </w:rPr>
              <w:t>（须将以下资格证明材料附在投标文件中）</w:t>
            </w:r>
          </w:p>
          <w:p w14:paraId="4CC8A043">
            <w:pPr>
              <w:keepNext w:val="0"/>
              <w:keepLines w:val="0"/>
              <w:pageBreakBefore w:val="0"/>
              <w:widowControl/>
              <w:kinsoku/>
              <w:wordWrap/>
              <w:overflowPunct/>
              <w:topLinePunct w:val="0"/>
              <w:autoSpaceDE/>
              <w:autoSpaceDN/>
              <w:bidi w:val="0"/>
              <w:adjustRightInd/>
              <w:snapToGrid/>
              <w:spacing w:before="0" w:beforeAutospacing="0" w:after="0" w:afterAutospacing="0" w:line="340" w:lineRule="exact"/>
              <w:ind w:left="0" w:leftChars="0"/>
              <w:jc w:val="left"/>
              <w:textAlignment w:val="auto"/>
              <w:rPr>
                <w:rFonts w:hint="eastAsia" w:ascii="微软雅黑" w:hAnsi="微软雅黑" w:eastAsia="微软雅黑" w:cs="微软雅黑"/>
                <w:b/>
                <w:bCs/>
                <w:i w:val="0"/>
                <w:caps w:val="0"/>
                <w:color w:val="auto"/>
                <w:spacing w:val="0"/>
                <w:w w:val="100"/>
                <w:sz w:val="22"/>
                <w:szCs w:val="22"/>
                <w:highlight w:val="none"/>
                <w:lang w:eastAsia="zh-CN"/>
              </w:rPr>
            </w:pPr>
            <w:r>
              <w:rPr>
                <w:rFonts w:hint="eastAsia" w:ascii="微软雅黑" w:hAnsi="微软雅黑" w:eastAsia="微软雅黑" w:cs="微软雅黑"/>
                <w:b/>
                <w:bCs/>
                <w:i w:val="0"/>
                <w:caps w:val="0"/>
                <w:color w:val="auto"/>
                <w:spacing w:val="0"/>
                <w:w w:val="100"/>
                <w:sz w:val="22"/>
                <w:szCs w:val="22"/>
                <w:highlight w:val="none"/>
              </w:rPr>
              <w:t>1、</w:t>
            </w:r>
            <w:r>
              <w:rPr>
                <w:rFonts w:hint="eastAsia" w:ascii="微软雅黑" w:hAnsi="微软雅黑" w:eastAsia="微软雅黑" w:cs="微软雅黑"/>
                <w:b/>
                <w:bCs/>
                <w:i w:val="0"/>
                <w:caps w:val="0"/>
                <w:color w:val="auto"/>
                <w:spacing w:val="0"/>
                <w:w w:val="100"/>
                <w:sz w:val="22"/>
                <w:szCs w:val="22"/>
                <w:highlight w:val="none"/>
                <w:lang w:eastAsia="zh-CN"/>
              </w:rPr>
              <w:t>具有有效的营业执照；</w:t>
            </w:r>
          </w:p>
          <w:p w14:paraId="24FA73A5">
            <w:pPr>
              <w:keepNext w:val="0"/>
              <w:keepLines w:val="0"/>
              <w:pageBreakBefore w:val="0"/>
              <w:widowControl/>
              <w:kinsoku/>
              <w:wordWrap/>
              <w:overflowPunct/>
              <w:topLinePunct w:val="0"/>
              <w:autoSpaceDE/>
              <w:autoSpaceDN/>
              <w:bidi w:val="0"/>
              <w:adjustRightInd/>
              <w:snapToGrid/>
              <w:spacing w:before="0" w:beforeAutospacing="0" w:after="0" w:afterAutospacing="0" w:line="340" w:lineRule="exact"/>
              <w:ind w:left="0" w:leftChars="0"/>
              <w:jc w:val="left"/>
              <w:textAlignment w:val="auto"/>
              <w:rPr>
                <w:rFonts w:hint="eastAsia" w:ascii="微软雅黑" w:hAnsi="微软雅黑" w:eastAsia="微软雅黑" w:cs="微软雅黑"/>
                <w:b/>
                <w:bCs/>
                <w:i w:val="0"/>
                <w:caps w:val="0"/>
                <w:color w:val="auto"/>
                <w:spacing w:val="0"/>
                <w:w w:val="100"/>
                <w:sz w:val="22"/>
                <w:szCs w:val="22"/>
                <w:highlight w:val="none"/>
                <w:lang w:eastAsia="zh-CN"/>
              </w:rPr>
            </w:pPr>
            <w:r>
              <w:rPr>
                <w:rFonts w:hint="eastAsia" w:ascii="微软雅黑" w:hAnsi="微软雅黑" w:eastAsia="微软雅黑" w:cs="微软雅黑"/>
                <w:b/>
                <w:bCs/>
                <w:i w:val="0"/>
                <w:caps w:val="0"/>
                <w:color w:val="auto"/>
                <w:spacing w:val="0"/>
                <w:w w:val="100"/>
                <w:sz w:val="22"/>
                <w:szCs w:val="22"/>
                <w:highlight w:val="none"/>
              </w:rPr>
              <w:t>2、</w:t>
            </w:r>
            <w:r>
              <w:rPr>
                <w:rFonts w:hint="eastAsia" w:ascii="微软雅黑" w:hAnsi="微软雅黑" w:eastAsia="微软雅黑" w:cs="微软雅黑"/>
                <w:b/>
                <w:bCs/>
                <w:i w:val="0"/>
                <w:caps w:val="0"/>
                <w:color w:val="auto"/>
                <w:spacing w:val="0"/>
                <w:w w:val="100"/>
                <w:sz w:val="22"/>
                <w:szCs w:val="22"/>
                <w:highlight w:val="none"/>
                <w:lang w:eastAsia="zh-CN"/>
              </w:rPr>
              <w:t>法定代表人本人投标需提供法定代表人身份证及法定代表人资格证明书;授权委托人投标需提供法定代表人授权委托书、法定代表人身份证及被授权委托人身份证；</w:t>
            </w:r>
          </w:p>
          <w:p w14:paraId="4E9B64A4">
            <w:pPr>
              <w:pStyle w:val="25"/>
              <w:ind w:firstLine="220" w:firstLineChars="100"/>
              <w:outlineLvl w:val="1"/>
              <w:rPr>
                <w:rFonts w:hint="eastAsia" w:ascii="微软雅黑" w:hAnsi="微软雅黑" w:eastAsia="微软雅黑" w:cs="微软雅黑"/>
                <w:b/>
                <w:bCs/>
                <w:i w:val="0"/>
                <w:caps w:val="0"/>
                <w:color w:val="auto"/>
                <w:spacing w:val="0"/>
                <w:w w:val="100"/>
                <w:sz w:val="22"/>
                <w:szCs w:val="22"/>
                <w:highlight w:val="none"/>
                <w:lang w:val="en-US" w:eastAsia="zh-CN"/>
              </w:rPr>
            </w:pPr>
            <w:r>
              <w:rPr>
                <w:rFonts w:hint="eastAsia" w:ascii="微软雅黑" w:hAnsi="微软雅黑" w:eastAsia="微软雅黑" w:cs="微软雅黑"/>
                <w:b/>
                <w:bCs/>
                <w:i w:val="0"/>
                <w:caps w:val="0"/>
                <w:color w:val="auto"/>
                <w:spacing w:val="0"/>
                <w:w w:val="100"/>
                <w:sz w:val="22"/>
                <w:szCs w:val="22"/>
                <w:highlight w:val="none"/>
              </w:rPr>
              <w:t>3</w:t>
            </w:r>
            <w:r>
              <w:rPr>
                <w:rFonts w:hint="eastAsia" w:ascii="微软雅黑" w:hAnsi="微软雅黑" w:eastAsia="微软雅黑" w:cs="微软雅黑"/>
                <w:b/>
                <w:bCs/>
                <w:i w:val="0"/>
                <w:caps w:val="0"/>
                <w:color w:val="auto"/>
                <w:spacing w:val="0"/>
                <w:w w:val="100"/>
                <w:sz w:val="22"/>
                <w:szCs w:val="22"/>
                <w:highlight w:val="none"/>
                <w:lang w:eastAsia="zh-CN"/>
              </w:rPr>
              <w:t>、</w:t>
            </w:r>
            <w:r>
              <w:rPr>
                <w:rFonts w:hint="eastAsia" w:ascii="微软雅黑" w:hAnsi="微软雅黑" w:eastAsia="微软雅黑" w:cs="微软雅黑"/>
                <w:b/>
                <w:color w:val="auto"/>
                <w:kern w:val="0"/>
                <w:sz w:val="22"/>
                <w:szCs w:val="22"/>
                <w:highlight w:val="none"/>
                <w:lang w:val="en-US" w:eastAsia="zh-CN" w:bidi="ar-SA"/>
              </w:rPr>
              <w:t>【</w:t>
            </w:r>
            <w:r>
              <w:rPr>
                <w:rFonts w:hint="eastAsia" w:ascii="微软雅黑" w:hAnsi="微软雅黑" w:eastAsia="微软雅黑" w:cs="微软雅黑"/>
                <w:b/>
                <w:bCs/>
                <w:i w:val="0"/>
                <w:caps w:val="0"/>
                <w:color w:val="auto"/>
                <w:spacing w:val="0"/>
                <w:w w:val="100"/>
                <w:sz w:val="22"/>
                <w:szCs w:val="22"/>
                <w:highlight w:val="none"/>
                <w:lang w:val="en-US" w:eastAsia="zh-CN"/>
              </w:rPr>
              <w:t>标项一、二、三】：投标人是生产企业的须具备《药品生产许可证》（中药饮片）、投标人为经营企业或代理公司的须提供《药品经营许可证》（中药饮片）；所有证件均应在有效期内。所投产品中含有毒性饮片的，《药品生产许可证》内须含有医疗用毒性药品（中药饮片）；《药品经营许可证》内须含有医疗用毒性药品（中药饮片）。所投产品中含麻黄的，还须投标人提供有效的《麻黄草收购许可证》或相关批准文件，所有证件均应在有效期内</w:t>
            </w:r>
          </w:p>
          <w:p w14:paraId="55949914">
            <w:pPr>
              <w:pStyle w:val="25"/>
              <w:ind w:firstLine="220" w:firstLineChars="100"/>
              <w:outlineLvl w:val="1"/>
              <w:rPr>
                <w:rFonts w:hint="eastAsia" w:ascii="微软雅黑" w:hAnsi="微软雅黑" w:eastAsia="微软雅黑" w:cs="微软雅黑"/>
                <w:b/>
                <w:bCs/>
                <w:i w:val="0"/>
                <w:caps w:val="0"/>
                <w:color w:val="auto"/>
                <w:spacing w:val="0"/>
                <w:w w:val="100"/>
                <w:sz w:val="22"/>
                <w:szCs w:val="22"/>
                <w:highlight w:val="none"/>
                <w:lang w:eastAsia="zh-CN"/>
              </w:rPr>
            </w:pPr>
            <w:r>
              <w:rPr>
                <w:rFonts w:hint="eastAsia" w:ascii="微软雅黑" w:hAnsi="微软雅黑" w:eastAsia="微软雅黑" w:cs="微软雅黑"/>
                <w:b/>
                <w:bCs/>
                <w:i w:val="0"/>
                <w:caps w:val="0"/>
                <w:color w:val="auto"/>
                <w:spacing w:val="0"/>
                <w:w w:val="100"/>
                <w:sz w:val="22"/>
                <w:szCs w:val="22"/>
                <w:highlight w:val="none"/>
                <w:lang w:val="en-US" w:eastAsia="zh-CN"/>
              </w:rPr>
              <w:t>【标项四】：投标人须提供符合国家药用标准且在国家药品监督管理局药品审评中心备案结果为“A”的药包材或提供《药品包装材料和容器注册证》（所有证件均应在有效期内）。</w:t>
            </w:r>
          </w:p>
          <w:p w14:paraId="72874B0F">
            <w:pPr>
              <w:keepNext w:val="0"/>
              <w:keepLines w:val="0"/>
              <w:pageBreakBefore w:val="0"/>
              <w:widowControl/>
              <w:kinsoku/>
              <w:wordWrap/>
              <w:overflowPunct/>
              <w:topLinePunct w:val="0"/>
              <w:autoSpaceDE/>
              <w:autoSpaceDN/>
              <w:bidi w:val="0"/>
              <w:adjustRightInd/>
              <w:snapToGrid/>
              <w:spacing w:before="0" w:beforeAutospacing="0" w:after="0" w:afterAutospacing="0" w:line="340" w:lineRule="exact"/>
              <w:ind w:left="0" w:leftChars="0"/>
              <w:jc w:val="left"/>
              <w:textAlignment w:val="auto"/>
              <w:rPr>
                <w:rFonts w:hint="eastAsia" w:ascii="微软雅黑" w:hAnsi="微软雅黑" w:eastAsia="微软雅黑" w:cs="微软雅黑"/>
                <w:b/>
                <w:bCs/>
                <w:i w:val="0"/>
                <w:caps w:val="0"/>
                <w:color w:val="auto"/>
                <w:spacing w:val="0"/>
                <w:w w:val="100"/>
                <w:sz w:val="22"/>
                <w:szCs w:val="22"/>
                <w:highlight w:val="none"/>
                <w:lang w:eastAsia="zh-CN"/>
              </w:rPr>
            </w:pPr>
            <w:r>
              <w:rPr>
                <w:rFonts w:hint="eastAsia" w:ascii="微软雅黑" w:hAnsi="微软雅黑" w:eastAsia="微软雅黑" w:cs="微软雅黑"/>
                <w:b/>
                <w:bCs/>
                <w:i w:val="0"/>
                <w:caps w:val="0"/>
                <w:color w:val="auto"/>
                <w:spacing w:val="0"/>
                <w:w w:val="100"/>
                <w:sz w:val="22"/>
                <w:szCs w:val="22"/>
                <w:highlight w:val="none"/>
              </w:rPr>
              <w:t>4</w:t>
            </w:r>
            <w:r>
              <w:rPr>
                <w:rFonts w:hint="eastAsia" w:ascii="微软雅黑" w:hAnsi="微软雅黑" w:eastAsia="微软雅黑" w:cs="微软雅黑"/>
                <w:b/>
                <w:bCs/>
                <w:i w:val="0"/>
                <w:caps w:val="0"/>
                <w:color w:val="auto"/>
                <w:spacing w:val="0"/>
                <w:w w:val="100"/>
                <w:sz w:val="22"/>
                <w:szCs w:val="22"/>
                <w:highlight w:val="none"/>
                <w:lang w:eastAsia="zh-CN"/>
              </w:rPr>
              <w:t>、提供2024年或2025年任意一年的财务审计报告，成立未满12个月的新公司可提供近三个月内任意一个月的银行资信证明；</w:t>
            </w:r>
          </w:p>
          <w:p w14:paraId="4C28486D">
            <w:pPr>
              <w:keepNext w:val="0"/>
              <w:keepLines w:val="0"/>
              <w:pageBreakBefore w:val="0"/>
              <w:widowControl/>
              <w:kinsoku/>
              <w:wordWrap/>
              <w:overflowPunct/>
              <w:topLinePunct w:val="0"/>
              <w:autoSpaceDE/>
              <w:autoSpaceDN/>
              <w:bidi w:val="0"/>
              <w:adjustRightInd/>
              <w:snapToGrid/>
              <w:spacing w:before="0" w:beforeAutospacing="0" w:after="0" w:afterAutospacing="0" w:line="340" w:lineRule="exact"/>
              <w:ind w:left="0" w:leftChars="0"/>
              <w:jc w:val="left"/>
              <w:textAlignment w:val="auto"/>
              <w:rPr>
                <w:rFonts w:hint="eastAsia" w:ascii="微软雅黑" w:hAnsi="微软雅黑" w:eastAsia="微软雅黑" w:cs="微软雅黑"/>
                <w:b/>
                <w:bCs/>
                <w:i w:val="0"/>
                <w:caps w:val="0"/>
                <w:color w:val="auto"/>
                <w:spacing w:val="0"/>
                <w:w w:val="100"/>
                <w:sz w:val="22"/>
                <w:szCs w:val="22"/>
                <w:highlight w:val="none"/>
              </w:rPr>
            </w:pPr>
            <w:r>
              <w:rPr>
                <w:rFonts w:hint="eastAsia" w:ascii="微软雅黑" w:hAnsi="微软雅黑" w:eastAsia="微软雅黑" w:cs="微软雅黑"/>
                <w:b/>
                <w:bCs/>
                <w:i w:val="0"/>
                <w:caps w:val="0"/>
                <w:color w:val="auto"/>
                <w:spacing w:val="0"/>
                <w:w w:val="100"/>
                <w:sz w:val="22"/>
                <w:szCs w:val="22"/>
                <w:highlight w:val="none"/>
                <w:lang w:val="en-US" w:eastAsia="zh-CN"/>
              </w:rPr>
              <w:t>5</w:t>
            </w:r>
            <w:r>
              <w:rPr>
                <w:rFonts w:hint="eastAsia" w:ascii="微软雅黑" w:hAnsi="微软雅黑" w:eastAsia="微软雅黑" w:cs="微软雅黑"/>
                <w:b/>
                <w:bCs/>
                <w:i w:val="0"/>
                <w:caps w:val="0"/>
                <w:color w:val="auto"/>
                <w:spacing w:val="0"/>
                <w:w w:val="100"/>
                <w:sz w:val="22"/>
                <w:szCs w:val="22"/>
                <w:highlight w:val="none"/>
              </w:rPr>
              <w:t>、提供依法缴纳近6个月任意1个月社会保险的证明；</w:t>
            </w:r>
          </w:p>
          <w:p w14:paraId="4442DC9C">
            <w:pPr>
              <w:keepNext w:val="0"/>
              <w:keepLines w:val="0"/>
              <w:pageBreakBefore w:val="0"/>
              <w:widowControl/>
              <w:kinsoku/>
              <w:wordWrap w:val="0"/>
              <w:overflowPunct/>
              <w:topLinePunct w:val="0"/>
              <w:autoSpaceDE/>
              <w:autoSpaceDN/>
              <w:bidi w:val="0"/>
              <w:adjustRightInd/>
              <w:snapToGrid/>
              <w:spacing w:before="0" w:beforeAutospacing="0" w:after="0" w:afterAutospacing="0" w:line="340" w:lineRule="exact"/>
              <w:ind w:left="0" w:leftChars="0"/>
              <w:jc w:val="left"/>
              <w:textAlignment w:val="auto"/>
              <w:rPr>
                <w:rFonts w:hint="eastAsia" w:ascii="微软雅黑" w:hAnsi="微软雅黑" w:eastAsia="微软雅黑" w:cs="微软雅黑"/>
                <w:b/>
                <w:bCs/>
                <w:i w:val="0"/>
                <w:caps w:val="0"/>
                <w:color w:val="auto"/>
                <w:spacing w:val="0"/>
                <w:w w:val="100"/>
                <w:sz w:val="22"/>
                <w:szCs w:val="22"/>
                <w:highlight w:val="none"/>
              </w:rPr>
            </w:pPr>
            <w:r>
              <w:rPr>
                <w:rFonts w:hint="eastAsia" w:ascii="微软雅黑" w:hAnsi="微软雅黑" w:eastAsia="微软雅黑" w:cs="微软雅黑"/>
                <w:b/>
                <w:bCs/>
                <w:i w:val="0"/>
                <w:caps w:val="0"/>
                <w:color w:val="auto"/>
                <w:spacing w:val="0"/>
                <w:w w:val="100"/>
                <w:sz w:val="22"/>
                <w:szCs w:val="22"/>
                <w:highlight w:val="none"/>
                <w:lang w:val="en-US" w:eastAsia="zh-CN"/>
              </w:rPr>
              <w:t>6</w:t>
            </w:r>
            <w:r>
              <w:rPr>
                <w:rFonts w:hint="eastAsia" w:ascii="微软雅黑" w:hAnsi="微软雅黑" w:eastAsia="微软雅黑" w:cs="微软雅黑"/>
                <w:b/>
                <w:bCs/>
                <w:i w:val="0"/>
                <w:caps w:val="0"/>
                <w:color w:val="auto"/>
                <w:spacing w:val="0"/>
                <w:w w:val="100"/>
                <w:sz w:val="22"/>
                <w:szCs w:val="22"/>
                <w:highlight w:val="none"/>
              </w:rPr>
              <w:t>、提供依法缴纳近6个月任意1个月的税收证明；</w:t>
            </w:r>
          </w:p>
          <w:p w14:paraId="150BA2A5">
            <w:pPr>
              <w:keepNext w:val="0"/>
              <w:keepLines w:val="0"/>
              <w:pageBreakBefore w:val="0"/>
              <w:widowControl/>
              <w:kinsoku/>
              <w:wordWrap w:val="0"/>
              <w:overflowPunct/>
              <w:topLinePunct w:val="0"/>
              <w:autoSpaceDE/>
              <w:autoSpaceDN/>
              <w:bidi w:val="0"/>
              <w:adjustRightInd/>
              <w:snapToGrid/>
              <w:spacing w:before="0" w:beforeAutospacing="0" w:after="0" w:afterAutospacing="0" w:line="340" w:lineRule="exact"/>
              <w:ind w:left="0" w:leftChars="0"/>
              <w:jc w:val="left"/>
              <w:textAlignment w:val="auto"/>
              <w:rPr>
                <w:rFonts w:hint="eastAsia" w:ascii="微软雅黑" w:hAnsi="微软雅黑" w:eastAsia="微软雅黑" w:cs="微软雅黑"/>
                <w:b/>
                <w:bCs/>
                <w:i w:val="0"/>
                <w:caps w:val="0"/>
                <w:color w:val="auto"/>
                <w:spacing w:val="0"/>
                <w:w w:val="100"/>
                <w:sz w:val="22"/>
                <w:szCs w:val="22"/>
                <w:highlight w:val="none"/>
                <w:lang w:val="en-US" w:eastAsia="zh-CN"/>
              </w:rPr>
            </w:pPr>
            <w:r>
              <w:rPr>
                <w:rFonts w:hint="eastAsia" w:ascii="微软雅黑" w:hAnsi="微软雅黑" w:eastAsia="微软雅黑" w:cs="微软雅黑"/>
                <w:b/>
                <w:bCs/>
                <w:i w:val="0"/>
                <w:caps w:val="0"/>
                <w:color w:val="auto"/>
                <w:spacing w:val="0"/>
                <w:w w:val="100"/>
                <w:sz w:val="22"/>
                <w:szCs w:val="22"/>
                <w:highlight w:val="none"/>
                <w:lang w:val="en-US" w:eastAsia="zh-CN"/>
              </w:rPr>
              <w:t>7</w:t>
            </w:r>
            <w:r>
              <w:rPr>
                <w:rFonts w:hint="eastAsia" w:ascii="微软雅黑" w:hAnsi="微软雅黑" w:eastAsia="微软雅黑" w:cs="微软雅黑"/>
                <w:b/>
                <w:bCs/>
                <w:i w:val="0"/>
                <w:caps w:val="0"/>
                <w:color w:val="auto"/>
                <w:spacing w:val="0"/>
                <w:w w:val="100"/>
                <w:sz w:val="22"/>
                <w:szCs w:val="22"/>
                <w:highlight w:val="none"/>
              </w:rPr>
              <w:t>、</w:t>
            </w:r>
            <w:r>
              <w:rPr>
                <w:rFonts w:hint="eastAsia" w:ascii="微软雅黑" w:hAnsi="微软雅黑" w:eastAsia="微软雅黑" w:cs="微软雅黑"/>
                <w:b/>
                <w:bCs/>
                <w:i w:val="0"/>
                <w:caps w:val="0"/>
                <w:color w:val="auto"/>
                <w:spacing w:val="0"/>
                <w:w w:val="100"/>
                <w:sz w:val="22"/>
                <w:szCs w:val="22"/>
                <w:highlight w:val="none"/>
                <w:lang w:val="en-US" w:eastAsia="zh-CN"/>
              </w:rPr>
              <w:t>根据《财政部关于在政府采购活动中查询及使用信用记录有关问题的通知》（财库﹝2016﹞125号）的要求，凡拟参加本次招标项目的供应商，如在“信用中国（https://www.creditchina.gov.cn/）”被列入严重失信主体名单、重大税收违法失信主体名单（首页-信用公示-严重失信主体名单查询/重大税收违法失信主体名单-搜索栏输入单位全称）、“中国政府采购网（https://www.ccgp.gov.cn/search/cr/）”严重违法失信行为信息记录名单（尚在处罚期内的）、“国家企业信用信息公示系统（https://www.gsxt.gov.cn/）”列入经营异常名录信息、严重违法失信名单（黑名单）信息的，将拒绝其参加本次招标活动（以代理机构或采购人查询为准）</w:t>
            </w:r>
          </w:p>
          <w:p w14:paraId="39742C23">
            <w:pPr>
              <w:keepNext w:val="0"/>
              <w:keepLines w:val="0"/>
              <w:pageBreakBefore w:val="0"/>
              <w:widowControl/>
              <w:kinsoku/>
              <w:wordWrap w:val="0"/>
              <w:overflowPunct/>
              <w:topLinePunct w:val="0"/>
              <w:autoSpaceDE/>
              <w:autoSpaceDN/>
              <w:bidi w:val="0"/>
              <w:adjustRightInd/>
              <w:snapToGrid/>
              <w:spacing w:before="0" w:beforeAutospacing="0" w:after="0" w:afterAutospacing="0" w:line="340" w:lineRule="exact"/>
              <w:ind w:left="0" w:leftChars="0"/>
              <w:jc w:val="left"/>
              <w:textAlignment w:val="auto"/>
              <w:rPr>
                <w:rFonts w:hint="eastAsia" w:ascii="微软雅黑" w:hAnsi="微软雅黑" w:eastAsia="微软雅黑" w:cs="微软雅黑"/>
                <w:b/>
                <w:bCs/>
                <w:i w:val="0"/>
                <w:caps w:val="0"/>
                <w:color w:val="auto"/>
                <w:spacing w:val="0"/>
                <w:w w:val="100"/>
                <w:sz w:val="22"/>
                <w:szCs w:val="22"/>
                <w:highlight w:val="none"/>
              </w:rPr>
            </w:pPr>
            <w:r>
              <w:rPr>
                <w:rFonts w:hint="eastAsia" w:ascii="微软雅黑" w:hAnsi="微软雅黑" w:eastAsia="微软雅黑" w:cs="微软雅黑"/>
                <w:b/>
                <w:bCs/>
                <w:i w:val="0"/>
                <w:caps w:val="0"/>
                <w:color w:val="auto"/>
                <w:spacing w:val="0"/>
                <w:w w:val="100"/>
                <w:sz w:val="22"/>
                <w:szCs w:val="22"/>
                <w:highlight w:val="none"/>
                <w:lang w:val="en-US" w:eastAsia="zh-CN"/>
              </w:rPr>
              <w:t>8</w:t>
            </w:r>
            <w:r>
              <w:rPr>
                <w:rFonts w:hint="eastAsia" w:ascii="微软雅黑" w:hAnsi="微软雅黑" w:eastAsia="微软雅黑" w:cs="微软雅黑"/>
                <w:b/>
                <w:bCs/>
                <w:i w:val="0"/>
                <w:caps w:val="0"/>
                <w:color w:val="auto"/>
                <w:spacing w:val="0"/>
                <w:w w:val="100"/>
                <w:sz w:val="22"/>
                <w:szCs w:val="22"/>
                <w:highlight w:val="none"/>
              </w:rPr>
              <w:t>、</w:t>
            </w:r>
            <w:r>
              <w:rPr>
                <w:rFonts w:hint="eastAsia" w:ascii="微软雅黑" w:hAnsi="微软雅黑" w:eastAsia="微软雅黑" w:cs="微软雅黑"/>
                <w:b/>
                <w:bCs/>
                <w:i w:val="0"/>
                <w:caps w:val="0"/>
                <w:color w:val="auto"/>
                <w:spacing w:val="0"/>
                <w:w w:val="100"/>
                <w:sz w:val="22"/>
                <w:szCs w:val="22"/>
                <w:highlight w:val="none"/>
                <w:lang w:eastAsia="zh-CN"/>
              </w:rPr>
              <w:t>提供参加政府采购活动前3年内在经营活动中没有重大违法记录的书面声明函</w:t>
            </w:r>
            <w:r>
              <w:rPr>
                <w:rFonts w:hint="eastAsia" w:ascii="微软雅黑" w:hAnsi="微软雅黑" w:eastAsia="微软雅黑" w:cs="微软雅黑"/>
                <w:b/>
                <w:bCs/>
                <w:i w:val="0"/>
                <w:caps w:val="0"/>
                <w:color w:val="auto"/>
                <w:spacing w:val="0"/>
                <w:w w:val="100"/>
                <w:sz w:val="22"/>
                <w:szCs w:val="22"/>
                <w:highlight w:val="none"/>
              </w:rPr>
              <w:t>；</w:t>
            </w:r>
          </w:p>
          <w:p w14:paraId="250B50F1">
            <w:pPr>
              <w:keepNext w:val="0"/>
              <w:keepLines w:val="0"/>
              <w:pageBreakBefore w:val="0"/>
              <w:widowControl/>
              <w:kinsoku/>
              <w:wordWrap w:val="0"/>
              <w:overflowPunct/>
              <w:topLinePunct w:val="0"/>
              <w:autoSpaceDE/>
              <w:autoSpaceDN/>
              <w:bidi w:val="0"/>
              <w:adjustRightInd/>
              <w:snapToGrid/>
              <w:spacing w:before="0" w:beforeAutospacing="0" w:after="0" w:afterAutospacing="0" w:line="340" w:lineRule="exact"/>
              <w:ind w:left="0" w:leftChars="0"/>
              <w:jc w:val="left"/>
              <w:textAlignment w:val="auto"/>
              <w:rPr>
                <w:rFonts w:hint="eastAsia" w:ascii="微软雅黑" w:hAnsi="微软雅黑" w:eastAsia="微软雅黑" w:cs="微软雅黑"/>
                <w:b/>
                <w:bCs/>
                <w:i w:val="0"/>
                <w:caps w:val="0"/>
                <w:color w:val="auto"/>
                <w:spacing w:val="0"/>
                <w:w w:val="100"/>
                <w:sz w:val="22"/>
                <w:szCs w:val="22"/>
                <w:highlight w:val="none"/>
                <w:lang w:val="en-US" w:eastAsia="zh-CN"/>
              </w:rPr>
            </w:pPr>
            <w:r>
              <w:rPr>
                <w:rFonts w:hint="eastAsia" w:ascii="微软雅黑" w:hAnsi="微软雅黑" w:eastAsia="微软雅黑" w:cs="微软雅黑"/>
                <w:b/>
                <w:bCs/>
                <w:i w:val="0"/>
                <w:caps w:val="0"/>
                <w:color w:val="auto"/>
                <w:spacing w:val="0"/>
                <w:w w:val="100"/>
                <w:sz w:val="22"/>
                <w:szCs w:val="22"/>
                <w:highlight w:val="none"/>
                <w:lang w:val="en-US" w:eastAsia="zh-CN"/>
              </w:rPr>
              <w:t>9、缴纳投标保证金有效凭证；</w:t>
            </w:r>
          </w:p>
          <w:p w14:paraId="7797FA81">
            <w:pPr>
              <w:keepNext w:val="0"/>
              <w:keepLines w:val="0"/>
              <w:pageBreakBefore w:val="0"/>
              <w:widowControl/>
              <w:kinsoku/>
              <w:wordWrap w:val="0"/>
              <w:overflowPunct/>
              <w:topLinePunct w:val="0"/>
              <w:autoSpaceDE/>
              <w:autoSpaceDN/>
              <w:bidi w:val="0"/>
              <w:adjustRightInd/>
              <w:snapToGrid/>
              <w:spacing w:before="0" w:beforeAutospacing="0" w:after="0" w:afterAutospacing="0" w:line="340" w:lineRule="exact"/>
              <w:ind w:left="0" w:leftChars="0"/>
              <w:jc w:val="left"/>
              <w:textAlignment w:val="auto"/>
              <w:rPr>
                <w:rFonts w:hint="default" w:ascii="微软雅黑" w:hAnsi="微软雅黑" w:eastAsia="微软雅黑" w:cs="微软雅黑"/>
                <w:b/>
                <w:bCs/>
                <w:i w:val="0"/>
                <w:caps w:val="0"/>
                <w:color w:val="auto"/>
                <w:spacing w:val="0"/>
                <w:w w:val="100"/>
                <w:sz w:val="22"/>
                <w:szCs w:val="22"/>
                <w:highlight w:val="none"/>
                <w:lang w:val="en-US" w:eastAsia="zh-CN"/>
              </w:rPr>
            </w:pPr>
            <w:r>
              <w:rPr>
                <w:rFonts w:hint="eastAsia" w:ascii="微软雅黑" w:hAnsi="微软雅黑" w:eastAsia="微软雅黑" w:cs="微软雅黑"/>
                <w:b/>
                <w:bCs/>
                <w:i w:val="0"/>
                <w:caps w:val="0"/>
                <w:color w:val="auto"/>
                <w:spacing w:val="0"/>
                <w:w w:val="100"/>
                <w:sz w:val="22"/>
                <w:szCs w:val="22"/>
                <w:highlight w:val="none"/>
                <w:lang w:val="en-US" w:eastAsia="zh-CN"/>
              </w:rPr>
              <w:t>10、提供中小企业声明函。</w:t>
            </w:r>
          </w:p>
          <w:p w14:paraId="2A6FA54D">
            <w:pPr>
              <w:keepNext w:val="0"/>
              <w:keepLines w:val="0"/>
              <w:pageBreakBefore w:val="0"/>
              <w:widowControl/>
              <w:kinsoku/>
              <w:wordWrap w:val="0"/>
              <w:overflowPunct/>
              <w:topLinePunct w:val="0"/>
              <w:autoSpaceDE/>
              <w:autoSpaceDN/>
              <w:bidi w:val="0"/>
              <w:adjustRightInd/>
              <w:snapToGrid/>
              <w:spacing w:before="0" w:beforeAutospacing="0" w:after="0" w:afterAutospacing="0" w:line="340" w:lineRule="exact"/>
              <w:ind w:left="0" w:leftChars="0"/>
              <w:jc w:val="left"/>
              <w:textAlignment w:val="auto"/>
              <w:rPr>
                <w:rFonts w:hint="eastAsia" w:ascii="微软雅黑" w:hAnsi="微软雅黑" w:eastAsia="微软雅黑" w:cs="微软雅黑"/>
                <w:color w:val="auto"/>
                <w:sz w:val="22"/>
                <w:szCs w:val="22"/>
                <w:highlight w:val="none"/>
              </w:rPr>
            </w:pPr>
            <w:bookmarkStart w:id="1667" w:name="_Toc29044"/>
            <w:bookmarkStart w:id="1668" w:name="_Toc31793"/>
            <w:bookmarkStart w:id="1669" w:name="_Toc15272"/>
            <w:bookmarkStart w:id="1670" w:name="_Toc29669"/>
            <w:bookmarkStart w:id="1671" w:name="_Toc4220"/>
            <w:bookmarkStart w:id="1672" w:name="_Toc13895"/>
            <w:r>
              <w:rPr>
                <w:rFonts w:hint="eastAsia" w:ascii="微软雅黑" w:hAnsi="微软雅黑" w:eastAsia="微软雅黑" w:cs="微软雅黑"/>
                <w:b/>
                <w:bCs/>
                <w:i w:val="0"/>
                <w:caps w:val="0"/>
                <w:color w:val="auto"/>
                <w:spacing w:val="0"/>
                <w:w w:val="100"/>
                <w:sz w:val="22"/>
                <w:szCs w:val="22"/>
                <w:highlight w:val="none"/>
                <w:lang w:val="en-US" w:eastAsia="zh-CN"/>
              </w:rPr>
              <w:t>各供应商应注意以下事项：①本项目要求各投标供应商提供“提供依法缴纳近6个月中任意1个月的税收证明”，若供应商某月税收为零申报，须提供加盖税务局公章的无欠税证明或申报成功网页截图（供应商可自主登录“国家税务总局电子税务局”12366.chinatax.gov.cn/bsfw/onlinetaxation/main——税费申报及缴纳——申报结果查询）。②税务局代收的社保缴费证明不可作为本项目的税收证明（“税种”不可为养老保险、医疗保险、失业保险、工伤保险和生育保险）</w:t>
            </w:r>
            <w:bookmarkEnd w:id="1667"/>
            <w:bookmarkEnd w:id="1668"/>
            <w:bookmarkEnd w:id="1669"/>
            <w:bookmarkEnd w:id="1670"/>
            <w:bookmarkEnd w:id="1671"/>
            <w:bookmarkEnd w:id="1672"/>
          </w:p>
        </w:tc>
      </w:tr>
      <w:tr w14:paraId="4CE0E3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82" w:hRule="atLeast"/>
        </w:trPr>
        <w:tc>
          <w:tcPr>
            <w:tcW w:w="1378" w:type="dxa"/>
            <w:vAlign w:val="center"/>
          </w:tcPr>
          <w:p w14:paraId="4FB7EC8B">
            <w:pPr>
              <w:keepNext w:val="0"/>
              <w:keepLines w:val="0"/>
              <w:pageBreakBefore w:val="0"/>
              <w:kinsoku/>
              <w:wordWrap/>
              <w:overflowPunct/>
              <w:topLinePunct w:val="0"/>
              <w:autoSpaceDE/>
              <w:autoSpaceDN/>
              <w:bidi w:val="0"/>
              <w:adjustRightInd/>
              <w:snapToGrid/>
              <w:spacing w:line="360" w:lineRule="exact"/>
              <w:ind w:left="1080" w:leftChars="257" w:hanging="540" w:firstLineChars="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b w:val="0"/>
                <w:bCs w:val="0"/>
                <w:color w:val="auto"/>
                <w:sz w:val="22"/>
                <w:szCs w:val="22"/>
                <w:highlight w:val="none"/>
              </w:rPr>
              <w:t xml:space="preserve">1.3.5   </w:t>
            </w:r>
          </w:p>
        </w:tc>
        <w:tc>
          <w:tcPr>
            <w:tcW w:w="7882" w:type="dxa"/>
            <w:vAlign w:val="center"/>
          </w:tcPr>
          <w:p w14:paraId="3382D947">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sz w:val="20"/>
                <w:szCs w:val="22"/>
                <w:highlight w:val="none"/>
                <w:lang w:val="en-US" w:eastAsia="zh-CN"/>
              </w:rPr>
            </w:pPr>
            <w:r>
              <w:rPr>
                <w:rFonts w:hint="eastAsia" w:ascii="微软雅黑" w:hAnsi="微软雅黑" w:eastAsia="微软雅黑" w:cs="微软雅黑"/>
                <w:color w:val="auto"/>
                <w:sz w:val="22"/>
                <w:szCs w:val="22"/>
                <w:highlight w:val="none"/>
              </w:rPr>
              <w:t>是否允许采购进口产品</w:t>
            </w:r>
            <w:r>
              <w:rPr>
                <w:rFonts w:hint="eastAsia" w:ascii="微软雅黑" w:hAnsi="微软雅黑" w:eastAsia="微软雅黑" w:cs="微软雅黑"/>
                <w:color w:val="auto"/>
                <w:sz w:val="22"/>
                <w:szCs w:val="22"/>
                <w:highlight w:val="none"/>
                <w:lang w:eastAsia="zh-CN"/>
              </w:rPr>
              <w:t>：</w:t>
            </w:r>
            <w:r>
              <w:rPr>
                <w:rFonts w:hint="eastAsia" w:ascii="微软雅黑" w:hAnsi="微软雅黑" w:eastAsia="微软雅黑" w:cs="微软雅黑"/>
                <w:color w:val="auto"/>
                <w:sz w:val="22"/>
                <w:szCs w:val="22"/>
                <w:highlight w:val="none"/>
                <w:u w:val="none"/>
                <w:lang w:val="en-US" w:eastAsia="zh-CN"/>
              </w:rPr>
              <w:t>否</w:t>
            </w:r>
            <w:r>
              <w:rPr>
                <w:rFonts w:hint="eastAsia" w:ascii="微软雅黑" w:hAnsi="微软雅黑" w:eastAsia="微软雅黑" w:cs="微软雅黑"/>
                <w:color w:val="auto"/>
                <w:sz w:val="22"/>
                <w:szCs w:val="22"/>
                <w:highlight w:val="none"/>
                <w:lang w:eastAsia="zh-CN"/>
              </w:rPr>
              <w:t>（</w:t>
            </w:r>
            <w:r>
              <w:rPr>
                <w:rFonts w:hint="eastAsia" w:ascii="微软雅黑" w:hAnsi="微软雅黑" w:eastAsia="微软雅黑" w:cs="微软雅黑"/>
                <w:color w:val="auto"/>
                <w:sz w:val="22"/>
                <w:szCs w:val="22"/>
                <w:highlight w:val="none"/>
              </w:rPr>
              <w:t>是、否）</w:t>
            </w:r>
          </w:p>
        </w:tc>
      </w:tr>
      <w:tr w14:paraId="4D7C83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82" w:hRule="atLeast"/>
        </w:trPr>
        <w:tc>
          <w:tcPr>
            <w:tcW w:w="1378" w:type="dxa"/>
            <w:vAlign w:val="center"/>
          </w:tcPr>
          <w:p w14:paraId="11BA921B">
            <w:pPr>
              <w:keepNext w:val="0"/>
              <w:keepLines w:val="0"/>
              <w:pageBreakBefore w:val="0"/>
              <w:kinsoku/>
              <w:wordWrap/>
              <w:overflowPunct/>
              <w:topLinePunct w:val="0"/>
              <w:autoSpaceDE/>
              <w:autoSpaceDN/>
              <w:bidi w:val="0"/>
              <w:adjustRightInd/>
              <w:snapToGrid/>
              <w:spacing w:line="360" w:lineRule="exact"/>
              <w:ind w:left="1080" w:leftChars="257" w:hanging="540" w:firstLineChars="0"/>
              <w:textAlignment w:val="auto"/>
              <w:rPr>
                <w:rFonts w:hint="eastAsia" w:ascii="微软雅黑" w:hAnsi="微软雅黑" w:eastAsia="微软雅黑" w:cs="微软雅黑"/>
                <w:b w:val="0"/>
                <w:bCs w:val="0"/>
                <w:color w:val="auto"/>
                <w:sz w:val="22"/>
                <w:szCs w:val="22"/>
                <w:highlight w:val="none"/>
              </w:rPr>
            </w:pPr>
            <w:r>
              <w:rPr>
                <w:rFonts w:hint="eastAsia" w:ascii="微软雅黑" w:hAnsi="微软雅黑" w:eastAsia="微软雅黑" w:cs="微软雅黑"/>
                <w:color w:val="auto"/>
                <w:sz w:val="22"/>
                <w:szCs w:val="22"/>
                <w:highlight w:val="none"/>
              </w:rPr>
              <w:t>1.3.6</w:t>
            </w:r>
          </w:p>
        </w:tc>
        <w:tc>
          <w:tcPr>
            <w:tcW w:w="7882" w:type="dxa"/>
            <w:vAlign w:val="center"/>
          </w:tcPr>
          <w:p w14:paraId="2A7DD615">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lang w:eastAsia="zh-CN"/>
              </w:rPr>
              <w:t>是否为专门面向中小企业采购：</w:t>
            </w:r>
            <w:r>
              <w:rPr>
                <w:rFonts w:hint="eastAsia" w:ascii="微软雅黑" w:hAnsi="微软雅黑" w:eastAsia="微软雅黑" w:cs="微软雅黑"/>
                <w:color w:val="auto"/>
                <w:sz w:val="22"/>
                <w:szCs w:val="22"/>
                <w:highlight w:val="none"/>
                <w:u w:val="single"/>
                <w:lang w:val="en-US" w:eastAsia="zh-CN"/>
              </w:rPr>
              <w:t xml:space="preserve">  是  </w:t>
            </w:r>
            <w:r>
              <w:rPr>
                <w:rFonts w:hint="eastAsia" w:ascii="微软雅黑" w:hAnsi="微软雅黑" w:eastAsia="微软雅黑" w:cs="微软雅黑"/>
                <w:color w:val="auto"/>
                <w:sz w:val="22"/>
                <w:szCs w:val="22"/>
                <w:highlight w:val="none"/>
                <w:lang w:eastAsia="zh-CN"/>
              </w:rPr>
              <w:t>（是、否）</w:t>
            </w:r>
          </w:p>
        </w:tc>
      </w:tr>
      <w:tr w14:paraId="7A0B8A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82" w:hRule="atLeast"/>
        </w:trPr>
        <w:tc>
          <w:tcPr>
            <w:tcW w:w="1378" w:type="dxa"/>
            <w:vAlign w:val="center"/>
          </w:tcPr>
          <w:p w14:paraId="330C650A">
            <w:pPr>
              <w:spacing w:line="360" w:lineRule="exact"/>
              <w:ind w:firstLine="210" w:firstLineChars="100"/>
              <w:jc w:val="center"/>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sz w:val="21"/>
                <w:szCs w:val="21"/>
                <w:lang w:val="en-US" w:eastAsia="zh-CN"/>
              </w:rPr>
              <w:t>1.3.7</w:t>
            </w:r>
          </w:p>
        </w:tc>
        <w:tc>
          <w:tcPr>
            <w:tcW w:w="7882" w:type="dxa"/>
            <w:vAlign w:val="center"/>
          </w:tcPr>
          <w:p w14:paraId="46136E09">
            <w:pPr>
              <w:pStyle w:val="14"/>
              <w:ind w:left="0" w:leftChars="0"/>
              <w:rPr>
                <w:rFonts w:hint="eastAsia" w:ascii="微软雅黑" w:hAnsi="微软雅黑" w:eastAsia="微软雅黑" w:cs="微软雅黑"/>
                <w:color w:val="auto"/>
                <w:sz w:val="20"/>
                <w:szCs w:val="20"/>
                <w:highlight w:val="none"/>
                <w:lang w:eastAsia="zh-CN"/>
              </w:rPr>
            </w:pPr>
            <w:r>
              <w:rPr>
                <w:rFonts w:hint="eastAsia" w:ascii="微软雅黑" w:hAnsi="微软雅黑" w:eastAsia="微软雅黑" w:cs="微软雅黑"/>
                <w:b/>
                <w:bCs/>
                <w:color w:val="0000FF"/>
                <w:sz w:val="21"/>
                <w:szCs w:val="21"/>
                <w:highlight w:val="none"/>
                <w:lang w:val="en-US" w:eastAsia="zh-CN"/>
              </w:rPr>
              <w:t>支持本国产品政策：对符合本国产品标准的，依法对本国产品给予价格评审优惠，用扣除后的价格参与评审。（本项目不允许采购进口产品）</w:t>
            </w:r>
          </w:p>
        </w:tc>
      </w:tr>
      <w:tr w14:paraId="7CEBD8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82" w:hRule="atLeast"/>
        </w:trPr>
        <w:tc>
          <w:tcPr>
            <w:tcW w:w="1378" w:type="dxa"/>
            <w:vAlign w:val="center"/>
          </w:tcPr>
          <w:p w14:paraId="645E4F9D">
            <w:pPr>
              <w:spacing w:line="360" w:lineRule="exact"/>
              <w:ind w:firstLine="210" w:firstLineChars="100"/>
              <w:jc w:val="center"/>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1.3.8</w:t>
            </w:r>
          </w:p>
        </w:tc>
        <w:tc>
          <w:tcPr>
            <w:tcW w:w="7882" w:type="dxa"/>
            <w:vAlign w:val="center"/>
          </w:tcPr>
          <w:p w14:paraId="4AFF1789">
            <w:pPr>
              <w:pStyle w:val="14"/>
              <w:ind w:left="0" w:leftChars="0"/>
              <w:rPr>
                <w:rFonts w:hint="eastAsia" w:ascii="微软雅黑" w:hAnsi="微软雅黑" w:eastAsia="微软雅黑" w:cs="微软雅黑"/>
                <w:b/>
                <w:bCs/>
                <w:color w:val="auto"/>
                <w:kern w:val="2"/>
                <w:sz w:val="22"/>
                <w:szCs w:val="22"/>
                <w:highlight w:val="none"/>
                <w:lang w:val="en-US" w:eastAsia="zh-CN" w:bidi="ar-SA"/>
              </w:rPr>
            </w:pPr>
            <w:r>
              <w:rPr>
                <w:rFonts w:hint="eastAsia" w:ascii="微软雅黑" w:hAnsi="微软雅黑" w:eastAsia="微软雅黑" w:cs="微软雅黑"/>
                <w:b/>
                <w:bCs/>
                <w:color w:val="auto"/>
                <w:kern w:val="2"/>
                <w:sz w:val="22"/>
                <w:szCs w:val="22"/>
                <w:highlight w:val="none"/>
                <w:lang w:val="en-US" w:eastAsia="zh-CN" w:bidi="ar-SA"/>
              </w:rPr>
              <w:t>Ⅰ.样品递交时间：2026年4月8日10：00（北京时间）</w:t>
            </w:r>
          </w:p>
          <w:p w14:paraId="37574CCF">
            <w:pPr>
              <w:pStyle w:val="14"/>
              <w:ind w:left="0" w:leftChars="0" w:firstLine="1541" w:firstLineChars="700"/>
              <w:rPr>
                <w:rFonts w:hint="default" w:ascii="微软雅黑" w:hAnsi="微软雅黑" w:eastAsia="微软雅黑" w:cs="微软雅黑"/>
                <w:b/>
                <w:bCs/>
                <w:color w:val="auto"/>
                <w:kern w:val="2"/>
                <w:sz w:val="22"/>
                <w:szCs w:val="22"/>
                <w:highlight w:val="none"/>
                <w:lang w:val="en-US" w:eastAsia="zh-CN" w:bidi="ar-SA"/>
              </w:rPr>
            </w:pPr>
            <w:r>
              <w:rPr>
                <w:rFonts w:hint="eastAsia" w:ascii="微软雅黑" w:hAnsi="微软雅黑" w:eastAsia="微软雅黑" w:cs="微软雅黑"/>
                <w:b/>
                <w:bCs/>
                <w:color w:val="auto"/>
                <w:kern w:val="2"/>
                <w:sz w:val="22"/>
                <w:szCs w:val="22"/>
                <w:highlight w:val="none"/>
                <w:lang w:val="en-US" w:eastAsia="zh-CN" w:bidi="ar-SA"/>
              </w:rPr>
              <w:t>至2026年4月28日19:30（北京时间）</w:t>
            </w:r>
          </w:p>
          <w:p w14:paraId="1E25B98B">
            <w:pPr>
              <w:pStyle w:val="14"/>
              <w:ind w:left="0" w:leftChars="0"/>
              <w:rPr>
                <w:rFonts w:hint="eastAsia" w:ascii="微软雅黑" w:hAnsi="微软雅黑" w:eastAsia="微软雅黑" w:cs="微软雅黑"/>
                <w:b/>
                <w:bCs/>
                <w:color w:val="auto"/>
                <w:kern w:val="2"/>
                <w:sz w:val="22"/>
                <w:szCs w:val="22"/>
                <w:highlight w:val="none"/>
                <w:lang w:val="en-US" w:eastAsia="zh-CN" w:bidi="ar-SA"/>
              </w:rPr>
            </w:pPr>
            <w:r>
              <w:rPr>
                <w:rFonts w:hint="eastAsia" w:ascii="微软雅黑" w:hAnsi="微软雅黑" w:eastAsia="微软雅黑" w:cs="微软雅黑"/>
                <w:b/>
                <w:bCs/>
                <w:color w:val="auto"/>
                <w:kern w:val="2"/>
                <w:sz w:val="22"/>
                <w:szCs w:val="22"/>
                <w:highlight w:val="none"/>
                <w:lang w:val="en-US" w:eastAsia="zh-CN" w:bidi="ar-SA"/>
              </w:rPr>
              <w:t>Ⅱ.截止时间：开标前一天19:30（北京时间）之前</w:t>
            </w:r>
          </w:p>
          <w:p w14:paraId="21BFF3A2">
            <w:pPr>
              <w:pStyle w:val="14"/>
              <w:ind w:left="0" w:leftChars="0"/>
              <w:rPr>
                <w:rFonts w:hint="eastAsia" w:ascii="微软雅黑" w:hAnsi="微软雅黑" w:eastAsia="微软雅黑" w:cs="微软雅黑"/>
                <w:b/>
                <w:bCs/>
                <w:color w:val="auto"/>
                <w:kern w:val="2"/>
                <w:sz w:val="22"/>
                <w:szCs w:val="22"/>
                <w:highlight w:val="none"/>
                <w:lang w:val="en-US" w:eastAsia="zh-CN" w:bidi="ar-SA"/>
              </w:rPr>
            </w:pPr>
            <w:r>
              <w:rPr>
                <w:rFonts w:hint="eastAsia" w:ascii="微软雅黑" w:hAnsi="微软雅黑" w:eastAsia="微软雅黑" w:cs="微软雅黑"/>
                <w:b/>
                <w:bCs/>
                <w:color w:val="auto"/>
                <w:kern w:val="2"/>
                <w:sz w:val="22"/>
                <w:szCs w:val="22"/>
                <w:highlight w:val="none"/>
                <w:lang w:val="en-US" w:eastAsia="zh-CN" w:bidi="ar-SA"/>
              </w:rPr>
              <w:t>Ⅲ.样品递交地点：泽普县维吾尔医医院项目管理办公室</w:t>
            </w:r>
          </w:p>
          <w:p w14:paraId="03F89918">
            <w:pPr>
              <w:pStyle w:val="14"/>
              <w:ind w:left="0" w:leftChars="0"/>
              <w:rPr>
                <w:rFonts w:hint="eastAsia" w:ascii="微软雅黑" w:hAnsi="微软雅黑" w:eastAsia="微软雅黑" w:cs="微软雅黑"/>
                <w:b/>
                <w:bCs/>
                <w:color w:val="auto"/>
                <w:kern w:val="2"/>
                <w:sz w:val="22"/>
                <w:szCs w:val="22"/>
                <w:highlight w:val="none"/>
                <w:lang w:val="en-US" w:eastAsia="zh-CN" w:bidi="ar-SA"/>
              </w:rPr>
            </w:pPr>
            <w:r>
              <w:rPr>
                <w:rFonts w:hint="eastAsia" w:ascii="微软雅黑" w:hAnsi="微软雅黑" w:eastAsia="微软雅黑" w:cs="微软雅黑"/>
                <w:b/>
                <w:bCs/>
                <w:color w:val="auto"/>
                <w:kern w:val="2"/>
                <w:sz w:val="22"/>
                <w:szCs w:val="22"/>
                <w:highlight w:val="none"/>
                <w:lang w:val="en-US" w:eastAsia="zh-CN" w:bidi="ar-SA"/>
              </w:rPr>
              <w:t>联系人：努尔阿米娜·麦图地       联系电话：13579075405</w:t>
            </w:r>
          </w:p>
          <w:p w14:paraId="53C16C3F">
            <w:pPr>
              <w:pStyle w:val="14"/>
              <w:ind w:left="0" w:leftChars="0"/>
              <w:rPr>
                <w:rFonts w:hint="eastAsia" w:ascii="微软雅黑" w:hAnsi="微软雅黑" w:eastAsia="微软雅黑" w:cs="微软雅黑"/>
                <w:b/>
                <w:bCs/>
                <w:color w:val="auto"/>
                <w:kern w:val="2"/>
                <w:sz w:val="22"/>
                <w:szCs w:val="22"/>
                <w:highlight w:val="none"/>
                <w:lang w:val="en-US" w:eastAsia="zh-CN" w:bidi="ar-SA"/>
              </w:rPr>
            </w:pPr>
            <w:r>
              <w:rPr>
                <w:rFonts w:hint="eastAsia" w:ascii="微软雅黑" w:hAnsi="微软雅黑" w:eastAsia="微软雅黑" w:cs="微软雅黑"/>
                <w:b/>
                <w:bCs/>
                <w:color w:val="auto"/>
                <w:kern w:val="2"/>
                <w:sz w:val="22"/>
                <w:szCs w:val="22"/>
                <w:highlight w:val="none"/>
                <w:lang w:val="en-US" w:eastAsia="zh-CN" w:bidi="ar-SA"/>
              </w:rPr>
              <w:t>Ⅳ.投标人应提供实物供现场评测：开标前，投标人必须按照招标文件规定的第五章货物要求及项目要求的（一、货物要求）提供样品，各投标人须单独提供所述样品，样品须与投标文件所投产品一致。</w:t>
            </w:r>
          </w:p>
          <w:p w14:paraId="68F4AC45">
            <w:pPr>
              <w:pStyle w:val="14"/>
              <w:ind w:left="0" w:leftChars="0"/>
              <w:rPr>
                <w:rFonts w:hint="eastAsia" w:ascii="微软雅黑" w:hAnsi="微软雅黑" w:eastAsia="微软雅黑" w:cs="微软雅黑"/>
                <w:b/>
                <w:bCs/>
                <w:color w:val="auto"/>
                <w:kern w:val="2"/>
                <w:sz w:val="22"/>
                <w:szCs w:val="22"/>
                <w:highlight w:val="none"/>
                <w:lang w:val="en-US" w:eastAsia="zh-CN" w:bidi="ar-SA"/>
              </w:rPr>
            </w:pPr>
            <w:r>
              <w:rPr>
                <w:rFonts w:hint="eastAsia" w:ascii="微软雅黑" w:hAnsi="微软雅黑" w:eastAsia="微软雅黑" w:cs="微软雅黑"/>
                <w:b/>
                <w:bCs/>
                <w:color w:val="auto"/>
                <w:kern w:val="2"/>
                <w:sz w:val="22"/>
                <w:szCs w:val="22"/>
                <w:highlight w:val="none"/>
                <w:lang w:val="en-US" w:eastAsia="zh-CN" w:bidi="ar-SA"/>
              </w:rPr>
              <w:t>①投标样品是投标文件的组成部分。投标前，投标人应按招标文件规定准备投标样品。 投标人需按合同包(标段)将该合同包的所有样品打包在一个包装箱内，箱外注明投标单位名称及合同包号(标段)并加盖公章后密封。</w:t>
            </w:r>
          </w:p>
          <w:p w14:paraId="0E0EB99C">
            <w:pPr>
              <w:pStyle w:val="14"/>
              <w:ind w:left="0" w:leftChars="0"/>
              <w:rPr>
                <w:rFonts w:hint="eastAsia" w:ascii="微软雅黑" w:hAnsi="微软雅黑" w:eastAsia="微软雅黑" w:cs="微软雅黑"/>
                <w:b/>
                <w:bCs/>
                <w:color w:val="auto"/>
                <w:kern w:val="2"/>
                <w:sz w:val="22"/>
                <w:szCs w:val="22"/>
                <w:highlight w:val="none"/>
                <w:lang w:val="en-US" w:eastAsia="zh-CN" w:bidi="ar-SA"/>
              </w:rPr>
            </w:pPr>
            <w:r>
              <w:rPr>
                <w:rFonts w:hint="eastAsia" w:ascii="微软雅黑" w:hAnsi="微软雅黑" w:eastAsia="微软雅黑" w:cs="微软雅黑"/>
                <w:b/>
                <w:bCs/>
                <w:color w:val="auto"/>
                <w:kern w:val="2"/>
                <w:sz w:val="22"/>
                <w:szCs w:val="22"/>
                <w:highlight w:val="none"/>
                <w:lang w:val="en-US" w:eastAsia="zh-CN" w:bidi="ar-SA"/>
              </w:rPr>
              <w:t>②投标人投标时需提供对应标项采购需求所要求的产品作为样品，每种产品各提供一份样品，投标时在每种样品外包装上加贴样品标签应符合“中药饮片标签管理规定”，内容包含品名、规格、药材产地、生产企业、生产日期、保质期等信息,所提供样品应与样品清单中所表述的一致。</w:t>
            </w:r>
          </w:p>
          <w:p w14:paraId="01B0BEF1">
            <w:pPr>
              <w:pStyle w:val="14"/>
              <w:ind w:left="0" w:leftChars="0"/>
              <w:rPr>
                <w:rFonts w:hint="eastAsia" w:ascii="微软雅黑" w:hAnsi="微软雅黑" w:eastAsia="微软雅黑" w:cs="微软雅黑"/>
                <w:b/>
                <w:bCs/>
                <w:color w:val="auto"/>
                <w:kern w:val="2"/>
                <w:sz w:val="22"/>
                <w:szCs w:val="22"/>
                <w:highlight w:val="none"/>
                <w:lang w:val="en-US" w:eastAsia="zh-CN" w:bidi="ar-SA"/>
              </w:rPr>
            </w:pPr>
            <w:r>
              <w:rPr>
                <w:rFonts w:hint="eastAsia" w:ascii="微软雅黑" w:hAnsi="微软雅黑" w:eastAsia="微软雅黑" w:cs="微软雅黑"/>
                <w:b/>
                <w:bCs/>
                <w:color w:val="auto"/>
                <w:kern w:val="2"/>
                <w:sz w:val="22"/>
                <w:szCs w:val="22"/>
                <w:highlight w:val="none"/>
                <w:lang w:val="en-US" w:eastAsia="zh-CN" w:bidi="ar-SA"/>
              </w:rPr>
              <w:t>③每种样品包装规格需严格按照采购需求进行包装，与送货时一致。</w:t>
            </w:r>
          </w:p>
          <w:p w14:paraId="49D343E8">
            <w:pPr>
              <w:pStyle w:val="14"/>
              <w:ind w:left="0" w:leftChars="0"/>
              <w:rPr>
                <w:rFonts w:hint="eastAsia" w:ascii="微软雅黑" w:hAnsi="微软雅黑" w:eastAsia="微软雅黑" w:cs="微软雅黑"/>
                <w:b/>
                <w:bCs/>
                <w:color w:val="auto"/>
                <w:kern w:val="2"/>
                <w:sz w:val="22"/>
                <w:szCs w:val="22"/>
                <w:highlight w:val="none"/>
                <w:lang w:val="en-US" w:eastAsia="zh-CN" w:bidi="ar-SA"/>
              </w:rPr>
            </w:pPr>
            <w:r>
              <w:rPr>
                <w:rFonts w:hint="eastAsia" w:ascii="微软雅黑" w:hAnsi="微软雅黑" w:eastAsia="微软雅黑" w:cs="微软雅黑"/>
                <w:b/>
                <w:bCs/>
                <w:color w:val="auto"/>
                <w:kern w:val="2"/>
                <w:sz w:val="22"/>
                <w:szCs w:val="22"/>
                <w:highlight w:val="none"/>
                <w:lang w:val="en-US" w:eastAsia="zh-CN" w:bidi="ar-SA"/>
              </w:rPr>
              <w:t>④中标饮片样品留样备查一年。</w:t>
            </w:r>
          </w:p>
          <w:p w14:paraId="4846E257">
            <w:pPr>
              <w:pStyle w:val="14"/>
              <w:ind w:left="0" w:leftChars="0"/>
              <w:rPr>
                <w:rFonts w:hint="eastAsia" w:ascii="微软雅黑" w:hAnsi="微软雅黑" w:eastAsia="微软雅黑" w:cs="微软雅黑"/>
                <w:b/>
                <w:bCs/>
                <w:color w:val="auto"/>
                <w:kern w:val="2"/>
                <w:sz w:val="22"/>
                <w:szCs w:val="22"/>
                <w:highlight w:val="none"/>
                <w:lang w:val="en-US" w:eastAsia="zh-CN" w:bidi="ar-SA"/>
              </w:rPr>
            </w:pPr>
            <w:r>
              <w:rPr>
                <w:rFonts w:hint="eastAsia" w:ascii="微软雅黑" w:hAnsi="微软雅黑" w:eastAsia="微软雅黑" w:cs="微软雅黑"/>
                <w:b/>
                <w:bCs/>
                <w:color w:val="auto"/>
                <w:kern w:val="2"/>
                <w:sz w:val="22"/>
                <w:szCs w:val="22"/>
                <w:highlight w:val="none"/>
                <w:lang w:val="en-US" w:eastAsia="zh-CN" w:bidi="ar-SA"/>
              </w:rPr>
              <w:t>⑤采购代理机构在收取样品时没有对样板外观验收及性能测试，所以对样品的破损或质量概不负责。</w:t>
            </w:r>
          </w:p>
          <w:p w14:paraId="5D018E53">
            <w:pPr>
              <w:pStyle w:val="14"/>
              <w:ind w:left="0" w:leftChars="0"/>
              <w:rPr>
                <w:rFonts w:hint="eastAsia" w:ascii="微软雅黑" w:hAnsi="微软雅黑" w:eastAsia="微软雅黑" w:cs="微软雅黑"/>
                <w:b/>
                <w:bCs/>
                <w:color w:val="auto"/>
                <w:kern w:val="2"/>
                <w:sz w:val="22"/>
                <w:szCs w:val="22"/>
                <w:highlight w:val="none"/>
                <w:lang w:val="en-US" w:eastAsia="zh-CN" w:bidi="ar-SA"/>
              </w:rPr>
            </w:pPr>
            <w:r>
              <w:rPr>
                <w:rFonts w:hint="eastAsia" w:ascii="微软雅黑" w:hAnsi="微软雅黑" w:eastAsia="微软雅黑" w:cs="微软雅黑"/>
                <w:b/>
                <w:bCs/>
                <w:color w:val="auto"/>
                <w:kern w:val="2"/>
                <w:sz w:val="22"/>
                <w:szCs w:val="22"/>
                <w:highlight w:val="none"/>
                <w:lang w:val="en-US" w:eastAsia="zh-CN" w:bidi="ar-SA"/>
              </w:rPr>
              <w:t>⑥中标的样品由采购人保管并封存，作为货物验收依据之一。未中标的投标人在中标结果公告后5个工作日内一次性领回全部样品，逾期未领的，视为投标人放弃投标样品所有权，由招标人或采购代理机构自行处理，在此期间出现的丢失或损坏，采购代理机构、采购人概不负任何责任。</w:t>
            </w:r>
          </w:p>
          <w:p w14:paraId="42077724">
            <w:pPr>
              <w:pStyle w:val="14"/>
              <w:ind w:left="0" w:leftChars="0"/>
              <w:rPr>
                <w:rFonts w:hint="eastAsia" w:ascii="微软雅黑" w:hAnsi="微软雅黑" w:eastAsia="微软雅黑" w:cs="微软雅黑"/>
                <w:b/>
                <w:bCs/>
                <w:color w:val="auto"/>
                <w:kern w:val="2"/>
                <w:sz w:val="22"/>
                <w:szCs w:val="22"/>
                <w:highlight w:val="none"/>
                <w:lang w:val="en-US" w:eastAsia="zh-CN" w:bidi="ar-SA"/>
              </w:rPr>
            </w:pPr>
            <w:r>
              <w:rPr>
                <w:rFonts w:hint="eastAsia" w:ascii="微软雅黑" w:hAnsi="微软雅黑" w:eastAsia="微软雅黑" w:cs="微软雅黑"/>
                <w:b/>
                <w:bCs/>
                <w:color w:val="auto"/>
                <w:kern w:val="2"/>
                <w:sz w:val="22"/>
                <w:szCs w:val="22"/>
                <w:highlight w:val="none"/>
                <w:lang w:val="en-US" w:eastAsia="zh-CN" w:bidi="ar-SA"/>
              </w:rPr>
              <w:t>⑦投标时，投标人应提交样品并送达指定地点；投标文件递交截止时间后提交的样品， 不予接收。</w:t>
            </w:r>
          </w:p>
          <w:p w14:paraId="08B4519A">
            <w:pPr>
              <w:pStyle w:val="14"/>
              <w:ind w:left="0" w:leftChars="0"/>
              <w:rPr>
                <w:rFonts w:hint="eastAsia" w:ascii="微软雅黑" w:hAnsi="微软雅黑" w:eastAsia="微软雅黑" w:cs="微软雅黑"/>
                <w:b/>
                <w:bCs/>
                <w:color w:val="auto"/>
                <w:kern w:val="2"/>
                <w:sz w:val="22"/>
                <w:szCs w:val="22"/>
                <w:highlight w:val="none"/>
                <w:lang w:val="en-US" w:eastAsia="zh-CN" w:bidi="ar-SA"/>
              </w:rPr>
            </w:pPr>
            <w:r>
              <w:rPr>
                <w:rFonts w:hint="eastAsia" w:ascii="微软雅黑" w:hAnsi="微软雅黑" w:eastAsia="微软雅黑" w:cs="微软雅黑"/>
                <w:b/>
                <w:bCs/>
                <w:color w:val="auto"/>
                <w:kern w:val="2"/>
                <w:sz w:val="22"/>
                <w:szCs w:val="22"/>
                <w:highlight w:val="none"/>
                <w:lang w:val="en-US" w:eastAsia="zh-CN" w:bidi="ar-SA"/>
              </w:rPr>
              <w:t>⑧投标人未提供样品或提供样品不全的：按照评标方法和标准进行扣分。</w:t>
            </w:r>
          </w:p>
          <w:p w14:paraId="5CE05D7E">
            <w:pPr>
              <w:pStyle w:val="14"/>
              <w:ind w:left="0" w:leftChars="0"/>
              <w:rPr>
                <w:rFonts w:hint="eastAsia" w:ascii="微软雅黑" w:hAnsi="微软雅黑" w:eastAsia="微软雅黑" w:cs="微软雅黑"/>
                <w:b/>
                <w:bCs/>
                <w:color w:val="auto"/>
                <w:kern w:val="2"/>
                <w:sz w:val="22"/>
                <w:szCs w:val="22"/>
                <w:highlight w:val="none"/>
                <w:lang w:val="en-US" w:eastAsia="zh-CN" w:bidi="ar-SA"/>
              </w:rPr>
            </w:pPr>
            <w:r>
              <w:rPr>
                <w:rFonts w:hint="eastAsia" w:ascii="微软雅黑" w:hAnsi="微软雅黑" w:eastAsia="微软雅黑" w:cs="微软雅黑"/>
                <w:b/>
                <w:bCs/>
                <w:color w:val="auto"/>
                <w:kern w:val="2"/>
                <w:sz w:val="22"/>
                <w:szCs w:val="22"/>
                <w:highlight w:val="none"/>
                <w:lang w:val="en-US" w:eastAsia="zh-CN" w:bidi="ar-SA"/>
              </w:rPr>
              <w:t>备注：投标人需按货物要求每种30克×1包准备样品，标签标注药品的名称、产地及生产厂家。（1）招标规格以g/kg为单位的药品按照以上要求准备样品。（2）特殊规格药品，例如只、对、毫升、条等规格药品均以30单位数量提供样品；（3）国家特殊管理品种提供10g样品。</w:t>
            </w:r>
          </w:p>
          <w:p w14:paraId="68F6048B">
            <w:pPr>
              <w:pStyle w:val="14"/>
              <w:ind w:left="0" w:leftChars="0"/>
              <w:rPr>
                <w:rFonts w:hint="eastAsia" w:ascii="微软雅黑" w:hAnsi="微软雅黑" w:eastAsia="微软雅黑" w:cs="微软雅黑"/>
                <w:b/>
                <w:bCs/>
                <w:color w:val="auto"/>
                <w:kern w:val="2"/>
                <w:sz w:val="22"/>
                <w:szCs w:val="22"/>
                <w:highlight w:val="none"/>
                <w:lang w:val="en-US" w:eastAsia="zh-CN" w:bidi="ar-SA"/>
              </w:rPr>
            </w:pPr>
            <w:r>
              <w:rPr>
                <w:rFonts w:hint="eastAsia" w:ascii="微软雅黑" w:hAnsi="微软雅黑" w:eastAsia="微软雅黑" w:cs="微软雅黑"/>
                <w:b/>
                <w:bCs/>
                <w:color w:val="auto"/>
                <w:kern w:val="2"/>
                <w:sz w:val="22"/>
                <w:szCs w:val="22"/>
                <w:highlight w:val="none"/>
                <w:lang w:val="en-US" w:eastAsia="zh-CN" w:bidi="ar-SA"/>
              </w:rPr>
              <w:t>样品涉及特殊管理的品种，由投标人交由特殊管理品种存放处，并由双人登记保管，待评标结束后由投标人员登记后取回。</w:t>
            </w:r>
          </w:p>
          <w:p w14:paraId="2FEAD813">
            <w:pPr>
              <w:pStyle w:val="14"/>
              <w:ind w:left="0" w:leftChars="0"/>
              <w:rPr>
                <w:rFonts w:hint="eastAsia" w:ascii="微软雅黑" w:hAnsi="微软雅黑" w:eastAsia="微软雅黑" w:cs="微软雅黑"/>
                <w:b/>
                <w:bCs/>
                <w:color w:val="0000FF"/>
                <w:sz w:val="21"/>
                <w:szCs w:val="21"/>
                <w:highlight w:val="none"/>
                <w:lang w:val="en-US" w:eastAsia="zh-CN"/>
              </w:rPr>
            </w:pPr>
            <w:r>
              <w:rPr>
                <w:rFonts w:hint="eastAsia" w:ascii="微软雅黑" w:hAnsi="微软雅黑" w:eastAsia="微软雅黑" w:cs="微软雅黑"/>
                <w:b/>
                <w:bCs/>
                <w:color w:val="auto"/>
                <w:kern w:val="2"/>
                <w:sz w:val="22"/>
                <w:szCs w:val="22"/>
                <w:highlight w:val="none"/>
                <w:lang w:val="en-US" w:eastAsia="zh-CN" w:bidi="ar-SA"/>
              </w:rPr>
              <w:t>此次投标，如不按规定提供样品，则不作为评标依据，对评标结果产生的影响，由投标人自行承担。</w:t>
            </w:r>
          </w:p>
        </w:tc>
      </w:tr>
      <w:tr w14:paraId="2126B3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9" w:hRule="atLeast"/>
        </w:trPr>
        <w:tc>
          <w:tcPr>
            <w:tcW w:w="1378" w:type="dxa"/>
            <w:vAlign w:val="center"/>
          </w:tcPr>
          <w:p w14:paraId="79A0F58B">
            <w:pPr>
              <w:keepNext w:val="0"/>
              <w:keepLines w:val="0"/>
              <w:pageBreakBefore w:val="0"/>
              <w:kinsoku/>
              <w:wordWrap/>
              <w:overflowPunct/>
              <w:topLinePunct w:val="0"/>
              <w:autoSpaceDE/>
              <w:autoSpaceDN/>
              <w:bidi w:val="0"/>
              <w:adjustRightInd/>
              <w:snapToGrid/>
              <w:spacing w:line="360" w:lineRule="exact"/>
              <w:ind w:left="1080" w:leftChars="257" w:hanging="54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1.4</w:t>
            </w:r>
          </w:p>
        </w:tc>
        <w:tc>
          <w:tcPr>
            <w:tcW w:w="7882" w:type="dxa"/>
            <w:vAlign w:val="center"/>
          </w:tcPr>
          <w:p w14:paraId="68FFEAE0">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是否允许联合体投标：</w:t>
            </w:r>
            <w:r>
              <w:rPr>
                <w:rFonts w:hint="eastAsia" w:ascii="微软雅黑" w:hAnsi="微软雅黑" w:eastAsia="微软雅黑" w:cs="微软雅黑"/>
                <w:color w:val="auto"/>
                <w:sz w:val="22"/>
                <w:szCs w:val="22"/>
                <w:highlight w:val="none"/>
                <w:u w:val="single"/>
              </w:rPr>
              <w:t xml:space="preserve">  否  </w:t>
            </w:r>
            <w:r>
              <w:rPr>
                <w:rFonts w:hint="eastAsia" w:ascii="微软雅黑" w:hAnsi="微软雅黑" w:eastAsia="微软雅黑" w:cs="微软雅黑"/>
                <w:i/>
                <w:color w:val="auto"/>
                <w:sz w:val="22"/>
                <w:szCs w:val="22"/>
                <w:highlight w:val="none"/>
              </w:rPr>
              <w:t>（是、否）</w:t>
            </w:r>
          </w:p>
        </w:tc>
      </w:tr>
      <w:tr w14:paraId="57A135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60" w:hRule="atLeast"/>
        </w:trPr>
        <w:tc>
          <w:tcPr>
            <w:tcW w:w="1378" w:type="dxa"/>
            <w:vAlign w:val="center"/>
          </w:tcPr>
          <w:p w14:paraId="57DACBAF">
            <w:pPr>
              <w:keepNext w:val="0"/>
              <w:keepLines w:val="0"/>
              <w:pageBreakBefore w:val="0"/>
              <w:kinsoku/>
              <w:wordWrap/>
              <w:overflowPunct/>
              <w:topLinePunct w:val="0"/>
              <w:autoSpaceDE/>
              <w:autoSpaceDN/>
              <w:bidi w:val="0"/>
              <w:adjustRightInd/>
              <w:snapToGrid/>
              <w:spacing w:line="360" w:lineRule="exact"/>
              <w:ind w:left="1080" w:leftChars="257" w:hanging="54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1.4.8</w:t>
            </w:r>
          </w:p>
        </w:tc>
        <w:tc>
          <w:tcPr>
            <w:tcW w:w="7882" w:type="dxa"/>
            <w:vAlign w:val="center"/>
          </w:tcPr>
          <w:p w14:paraId="60882D79">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联合体的其他资格要求：无</w:t>
            </w:r>
          </w:p>
        </w:tc>
      </w:tr>
      <w:tr w14:paraId="08FBF5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95" w:hRule="atLeast"/>
        </w:trPr>
        <w:tc>
          <w:tcPr>
            <w:tcW w:w="1378" w:type="dxa"/>
            <w:vAlign w:val="center"/>
          </w:tcPr>
          <w:p w14:paraId="6BF9C961">
            <w:pPr>
              <w:keepNext w:val="0"/>
              <w:keepLines w:val="0"/>
              <w:pageBreakBefore w:val="0"/>
              <w:kinsoku/>
              <w:wordWrap/>
              <w:overflowPunct/>
              <w:topLinePunct w:val="0"/>
              <w:autoSpaceDE/>
              <w:autoSpaceDN/>
              <w:bidi w:val="0"/>
              <w:adjustRightInd/>
              <w:snapToGrid/>
              <w:spacing w:line="360" w:lineRule="exact"/>
              <w:ind w:left="1080" w:leftChars="257" w:hanging="540"/>
              <w:jc w:val="both"/>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2.2</w:t>
            </w:r>
          </w:p>
        </w:tc>
        <w:tc>
          <w:tcPr>
            <w:tcW w:w="7882" w:type="dxa"/>
            <w:vAlign w:val="center"/>
          </w:tcPr>
          <w:p w14:paraId="3DC8220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auto"/>
                <w:kern w:val="2"/>
                <w:sz w:val="22"/>
                <w:szCs w:val="22"/>
                <w:highlight w:val="none"/>
                <w:lang w:val="en-US" w:eastAsia="zh-CN" w:bidi="ar-SA"/>
              </w:rPr>
            </w:pPr>
            <w:r>
              <w:rPr>
                <w:rFonts w:hint="eastAsia" w:ascii="微软雅黑" w:hAnsi="微软雅黑" w:eastAsia="微软雅黑" w:cs="微软雅黑"/>
                <w:b/>
                <w:bCs/>
                <w:color w:val="auto"/>
                <w:kern w:val="2"/>
                <w:sz w:val="22"/>
                <w:szCs w:val="22"/>
                <w:highlight w:val="none"/>
                <w:lang w:val="en-US" w:eastAsia="zh-CN" w:bidi="ar-SA"/>
              </w:rPr>
              <w:t>项目总预算金额：2330000元</w:t>
            </w:r>
          </w:p>
          <w:p w14:paraId="3C9FF2C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auto"/>
                <w:kern w:val="2"/>
                <w:sz w:val="22"/>
                <w:szCs w:val="22"/>
                <w:highlight w:val="none"/>
                <w:lang w:val="en-US" w:eastAsia="zh-CN" w:bidi="ar-SA"/>
              </w:rPr>
            </w:pPr>
            <w:r>
              <w:rPr>
                <w:rFonts w:hint="eastAsia" w:ascii="微软雅黑" w:hAnsi="微软雅黑" w:eastAsia="微软雅黑" w:cs="微软雅黑"/>
                <w:b/>
                <w:bCs/>
                <w:color w:val="auto"/>
                <w:kern w:val="2"/>
                <w:sz w:val="22"/>
                <w:szCs w:val="22"/>
                <w:highlight w:val="none"/>
                <w:lang w:val="en-US" w:eastAsia="zh-CN" w:bidi="ar-SA"/>
              </w:rPr>
              <w:t>采购需求：</w:t>
            </w:r>
          </w:p>
          <w:p w14:paraId="2AD53B0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auto"/>
                <w:kern w:val="2"/>
                <w:sz w:val="22"/>
                <w:szCs w:val="22"/>
                <w:highlight w:val="none"/>
                <w:lang w:val="en-US" w:eastAsia="zh-CN" w:bidi="ar-SA"/>
              </w:rPr>
            </w:pPr>
            <w:r>
              <w:rPr>
                <w:rFonts w:hint="eastAsia" w:ascii="微软雅黑" w:hAnsi="微软雅黑" w:eastAsia="微软雅黑" w:cs="微软雅黑"/>
                <w:b/>
                <w:bCs/>
                <w:color w:val="auto"/>
                <w:kern w:val="2"/>
                <w:sz w:val="22"/>
                <w:szCs w:val="22"/>
                <w:highlight w:val="none"/>
                <w:lang w:val="en-US" w:eastAsia="zh-CN" w:bidi="ar-SA"/>
              </w:rPr>
              <w:t>标项一：采购维吾尔医药饮片一批    预算金额：857985元</w:t>
            </w:r>
          </w:p>
          <w:p w14:paraId="5EA6A917">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b/>
                <w:bCs/>
                <w:color w:val="auto"/>
                <w:kern w:val="2"/>
                <w:sz w:val="22"/>
                <w:szCs w:val="22"/>
                <w:highlight w:val="none"/>
                <w:lang w:val="en-US" w:eastAsia="zh-CN" w:bidi="ar-SA"/>
              </w:rPr>
            </w:pPr>
            <w:r>
              <w:rPr>
                <w:rFonts w:hint="eastAsia" w:ascii="微软雅黑" w:hAnsi="微软雅黑" w:eastAsia="微软雅黑" w:cs="微软雅黑"/>
                <w:b/>
                <w:bCs/>
                <w:color w:val="auto"/>
                <w:kern w:val="2"/>
                <w:sz w:val="22"/>
                <w:szCs w:val="22"/>
                <w:highlight w:val="none"/>
                <w:lang w:val="en-US" w:eastAsia="zh-CN" w:bidi="ar-SA"/>
              </w:rPr>
              <w:t>标项二：采购维吾尔医药饮片一批    预算金额：578760元</w:t>
            </w:r>
          </w:p>
          <w:p w14:paraId="20E0821B">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b/>
                <w:bCs/>
                <w:color w:val="auto"/>
                <w:kern w:val="2"/>
                <w:sz w:val="22"/>
                <w:szCs w:val="22"/>
                <w:highlight w:val="none"/>
                <w:lang w:val="en-US" w:eastAsia="zh-CN" w:bidi="ar-SA"/>
              </w:rPr>
            </w:pPr>
            <w:r>
              <w:rPr>
                <w:rFonts w:hint="eastAsia" w:ascii="微软雅黑" w:hAnsi="微软雅黑" w:eastAsia="微软雅黑" w:cs="微软雅黑"/>
                <w:b/>
                <w:bCs/>
                <w:color w:val="auto"/>
                <w:kern w:val="2"/>
                <w:sz w:val="22"/>
                <w:szCs w:val="22"/>
                <w:highlight w:val="none"/>
                <w:lang w:val="en-US" w:eastAsia="zh-CN" w:bidi="ar-SA"/>
              </w:rPr>
              <w:t>标项三：采购维吾尔医药饮片、中药饮片一批    预算金额：662905元</w:t>
            </w:r>
          </w:p>
          <w:p w14:paraId="204F87A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auto"/>
                <w:kern w:val="2"/>
                <w:sz w:val="22"/>
                <w:szCs w:val="22"/>
                <w:highlight w:val="none"/>
                <w:lang w:val="en-US" w:eastAsia="zh-CN" w:bidi="ar-SA"/>
              </w:rPr>
            </w:pPr>
            <w:r>
              <w:rPr>
                <w:rFonts w:hint="eastAsia" w:ascii="微软雅黑" w:hAnsi="微软雅黑" w:eastAsia="微软雅黑" w:cs="微软雅黑"/>
                <w:b/>
                <w:bCs/>
                <w:color w:val="auto"/>
                <w:kern w:val="2"/>
                <w:sz w:val="22"/>
                <w:szCs w:val="22"/>
                <w:highlight w:val="none"/>
                <w:lang w:val="en-US" w:eastAsia="zh-CN" w:bidi="ar-SA"/>
              </w:rPr>
              <w:t>标项四：采购一批包装材料    预算金额：230350元</w:t>
            </w:r>
          </w:p>
          <w:p w14:paraId="6FCB8E3E">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lang w:val="en-US" w:eastAsia="zh-CN"/>
              </w:rPr>
            </w:pPr>
            <w:r>
              <w:rPr>
                <w:rFonts w:hint="eastAsia" w:ascii="微软雅黑" w:hAnsi="微软雅黑" w:eastAsia="微软雅黑" w:cs="微软雅黑"/>
                <w:b/>
                <w:bCs/>
                <w:color w:val="auto"/>
                <w:kern w:val="2"/>
                <w:sz w:val="22"/>
                <w:szCs w:val="22"/>
                <w:highlight w:val="none"/>
                <w:lang w:val="en-US" w:eastAsia="zh-CN" w:bidi="ar-SA"/>
              </w:rPr>
              <w:t>注：本项目以综合单价招标。</w:t>
            </w:r>
          </w:p>
        </w:tc>
      </w:tr>
      <w:tr w14:paraId="030E18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18" w:hRule="atLeast"/>
        </w:trPr>
        <w:tc>
          <w:tcPr>
            <w:tcW w:w="1378" w:type="dxa"/>
            <w:vAlign w:val="center"/>
          </w:tcPr>
          <w:p w14:paraId="5CC60FE2">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lang w:val="en-US" w:eastAsia="zh-CN"/>
              </w:rPr>
              <w:t xml:space="preserve">   </w:t>
            </w:r>
            <w:r>
              <w:rPr>
                <w:rFonts w:hint="eastAsia" w:ascii="微软雅黑" w:hAnsi="微软雅黑" w:eastAsia="微软雅黑" w:cs="微软雅黑"/>
                <w:color w:val="auto"/>
                <w:sz w:val="22"/>
                <w:szCs w:val="22"/>
                <w:highlight w:val="none"/>
              </w:rPr>
              <w:t>12.1</w:t>
            </w:r>
          </w:p>
        </w:tc>
        <w:tc>
          <w:tcPr>
            <w:tcW w:w="7882" w:type="dxa"/>
            <w:vAlign w:val="center"/>
          </w:tcPr>
          <w:p w14:paraId="31CB16F0">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hint="eastAsia" w:ascii="微软雅黑" w:hAnsi="微软雅黑" w:eastAsia="微软雅黑" w:cs="微软雅黑"/>
                <w:b w:val="0"/>
                <w:bCs w:val="0"/>
                <w:color w:val="auto"/>
                <w:sz w:val="22"/>
                <w:szCs w:val="22"/>
                <w:highlight w:val="none"/>
              </w:rPr>
            </w:pPr>
            <w:r>
              <w:rPr>
                <w:rFonts w:hint="eastAsia" w:ascii="微软雅黑" w:hAnsi="微软雅黑" w:eastAsia="微软雅黑" w:cs="微软雅黑"/>
                <w:color w:val="auto"/>
                <w:sz w:val="22"/>
                <w:szCs w:val="22"/>
                <w:highlight w:val="none"/>
              </w:rPr>
              <w:t>投标保证金</w:t>
            </w:r>
            <w:r>
              <w:rPr>
                <w:rFonts w:hint="eastAsia" w:ascii="微软雅黑" w:hAnsi="微软雅黑" w:eastAsia="微软雅黑" w:cs="微软雅黑"/>
                <w:b w:val="0"/>
                <w:bCs w:val="0"/>
                <w:color w:val="auto"/>
                <w:sz w:val="22"/>
                <w:szCs w:val="22"/>
                <w:highlight w:val="none"/>
                <w:lang w:val="en-US" w:eastAsia="zh-CN"/>
              </w:rPr>
              <w:t>形式</w:t>
            </w:r>
            <w:r>
              <w:rPr>
                <w:rFonts w:hint="eastAsia" w:ascii="微软雅黑" w:hAnsi="微软雅黑" w:eastAsia="微软雅黑" w:cs="微软雅黑"/>
                <w:color w:val="auto"/>
                <w:sz w:val="22"/>
                <w:szCs w:val="22"/>
                <w:highlight w:val="none"/>
              </w:rPr>
              <w:t>：</w:t>
            </w:r>
            <w:r>
              <w:rPr>
                <w:rFonts w:hint="eastAsia" w:ascii="微软雅黑" w:hAnsi="微软雅黑" w:eastAsia="微软雅黑" w:cs="微软雅黑"/>
                <w:color w:val="auto"/>
                <w:sz w:val="22"/>
                <w:szCs w:val="22"/>
                <w:highlight w:val="none"/>
                <w:lang w:eastAsia="zh-CN"/>
              </w:rPr>
              <w:t>☑保函  ☑电汇  ☑支票  ☑对公转账  ☑汇票  ☑本票</w:t>
            </w:r>
            <w:r>
              <w:rPr>
                <w:rFonts w:hint="eastAsia" w:ascii="微软雅黑" w:hAnsi="微软雅黑" w:eastAsia="微软雅黑" w:cs="微软雅黑"/>
                <w:color w:val="auto"/>
                <w:sz w:val="22"/>
                <w:szCs w:val="22"/>
                <w:highlight w:val="none"/>
              </w:rPr>
              <w:t xml:space="preserve">  </w:t>
            </w:r>
            <w:r>
              <w:rPr>
                <w:rFonts w:hint="eastAsia" w:ascii="微软雅黑" w:hAnsi="微软雅黑" w:eastAsia="微软雅黑" w:cs="微软雅黑"/>
                <w:b w:val="0"/>
                <w:bCs w:val="0"/>
                <w:color w:val="auto"/>
                <w:sz w:val="22"/>
                <w:szCs w:val="22"/>
                <w:highlight w:val="none"/>
              </w:rPr>
              <w:t xml:space="preserve"> </w:t>
            </w:r>
          </w:p>
          <w:p w14:paraId="36AA0971">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投标保证金数额：（按照</w:t>
            </w:r>
            <w:r>
              <w:rPr>
                <w:rFonts w:hint="eastAsia" w:ascii="微软雅黑" w:hAnsi="微软雅黑" w:eastAsia="微软雅黑" w:cs="微软雅黑"/>
                <w:color w:val="auto"/>
                <w:sz w:val="22"/>
                <w:szCs w:val="22"/>
                <w:highlight w:val="none"/>
                <w:lang w:val="en-US" w:eastAsia="zh-CN"/>
              </w:rPr>
              <w:t>预算</w:t>
            </w:r>
            <w:r>
              <w:rPr>
                <w:rFonts w:hint="eastAsia" w:ascii="微软雅黑" w:hAnsi="微软雅黑" w:eastAsia="微软雅黑" w:cs="微软雅黑"/>
                <w:color w:val="auto"/>
                <w:sz w:val="22"/>
                <w:szCs w:val="22"/>
                <w:highlight w:val="none"/>
              </w:rPr>
              <w:t>金额2%以内的整数计算）</w:t>
            </w:r>
          </w:p>
          <w:p w14:paraId="032EF3A7">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微软雅黑" w:hAnsi="微软雅黑" w:eastAsia="微软雅黑" w:cs="微软雅黑"/>
                <w:b/>
                <w:bCs/>
                <w:color w:val="auto"/>
                <w:sz w:val="22"/>
                <w:szCs w:val="22"/>
                <w:highlight w:val="none"/>
                <w:lang w:val="en-US" w:eastAsia="zh-CN"/>
              </w:rPr>
            </w:pPr>
            <w:r>
              <w:rPr>
                <w:rFonts w:hint="eastAsia" w:ascii="微软雅黑" w:hAnsi="微软雅黑" w:eastAsia="微软雅黑" w:cs="微软雅黑"/>
                <w:b/>
                <w:bCs/>
                <w:color w:val="auto"/>
                <w:sz w:val="22"/>
                <w:szCs w:val="22"/>
                <w:highlight w:val="none"/>
                <w:lang w:val="en-US" w:eastAsia="zh-CN"/>
              </w:rPr>
              <w:t>标项一：小写：17000元（大写：壹万柒仟元整）</w:t>
            </w:r>
          </w:p>
          <w:p w14:paraId="6680969D">
            <w:pPr>
              <w:keepNext w:val="0"/>
              <w:keepLines w:val="0"/>
              <w:pageBreakBefore w:val="0"/>
              <w:widowControl w:val="0"/>
              <w:kinsoku/>
              <w:wordWrap/>
              <w:overflowPunct/>
              <w:topLinePunct w:val="0"/>
              <w:autoSpaceDE/>
              <w:autoSpaceDN/>
              <w:bidi w:val="0"/>
              <w:adjustRightInd/>
              <w:snapToGrid/>
              <w:spacing w:line="340" w:lineRule="exact"/>
              <w:textAlignment w:val="auto"/>
              <w:rPr>
                <w:rFonts w:hint="default" w:ascii="微软雅黑" w:hAnsi="微软雅黑" w:eastAsia="微软雅黑" w:cs="微软雅黑"/>
                <w:b/>
                <w:bCs/>
                <w:color w:val="auto"/>
                <w:sz w:val="22"/>
                <w:szCs w:val="22"/>
                <w:highlight w:val="none"/>
                <w:lang w:val="en-US" w:eastAsia="zh-CN"/>
              </w:rPr>
            </w:pPr>
            <w:r>
              <w:rPr>
                <w:rFonts w:hint="eastAsia" w:ascii="微软雅黑" w:hAnsi="微软雅黑" w:eastAsia="微软雅黑" w:cs="微软雅黑"/>
                <w:b/>
                <w:bCs/>
                <w:color w:val="auto"/>
                <w:sz w:val="22"/>
                <w:szCs w:val="22"/>
                <w:highlight w:val="none"/>
                <w:lang w:val="en-US" w:eastAsia="zh-CN"/>
              </w:rPr>
              <w:t>标项二：小写：11000元（大写：壹万壹仟元整）</w:t>
            </w:r>
          </w:p>
          <w:p w14:paraId="042738E8">
            <w:pPr>
              <w:keepNext w:val="0"/>
              <w:keepLines w:val="0"/>
              <w:pageBreakBefore w:val="0"/>
              <w:widowControl w:val="0"/>
              <w:kinsoku/>
              <w:wordWrap/>
              <w:overflowPunct/>
              <w:topLinePunct w:val="0"/>
              <w:autoSpaceDE/>
              <w:autoSpaceDN/>
              <w:bidi w:val="0"/>
              <w:adjustRightInd/>
              <w:snapToGrid/>
              <w:spacing w:line="340" w:lineRule="exact"/>
              <w:textAlignment w:val="auto"/>
              <w:rPr>
                <w:rFonts w:hint="default" w:ascii="微软雅黑" w:hAnsi="微软雅黑" w:eastAsia="微软雅黑" w:cs="微软雅黑"/>
                <w:b/>
                <w:bCs/>
                <w:color w:val="auto"/>
                <w:sz w:val="22"/>
                <w:szCs w:val="22"/>
                <w:highlight w:val="none"/>
                <w:lang w:val="en-US" w:eastAsia="zh-CN"/>
              </w:rPr>
            </w:pPr>
            <w:r>
              <w:rPr>
                <w:rFonts w:hint="eastAsia" w:ascii="微软雅黑" w:hAnsi="微软雅黑" w:eastAsia="微软雅黑" w:cs="微软雅黑"/>
                <w:b/>
                <w:bCs/>
                <w:color w:val="auto"/>
                <w:sz w:val="22"/>
                <w:szCs w:val="22"/>
                <w:highlight w:val="none"/>
                <w:lang w:val="en-US" w:eastAsia="zh-CN"/>
              </w:rPr>
              <w:t>标项三：小写：13000元（大写：壹万叁仟元整）</w:t>
            </w:r>
          </w:p>
          <w:p w14:paraId="5EC6C29A">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微软雅黑" w:hAnsi="微软雅黑" w:eastAsia="微软雅黑" w:cs="微软雅黑"/>
                <w:b/>
                <w:bCs/>
                <w:color w:val="auto"/>
                <w:sz w:val="22"/>
                <w:szCs w:val="22"/>
                <w:highlight w:val="none"/>
                <w:lang w:val="en-US" w:eastAsia="zh-CN"/>
              </w:rPr>
            </w:pPr>
            <w:r>
              <w:rPr>
                <w:rFonts w:hint="eastAsia" w:ascii="微软雅黑" w:hAnsi="微软雅黑" w:eastAsia="微软雅黑" w:cs="微软雅黑"/>
                <w:b/>
                <w:bCs/>
                <w:color w:val="auto"/>
                <w:sz w:val="22"/>
                <w:szCs w:val="22"/>
                <w:highlight w:val="none"/>
                <w:lang w:val="en-US" w:eastAsia="zh-CN"/>
              </w:rPr>
              <w:t>标项四：小写：4600元（大写：肆仟陆佰元整）</w:t>
            </w:r>
          </w:p>
          <w:p w14:paraId="20EE3D19">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投标保证金收款单位名称：新疆共建恒业信息咨询有限责任公司</w:t>
            </w:r>
          </w:p>
          <w:p w14:paraId="7B0EA5E1">
            <w:pPr>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开 户 行：乌鲁木齐银行喀什分行（营业部）</w:t>
            </w:r>
          </w:p>
          <w:p w14:paraId="733BB32C">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账    号：0000020080110025191371（电汇时请在汇款备注栏注明项目名称及</w:t>
            </w:r>
            <w:r>
              <w:rPr>
                <w:rFonts w:hint="eastAsia" w:ascii="微软雅黑" w:hAnsi="微软雅黑" w:eastAsia="微软雅黑" w:cs="微软雅黑"/>
                <w:color w:val="auto"/>
                <w:sz w:val="22"/>
                <w:szCs w:val="22"/>
                <w:highlight w:val="none"/>
                <w:lang w:eastAsia="zh-CN"/>
              </w:rPr>
              <w:t>标项</w:t>
            </w:r>
            <w:r>
              <w:rPr>
                <w:rFonts w:hint="eastAsia" w:ascii="微软雅黑" w:hAnsi="微软雅黑" w:eastAsia="微软雅黑" w:cs="微软雅黑"/>
                <w:color w:val="auto"/>
                <w:sz w:val="22"/>
                <w:szCs w:val="22"/>
                <w:highlight w:val="none"/>
              </w:rPr>
              <w:t>（如有），并注明是投标保证金</w:t>
            </w:r>
            <w:r>
              <w:rPr>
                <w:rFonts w:hint="eastAsia" w:ascii="微软雅黑" w:hAnsi="微软雅黑" w:eastAsia="微软雅黑" w:cs="微软雅黑"/>
                <w:color w:val="auto"/>
                <w:sz w:val="22"/>
                <w:szCs w:val="22"/>
                <w:highlight w:val="none"/>
                <w:lang w:eastAsia="zh-CN"/>
              </w:rPr>
              <w:t>。</w:t>
            </w:r>
            <w:r>
              <w:rPr>
                <w:rFonts w:hint="eastAsia" w:ascii="微软雅黑" w:hAnsi="微软雅黑" w:eastAsia="微软雅黑" w:cs="微软雅黑"/>
                <w:color w:val="auto"/>
                <w:sz w:val="22"/>
                <w:szCs w:val="22"/>
                <w:highlight w:val="none"/>
                <w:lang w:val="en-US" w:eastAsia="zh-CN"/>
              </w:rPr>
              <w:t>否则视为无效投标保证金。</w:t>
            </w:r>
            <w:r>
              <w:rPr>
                <w:rFonts w:hint="eastAsia" w:ascii="微软雅黑" w:hAnsi="微软雅黑" w:eastAsia="微软雅黑" w:cs="微软雅黑"/>
                <w:color w:val="auto"/>
                <w:sz w:val="22"/>
                <w:szCs w:val="22"/>
                <w:highlight w:val="none"/>
              </w:rPr>
              <w:t>）     </w:t>
            </w:r>
          </w:p>
          <w:p w14:paraId="5F9CB773">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行    号：313894000405</w:t>
            </w:r>
          </w:p>
          <w:p w14:paraId="0F57219C">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财务室联系方式：18209987338</w:t>
            </w:r>
          </w:p>
          <w:p w14:paraId="26C3F739">
            <w:pPr>
              <w:spacing w:line="340" w:lineRule="exact"/>
              <w:jc w:val="left"/>
              <w:rPr>
                <w:rFonts w:hint="eastAsia" w:ascii="微软雅黑" w:hAnsi="微软雅黑" w:eastAsia="微软雅黑" w:cs="微软雅黑"/>
                <w:b/>
                <w:bCs/>
                <w:sz w:val="22"/>
                <w:szCs w:val="22"/>
                <w:highlight w:val="none"/>
              </w:rPr>
            </w:pPr>
            <w:r>
              <w:rPr>
                <w:rFonts w:hint="eastAsia" w:ascii="微软雅黑" w:hAnsi="微软雅黑" w:eastAsia="微软雅黑" w:cs="微软雅黑"/>
                <w:b/>
                <w:bCs/>
                <w:sz w:val="22"/>
                <w:szCs w:val="22"/>
                <w:highlight w:val="none"/>
              </w:rPr>
              <w:t>A:缴纳投标保证金要求：</w:t>
            </w:r>
          </w:p>
          <w:p w14:paraId="2FD12207">
            <w:pPr>
              <w:spacing w:line="340" w:lineRule="exact"/>
              <w:ind w:firstLine="440" w:firstLineChars="200"/>
              <w:jc w:val="left"/>
              <w:rPr>
                <w:rFonts w:hint="eastAsia" w:ascii="微软雅黑" w:hAnsi="微软雅黑" w:eastAsia="微软雅黑" w:cs="微软雅黑"/>
                <w:b/>
                <w:bCs/>
                <w:sz w:val="22"/>
                <w:szCs w:val="22"/>
                <w:highlight w:val="none"/>
              </w:rPr>
            </w:pPr>
            <w:r>
              <w:rPr>
                <w:rFonts w:hint="eastAsia" w:ascii="微软雅黑" w:hAnsi="微软雅黑" w:eastAsia="微软雅黑" w:cs="微软雅黑"/>
                <w:b/>
                <w:bCs/>
                <w:sz w:val="22"/>
                <w:szCs w:val="22"/>
                <w:highlight w:val="none"/>
              </w:rPr>
              <w:t>投标保证金必须在开标前提交到代理机构账户中。不接受现金及任何个人、分公司汇款。供应商向银行办理保证金汇（转）款时，应在用途栏（备注栏）注明项目名称及</w:t>
            </w:r>
            <w:r>
              <w:rPr>
                <w:rFonts w:hint="eastAsia" w:ascii="微软雅黑" w:hAnsi="微软雅黑" w:eastAsia="微软雅黑" w:cs="微软雅黑"/>
                <w:b/>
                <w:bCs/>
                <w:sz w:val="22"/>
                <w:szCs w:val="22"/>
                <w:highlight w:val="none"/>
                <w:lang w:eastAsia="zh-CN"/>
              </w:rPr>
              <w:t>标项</w:t>
            </w:r>
            <w:r>
              <w:rPr>
                <w:rFonts w:hint="eastAsia" w:ascii="微软雅黑" w:hAnsi="微软雅黑" w:eastAsia="微软雅黑" w:cs="微软雅黑"/>
                <w:b/>
                <w:bCs/>
                <w:sz w:val="22"/>
                <w:szCs w:val="22"/>
                <w:highlight w:val="none"/>
              </w:rPr>
              <w:t>（如有），并注明是投标保证金字样，如填写字数有要求可简写项目名称与</w:t>
            </w:r>
            <w:r>
              <w:rPr>
                <w:rFonts w:hint="eastAsia" w:ascii="微软雅黑" w:hAnsi="微软雅黑" w:eastAsia="微软雅黑" w:cs="微软雅黑"/>
                <w:b/>
                <w:bCs/>
                <w:sz w:val="22"/>
                <w:szCs w:val="22"/>
                <w:highlight w:val="none"/>
                <w:lang w:eastAsia="zh-CN"/>
              </w:rPr>
              <w:t>标项</w:t>
            </w:r>
            <w:r>
              <w:rPr>
                <w:rFonts w:hint="eastAsia" w:ascii="微软雅黑" w:hAnsi="微软雅黑" w:eastAsia="微软雅黑" w:cs="微软雅黑"/>
                <w:b/>
                <w:bCs/>
                <w:sz w:val="22"/>
                <w:szCs w:val="22"/>
                <w:highlight w:val="none"/>
              </w:rPr>
              <w:t>（如有），由于未按要求注明信息而导致的一切后果由供应商自行承担。</w:t>
            </w:r>
          </w:p>
          <w:p w14:paraId="2A34371B">
            <w:pPr>
              <w:spacing w:line="340" w:lineRule="exact"/>
              <w:jc w:val="left"/>
              <w:rPr>
                <w:rFonts w:hint="eastAsia" w:ascii="微软雅黑" w:hAnsi="微软雅黑" w:eastAsia="微软雅黑" w:cs="微软雅黑"/>
                <w:b/>
                <w:bCs/>
                <w:sz w:val="22"/>
                <w:szCs w:val="22"/>
                <w:highlight w:val="none"/>
              </w:rPr>
            </w:pPr>
            <w:r>
              <w:rPr>
                <w:rFonts w:hint="eastAsia" w:ascii="微软雅黑" w:hAnsi="微软雅黑" w:eastAsia="微软雅黑" w:cs="微软雅黑"/>
                <w:b/>
                <w:bCs/>
                <w:sz w:val="22"/>
                <w:szCs w:val="22"/>
                <w:highlight w:val="none"/>
              </w:rPr>
              <w:t>B：退投标保证金：</w:t>
            </w:r>
          </w:p>
          <w:p w14:paraId="17AA077A">
            <w:pPr>
              <w:spacing w:line="340" w:lineRule="exact"/>
              <w:jc w:val="left"/>
              <w:rPr>
                <w:rFonts w:hint="eastAsia" w:ascii="微软雅黑" w:hAnsi="微软雅黑" w:eastAsia="微软雅黑" w:cs="微软雅黑"/>
                <w:b/>
                <w:bCs/>
                <w:sz w:val="22"/>
                <w:szCs w:val="22"/>
                <w:highlight w:val="none"/>
              </w:rPr>
            </w:pPr>
            <w:r>
              <w:rPr>
                <w:rFonts w:hint="eastAsia" w:ascii="微软雅黑" w:hAnsi="微软雅黑" w:eastAsia="微软雅黑" w:cs="微软雅黑"/>
                <w:b/>
                <w:bCs/>
                <w:sz w:val="22"/>
                <w:szCs w:val="22"/>
                <w:highlight w:val="none"/>
              </w:rPr>
              <w:t>（1）根据中华人民共和国财政部令第87号--《政府采购货物和</w:t>
            </w:r>
            <w:r>
              <w:rPr>
                <w:rFonts w:hint="eastAsia" w:ascii="微软雅黑" w:hAnsi="微软雅黑" w:eastAsia="微软雅黑" w:cs="微软雅黑"/>
                <w:b/>
                <w:bCs/>
                <w:sz w:val="22"/>
                <w:szCs w:val="22"/>
                <w:highlight w:val="none"/>
                <w:lang w:val="en-US" w:eastAsia="zh-CN"/>
              </w:rPr>
              <w:t>服务</w:t>
            </w:r>
            <w:r>
              <w:rPr>
                <w:rFonts w:hint="eastAsia" w:ascii="微软雅黑" w:hAnsi="微软雅黑" w:eastAsia="微软雅黑" w:cs="微软雅黑"/>
                <w:b/>
                <w:bCs/>
                <w:sz w:val="22"/>
                <w:szCs w:val="22"/>
                <w:highlight w:val="none"/>
              </w:rPr>
              <w:t>招标投标管理办法》第三十八条供应商在投标截止时间前撤回已提交的投标文件的，采购人或者采购代理机构应当自收到供应商书面撤回通知之日起５个工作日内，退还已收取的投标保证金，但因供应商自身原因导致无法及时退还的除外。采购人或者采购代理机构应当自中标通知书发出之日起5个工作日内退还未中标供应商的投标保证金，自采购合同签订之日起5个工作日内退还中标供应商的投标保证金。</w:t>
            </w:r>
          </w:p>
          <w:p w14:paraId="54F80AA3">
            <w:pPr>
              <w:keepNext w:val="0"/>
              <w:keepLines w:val="0"/>
              <w:pageBreakBefore w:val="0"/>
              <w:widowControl w:val="0"/>
              <w:numPr>
                <w:ilvl w:val="0"/>
                <w:numId w:val="0"/>
              </w:numPr>
              <w:kinsoku/>
              <w:wordWrap/>
              <w:overflowPunct/>
              <w:topLinePunct w:val="0"/>
              <w:autoSpaceDE/>
              <w:autoSpaceDN/>
              <w:bidi w:val="0"/>
              <w:adjustRightInd/>
              <w:snapToGrid/>
              <w:spacing w:line="340" w:lineRule="exact"/>
              <w:jc w:val="left"/>
              <w:textAlignment w:val="auto"/>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b/>
                <w:bCs/>
                <w:sz w:val="22"/>
                <w:szCs w:val="22"/>
                <w:highlight w:val="none"/>
              </w:rPr>
              <w:t>（2）</w:t>
            </w:r>
            <w:r>
              <w:rPr>
                <w:rFonts w:hint="eastAsia" w:ascii="微软雅黑" w:hAnsi="微软雅黑" w:eastAsia="微软雅黑" w:cs="微软雅黑"/>
                <w:sz w:val="20"/>
                <w:szCs w:val="22"/>
                <w:highlight w:val="none"/>
              </w:rPr>
              <w:fldChar w:fldCharType="begin"/>
            </w:r>
            <w:r>
              <w:rPr>
                <w:rFonts w:hint="eastAsia" w:ascii="微软雅黑" w:hAnsi="微软雅黑" w:eastAsia="微软雅黑" w:cs="微软雅黑"/>
                <w:sz w:val="20"/>
                <w:szCs w:val="22"/>
                <w:highlight w:val="none"/>
              </w:rPr>
              <w:instrText xml:space="preserve"> HYPERLINK "mailto:中标供应商的投标保证金在与采购单位签订合同后，把合同扫描件发送至邮箱3465165565@qq.com后，当日或次日即原账户退回。" </w:instrText>
            </w:r>
            <w:r>
              <w:rPr>
                <w:rFonts w:hint="eastAsia" w:ascii="微软雅黑" w:hAnsi="微软雅黑" w:eastAsia="微软雅黑" w:cs="微软雅黑"/>
                <w:sz w:val="20"/>
                <w:szCs w:val="22"/>
                <w:highlight w:val="none"/>
              </w:rPr>
              <w:fldChar w:fldCharType="separate"/>
            </w:r>
            <w:r>
              <w:rPr>
                <w:rFonts w:hint="eastAsia" w:ascii="微软雅黑" w:hAnsi="微软雅黑" w:eastAsia="微软雅黑" w:cs="微软雅黑"/>
                <w:b/>
                <w:bCs/>
                <w:sz w:val="22"/>
                <w:szCs w:val="22"/>
                <w:highlight w:val="none"/>
              </w:rPr>
              <w:t>中标供应商的投标保证金在与采购单位签订合同后，把合同扫描件发送至邮箱3465165565@qq.com后，当日或次日即原账户退回。</w:t>
            </w:r>
            <w:r>
              <w:rPr>
                <w:rFonts w:hint="eastAsia" w:ascii="微软雅黑" w:hAnsi="微软雅黑" w:eastAsia="微软雅黑" w:cs="微软雅黑"/>
                <w:b/>
                <w:bCs/>
                <w:sz w:val="22"/>
                <w:szCs w:val="22"/>
                <w:highlight w:val="none"/>
              </w:rPr>
              <w:fldChar w:fldCharType="end"/>
            </w:r>
          </w:p>
        </w:tc>
      </w:tr>
      <w:tr w14:paraId="52E1F5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trPr>
        <w:tc>
          <w:tcPr>
            <w:tcW w:w="1378" w:type="dxa"/>
            <w:vAlign w:val="center"/>
          </w:tcPr>
          <w:p w14:paraId="4E1B32C5">
            <w:pPr>
              <w:keepNext w:val="0"/>
              <w:keepLines w:val="0"/>
              <w:pageBreakBefore w:val="0"/>
              <w:kinsoku/>
              <w:wordWrap/>
              <w:overflowPunct/>
              <w:topLinePunct w:val="0"/>
              <w:autoSpaceDE/>
              <w:autoSpaceDN/>
              <w:bidi w:val="0"/>
              <w:adjustRightInd/>
              <w:snapToGrid/>
              <w:spacing w:line="360" w:lineRule="exact"/>
              <w:ind w:left="1080" w:leftChars="257" w:hanging="54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13.1</w:t>
            </w:r>
          </w:p>
        </w:tc>
        <w:tc>
          <w:tcPr>
            <w:tcW w:w="7882" w:type="dxa"/>
            <w:vAlign w:val="center"/>
          </w:tcPr>
          <w:p w14:paraId="7FAA1E57">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sz w:val="22"/>
                <w:szCs w:val="22"/>
                <w:highlight w:val="none"/>
                <w:u w:val="single"/>
              </w:rPr>
            </w:pPr>
            <w:r>
              <w:rPr>
                <w:rFonts w:hint="eastAsia" w:ascii="微软雅黑" w:hAnsi="微软雅黑" w:eastAsia="微软雅黑" w:cs="微软雅黑"/>
                <w:color w:val="auto"/>
                <w:sz w:val="22"/>
                <w:szCs w:val="22"/>
                <w:highlight w:val="none"/>
              </w:rPr>
              <w:t>投标有效期：</w:t>
            </w:r>
            <w:r>
              <w:rPr>
                <w:rFonts w:hint="eastAsia" w:ascii="微软雅黑" w:hAnsi="微软雅黑" w:eastAsia="微软雅黑" w:cs="微软雅黑"/>
                <w:color w:val="auto"/>
                <w:sz w:val="22"/>
                <w:szCs w:val="22"/>
                <w:highlight w:val="none"/>
                <w:u w:val="single"/>
              </w:rPr>
              <w:t>　</w:t>
            </w:r>
            <w:r>
              <w:rPr>
                <w:rFonts w:hint="eastAsia" w:ascii="微软雅黑" w:hAnsi="微软雅黑" w:eastAsia="微软雅黑" w:cs="微软雅黑"/>
                <w:color w:val="auto"/>
                <w:sz w:val="22"/>
                <w:szCs w:val="22"/>
                <w:highlight w:val="none"/>
                <w:u w:val="single"/>
                <w:lang w:val="en-US" w:eastAsia="zh-CN"/>
              </w:rPr>
              <w:t>90</w:t>
            </w:r>
            <w:r>
              <w:rPr>
                <w:rFonts w:hint="eastAsia" w:ascii="微软雅黑" w:hAnsi="微软雅黑" w:eastAsia="微软雅黑" w:cs="微软雅黑"/>
                <w:color w:val="auto"/>
                <w:sz w:val="22"/>
                <w:szCs w:val="22"/>
                <w:highlight w:val="none"/>
                <w:u w:val="single"/>
              </w:rPr>
              <w:t>　</w:t>
            </w:r>
            <w:r>
              <w:rPr>
                <w:rFonts w:hint="eastAsia" w:ascii="微软雅黑" w:hAnsi="微软雅黑" w:eastAsia="微软雅黑" w:cs="微软雅黑"/>
                <w:color w:val="auto"/>
                <w:sz w:val="22"/>
                <w:szCs w:val="22"/>
                <w:highlight w:val="none"/>
              </w:rPr>
              <w:t>日历日</w:t>
            </w:r>
          </w:p>
        </w:tc>
      </w:tr>
      <w:tr w14:paraId="07F80C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77" w:hRule="atLeast"/>
        </w:trPr>
        <w:tc>
          <w:tcPr>
            <w:tcW w:w="1378" w:type="dxa"/>
            <w:vAlign w:val="center"/>
          </w:tcPr>
          <w:p w14:paraId="4636B37A">
            <w:pPr>
              <w:keepNext w:val="0"/>
              <w:keepLines w:val="0"/>
              <w:pageBreakBefore w:val="0"/>
              <w:kinsoku/>
              <w:wordWrap/>
              <w:overflowPunct/>
              <w:topLinePunct w:val="0"/>
              <w:autoSpaceDE/>
              <w:autoSpaceDN/>
              <w:bidi w:val="0"/>
              <w:adjustRightInd/>
              <w:snapToGrid/>
              <w:spacing w:line="360" w:lineRule="exact"/>
              <w:ind w:left="1080" w:leftChars="257" w:hanging="54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14.1</w:t>
            </w:r>
          </w:p>
        </w:tc>
        <w:tc>
          <w:tcPr>
            <w:tcW w:w="7882" w:type="dxa"/>
            <w:vAlign w:val="center"/>
          </w:tcPr>
          <w:p w14:paraId="4782E045">
            <w:pPr>
              <w:keepNext w:val="0"/>
              <w:keepLines w:val="0"/>
              <w:pageBreakBefore w:val="0"/>
              <w:widowControl w:val="0"/>
              <w:kinsoku/>
              <w:wordWrap w:val="0"/>
              <w:overflowPunct/>
              <w:topLinePunct w:val="0"/>
              <w:autoSpaceDE/>
              <w:autoSpaceDN/>
              <w:bidi w:val="0"/>
              <w:adjustRightInd/>
              <w:snapToGrid/>
              <w:spacing w:line="400" w:lineRule="exact"/>
              <w:jc w:val="left"/>
              <w:textAlignment w:val="auto"/>
              <w:rPr>
                <w:rFonts w:hint="eastAsia" w:ascii="微软雅黑" w:hAnsi="微软雅黑" w:eastAsia="微软雅黑" w:cs="微软雅黑"/>
                <w:b/>
                <w:bCs/>
                <w:color w:val="auto"/>
                <w:sz w:val="22"/>
                <w:szCs w:val="22"/>
                <w:highlight w:val="none"/>
                <w:lang w:val="en-US" w:eastAsia="zh-CN"/>
              </w:rPr>
            </w:pPr>
            <w:r>
              <w:rPr>
                <w:rFonts w:hint="eastAsia" w:ascii="微软雅黑" w:hAnsi="微软雅黑" w:eastAsia="微软雅黑" w:cs="微软雅黑"/>
                <w:b/>
                <w:bCs/>
                <w:color w:val="auto"/>
                <w:sz w:val="22"/>
                <w:szCs w:val="22"/>
                <w:highlight w:val="none"/>
              </w:rPr>
              <w:t>（1）本项目为电子招投标，供应商需要使用CA加密设备，凡参加本项目必须可自主通过新疆CA申领渠道“新疆政务通”申请政采云平台可使用的CA设备，如原有兵团或公共资源使用的CA，可与新疆CA联系，申请增加电子证书即可，无需重复申领。如需咨询，请联系新疆CA服务热线0991-2819290</w:t>
            </w:r>
            <w:r>
              <w:rPr>
                <w:rFonts w:hint="eastAsia" w:ascii="微软雅黑" w:hAnsi="微软雅黑" w:eastAsia="微软雅黑" w:cs="微软雅黑"/>
                <w:b/>
                <w:bCs/>
                <w:color w:val="auto"/>
                <w:sz w:val="22"/>
                <w:szCs w:val="22"/>
                <w:highlight w:val="none"/>
                <w:lang w:eastAsia="zh-CN"/>
              </w:rPr>
              <w:t>。</w:t>
            </w:r>
          </w:p>
          <w:p w14:paraId="39C109C4">
            <w:pPr>
              <w:keepNext w:val="0"/>
              <w:keepLines w:val="0"/>
              <w:pageBreakBefore w:val="0"/>
              <w:widowControl w:val="0"/>
              <w:kinsoku/>
              <w:wordWrap w:val="0"/>
              <w:overflowPunct/>
              <w:topLinePunct w:val="0"/>
              <w:autoSpaceDE/>
              <w:autoSpaceDN/>
              <w:bidi w:val="0"/>
              <w:adjustRightInd/>
              <w:snapToGrid/>
              <w:spacing w:line="400" w:lineRule="exact"/>
              <w:jc w:val="left"/>
              <w:textAlignment w:val="auto"/>
              <w:rPr>
                <w:rFonts w:hint="eastAsia" w:ascii="微软雅黑" w:hAnsi="微软雅黑" w:eastAsia="微软雅黑" w:cs="微软雅黑"/>
                <w:b/>
                <w:bCs/>
                <w:color w:val="auto"/>
                <w:sz w:val="22"/>
                <w:szCs w:val="22"/>
                <w:highlight w:val="none"/>
              </w:rPr>
            </w:pPr>
            <w:r>
              <w:rPr>
                <w:rFonts w:hint="eastAsia" w:ascii="微软雅黑" w:hAnsi="微软雅黑" w:eastAsia="微软雅黑" w:cs="微软雅黑"/>
                <w:b/>
                <w:bCs/>
                <w:color w:val="auto"/>
                <w:sz w:val="22"/>
                <w:szCs w:val="22"/>
                <w:highlight w:val="none"/>
              </w:rPr>
              <w:t>（2）本项目实行网上投标，采用电子投标文件(供应商须使用CA加密设备通过政采云电子投标客户端制作投标文件)。若供应商参与投标，自行承担投标一切费用。</w:t>
            </w:r>
          </w:p>
          <w:p w14:paraId="44855BA4">
            <w:pPr>
              <w:keepNext w:val="0"/>
              <w:keepLines w:val="0"/>
              <w:pageBreakBefore w:val="0"/>
              <w:widowControl w:val="0"/>
              <w:kinsoku/>
              <w:wordWrap w:val="0"/>
              <w:overflowPunct/>
              <w:topLinePunct w:val="0"/>
              <w:autoSpaceDE/>
              <w:autoSpaceDN/>
              <w:bidi w:val="0"/>
              <w:adjustRightInd/>
              <w:snapToGrid/>
              <w:spacing w:line="400" w:lineRule="exact"/>
              <w:jc w:val="left"/>
              <w:textAlignment w:val="auto"/>
              <w:rPr>
                <w:rFonts w:hint="eastAsia" w:ascii="微软雅黑" w:hAnsi="微软雅黑" w:eastAsia="微软雅黑" w:cs="微软雅黑"/>
                <w:b/>
                <w:bCs/>
                <w:color w:val="auto"/>
                <w:sz w:val="22"/>
                <w:szCs w:val="22"/>
                <w:highlight w:val="none"/>
              </w:rPr>
            </w:pPr>
            <w:r>
              <w:rPr>
                <w:rFonts w:hint="eastAsia" w:ascii="微软雅黑" w:hAnsi="微软雅黑" w:eastAsia="微软雅黑" w:cs="微软雅黑"/>
                <w:b/>
                <w:bCs/>
                <w:color w:val="auto"/>
                <w:sz w:val="22"/>
                <w:szCs w:val="22"/>
                <w:highlight w:val="none"/>
              </w:rPr>
              <w:t>（3）各供应商应在开标前应确保成为新疆政府采购网正式注册入库供应商，并完成CA数字证书申领。因未注册入库、未办理CA数字证书等原因造成无法投标或投标失败等后果由供应商自行承担。</w:t>
            </w:r>
          </w:p>
          <w:p w14:paraId="548CC862">
            <w:pPr>
              <w:keepNext w:val="0"/>
              <w:keepLines w:val="0"/>
              <w:pageBreakBefore w:val="0"/>
              <w:widowControl w:val="0"/>
              <w:kinsoku/>
              <w:wordWrap w:val="0"/>
              <w:overflowPunct/>
              <w:topLinePunct w:val="0"/>
              <w:autoSpaceDE/>
              <w:autoSpaceDN/>
              <w:bidi w:val="0"/>
              <w:adjustRightInd/>
              <w:snapToGrid/>
              <w:spacing w:line="400" w:lineRule="exact"/>
              <w:jc w:val="left"/>
              <w:textAlignment w:val="auto"/>
              <w:rPr>
                <w:rFonts w:hint="eastAsia" w:ascii="微软雅黑" w:hAnsi="微软雅黑" w:eastAsia="微软雅黑" w:cs="微软雅黑"/>
                <w:b/>
                <w:bCs/>
                <w:color w:val="auto"/>
                <w:sz w:val="22"/>
                <w:szCs w:val="22"/>
                <w:highlight w:val="none"/>
              </w:rPr>
            </w:pPr>
            <w:r>
              <w:rPr>
                <w:rFonts w:hint="eastAsia" w:ascii="微软雅黑" w:hAnsi="微软雅黑" w:eastAsia="微软雅黑" w:cs="微软雅黑"/>
                <w:b/>
                <w:bCs/>
                <w:color w:val="auto"/>
                <w:sz w:val="22"/>
                <w:szCs w:val="22"/>
                <w:highlight w:val="none"/>
              </w:rPr>
              <w:t>（4）供应商将政采云电子交易客户端下载、安装完成后，可通过账号密码或CA登录客户端进行投标文件制作。在使用政采云投标客户端时，建议使用WIN7及以上操作系统。客户端请至新疆政府采购网（http://www.ccgp-xinjiang.gov.cn/）下载专区查看，如有问题可拨打政采云客户服务热线95763进行咨询。</w:t>
            </w:r>
          </w:p>
          <w:p w14:paraId="5E610DBA">
            <w:pPr>
              <w:keepNext w:val="0"/>
              <w:keepLines w:val="0"/>
              <w:pageBreakBefore w:val="0"/>
              <w:widowControl w:val="0"/>
              <w:kinsoku/>
              <w:wordWrap w:val="0"/>
              <w:overflowPunct/>
              <w:topLinePunct w:val="0"/>
              <w:autoSpaceDE/>
              <w:autoSpaceDN/>
              <w:bidi w:val="0"/>
              <w:adjustRightInd/>
              <w:snapToGrid/>
              <w:spacing w:line="400" w:lineRule="exact"/>
              <w:jc w:val="left"/>
              <w:textAlignment w:val="auto"/>
              <w:rPr>
                <w:rFonts w:hint="eastAsia" w:ascii="微软雅黑" w:hAnsi="微软雅黑" w:eastAsia="微软雅黑" w:cs="微软雅黑"/>
                <w:b/>
                <w:bCs/>
                <w:color w:val="auto"/>
                <w:sz w:val="22"/>
                <w:szCs w:val="22"/>
                <w:highlight w:val="none"/>
              </w:rPr>
            </w:pPr>
            <w:r>
              <w:rPr>
                <w:rFonts w:hint="eastAsia" w:ascii="微软雅黑" w:hAnsi="微软雅黑" w:eastAsia="微软雅黑" w:cs="微软雅黑"/>
                <w:b/>
                <w:bCs/>
                <w:color w:val="auto"/>
                <w:sz w:val="22"/>
                <w:szCs w:val="22"/>
                <w:highlight w:val="none"/>
              </w:rPr>
              <w:t>（5）供应商在开标时须使用制作加密电子投标文件所使用的CA锁及电脑，电脑须提前配置好浏览器（建议使用360浏览器或谷歌浏览器），以便开标时解锁。</w:t>
            </w:r>
          </w:p>
          <w:p w14:paraId="3111A9A7">
            <w:pPr>
              <w:keepNext w:val="0"/>
              <w:keepLines w:val="0"/>
              <w:pageBreakBefore w:val="0"/>
              <w:widowControl w:val="0"/>
              <w:kinsoku/>
              <w:wordWrap w:val="0"/>
              <w:overflowPunct/>
              <w:topLinePunct w:val="0"/>
              <w:autoSpaceDE/>
              <w:autoSpaceDN/>
              <w:bidi w:val="0"/>
              <w:adjustRightInd/>
              <w:snapToGrid/>
              <w:spacing w:line="400" w:lineRule="exact"/>
              <w:jc w:val="left"/>
              <w:textAlignment w:val="auto"/>
              <w:rPr>
                <w:rFonts w:hint="eastAsia" w:ascii="微软雅黑" w:hAnsi="微软雅黑" w:eastAsia="微软雅黑" w:cs="微软雅黑"/>
                <w:b/>
                <w:bCs/>
                <w:color w:val="auto"/>
                <w:sz w:val="22"/>
                <w:szCs w:val="22"/>
                <w:highlight w:val="none"/>
              </w:rPr>
            </w:pPr>
            <w:r>
              <w:rPr>
                <w:rFonts w:hint="eastAsia" w:ascii="微软雅黑" w:hAnsi="微软雅黑" w:eastAsia="微软雅黑" w:cs="微软雅黑"/>
                <w:b/>
                <w:bCs/>
                <w:color w:val="auto"/>
                <w:sz w:val="22"/>
                <w:szCs w:val="22"/>
                <w:highlight w:val="none"/>
              </w:rPr>
              <w:t>（6）投标保证金缴纳及确认时间：凡拟参加本次招标项目的供应商，必须在开标前将投标保证金汇入指定账户。否则，届时其投标将被拒绝。</w:t>
            </w:r>
          </w:p>
          <w:p w14:paraId="2CDA3D64">
            <w:pPr>
              <w:keepNext w:val="0"/>
              <w:keepLines w:val="0"/>
              <w:pageBreakBefore w:val="0"/>
              <w:widowControl w:val="0"/>
              <w:kinsoku/>
              <w:wordWrap w:val="0"/>
              <w:overflowPunct/>
              <w:topLinePunct w:val="0"/>
              <w:autoSpaceDE/>
              <w:autoSpaceDN/>
              <w:bidi w:val="0"/>
              <w:adjustRightInd/>
              <w:snapToGrid/>
              <w:spacing w:line="400" w:lineRule="exact"/>
              <w:jc w:val="left"/>
              <w:textAlignment w:val="auto"/>
              <w:rPr>
                <w:rFonts w:hint="eastAsia" w:ascii="微软雅黑" w:hAnsi="微软雅黑" w:eastAsia="微软雅黑" w:cs="微软雅黑"/>
                <w:b/>
                <w:bCs/>
                <w:color w:val="auto"/>
                <w:sz w:val="22"/>
                <w:szCs w:val="22"/>
                <w:highlight w:val="none"/>
              </w:rPr>
            </w:pPr>
            <w:r>
              <w:rPr>
                <w:rFonts w:hint="eastAsia" w:ascii="微软雅黑" w:hAnsi="微软雅黑" w:eastAsia="微软雅黑" w:cs="微软雅黑"/>
                <w:b/>
                <w:bCs/>
                <w:color w:val="auto"/>
                <w:sz w:val="22"/>
                <w:szCs w:val="22"/>
                <w:highlight w:val="none"/>
              </w:rPr>
              <w:t>（7）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供应商钉钉群号：政采云新疆网超供应商服务二十群：35547618（如已加入1-19群，无需重复加入），钉钉工具软件具有回放功能，直播培训结束后可在钉钉群中回放观看学习。</w:t>
            </w:r>
          </w:p>
          <w:p w14:paraId="42F04E0A">
            <w:pPr>
              <w:keepNext w:val="0"/>
              <w:keepLines w:val="0"/>
              <w:pageBreakBefore w:val="0"/>
              <w:widowControl w:val="0"/>
              <w:shd w:val="clear"/>
              <w:kinsoku/>
              <w:wordWrap w:val="0"/>
              <w:overflowPunct/>
              <w:topLinePunct w:val="0"/>
              <w:autoSpaceDE/>
              <w:autoSpaceDN/>
              <w:bidi w:val="0"/>
              <w:adjustRightInd/>
              <w:snapToGrid/>
              <w:spacing w:beforeAutospacing="0" w:afterAutospacing="0" w:line="400" w:lineRule="exact"/>
              <w:jc w:val="left"/>
              <w:textAlignment w:val="auto"/>
              <w:rPr>
                <w:rFonts w:hint="eastAsia" w:ascii="微软雅黑" w:hAnsi="微软雅黑" w:eastAsia="微软雅黑" w:cs="微软雅黑"/>
                <w:b/>
                <w:bCs/>
                <w:color w:val="auto"/>
                <w:sz w:val="22"/>
                <w:szCs w:val="22"/>
                <w:highlight w:val="none"/>
                <w:lang w:val="en-US" w:eastAsia="zh-CN"/>
              </w:rPr>
            </w:pPr>
            <w:r>
              <w:rPr>
                <w:rFonts w:hint="eastAsia" w:ascii="微软雅黑" w:hAnsi="微软雅黑" w:eastAsia="微软雅黑" w:cs="微软雅黑"/>
                <w:b/>
                <w:bCs/>
                <w:color w:val="auto"/>
                <w:sz w:val="22"/>
                <w:szCs w:val="22"/>
                <w:highlight w:val="none"/>
                <w:lang w:val="en-US" w:eastAsia="zh-CN"/>
              </w:rPr>
              <w:t>（8）各供应商须在投标截止时间前完成在系统上递交电子投标文件。投标供应商的电子投标文件是经过CA证书加密后上传提交的，任何单位或个人均无法在投标截止时间(即投标时间)之前查看或篡改，不存在泄密风险。（严格按照政采云电子投标流程制作并上传完整版的电子投标文件后缀为.jmbs，包含第一部分开标一览表及资格证明文件、第二部分商务及技术文件）</w:t>
            </w:r>
          </w:p>
          <w:p w14:paraId="66C6A16B">
            <w:pPr>
              <w:keepNext w:val="0"/>
              <w:keepLines w:val="0"/>
              <w:pageBreakBefore w:val="0"/>
              <w:widowControl w:val="0"/>
              <w:shd w:val="clear"/>
              <w:kinsoku/>
              <w:wordWrap w:val="0"/>
              <w:overflowPunct/>
              <w:topLinePunct w:val="0"/>
              <w:autoSpaceDE/>
              <w:autoSpaceDN/>
              <w:bidi w:val="0"/>
              <w:adjustRightInd/>
              <w:snapToGrid/>
              <w:spacing w:beforeAutospacing="0" w:afterAutospacing="0" w:line="400" w:lineRule="exact"/>
              <w:jc w:val="left"/>
              <w:textAlignment w:val="auto"/>
              <w:rPr>
                <w:rFonts w:hint="eastAsia" w:ascii="微软雅黑" w:hAnsi="微软雅黑" w:eastAsia="微软雅黑" w:cs="微软雅黑"/>
                <w:b/>
                <w:bCs/>
                <w:color w:val="auto"/>
                <w:sz w:val="22"/>
                <w:szCs w:val="22"/>
                <w:highlight w:val="none"/>
                <w:lang w:val="en-US" w:eastAsia="zh-CN"/>
              </w:rPr>
            </w:pPr>
            <w:r>
              <w:rPr>
                <w:rFonts w:hint="eastAsia" w:ascii="微软雅黑" w:hAnsi="微软雅黑" w:eastAsia="微软雅黑" w:cs="微软雅黑"/>
                <w:b/>
                <w:bCs/>
                <w:color w:val="auto"/>
                <w:sz w:val="22"/>
                <w:szCs w:val="22"/>
                <w:highlight w:val="none"/>
                <w:lang w:val="en-US" w:eastAsia="zh-CN"/>
              </w:rPr>
              <w:t>（9）各供应商应完整地按招标文件提供的投标文件格式及要求编写投标文件，，根据平台关联点上传对应佐证资料，商务技术文件模块应上传包括“开标一览表及资格证明文件”和“商务及技术文件”两部分。</w:t>
            </w:r>
          </w:p>
          <w:p w14:paraId="0D426089">
            <w:pPr>
              <w:keepNext w:val="0"/>
              <w:keepLines w:val="0"/>
              <w:pageBreakBefore w:val="0"/>
              <w:widowControl w:val="0"/>
              <w:shd w:val="clear"/>
              <w:kinsoku/>
              <w:wordWrap w:val="0"/>
              <w:overflowPunct/>
              <w:topLinePunct w:val="0"/>
              <w:autoSpaceDE/>
              <w:autoSpaceDN/>
              <w:bidi w:val="0"/>
              <w:adjustRightInd/>
              <w:snapToGrid/>
              <w:spacing w:beforeAutospacing="0" w:afterAutospacing="0" w:line="400" w:lineRule="exact"/>
              <w:jc w:val="left"/>
              <w:textAlignment w:val="auto"/>
              <w:rPr>
                <w:rFonts w:hint="eastAsia" w:ascii="微软雅黑" w:hAnsi="微软雅黑" w:eastAsia="微软雅黑" w:cs="微软雅黑"/>
                <w:b/>
                <w:bCs/>
                <w:color w:val="auto"/>
                <w:sz w:val="22"/>
                <w:szCs w:val="22"/>
                <w:highlight w:val="none"/>
                <w:lang w:val="en-US" w:eastAsia="zh-CN"/>
              </w:rPr>
            </w:pPr>
            <w:r>
              <w:rPr>
                <w:rFonts w:hint="eastAsia" w:ascii="微软雅黑" w:hAnsi="微软雅黑" w:eastAsia="微软雅黑" w:cs="微软雅黑"/>
                <w:b/>
                <w:bCs/>
                <w:color w:val="auto"/>
                <w:sz w:val="22"/>
                <w:szCs w:val="22"/>
                <w:highlight w:val="none"/>
                <w:lang w:val="en-US" w:eastAsia="zh-CN"/>
              </w:rPr>
              <w:t>（提示：供应商在政采云投标客户端中制作上传投标文件时，须将完整版投标文件.pdf上传至该系统中的“商务及技术文件”模块。）</w:t>
            </w:r>
          </w:p>
          <w:p w14:paraId="49BCBE3E">
            <w:pPr>
              <w:pStyle w:val="25"/>
              <w:keepNext w:val="0"/>
              <w:keepLines w:val="0"/>
              <w:pageBreakBefore w:val="0"/>
              <w:widowControl w:val="0"/>
              <w:kinsoku/>
              <w:wordWrap w:val="0"/>
              <w:overflowPunct/>
              <w:topLinePunct w:val="0"/>
              <w:autoSpaceDE/>
              <w:autoSpaceDN/>
              <w:bidi w:val="0"/>
              <w:adjustRightInd/>
              <w:snapToGrid/>
              <w:spacing w:line="340" w:lineRule="exact"/>
              <w:textAlignment w:val="auto"/>
              <w:rPr>
                <w:rFonts w:hint="eastAsia" w:ascii="微软雅黑" w:hAnsi="微软雅黑" w:eastAsia="微软雅黑" w:cs="微软雅黑"/>
                <w:color w:val="auto"/>
                <w:sz w:val="16"/>
                <w:szCs w:val="22"/>
                <w:highlight w:val="none"/>
              </w:rPr>
            </w:pPr>
            <w:r>
              <w:rPr>
                <w:rFonts w:hint="eastAsia" w:ascii="微软雅黑" w:hAnsi="微软雅黑" w:eastAsia="微软雅黑" w:cs="微软雅黑"/>
                <w:b/>
                <w:bCs/>
                <w:color w:val="auto"/>
                <w:sz w:val="22"/>
                <w:szCs w:val="22"/>
                <w:highlight w:val="none"/>
                <w:lang w:val="en-US" w:eastAsia="zh-CN"/>
              </w:rPr>
              <w:t>（10）解密时长为30分钟，超出解密时长，作无效投标处理。</w:t>
            </w:r>
          </w:p>
        </w:tc>
      </w:tr>
      <w:tr w14:paraId="522413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87" w:hRule="atLeast"/>
        </w:trPr>
        <w:tc>
          <w:tcPr>
            <w:tcW w:w="1378" w:type="dxa"/>
            <w:vAlign w:val="center"/>
          </w:tcPr>
          <w:p w14:paraId="59E404F6">
            <w:pPr>
              <w:keepNext w:val="0"/>
              <w:keepLines w:val="0"/>
              <w:pageBreakBefore w:val="0"/>
              <w:kinsoku/>
              <w:wordWrap/>
              <w:overflowPunct/>
              <w:topLinePunct w:val="0"/>
              <w:autoSpaceDE/>
              <w:autoSpaceDN/>
              <w:bidi w:val="0"/>
              <w:adjustRightInd/>
              <w:snapToGrid/>
              <w:spacing w:line="360" w:lineRule="exact"/>
              <w:ind w:left="1080" w:leftChars="257" w:hanging="54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16.1</w:t>
            </w:r>
          </w:p>
        </w:tc>
        <w:tc>
          <w:tcPr>
            <w:tcW w:w="7882" w:type="dxa"/>
            <w:vAlign w:val="center"/>
          </w:tcPr>
          <w:p w14:paraId="2D5ADF24">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投标截止时间：</w:t>
            </w:r>
            <w:r>
              <w:rPr>
                <w:rFonts w:hint="eastAsia" w:ascii="微软雅黑" w:hAnsi="微软雅黑" w:eastAsia="微软雅黑" w:cs="微软雅黑"/>
                <w:b/>
                <w:bCs/>
                <w:color w:val="auto"/>
                <w:sz w:val="22"/>
                <w:szCs w:val="22"/>
                <w:highlight w:val="none"/>
                <w:u w:val="single"/>
                <w:lang w:eastAsia="zh-CN"/>
              </w:rPr>
              <w:t>2026年4月29日11:00</w:t>
            </w:r>
            <w:r>
              <w:rPr>
                <w:rFonts w:hint="eastAsia" w:ascii="微软雅黑" w:hAnsi="微软雅黑" w:eastAsia="微软雅黑" w:cs="微软雅黑"/>
                <w:b/>
                <w:bCs/>
                <w:color w:val="auto"/>
                <w:sz w:val="22"/>
                <w:szCs w:val="22"/>
                <w:highlight w:val="none"/>
                <w:u w:val="single"/>
              </w:rPr>
              <w:t>（北京时间）</w:t>
            </w:r>
          </w:p>
        </w:tc>
      </w:tr>
      <w:tr w14:paraId="5132BD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0" w:hRule="atLeast"/>
        </w:trPr>
        <w:tc>
          <w:tcPr>
            <w:tcW w:w="1378" w:type="dxa"/>
            <w:vAlign w:val="center"/>
          </w:tcPr>
          <w:p w14:paraId="0A853EC7">
            <w:pPr>
              <w:keepNext w:val="0"/>
              <w:keepLines w:val="0"/>
              <w:pageBreakBefore w:val="0"/>
              <w:kinsoku/>
              <w:wordWrap/>
              <w:overflowPunct/>
              <w:topLinePunct w:val="0"/>
              <w:autoSpaceDE/>
              <w:autoSpaceDN/>
              <w:bidi w:val="0"/>
              <w:adjustRightInd/>
              <w:snapToGrid/>
              <w:spacing w:line="360" w:lineRule="exact"/>
              <w:ind w:left="1080" w:leftChars="257" w:hanging="54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18.1</w:t>
            </w:r>
          </w:p>
        </w:tc>
        <w:tc>
          <w:tcPr>
            <w:tcW w:w="7882" w:type="dxa"/>
            <w:vAlign w:val="center"/>
          </w:tcPr>
          <w:p w14:paraId="583ADE55">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auto"/>
                <w:sz w:val="22"/>
                <w:szCs w:val="22"/>
                <w:highlight w:val="none"/>
                <w:u w:val="single"/>
                <w:lang w:eastAsia="zh-CN"/>
              </w:rPr>
            </w:pPr>
            <w:r>
              <w:rPr>
                <w:rFonts w:hint="eastAsia" w:ascii="微软雅黑" w:hAnsi="微软雅黑" w:eastAsia="微软雅黑" w:cs="微软雅黑"/>
                <w:color w:val="auto"/>
                <w:sz w:val="22"/>
                <w:szCs w:val="22"/>
                <w:highlight w:val="none"/>
              </w:rPr>
              <w:t>开标时间：</w:t>
            </w:r>
            <w:r>
              <w:rPr>
                <w:rFonts w:hint="eastAsia" w:ascii="微软雅黑" w:hAnsi="微软雅黑" w:eastAsia="微软雅黑" w:cs="微软雅黑"/>
                <w:b/>
                <w:bCs/>
                <w:color w:val="auto"/>
                <w:sz w:val="22"/>
                <w:szCs w:val="22"/>
                <w:highlight w:val="none"/>
                <w:u w:val="single"/>
                <w:lang w:eastAsia="zh-CN"/>
              </w:rPr>
              <w:t>2026年4月29日11:00（北京时间）</w:t>
            </w:r>
          </w:p>
          <w:p w14:paraId="496BB45E">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rPr>
              <w:t>开标地点：</w:t>
            </w:r>
            <w:r>
              <w:rPr>
                <w:rFonts w:hint="eastAsia" w:ascii="微软雅黑" w:hAnsi="微软雅黑" w:eastAsia="微软雅黑" w:cs="微软雅黑"/>
                <w:b/>
                <w:bCs/>
                <w:color w:val="auto"/>
                <w:sz w:val="22"/>
                <w:szCs w:val="22"/>
                <w:highlight w:val="none"/>
                <w:u w:val="single"/>
              </w:rPr>
              <w:t>投标人登录政采云平台https://www.zcygov.cn/，进入“项目采购-开标评标-右边选择对应项目点击“进入项目”进入开标大厅。</w:t>
            </w:r>
          </w:p>
        </w:tc>
      </w:tr>
      <w:tr w14:paraId="092360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87" w:hRule="atLeast"/>
        </w:trPr>
        <w:tc>
          <w:tcPr>
            <w:tcW w:w="1378" w:type="dxa"/>
            <w:vAlign w:val="center"/>
          </w:tcPr>
          <w:p w14:paraId="75A617BC">
            <w:pPr>
              <w:keepNext w:val="0"/>
              <w:keepLines w:val="0"/>
              <w:pageBreakBefore w:val="0"/>
              <w:kinsoku/>
              <w:wordWrap/>
              <w:overflowPunct/>
              <w:topLinePunct w:val="0"/>
              <w:autoSpaceDE/>
              <w:autoSpaceDN/>
              <w:bidi w:val="0"/>
              <w:adjustRightInd/>
              <w:snapToGrid/>
              <w:spacing w:line="360" w:lineRule="exact"/>
              <w:ind w:left="1080" w:leftChars="257" w:hanging="54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23.2</w:t>
            </w:r>
          </w:p>
        </w:tc>
        <w:tc>
          <w:tcPr>
            <w:tcW w:w="7882" w:type="dxa"/>
            <w:vAlign w:val="center"/>
          </w:tcPr>
          <w:p w14:paraId="2F8E7D57">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i/>
                <w:color w:val="auto"/>
                <w:sz w:val="22"/>
                <w:szCs w:val="22"/>
                <w:highlight w:val="none"/>
              </w:rPr>
            </w:pPr>
            <w:r>
              <w:rPr>
                <w:rFonts w:hint="eastAsia" w:ascii="微软雅黑" w:hAnsi="微软雅黑" w:eastAsia="微软雅黑" w:cs="微软雅黑"/>
                <w:color w:val="auto"/>
                <w:sz w:val="22"/>
                <w:szCs w:val="22"/>
                <w:highlight w:val="none"/>
              </w:rPr>
              <w:t>评标方法：适用</w:t>
            </w:r>
            <w:r>
              <w:rPr>
                <w:rFonts w:hint="eastAsia" w:ascii="微软雅黑" w:hAnsi="微软雅黑" w:eastAsia="微软雅黑" w:cs="微软雅黑"/>
                <w:color w:val="auto"/>
                <w:sz w:val="22"/>
                <w:szCs w:val="22"/>
                <w:highlight w:val="none"/>
                <w:u w:val="single"/>
              </w:rPr>
              <w:t>　综合评分法　</w:t>
            </w:r>
            <w:r>
              <w:rPr>
                <w:rFonts w:hint="eastAsia" w:ascii="微软雅黑" w:hAnsi="微软雅黑" w:eastAsia="微软雅黑" w:cs="微软雅黑"/>
                <w:color w:val="auto"/>
                <w:sz w:val="22"/>
                <w:szCs w:val="22"/>
                <w:highlight w:val="none"/>
              </w:rPr>
              <w:t>　　　　　</w:t>
            </w:r>
          </w:p>
        </w:tc>
      </w:tr>
      <w:tr w14:paraId="613C9F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87" w:hRule="atLeast"/>
        </w:trPr>
        <w:tc>
          <w:tcPr>
            <w:tcW w:w="1378" w:type="dxa"/>
            <w:vAlign w:val="center"/>
          </w:tcPr>
          <w:p w14:paraId="368BD6D5">
            <w:pPr>
              <w:keepNext w:val="0"/>
              <w:keepLines w:val="0"/>
              <w:pageBreakBefore w:val="0"/>
              <w:kinsoku/>
              <w:wordWrap/>
              <w:overflowPunct/>
              <w:topLinePunct w:val="0"/>
              <w:autoSpaceDE/>
              <w:autoSpaceDN/>
              <w:bidi w:val="0"/>
              <w:adjustRightInd/>
              <w:snapToGrid/>
              <w:spacing w:line="360" w:lineRule="exact"/>
              <w:ind w:left="1080" w:leftChars="257" w:hanging="54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27</w:t>
            </w:r>
          </w:p>
        </w:tc>
        <w:tc>
          <w:tcPr>
            <w:tcW w:w="7882" w:type="dxa"/>
            <w:vAlign w:val="center"/>
          </w:tcPr>
          <w:p w14:paraId="6A340B37">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推荐中标候选供应商的数量：</w:t>
            </w:r>
            <w:r>
              <w:rPr>
                <w:rFonts w:hint="eastAsia" w:ascii="微软雅黑" w:hAnsi="微软雅黑" w:eastAsia="微软雅黑" w:cs="微软雅黑"/>
                <w:color w:val="auto"/>
                <w:sz w:val="22"/>
                <w:szCs w:val="22"/>
                <w:highlight w:val="none"/>
                <w:u w:val="single"/>
              </w:rPr>
              <w:t>　  3 　　</w:t>
            </w:r>
          </w:p>
        </w:tc>
      </w:tr>
      <w:tr w14:paraId="708CF8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87" w:hRule="atLeast"/>
        </w:trPr>
        <w:tc>
          <w:tcPr>
            <w:tcW w:w="1378" w:type="dxa"/>
            <w:vAlign w:val="center"/>
          </w:tcPr>
          <w:p w14:paraId="7269546E">
            <w:pPr>
              <w:keepNext w:val="0"/>
              <w:keepLines w:val="0"/>
              <w:pageBreakBefore w:val="0"/>
              <w:kinsoku/>
              <w:wordWrap/>
              <w:overflowPunct/>
              <w:topLinePunct w:val="0"/>
              <w:autoSpaceDE/>
              <w:autoSpaceDN/>
              <w:bidi w:val="0"/>
              <w:adjustRightInd/>
              <w:snapToGrid/>
              <w:spacing w:line="360" w:lineRule="exact"/>
              <w:ind w:left="1080" w:leftChars="257" w:hanging="54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27</w:t>
            </w:r>
          </w:p>
        </w:tc>
        <w:tc>
          <w:tcPr>
            <w:tcW w:w="7882" w:type="dxa"/>
            <w:vAlign w:val="center"/>
          </w:tcPr>
          <w:p w14:paraId="75B73FD7">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lang w:eastAsia="zh-CN"/>
              </w:rPr>
              <w:t>采购人</w:t>
            </w:r>
            <w:r>
              <w:rPr>
                <w:rFonts w:hint="eastAsia" w:ascii="微软雅黑" w:hAnsi="微软雅黑" w:eastAsia="微软雅黑" w:cs="微软雅黑"/>
                <w:color w:val="auto"/>
                <w:sz w:val="22"/>
                <w:szCs w:val="22"/>
                <w:highlight w:val="none"/>
              </w:rPr>
              <w:t>是否委托评标委员会直接确定中标人：</w:t>
            </w:r>
            <w:r>
              <w:rPr>
                <w:rFonts w:hint="eastAsia" w:ascii="微软雅黑" w:hAnsi="微软雅黑" w:eastAsia="微软雅黑" w:cs="微软雅黑"/>
                <w:color w:val="auto"/>
                <w:sz w:val="22"/>
                <w:szCs w:val="22"/>
                <w:highlight w:val="none"/>
                <w:u w:val="single"/>
              </w:rPr>
              <w:t xml:space="preserve"> </w:t>
            </w:r>
            <w:r>
              <w:rPr>
                <w:rFonts w:hint="eastAsia" w:ascii="微软雅黑" w:hAnsi="微软雅黑" w:eastAsia="微软雅黑" w:cs="微软雅黑"/>
                <w:color w:val="auto"/>
                <w:sz w:val="22"/>
                <w:szCs w:val="22"/>
                <w:highlight w:val="none"/>
                <w:u w:val="single"/>
                <w:lang w:eastAsia="zh-CN"/>
              </w:rPr>
              <w:t>否</w:t>
            </w:r>
            <w:r>
              <w:rPr>
                <w:rFonts w:hint="eastAsia" w:ascii="微软雅黑" w:hAnsi="微软雅黑" w:eastAsia="微软雅黑" w:cs="微软雅黑"/>
                <w:color w:val="auto"/>
                <w:sz w:val="22"/>
                <w:szCs w:val="22"/>
                <w:highlight w:val="none"/>
                <w:u w:val="single"/>
              </w:rPr>
              <w:t xml:space="preserve"> </w:t>
            </w:r>
            <w:r>
              <w:rPr>
                <w:rFonts w:hint="eastAsia" w:ascii="微软雅黑" w:hAnsi="微软雅黑" w:eastAsia="微软雅黑" w:cs="微软雅黑"/>
                <w:color w:val="auto"/>
                <w:sz w:val="22"/>
                <w:szCs w:val="22"/>
                <w:highlight w:val="none"/>
              </w:rPr>
              <w:t xml:space="preserve"> </w:t>
            </w:r>
            <w:r>
              <w:rPr>
                <w:rFonts w:hint="eastAsia" w:ascii="微软雅黑" w:hAnsi="微软雅黑" w:eastAsia="微软雅黑" w:cs="微软雅黑"/>
                <w:i/>
                <w:color w:val="auto"/>
                <w:sz w:val="22"/>
                <w:szCs w:val="22"/>
                <w:highlight w:val="none"/>
              </w:rPr>
              <w:t>（是、否）</w:t>
            </w:r>
          </w:p>
        </w:tc>
      </w:tr>
      <w:tr w14:paraId="558CFE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trPr>
        <w:tc>
          <w:tcPr>
            <w:tcW w:w="1378" w:type="dxa"/>
            <w:vAlign w:val="center"/>
          </w:tcPr>
          <w:p w14:paraId="252ACA30">
            <w:pPr>
              <w:keepNext w:val="0"/>
              <w:keepLines w:val="0"/>
              <w:pageBreakBefore w:val="0"/>
              <w:kinsoku/>
              <w:wordWrap/>
              <w:overflowPunct/>
              <w:topLinePunct w:val="0"/>
              <w:autoSpaceDE/>
              <w:autoSpaceDN/>
              <w:bidi w:val="0"/>
              <w:adjustRightInd/>
              <w:snapToGrid/>
              <w:spacing w:line="360" w:lineRule="exact"/>
              <w:ind w:left="1080" w:leftChars="257" w:hanging="54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31.1</w:t>
            </w:r>
          </w:p>
        </w:tc>
        <w:tc>
          <w:tcPr>
            <w:tcW w:w="7882" w:type="dxa"/>
            <w:vAlign w:val="center"/>
          </w:tcPr>
          <w:p w14:paraId="44E11662">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履约保证金金额：合同总价的</w:t>
            </w:r>
            <w:r>
              <w:rPr>
                <w:rFonts w:hint="eastAsia" w:ascii="微软雅黑" w:hAnsi="微软雅黑" w:eastAsia="微软雅黑" w:cs="微软雅黑"/>
                <w:color w:val="auto"/>
                <w:sz w:val="22"/>
                <w:szCs w:val="22"/>
                <w:highlight w:val="none"/>
                <w:u w:val="single"/>
              </w:rPr>
              <w:t>　</w:t>
            </w:r>
            <w:r>
              <w:rPr>
                <w:rFonts w:hint="eastAsia" w:ascii="微软雅黑" w:hAnsi="微软雅黑" w:eastAsia="微软雅黑" w:cs="微软雅黑"/>
                <w:color w:val="auto"/>
                <w:sz w:val="22"/>
                <w:szCs w:val="22"/>
                <w:highlight w:val="none"/>
                <w:u w:val="single"/>
                <w:lang w:val="en-US" w:eastAsia="zh-CN"/>
              </w:rPr>
              <w:t>5</w:t>
            </w:r>
            <w:r>
              <w:rPr>
                <w:rFonts w:hint="eastAsia" w:ascii="微软雅黑" w:hAnsi="微软雅黑" w:eastAsia="微软雅黑" w:cs="微软雅黑"/>
                <w:color w:val="auto"/>
                <w:sz w:val="22"/>
                <w:szCs w:val="22"/>
                <w:highlight w:val="none"/>
                <w:u w:val="single"/>
              </w:rPr>
              <w:t>%　</w:t>
            </w:r>
            <w:r>
              <w:rPr>
                <w:rFonts w:hint="eastAsia" w:ascii="微软雅黑" w:hAnsi="微软雅黑" w:eastAsia="微软雅黑" w:cs="微软雅黑"/>
                <w:color w:val="auto"/>
                <w:sz w:val="22"/>
                <w:szCs w:val="22"/>
                <w:highlight w:val="none"/>
              </w:rPr>
              <w:t>（不得超过政府采购合同金额的10%）</w:t>
            </w:r>
          </w:p>
          <w:p w14:paraId="6A7920AD">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sz w:val="22"/>
                <w:szCs w:val="22"/>
                <w:highlight w:val="none"/>
                <w:u w:val="single"/>
              </w:rPr>
            </w:pPr>
            <w:r>
              <w:rPr>
                <w:rFonts w:hint="eastAsia" w:ascii="微软雅黑" w:hAnsi="微软雅黑" w:eastAsia="微软雅黑" w:cs="微软雅黑"/>
                <w:color w:val="auto"/>
                <w:sz w:val="22"/>
                <w:szCs w:val="22"/>
                <w:highlight w:val="none"/>
              </w:rPr>
              <w:t>履约保证金形式：</w:t>
            </w:r>
            <w:r>
              <w:rPr>
                <w:rFonts w:hint="eastAsia" w:ascii="微软雅黑" w:hAnsi="微软雅黑" w:eastAsia="微软雅黑" w:cs="微软雅黑"/>
                <w:color w:val="auto"/>
                <w:sz w:val="22"/>
                <w:szCs w:val="22"/>
                <w:highlight w:val="none"/>
                <w:u w:val="single"/>
              </w:rPr>
              <w:t>☑保函  ☑电汇  ☑支票  ☑对公转账  ☑汇票  ☑本票</w:t>
            </w:r>
          </w:p>
          <w:p w14:paraId="5127B447">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rPr>
              <w:t>提交履约保证金的时间：签订合同前打入甲方指定账户</w:t>
            </w:r>
            <w:r>
              <w:rPr>
                <w:rFonts w:hint="eastAsia" w:ascii="微软雅黑" w:hAnsi="微软雅黑" w:eastAsia="微软雅黑" w:cs="微软雅黑"/>
                <w:color w:val="auto"/>
                <w:sz w:val="22"/>
                <w:szCs w:val="22"/>
                <w:highlight w:val="none"/>
                <w:lang w:val="en-US" w:eastAsia="zh-CN"/>
              </w:rPr>
              <w:t xml:space="preserve"> </w:t>
            </w:r>
          </w:p>
          <w:p w14:paraId="3478DD96">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lang w:eastAsia="zh-CN"/>
              </w:rPr>
              <w:t>注：</w:t>
            </w:r>
            <w:r>
              <w:rPr>
                <w:rFonts w:hint="eastAsia" w:ascii="微软雅黑" w:hAnsi="微软雅黑" w:eastAsia="微软雅黑" w:cs="微软雅黑"/>
                <w:color w:val="auto"/>
                <w:sz w:val="22"/>
                <w:szCs w:val="22"/>
                <w:highlight w:val="none"/>
                <w:lang w:val="zh-CN"/>
              </w:rPr>
              <w:t>双方可以通过协商另行约定其他退还时间和方式及用途。</w:t>
            </w:r>
          </w:p>
        </w:tc>
      </w:tr>
      <w:tr w14:paraId="61F456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76" w:hRule="atLeast"/>
        </w:trPr>
        <w:tc>
          <w:tcPr>
            <w:tcW w:w="1378" w:type="dxa"/>
            <w:vAlign w:val="center"/>
          </w:tcPr>
          <w:p w14:paraId="1988A35C">
            <w:pPr>
              <w:keepNext w:val="0"/>
              <w:keepLines w:val="0"/>
              <w:pageBreakBefore w:val="0"/>
              <w:kinsoku/>
              <w:wordWrap/>
              <w:overflowPunct/>
              <w:topLinePunct w:val="0"/>
              <w:autoSpaceDE/>
              <w:autoSpaceDN/>
              <w:bidi w:val="0"/>
              <w:adjustRightInd/>
              <w:snapToGrid/>
              <w:spacing w:line="360" w:lineRule="exact"/>
              <w:ind w:left="1080" w:leftChars="257" w:hanging="54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32</w:t>
            </w:r>
          </w:p>
        </w:tc>
        <w:tc>
          <w:tcPr>
            <w:tcW w:w="7882" w:type="dxa"/>
            <w:vAlign w:val="center"/>
          </w:tcPr>
          <w:p w14:paraId="577E54D4">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lang w:val="en-US" w:eastAsia="zh-CN"/>
              </w:rPr>
              <w:t>招标</w:t>
            </w:r>
            <w:r>
              <w:rPr>
                <w:rFonts w:hint="eastAsia" w:ascii="微软雅黑" w:hAnsi="微软雅黑" w:eastAsia="微软雅黑" w:cs="微软雅黑"/>
                <w:color w:val="auto"/>
                <w:sz w:val="22"/>
                <w:szCs w:val="22"/>
                <w:highlight w:val="none"/>
                <w:lang w:val="zh-CN"/>
              </w:rPr>
              <w:t>代理服务费：采购代理机构依据采购代理协议，100万以内按1.50%收取；100万—500万按1.30%收取；500万元—1000万元，按1.10%收取；1000万元—5000万元按0.5%收取；5000万-10000万元以上按0.25%收取（由中标方缴纳）；10000万元以上按0.05%。（</w:t>
            </w:r>
            <w:r>
              <w:rPr>
                <w:rFonts w:hint="eastAsia" w:ascii="微软雅黑" w:hAnsi="微软雅黑" w:eastAsia="微软雅黑" w:cs="微软雅黑"/>
                <w:b/>
                <w:bCs/>
                <w:color w:val="auto"/>
                <w:sz w:val="22"/>
                <w:szCs w:val="22"/>
                <w:highlight w:val="none"/>
                <w:lang w:val="zh-CN"/>
              </w:rPr>
              <w:t>本项目以单价招标，代理服务费最终以预算金额收费，由中标供应商领取中标通知书时一次性支付</w:t>
            </w:r>
            <w:r>
              <w:rPr>
                <w:rFonts w:hint="eastAsia" w:ascii="微软雅黑" w:hAnsi="微软雅黑" w:eastAsia="微软雅黑" w:cs="微软雅黑"/>
                <w:color w:val="auto"/>
                <w:sz w:val="22"/>
                <w:szCs w:val="22"/>
                <w:highlight w:val="none"/>
                <w:lang w:val="zh-CN"/>
              </w:rPr>
              <w:t xml:space="preserve">）     </w:t>
            </w:r>
          </w:p>
          <w:p w14:paraId="3DBFF1E9">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lang w:val="zh-CN"/>
              </w:rPr>
              <w:t>支付时间：领取</w:t>
            </w:r>
            <w:r>
              <w:rPr>
                <w:rFonts w:hint="eastAsia" w:ascii="微软雅黑" w:hAnsi="微软雅黑" w:eastAsia="微软雅黑" w:cs="微软雅黑"/>
                <w:color w:val="auto"/>
                <w:sz w:val="22"/>
                <w:szCs w:val="22"/>
                <w:highlight w:val="none"/>
                <w:lang w:val="en-US" w:eastAsia="zh-CN"/>
              </w:rPr>
              <w:t>中标</w:t>
            </w:r>
            <w:r>
              <w:rPr>
                <w:rFonts w:hint="eastAsia" w:ascii="微软雅黑" w:hAnsi="微软雅黑" w:eastAsia="微软雅黑" w:cs="微软雅黑"/>
                <w:color w:val="auto"/>
                <w:sz w:val="22"/>
                <w:szCs w:val="22"/>
                <w:highlight w:val="none"/>
                <w:lang w:val="zh-CN" w:eastAsia="zh-CN"/>
              </w:rPr>
              <w:t>通知书</w:t>
            </w:r>
            <w:r>
              <w:rPr>
                <w:rFonts w:hint="eastAsia" w:ascii="微软雅黑" w:hAnsi="微软雅黑" w:eastAsia="微软雅黑" w:cs="微软雅黑"/>
                <w:color w:val="auto"/>
                <w:sz w:val="22"/>
                <w:szCs w:val="22"/>
                <w:highlight w:val="none"/>
                <w:lang w:val="zh-CN"/>
              </w:rPr>
              <w:t>时</w:t>
            </w:r>
          </w:p>
        </w:tc>
      </w:tr>
      <w:tr w14:paraId="6CA8F1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87" w:hRule="atLeast"/>
        </w:trPr>
        <w:tc>
          <w:tcPr>
            <w:tcW w:w="1378" w:type="dxa"/>
            <w:vAlign w:val="center"/>
          </w:tcPr>
          <w:p w14:paraId="720A746C">
            <w:pPr>
              <w:keepNext w:val="0"/>
              <w:keepLines w:val="0"/>
              <w:pageBreakBefore w:val="0"/>
              <w:kinsoku/>
              <w:wordWrap/>
              <w:overflowPunct/>
              <w:topLinePunct w:val="0"/>
              <w:autoSpaceDE/>
              <w:autoSpaceDN/>
              <w:bidi w:val="0"/>
              <w:adjustRightInd/>
              <w:snapToGrid/>
              <w:spacing w:line="360" w:lineRule="exact"/>
              <w:ind w:left="1080" w:leftChars="257" w:hanging="540"/>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33.1</w:t>
            </w:r>
          </w:p>
        </w:tc>
        <w:tc>
          <w:tcPr>
            <w:tcW w:w="7882" w:type="dxa"/>
            <w:vAlign w:val="center"/>
          </w:tcPr>
          <w:p w14:paraId="2CA559E6">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本项目是否属于信用担保试点范围：</w:t>
            </w:r>
            <w:r>
              <w:rPr>
                <w:rFonts w:hint="eastAsia" w:ascii="微软雅黑" w:hAnsi="微软雅黑" w:eastAsia="微软雅黑" w:cs="微软雅黑"/>
                <w:color w:val="auto"/>
                <w:sz w:val="22"/>
                <w:szCs w:val="22"/>
                <w:highlight w:val="none"/>
                <w:u w:val="single"/>
              </w:rPr>
              <w:t xml:space="preserve">  </w:t>
            </w:r>
            <w:r>
              <w:rPr>
                <w:rFonts w:hint="eastAsia" w:ascii="微软雅黑" w:hAnsi="微软雅黑" w:eastAsia="微软雅黑" w:cs="微软雅黑"/>
                <w:color w:val="auto"/>
                <w:sz w:val="22"/>
                <w:szCs w:val="22"/>
                <w:highlight w:val="none"/>
                <w:u w:val="single"/>
                <w:lang w:val="en-US" w:eastAsia="zh-CN"/>
              </w:rPr>
              <w:t>是</w:t>
            </w:r>
            <w:r>
              <w:rPr>
                <w:rFonts w:hint="eastAsia" w:ascii="微软雅黑" w:hAnsi="微软雅黑" w:eastAsia="微软雅黑" w:cs="微软雅黑"/>
                <w:color w:val="auto"/>
                <w:sz w:val="22"/>
                <w:szCs w:val="22"/>
                <w:highlight w:val="none"/>
                <w:u w:val="single"/>
              </w:rPr>
              <w:t xml:space="preserve">  </w:t>
            </w:r>
            <w:r>
              <w:rPr>
                <w:rFonts w:hint="eastAsia" w:ascii="微软雅黑" w:hAnsi="微软雅黑" w:eastAsia="微软雅黑" w:cs="微软雅黑"/>
                <w:color w:val="auto"/>
                <w:sz w:val="22"/>
                <w:szCs w:val="22"/>
                <w:highlight w:val="none"/>
              </w:rPr>
              <w:t xml:space="preserve"> </w:t>
            </w:r>
            <w:r>
              <w:rPr>
                <w:rFonts w:hint="eastAsia" w:ascii="微软雅黑" w:hAnsi="微软雅黑" w:eastAsia="微软雅黑" w:cs="微软雅黑"/>
                <w:i/>
                <w:color w:val="auto"/>
                <w:sz w:val="22"/>
                <w:szCs w:val="22"/>
                <w:highlight w:val="none"/>
              </w:rPr>
              <w:t>（是、否）</w:t>
            </w:r>
          </w:p>
        </w:tc>
      </w:tr>
      <w:tr w14:paraId="7CB855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87" w:hRule="atLeast"/>
        </w:trPr>
        <w:tc>
          <w:tcPr>
            <w:tcW w:w="1378" w:type="dxa"/>
            <w:vAlign w:val="center"/>
          </w:tcPr>
          <w:p w14:paraId="0F729C28">
            <w:pPr>
              <w:keepNext w:val="0"/>
              <w:keepLines w:val="0"/>
              <w:pageBreakBefore w:val="0"/>
              <w:kinsoku/>
              <w:wordWrap/>
              <w:overflowPunct/>
              <w:topLinePunct w:val="0"/>
              <w:autoSpaceDE/>
              <w:autoSpaceDN/>
              <w:bidi w:val="0"/>
              <w:adjustRightInd/>
              <w:spacing w:beforeAutospacing="0" w:afterAutospacing="0" w:line="400" w:lineRule="exact"/>
              <w:jc w:val="center"/>
              <w:rPr>
                <w:rFonts w:hint="default" w:ascii="微软雅黑" w:hAnsi="微软雅黑" w:eastAsia="微软雅黑" w:cs="微软雅黑"/>
                <w:color w:val="auto"/>
                <w:sz w:val="22"/>
                <w:szCs w:val="22"/>
                <w:highlight w:val="none"/>
                <w:lang w:val="en-US"/>
              </w:rPr>
            </w:pPr>
            <w:r>
              <w:rPr>
                <w:rFonts w:hint="eastAsia" w:ascii="微软雅黑" w:hAnsi="微软雅黑" w:eastAsia="微软雅黑" w:cs="微软雅黑"/>
                <w:b/>
                <w:bCs/>
                <w:color w:val="auto"/>
                <w:sz w:val="24"/>
                <w:szCs w:val="24"/>
                <w:highlight w:val="none"/>
                <w:lang w:val="en-US" w:eastAsia="zh-CN"/>
              </w:rPr>
              <w:t>重要提示</w:t>
            </w:r>
          </w:p>
        </w:tc>
        <w:tc>
          <w:tcPr>
            <w:tcW w:w="7882" w:type="dxa"/>
            <w:shd w:val="clear" w:color="auto" w:fill="auto"/>
            <w:vAlign w:val="center"/>
          </w:tcPr>
          <w:p w14:paraId="3D4BB091">
            <w:pPr>
              <w:spacing w:line="360" w:lineRule="exact"/>
              <w:rPr>
                <w:rFonts w:hint="eastAsia" w:ascii="微软雅黑" w:hAnsi="微软雅黑" w:eastAsia="微软雅黑" w:cs="微软雅黑"/>
                <w:b/>
                <w:bCs/>
                <w:sz w:val="22"/>
                <w:szCs w:val="22"/>
              </w:rPr>
            </w:pPr>
            <w:r>
              <w:rPr>
                <w:rFonts w:hint="eastAsia" w:ascii="微软雅黑" w:hAnsi="微软雅黑" w:eastAsia="微软雅黑" w:cs="微软雅黑"/>
                <w:b/>
                <w:bCs/>
                <w:sz w:val="22"/>
                <w:szCs w:val="22"/>
              </w:rPr>
              <w:t>各供应商应当谨认真慎阅读以下条款，否则后果自行承担。</w:t>
            </w:r>
          </w:p>
          <w:p w14:paraId="47CE5798">
            <w:pPr>
              <w:spacing w:line="360" w:lineRule="exact"/>
              <w:rPr>
                <w:rFonts w:hint="eastAsia" w:ascii="微软雅黑" w:hAnsi="微软雅黑" w:eastAsia="微软雅黑" w:cs="微软雅黑"/>
                <w:sz w:val="22"/>
                <w:szCs w:val="22"/>
              </w:rPr>
            </w:pPr>
            <w:r>
              <w:rPr>
                <w:rFonts w:hint="eastAsia" w:ascii="微软雅黑" w:hAnsi="微软雅黑" w:eastAsia="微软雅黑" w:cs="微软雅黑"/>
                <w:sz w:val="22"/>
                <w:szCs w:val="22"/>
                <w:lang w:eastAsia="zh-CN"/>
              </w:rPr>
              <w:t>（</w:t>
            </w:r>
            <w:r>
              <w:rPr>
                <w:rFonts w:hint="eastAsia" w:ascii="微软雅黑" w:hAnsi="微软雅黑" w:eastAsia="微软雅黑" w:cs="微软雅黑"/>
                <w:sz w:val="22"/>
                <w:szCs w:val="22"/>
                <w:lang w:val="en-US" w:eastAsia="zh-CN"/>
              </w:rPr>
              <w:t>1</w:t>
            </w:r>
            <w:r>
              <w:rPr>
                <w:rFonts w:hint="eastAsia" w:ascii="微软雅黑" w:hAnsi="微软雅黑" w:eastAsia="微软雅黑" w:cs="微软雅黑"/>
                <w:sz w:val="22"/>
                <w:szCs w:val="22"/>
                <w:lang w:eastAsia="zh-CN"/>
              </w:rPr>
              <w:t>）</w:t>
            </w:r>
            <w:r>
              <w:rPr>
                <w:rFonts w:hint="eastAsia" w:ascii="微软雅黑" w:hAnsi="微软雅黑" w:eastAsia="微软雅黑" w:cs="微软雅黑"/>
                <w:sz w:val="22"/>
                <w:szCs w:val="22"/>
              </w:rPr>
              <w:t>参加本项目所有供应商应当提供真实有效作证资料，不得存在弄虚作假骗取中标行为，一经发现将取消中标资格并列入黑名单。</w:t>
            </w:r>
          </w:p>
          <w:p w14:paraId="4A51A43D">
            <w:pPr>
              <w:spacing w:line="360" w:lineRule="exact"/>
              <w:rPr>
                <w:rFonts w:hint="eastAsia" w:ascii="微软雅黑" w:hAnsi="微软雅黑" w:eastAsia="微软雅黑" w:cs="微软雅黑"/>
                <w:sz w:val="22"/>
                <w:szCs w:val="22"/>
                <w:highlight w:val="none"/>
              </w:rPr>
            </w:pPr>
            <w:r>
              <w:rPr>
                <w:rFonts w:hint="eastAsia" w:ascii="微软雅黑" w:hAnsi="微软雅黑" w:eastAsia="微软雅黑" w:cs="微软雅黑"/>
                <w:sz w:val="22"/>
                <w:szCs w:val="22"/>
                <w:lang w:eastAsia="zh-CN"/>
              </w:rPr>
              <w:t>（</w:t>
            </w:r>
            <w:r>
              <w:rPr>
                <w:rFonts w:hint="eastAsia" w:ascii="微软雅黑" w:hAnsi="微软雅黑" w:eastAsia="微软雅黑" w:cs="微软雅黑"/>
                <w:sz w:val="22"/>
                <w:szCs w:val="22"/>
                <w:lang w:val="en-US" w:eastAsia="zh-CN"/>
              </w:rPr>
              <w:t>2</w:t>
            </w:r>
            <w:r>
              <w:rPr>
                <w:rFonts w:hint="eastAsia" w:ascii="微软雅黑" w:hAnsi="微软雅黑" w:eastAsia="微软雅黑" w:cs="微软雅黑"/>
                <w:sz w:val="22"/>
                <w:szCs w:val="22"/>
                <w:lang w:eastAsia="zh-CN"/>
              </w:rPr>
              <w:t>）</w:t>
            </w:r>
            <w:r>
              <w:rPr>
                <w:rFonts w:hint="eastAsia" w:ascii="微软雅黑" w:hAnsi="微软雅黑" w:eastAsia="微软雅黑" w:cs="微软雅黑"/>
                <w:sz w:val="22"/>
                <w:szCs w:val="22"/>
              </w:rPr>
              <w:t>供应商上传投标文件时，为确保文件的可读性，提供的内容须清晰可见，若因投标文件不清</w:t>
            </w:r>
            <w:r>
              <w:rPr>
                <w:rFonts w:hint="eastAsia" w:ascii="微软雅黑" w:hAnsi="微软雅黑" w:eastAsia="微软雅黑" w:cs="微软雅黑"/>
                <w:sz w:val="22"/>
                <w:szCs w:val="22"/>
                <w:highlight w:val="none"/>
              </w:rPr>
              <w:t>晰造成的后果，由投标供应商自行承担。</w:t>
            </w:r>
          </w:p>
          <w:p w14:paraId="559EBA70">
            <w:pPr>
              <w:spacing w:line="360" w:lineRule="exact"/>
              <w:rPr>
                <w:rFonts w:hint="eastAsia" w:ascii="微软雅黑" w:hAnsi="微软雅黑" w:eastAsia="微软雅黑" w:cs="微软雅黑"/>
                <w:sz w:val="22"/>
                <w:szCs w:val="22"/>
                <w:highlight w:val="none"/>
              </w:rPr>
            </w:pPr>
            <w:r>
              <w:rPr>
                <w:rFonts w:hint="eastAsia" w:ascii="微软雅黑" w:hAnsi="微软雅黑" w:eastAsia="微软雅黑" w:cs="微软雅黑"/>
                <w:sz w:val="22"/>
                <w:szCs w:val="22"/>
                <w:highlight w:val="none"/>
                <w:lang w:eastAsia="zh-CN"/>
              </w:rPr>
              <w:t>（</w:t>
            </w:r>
            <w:r>
              <w:rPr>
                <w:rFonts w:hint="eastAsia" w:ascii="微软雅黑" w:hAnsi="微软雅黑" w:eastAsia="微软雅黑" w:cs="微软雅黑"/>
                <w:sz w:val="22"/>
                <w:szCs w:val="22"/>
                <w:highlight w:val="none"/>
                <w:lang w:val="en-US" w:eastAsia="zh-CN"/>
              </w:rPr>
              <w:t>3</w:t>
            </w:r>
            <w:r>
              <w:rPr>
                <w:rFonts w:hint="eastAsia" w:ascii="微软雅黑" w:hAnsi="微软雅黑" w:eastAsia="微软雅黑" w:cs="微软雅黑"/>
                <w:sz w:val="22"/>
                <w:szCs w:val="22"/>
                <w:highlight w:val="none"/>
                <w:lang w:eastAsia="zh-CN"/>
              </w:rPr>
              <w:t>）</w:t>
            </w:r>
            <w:r>
              <w:rPr>
                <w:rFonts w:hint="eastAsia" w:ascii="微软雅黑" w:hAnsi="微软雅黑" w:eastAsia="微软雅黑" w:cs="微软雅黑"/>
                <w:sz w:val="22"/>
                <w:szCs w:val="22"/>
                <w:highlight w:val="none"/>
              </w:rPr>
              <w:t>严禁恶意竞标，必须保证所投产品达到采购人要求中标后，中标人向采购人提供的产品与投标文件中技术参数不一致的，采购人有权拒收，期间所产生的任何费用由中标人承担。</w:t>
            </w:r>
          </w:p>
          <w:p w14:paraId="4985B7C8">
            <w:pPr>
              <w:spacing w:line="360" w:lineRule="exact"/>
              <w:rPr>
                <w:rFonts w:hint="eastAsia" w:ascii="微软雅黑" w:hAnsi="微软雅黑" w:eastAsia="微软雅黑" w:cs="微软雅黑"/>
                <w:sz w:val="22"/>
                <w:szCs w:val="22"/>
                <w:highlight w:val="none"/>
                <w:lang w:val="en-US" w:eastAsia="zh-CN"/>
              </w:rPr>
            </w:pPr>
            <w:r>
              <w:rPr>
                <w:rFonts w:hint="eastAsia" w:ascii="微软雅黑" w:hAnsi="微软雅黑" w:eastAsia="微软雅黑" w:cs="微软雅黑"/>
                <w:sz w:val="22"/>
                <w:szCs w:val="22"/>
                <w:highlight w:val="none"/>
                <w:lang w:val="en-US" w:eastAsia="zh-CN"/>
              </w:rPr>
              <w:t>（4）根据财政部国库司《关于推动解决政府采购异常低价问题的通知》（财库〔2026〕2号），为整治政府采购领域“内卷式”竞争，形成优质优价、良性竞争的市场秩序，规范政府采购项目评审，防范履约风险，现将政府采购异常低价审查要求及程序明确如下：</w:t>
            </w:r>
          </w:p>
          <w:p w14:paraId="751B7576">
            <w:pPr>
              <w:spacing w:line="360" w:lineRule="exact"/>
              <w:rPr>
                <w:rFonts w:hint="eastAsia" w:ascii="微软雅黑" w:hAnsi="微软雅黑" w:eastAsia="微软雅黑" w:cs="微软雅黑"/>
                <w:sz w:val="22"/>
                <w:szCs w:val="22"/>
                <w:highlight w:val="none"/>
                <w:lang w:val="en-US" w:eastAsia="zh-CN"/>
              </w:rPr>
            </w:pPr>
            <w:r>
              <w:rPr>
                <w:rFonts w:hint="eastAsia" w:ascii="微软雅黑" w:hAnsi="微软雅黑" w:eastAsia="微软雅黑" w:cs="微软雅黑"/>
                <w:sz w:val="22"/>
                <w:szCs w:val="22"/>
                <w:highlight w:val="none"/>
                <w:lang w:val="en-US" w:eastAsia="zh-CN"/>
              </w:rPr>
              <w:t>①投标报价低于全部通过符合性审查供应商投标报价平均值50%的；</w:t>
            </w:r>
          </w:p>
          <w:p w14:paraId="241BF086">
            <w:pPr>
              <w:spacing w:line="360" w:lineRule="exact"/>
              <w:rPr>
                <w:rFonts w:hint="eastAsia" w:ascii="微软雅黑" w:hAnsi="微软雅黑" w:eastAsia="微软雅黑" w:cs="微软雅黑"/>
                <w:sz w:val="22"/>
                <w:szCs w:val="22"/>
                <w:highlight w:val="none"/>
                <w:lang w:val="en-US" w:eastAsia="zh-CN"/>
              </w:rPr>
            </w:pPr>
            <w:r>
              <w:rPr>
                <w:rFonts w:hint="eastAsia" w:ascii="微软雅黑" w:hAnsi="微软雅黑" w:eastAsia="微软雅黑" w:cs="微软雅黑"/>
                <w:sz w:val="22"/>
                <w:szCs w:val="22"/>
                <w:highlight w:val="none"/>
                <w:lang w:val="en-US" w:eastAsia="zh-CN"/>
              </w:rPr>
              <w:t>②投标报价低于通过符合性审查的次低报价供应商投标报价50%的；</w:t>
            </w:r>
          </w:p>
          <w:p w14:paraId="03904170">
            <w:pPr>
              <w:spacing w:line="360" w:lineRule="exact"/>
              <w:rPr>
                <w:rFonts w:hint="eastAsia" w:ascii="微软雅黑" w:hAnsi="微软雅黑" w:eastAsia="微软雅黑" w:cs="微软雅黑"/>
                <w:sz w:val="22"/>
                <w:szCs w:val="22"/>
                <w:highlight w:val="none"/>
                <w:lang w:val="en-US" w:eastAsia="zh-CN"/>
              </w:rPr>
            </w:pPr>
            <w:r>
              <w:rPr>
                <w:rFonts w:hint="eastAsia" w:ascii="微软雅黑" w:hAnsi="微软雅黑" w:eastAsia="微软雅黑" w:cs="微软雅黑"/>
                <w:sz w:val="22"/>
                <w:szCs w:val="22"/>
                <w:highlight w:val="none"/>
                <w:lang w:val="en-US" w:eastAsia="zh-CN"/>
              </w:rPr>
              <w:t>③投标报价低于采购项目最高限价45%的；</w:t>
            </w:r>
          </w:p>
          <w:p w14:paraId="24C6DA3F">
            <w:pPr>
              <w:spacing w:line="360" w:lineRule="exact"/>
              <w:rPr>
                <w:rFonts w:hint="eastAsia" w:ascii="微软雅黑" w:hAnsi="微软雅黑" w:eastAsia="微软雅黑" w:cs="微软雅黑"/>
                <w:sz w:val="22"/>
                <w:szCs w:val="22"/>
                <w:highlight w:val="none"/>
                <w:lang w:val="en-US" w:eastAsia="zh-CN"/>
              </w:rPr>
            </w:pPr>
            <w:r>
              <w:rPr>
                <w:rFonts w:hint="eastAsia" w:ascii="微软雅黑" w:hAnsi="微软雅黑" w:eastAsia="微软雅黑" w:cs="微软雅黑"/>
                <w:sz w:val="22"/>
                <w:szCs w:val="22"/>
                <w:highlight w:val="none"/>
                <w:lang w:val="en-US" w:eastAsia="zh-CN"/>
              </w:rPr>
              <w:t>④评审委员会基于专业判断，认为供应商报价过低，有可能影响产品质量或者不能诚信履约的其他情形。</w:t>
            </w:r>
          </w:p>
          <w:p w14:paraId="501F1C8E">
            <w:pPr>
              <w:spacing w:line="360" w:lineRule="exact"/>
              <w:rPr>
                <w:rFonts w:hint="eastAsia" w:ascii="微软雅黑" w:hAnsi="微软雅黑" w:eastAsia="微软雅黑" w:cs="微软雅黑"/>
                <w:kern w:val="2"/>
                <w:sz w:val="22"/>
                <w:szCs w:val="22"/>
                <w:lang w:val="en-US" w:eastAsia="zh-CN" w:bidi="ar-SA"/>
              </w:rPr>
            </w:pPr>
            <w:r>
              <w:rPr>
                <w:rFonts w:hint="eastAsia" w:ascii="微软雅黑" w:hAnsi="微软雅黑" w:eastAsia="微软雅黑" w:cs="微软雅黑"/>
                <w:sz w:val="22"/>
                <w:szCs w:val="22"/>
                <w:highlight w:val="none"/>
                <w:lang w:val="en-US" w:eastAsia="zh-CN"/>
              </w:rPr>
              <w:t>评审委员会启动异常低价审查后，属于前述第1项至第4项情形的，应当要求相关供应商在30分钟内对投标价格作出解释，提供项目具体成本测算等与报价合理性相关的书面说明及必要的证明材料，包括但不限于原材料成本、人工成本、制造费用等。投标供应商不能提供书面说明、证明材料，或者提供的书面说明、证明材料不能证明其报价合理性的，评审委员会应当将其作为无效投标处理。</w:t>
            </w:r>
            <w:r>
              <w:rPr>
                <w:rFonts w:hint="eastAsia" w:ascii="微软雅黑" w:hAnsi="微软雅黑" w:eastAsia="微软雅黑" w:cs="微软雅黑"/>
                <w:sz w:val="22"/>
                <w:szCs w:val="22"/>
              </w:rPr>
              <w:br w:type="page"/>
            </w:r>
          </w:p>
        </w:tc>
      </w:tr>
    </w:tbl>
    <w:p w14:paraId="22D1BDB1">
      <w:pPr>
        <w:spacing w:line="240" w:lineRule="atLeast"/>
        <w:ind w:left="1080" w:leftChars="257" w:hanging="540"/>
        <w:rPr>
          <w:rFonts w:hint="eastAsia" w:ascii="微软雅黑" w:hAnsi="微软雅黑" w:eastAsia="微软雅黑" w:cs="微软雅黑"/>
          <w:color w:val="auto"/>
          <w:sz w:val="22"/>
          <w:szCs w:val="22"/>
          <w:highlight w:val="none"/>
        </w:rPr>
        <w:sectPr>
          <w:headerReference r:id="rId5" w:type="default"/>
          <w:footerReference r:id="rId6" w:type="default"/>
          <w:pgSz w:w="11906" w:h="16838"/>
          <w:pgMar w:top="1440" w:right="1797" w:bottom="1440" w:left="1797" w:header="851" w:footer="992" w:gutter="0"/>
          <w:pgBorders>
            <w:top w:val="none" w:sz="0" w:space="0"/>
            <w:left w:val="none" w:sz="0" w:space="0"/>
            <w:bottom w:val="none" w:sz="0" w:space="0"/>
            <w:right w:val="none" w:sz="0" w:space="0"/>
          </w:pgBorders>
          <w:pgNumType w:fmt="decimal"/>
          <w:cols w:space="720" w:num="1"/>
          <w:docGrid w:linePitch="312" w:charSpace="0"/>
        </w:sectPr>
      </w:pPr>
    </w:p>
    <w:p w14:paraId="2BCEC77C">
      <w:pPr>
        <w:numPr>
          <w:ilvl w:val="0"/>
          <w:numId w:val="6"/>
        </w:numPr>
        <w:shd w:val="clear"/>
        <w:spacing w:line="440" w:lineRule="exact"/>
        <w:jc w:val="center"/>
        <w:outlineLvl w:val="0"/>
        <w:rPr>
          <w:rFonts w:hint="eastAsia" w:ascii="微软雅黑" w:hAnsi="微软雅黑" w:eastAsia="微软雅黑" w:cs="微软雅黑"/>
          <w:b/>
          <w:color w:val="auto"/>
          <w:sz w:val="28"/>
          <w:szCs w:val="28"/>
          <w:highlight w:val="none"/>
        </w:rPr>
      </w:pPr>
      <w:bookmarkStart w:id="1673" w:name="_Toc15092"/>
      <w:bookmarkStart w:id="1674" w:name="_Toc27053"/>
      <w:bookmarkStart w:id="1675" w:name="_Toc512937852"/>
      <w:r>
        <w:rPr>
          <w:rFonts w:hint="eastAsia" w:ascii="微软雅黑" w:hAnsi="微软雅黑" w:eastAsia="微软雅黑" w:cs="微软雅黑"/>
          <w:b/>
          <w:color w:val="auto"/>
          <w:sz w:val="28"/>
          <w:szCs w:val="28"/>
          <w:highlight w:val="none"/>
        </w:rPr>
        <w:t xml:space="preserve"> </w:t>
      </w:r>
      <w:bookmarkStart w:id="1676" w:name="_Toc30727"/>
      <w:r>
        <w:rPr>
          <w:rFonts w:hint="eastAsia" w:ascii="微软雅黑" w:hAnsi="微软雅黑" w:eastAsia="微软雅黑" w:cs="微软雅黑"/>
          <w:b/>
          <w:color w:val="auto"/>
          <w:sz w:val="28"/>
          <w:szCs w:val="28"/>
          <w:highlight w:val="none"/>
          <w:lang w:val="en-US" w:eastAsia="zh-CN"/>
        </w:rPr>
        <w:t>货物要求</w:t>
      </w:r>
      <w:r>
        <w:rPr>
          <w:rFonts w:hint="eastAsia" w:ascii="微软雅黑" w:hAnsi="微软雅黑" w:eastAsia="微软雅黑" w:cs="微软雅黑"/>
          <w:b/>
          <w:color w:val="auto"/>
          <w:sz w:val="28"/>
          <w:szCs w:val="28"/>
          <w:highlight w:val="none"/>
        </w:rPr>
        <w:t>及项目要求</w:t>
      </w:r>
      <w:bookmarkEnd w:id="1673"/>
      <w:bookmarkEnd w:id="1674"/>
      <w:bookmarkEnd w:id="1675"/>
      <w:bookmarkEnd w:id="1676"/>
      <w:bookmarkStart w:id="1677" w:name="_Toc9091"/>
    </w:p>
    <w:bookmarkEnd w:id="0"/>
    <w:bookmarkEnd w:id="1"/>
    <w:bookmarkEnd w:id="2"/>
    <w:bookmarkEnd w:id="3"/>
    <w:bookmarkEnd w:id="4"/>
    <w:bookmarkEnd w:id="5"/>
    <w:bookmarkEnd w:id="6"/>
    <w:bookmarkEnd w:id="7"/>
    <w:bookmarkEnd w:id="8"/>
    <w:bookmarkEnd w:id="9"/>
    <w:bookmarkEnd w:id="10"/>
    <w:bookmarkEnd w:id="11"/>
    <w:bookmarkEnd w:id="12"/>
    <w:bookmarkEnd w:id="13"/>
    <w:bookmarkEnd w:id="1677"/>
    <w:p w14:paraId="493DF4DD">
      <w:pPr>
        <w:numPr>
          <w:ilvl w:val="0"/>
          <w:numId w:val="7"/>
        </w:numPr>
        <w:jc w:val="left"/>
        <w:outlineLvl w:val="1"/>
        <w:rPr>
          <w:rStyle w:val="48"/>
          <w:rFonts w:hint="eastAsia" w:ascii="微软雅黑" w:hAnsi="微软雅黑" w:eastAsia="微软雅黑" w:cs="微软雅黑"/>
          <w:color w:val="auto"/>
          <w:sz w:val="28"/>
          <w:szCs w:val="28"/>
          <w:highlight w:val="none"/>
          <w:lang w:eastAsia="zh-CN"/>
        </w:rPr>
      </w:pPr>
      <w:bookmarkStart w:id="1678" w:name="_Toc10372"/>
      <w:bookmarkStart w:id="1679" w:name="_Toc31651"/>
      <w:bookmarkStart w:id="1680" w:name="_Toc11259"/>
      <w:r>
        <w:rPr>
          <w:rStyle w:val="48"/>
          <w:rFonts w:hint="eastAsia" w:ascii="微软雅黑" w:hAnsi="微软雅黑" w:eastAsia="微软雅黑" w:cs="微软雅黑"/>
          <w:color w:val="auto"/>
          <w:sz w:val="28"/>
          <w:szCs w:val="28"/>
          <w:highlight w:val="none"/>
          <w:lang w:eastAsia="zh-CN"/>
        </w:rPr>
        <w:t>货物要求</w:t>
      </w:r>
      <w:bookmarkEnd w:id="1678"/>
    </w:p>
    <w:p w14:paraId="4EE5F2BF">
      <w:pPr>
        <w:jc w:val="left"/>
        <w:outlineLvl w:val="2"/>
        <w:rPr>
          <w:rStyle w:val="48"/>
          <w:rFonts w:hint="eastAsia" w:ascii="微软雅黑" w:hAnsi="微软雅黑" w:eastAsia="微软雅黑" w:cs="微软雅黑"/>
          <w:color w:val="auto"/>
          <w:sz w:val="28"/>
          <w:szCs w:val="28"/>
          <w:highlight w:val="none"/>
          <w:lang w:eastAsia="zh-CN"/>
        </w:rPr>
      </w:pPr>
      <w:bookmarkStart w:id="1681" w:name="_Toc28566"/>
      <w:bookmarkStart w:id="1682" w:name="_Toc23360"/>
      <w:r>
        <w:rPr>
          <w:rStyle w:val="48"/>
          <w:rFonts w:hint="eastAsia" w:ascii="微软雅黑" w:hAnsi="微软雅黑" w:eastAsia="微软雅黑" w:cs="微软雅黑"/>
          <w:color w:val="auto"/>
          <w:sz w:val="28"/>
          <w:szCs w:val="28"/>
          <w:highlight w:val="none"/>
          <w:lang w:eastAsia="zh-CN"/>
        </w:rPr>
        <w:t>标项一：维吾尔医药饮片</w:t>
      </w:r>
      <w:bookmarkEnd w:id="1681"/>
      <w:bookmarkEnd w:id="1682"/>
    </w:p>
    <w:tbl>
      <w:tblPr>
        <w:tblStyle w:val="32"/>
        <w:tblW w:w="1001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68"/>
        <w:gridCol w:w="1237"/>
        <w:gridCol w:w="945"/>
        <w:gridCol w:w="576"/>
        <w:gridCol w:w="954"/>
        <w:gridCol w:w="4548"/>
        <w:gridCol w:w="1091"/>
      </w:tblGrid>
      <w:tr w14:paraId="514243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68" w:type="dxa"/>
            <w:tcBorders>
              <w:top w:val="single" w:color="auto" w:sz="4" w:space="0"/>
              <w:left w:val="single" w:color="auto" w:sz="4" w:space="0"/>
              <w:bottom w:val="single" w:color="auto" w:sz="4" w:space="0"/>
              <w:right w:val="single" w:color="000000" w:sz="4" w:space="0"/>
            </w:tcBorders>
            <w:shd w:val="clear" w:color="auto" w:fill="auto"/>
            <w:vAlign w:val="center"/>
          </w:tcPr>
          <w:p w14:paraId="515EE958">
            <w:pPr>
              <w:keepNext w:val="0"/>
              <w:keepLines w:val="0"/>
              <w:widowControl/>
              <w:suppressLineNumbers w:val="0"/>
              <w:snapToGrid w:val="0"/>
              <w:jc w:val="center"/>
              <w:textAlignment w:val="center"/>
              <w:rPr>
                <w:rFonts w:hint="eastAsia" w:ascii="微软雅黑" w:hAnsi="微软雅黑" w:eastAsia="微软雅黑" w:cs="微软雅黑"/>
                <w:b/>
                <w:bCs/>
                <w:i w:val="0"/>
                <w:iCs w:val="0"/>
                <w:color w:val="auto"/>
                <w:kern w:val="0"/>
                <w:sz w:val="21"/>
                <w:szCs w:val="21"/>
                <w:highlight w:val="none"/>
                <w:u w:val="none"/>
                <w:lang w:val="en-US" w:eastAsia="zh-CN" w:bidi="ar"/>
              </w:rPr>
            </w:pPr>
            <w:r>
              <w:rPr>
                <w:rFonts w:hint="eastAsia" w:ascii="微软雅黑" w:hAnsi="微软雅黑" w:eastAsia="微软雅黑" w:cs="微软雅黑"/>
                <w:b/>
                <w:bCs/>
                <w:i w:val="0"/>
                <w:iCs w:val="0"/>
                <w:color w:val="auto"/>
                <w:kern w:val="0"/>
                <w:sz w:val="21"/>
                <w:szCs w:val="21"/>
                <w:highlight w:val="none"/>
                <w:u w:val="none"/>
                <w:lang w:val="en-US" w:eastAsia="zh-CN" w:bidi="ar"/>
              </w:rPr>
              <w:t>序号</w:t>
            </w:r>
          </w:p>
        </w:tc>
        <w:tc>
          <w:tcPr>
            <w:tcW w:w="1237" w:type="dxa"/>
            <w:tcBorders>
              <w:top w:val="single" w:color="auto" w:sz="4" w:space="0"/>
              <w:left w:val="single" w:color="000000" w:sz="4" w:space="0"/>
              <w:bottom w:val="single" w:color="auto" w:sz="4" w:space="0"/>
              <w:right w:val="single" w:color="000000" w:sz="4" w:space="0"/>
            </w:tcBorders>
            <w:shd w:val="clear" w:color="auto" w:fill="auto"/>
            <w:vAlign w:val="center"/>
          </w:tcPr>
          <w:p w14:paraId="5FF3D223">
            <w:pPr>
              <w:keepNext w:val="0"/>
              <w:keepLines w:val="0"/>
              <w:widowControl/>
              <w:suppressLineNumbers w:val="0"/>
              <w:snapToGrid w:val="0"/>
              <w:jc w:val="center"/>
              <w:textAlignment w:val="center"/>
              <w:rPr>
                <w:rFonts w:hint="eastAsia" w:ascii="微软雅黑" w:hAnsi="微软雅黑" w:eastAsia="微软雅黑" w:cs="微软雅黑"/>
                <w:b/>
                <w:bCs/>
                <w:i w:val="0"/>
                <w:iCs w:val="0"/>
                <w:color w:val="auto"/>
                <w:kern w:val="0"/>
                <w:sz w:val="21"/>
                <w:szCs w:val="21"/>
                <w:highlight w:val="none"/>
                <w:u w:val="none"/>
                <w:lang w:val="en-US" w:eastAsia="zh-CN" w:bidi="ar"/>
              </w:rPr>
            </w:pPr>
            <w:r>
              <w:rPr>
                <w:rFonts w:hint="eastAsia" w:ascii="微软雅黑" w:hAnsi="微软雅黑" w:eastAsia="微软雅黑" w:cs="微软雅黑"/>
                <w:b/>
                <w:bCs/>
                <w:i w:val="0"/>
                <w:iCs w:val="0"/>
                <w:color w:val="auto"/>
                <w:kern w:val="0"/>
                <w:sz w:val="21"/>
                <w:szCs w:val="21"/>
                <w:highlight w:val="none"/>
                <w:u w:val="none"/>
                <w:lang w:val="en-US" w:eastAsia="zh-CN" w:bidi="ar"/>
              </w:rPr>
              <w:t>药品名称</w:t>
            </w:r>
          </w:p>
        </w:tc>
        <w:tc>
          <w:tcPr>
            <w:tcW w:w="945" w:type="dxa"/>
            <w:tcBorders>
              <w:top w:val="single" w:color="auto" w:sz="4" w:space="0"/>
              <w:left w:val="single" w:color="000000" w:sz="4" w:space="0"/>
              <w:bottom w:val="single" w:color="auto" w:sz="4" w:space="0"/>
              <w:right w:val="single" w:color="000000" w:sz="4" w:space="0"/>
            </w:tcBorders>
            <w:shd w:val="clear" w:color="auto" w:fill="auto"/>
            <w:vAlign w:val="center"/>
          </w:tcPr>
          <w:p w14:paraId="2D3EFD81">
            <w:pPr>
              <w:keepNext w:val="0"/>
              <w:keepLines w:val="0"/>
              <w:widowControl/>
              <w:suppressLineNumbers w:val="0"/>
              <w:snapToGrid w:val="0"/>
              <w:jc w:val="center"/>
              <w:textAlignment w:val="center"/>
              <w:rPr>
                <w:rFonts w:hint="eastAsia" w:ascii="微软雅黑" w:hAnsi="微软雅黑" w:eastAsia="微软雅黑" w:cs="微软雅黑"/>
                <w:b/>
                <w:bCs/>
                <w:i w:val="0"/>
                <w:iCs w:val="0"/>
                <w:color w:val="auto"/>
                <w:kern w:val="0"/>
                <w:sz w:val="21"/>
                <w:szCs w:val="21"/>
                <w:highlight w:val="none"/>
                <w:u w:val="none"/>
                <w:lang w:val="en-US" w:eastAsia="zh-CN" w:bidi="ar"/>
              </w:rPr>
            </w:pPr>
            <w:r>
              <w:rPr>
                <w:rFonts w:hint="eastAsia" w:ascii="微软雅黑" w:hAnsi="微软雅黑" w:eastAsia="微软雅黑" w:cs="微软雅黑"/>
                <w:b/>
                <w:bCs/>
                <w:i w:val="0"/>
                <w:iCs w:val="0"/>
                <w:color w:val="auto"/>
                <w:kern w:val="0"/>
                <w:sz w:val="21"/>
                <w:szCs w:val="21"/>
                <w:highlight w:val="none"/>
                <w:u w:val="none"/>
                <w:lang w:val="en-US" w:eastAsia="zh-CN" w:bidi="ar"/>
              </w:rPr>
              <w:t>规格</w:t>
            </w:r>
          </w:p>
        </w:tc>
        <w:tc>
          <w:tcPr>
            <w:tcW w:w="576" w:type="dxa"/>
            <w:tcBorders>
              <w:top w:val="single" w:color="auto" w:sz="4" w:space="0"/>
              <w:left w:val="single" w:color="000000" w:sz="4" w:space="0"/>
              <w:bottom w:val="single" w:color="auto" w:sz="4" w:space="0"/>
              <w:right w:val="single" w:color="000000" w:sz="4" w:space="0"/>
            </w:tcBorders>
            <w:shd w:val="clear" w:color="auto" w:fill="auto"/>
            <w:vAlign w:val="center"/>
          </w:tcPr>
          <w:p w14:paraId="737D90F8">
            <w:pPr>
              <w:keepNext w:val="0"/>
              <w:keepLines w:val="0"/>
              <w:widowControl/>
              <w:suppressLineNumbers w:val="0"/>
              <w:snapToGrid w:val="0"/>
              <w:jc w:val="center"/>
              <w:textAlignment w:val="center"/>
              <w:rPr>
                <w:rFonts w:hint="eastAsia" w:ascii="微软雅黑" w:hAnsi="微软雅黑" w:eastAsia="微软雅黑" w:cs="微软雅黑"/>
                <w:b/>
                <w:bCs/>
                <w:i w:val="0"/>
                <w:iCs w:val="0"/>
                <w:color w:val="auto"/>
                <w:kern w:val="0"/>
                <w:sz w:val="21"/>
                <w:szCs w:val="21"/>
                <w:highlight w:val="none"/>
                <w:u w:val="none"/>
                <w:lang w:val="en-US" w:eastAsia="zh-CN" w:bidi="ar"/>
              </w:rPr>
            </w:pPr>
            <w:r>
              <w:rPr>
                <w:rFonts w:hint="eastAsia" w:ascii="微软雅黑" w:hAnsi="微软雅黑" w:eastAsia="微软雅黑" w:cs="微软雅黑"/>
                <w:b/>
                <w:bCs/>
                <w:i w:val="0"/>
                <w:iCs w:val="0"/>
                <w:color w:val="auto"/>
                <w:kern w:val="0"/>
                <w:sz w:val="21"/>
                <w:szCs w:val="21"/>
                <w:highlight w:val="none"/>
                <w:u w:val="none"/>
                <w:lang w:val="en-US" w:eastAsia="zh-CN" w:bidi="ar"/>
              </w:rPr>
              <w:t>单位</w:t>
            </w:r>
          </w:p>
        </w:tc>
        <w:tc>
          <w:tcPr>
            <w:tcW w:w="954" w:type="dxa"/>
            <w:tcBorders>
              <w:top w:val="single" w:color="auto" w:sz="4" w:space="0"/>
              <w:left w:val="single" w:color="000000" w:sz="4" w:space="0"/>
              <w:bottom w:val="single" w:color="auto" w:sz="4" w:space="0"/>
              <w:right w:val="single" w:color="000000" w:sz="4" w:space="0"/>
            </w:tcBorders>
            <w:shd w:val="clear" w:color="auto" w:fill="auto"/>
            <w:vAlign w:val="center"/>
          </w:tcPr>
          <w:p w14:paraId="5C171662">
            <w:pPr>
              <w:keepNext w:val="0"/>
              <w:keepLines w:val="0"/>
              <w:widowControl/>
              <w:suppressLineNumbers w:val="0"/>
              <w:snapToGrid w:val="0"/>
              <w:jc w:val="center"/>
              <w:textAlignment w:val="center"/>
              <w:rPr>
                <w:rFonts w:hint="eastAsia" w:ascii="微软雅黑" w:hAnsi="微软雅黑" w:eastAsia="微软雅黑" w:cs="微软雅黑"/>
                <w:b/>
                <w:bCs/>
                <w:i w:val="0"/>
                <w:iCs w:val="0"/>
                <w:color w:val="auto"/>
                <w:kern w:val="0"/>
                <w:sz w:val="21"/>
                <w:szCs w:val="21"/>
                <w:highlight w:val="none"/>
                <w:u w:val="none"/>
                <w:lang w:val="en-US" w:eastAsia="zh-CN" w:bidi="ar"/>
              </w:rPr>
            </w:pPr>
            <w:r>
              <w:rPr>
                <w:rFonts w:hint="eastAsia" w:ascii="微软雅黑" w:hAnsi="微软雅黑" w:eastAsia="微软雅黑" w:cs="微软雅黑"/>
                <w:b/>
                <w:bCs/>
                <w:i w:val="0"/>
                <w:iCs w:val="0"/>
                <w:color w:val="auto"/>
                <w:kern w:val="0"/>
                <w:sz w:val="21"/>
                <w:szCs w:val="21"/>
                <w:highlight w:val="none"/>
                <w:u w:val="none"/>
                <w:lang w:val="en-US" w:eastAsia="zh-CN" w:bidi="ar"/>
              </w:rPr>
              <w:t>预算单价（元）</w:t>
            </w:r>
          </w:p>
        </w:tc>
        <w:tc>
          <w:tcPr>
            <w:tcW w:w="4548" w:type="dxa"/>
            <w:tcBorders>
              <w:top w:val="single" w:color="auto" w:sz="4" w:space="0"/>
              <w:left w:val="single" w:color="000000" w:sz="4" w:space="0"/>
              <w:bottom w:val="single" w:color="auto" w:sz="4" w:space="0"/>
              <w:right w:val="single" w:color="000000" w:sz="4" w:space="0"/>
            </w:tcBorders>
            <w:shd w:val="clear" w:color="auto" w:fill="auto"/>
            <w:vAlign w:val="center"/>
          </w:tcPr>
          <w:p w14:paraId="7302326F">
            <w:pPr>
              <w:keepNext w:val="0"/>
              <w:keepLines w:val="0"/>
              <w:widowControl/>
              <w:suppressLineNumbers w:val="0"/>
              <w:snapToGrid w:val="0"/>
              <w:jc w:val="center"/>
              <w:textAlignment w:val="center"/>
              <w:rPr>
                <w:rFonts w:hint="eastAsia" w:ascii="微软雅黑" w:hAnsi="微软雅黑" w:eastAsia="微软雅黑" w:cs="微软雅黑"/>
                <w:b/>
                <w:bCs/>
                <w:i w:val="0"/>
                <w:iCs w:val="0"/>
                <w:color w:val="auto"/>
                <w:kern w:val="0"/>
                <w:sz w:val="21"/>
                <w:szCs w:val="21"/>
                <w:highlight w:val="none"/>
                <w:u w:val="none"/>
                <w:lang w:val="en-US" w:eastAsia="zh-CN" w:bidi="ar"/>
              </w:rPr>
            </w:pPr>
            <w:r>
              <w:rPr>
                <w:rFonts w:hint="eastAsia" w:ascii="微软雅黑" w:hAnsi="微软雅黑" w:eastAsia="微软雅黑" w:cs="微软雅黑"/>
                <w:b/>
                <w:bCs/>
                <w:i w:val="0"/>
                <w:iCs w:val="0"/>
                <w:color w:val="auto"/>
                <w:kern w:val="0"/>
                <w:sz w:val="21"/>
                <w:szCs w:val="21"/>
                <w:highlight w:val="none"/>
                <w:u w:val="none"/>
                <w:lang w:val="en-US" w:eastAsia="zh-CN" w:bidi="ar"/>
              </w:rPr>
              <w:t>药品参数</w:t>
            </w:r>
          </w:p>
        </w:tc>
        <w:tc>
          <w:tcPr>
            <w:tcW w:w="1091" w:type="dxa"/>
            <w:tcBorders>
              <w:top w:val="single" w:color="auto" w:sz="4" w:space="0"/>
              <w:left w:val="single" w:color="000000" w:sz="4" w:space="0"/>
              <w:bottom w:val="single" w:color="auto" w:sz="4" w:space="0"/>
              <w:right w:val="single" w:color="auto" w:sz="4" w:space="0"/>
            </w:tcBorders>
            <w:shd w:val="clear" w:color="auto" w:fill="auto"/>
            <w:vAlign w:val="center"/>
          </w:tcPr>
          <w:p w14:paraId="5C8645F3">
            <w:pPr>
              <w:keepNext w:val="0"/>
              <w:keepLines w:val="0"/>
              <w:widowControl/>
              <w:suppressLineNumbers w:val="0"/>
              <w:snapToGrid w:val="0"/>
              <w:jc w:val="center"/>
              <w:textAlignment w:val="center"/>
              <w:rPr>
                <w:rFonts w:hint="eastAsia" w:ascii="微软雅黑" w:hAnsi="微软雅黑" w:eastAsia="微软雅黑" w:cs="微软雅黑"/>
                <w:b/>
                <w:bCs/>
                <w:i w:val="0"/>
                <w:iCs w:val="0"/>
                <w:color w:val="auto"/>
                <w:kern w:val="0"/>
                <w:sz w:val="21"/>
                <w:szCs w:val="21"/>
                <w:highlight w:val="none"/>
                <w:u w:val="none"/>
                <w:lang w:val="en-US" w:eastAsia="zh-CN" w:bidi="ar"/>
              </w:rPr>
            </w:pPr>
            <w:r>
              <w:rPr>
                <w:rFonts w:hint="eastAsia" w:ascii="微软雅黑" w:hAnsi="微软雅黑" w:eastAsia="微软雅黑" w:cs="微软雅黑"/>
                <w:b/>
                <w:bCs/>
                <w:i w:val="0"/>
                <w:iCs w:val="0"/>
                <w:color w:val="auto"/>
                <w:kern w:val="0"/>
                <w:sz w:val="21"/>
                <w:szCs w:val="21"/>
                <w:highlight w:val="none"/>
                <w:u w:val="none"/>
                <w:lang w:val="en-US" w:eastAsia="zh-CN" w:bidi="ar"/>
              </w:rPr>
              <w:t>备注</w:t>
            </w:r>
          </w:p>
        </w:tc>
      </w:tr>
      <w:tr w14:paraId="1B18BE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68" w:type="dxa"/>
            <w:tcBorders>
              <w:top w:val="single" w:color="auto" w:sz="4" w:space="0"/>
              <w:left w:val="single" w:color="000000" w:sz="4" w:space="0"/>
              <w:bottom w:val="single" w:color="000000" w:sz="4" w:space="0"/>
              <w:right w:val="single" w:color="000000" w:sz="4" w:space="0"/>
            </w:tcBorders>
            <w:shd w:val="clear" w:color="auto" w:fill="auto"/>
            <w:vAlign w:val="center"/>
          </w:tcPr>
          <w:p w14:paraId="3B496EAC">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1 </w:t>
            </w:r>
          </w:p>
        </w:tc>
        <w:tc>
          <w:tcPr>
            <w:tcW w:w="1237" w:type="dxa"/>
            <w:tcBorders>
              <w:top w:val="single" w:color="auto" w:sz="4" w:space="0"/>
              <w:left w:val="single" w:color="000000" w:sz="4" w:space="0"/>
              <w:bottom w:val="single" w:color="000000" w:sz="4" w:space="0"/>
              <w:right w:val="single" w:color="000000" w:sz="4" w:space="0"/>
            </w:tcBorders>
            <w:shd w:val="clear" w:color="auto" w:fill="auto"/>
            <w:vAlign w:val="center"/>
          </w:tcPr>
          <w:p w14:paraId="7C52BAD9">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阿勃勒</w:t>
            </w:r>
          </w:p>
        </w:tc>
        <w:tc>
          <w:tcPr>
            <w:tcW w:w="945" w:type="dxa"/>
            <w:tcBorders>
              <w:top w:val="single" w:color="auto" w:sz="4" w:space="0"/>
              <w:left w:val="single" w:color="000000" w:sz="4" w:space="0"/>
              <w:bottom w:val="single" w:color="000000" w:sz="4" w:space="0"/>
              <w:right w:val="single" w:color="000000" w:sz="4" w:space="0"/>
            </w:tcBorders>
            <w:shd w:val="clear" w:color="auto" w:fill="auto"/>
            <w:vAlign w:val="center"/>
          </w:tcPr>
          <w:p w14:paraId="74596A97">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576" w:type="dxa"/>
            <w:tcBorders>
              <w:top w:val="single" w:color="auto" w:sz="4" w:space="0"/>
              <w:left w:val="single" w:color="000000" w:sz="4" w:space="0"/>
              <w:bottom w:val="single" w:color="000000" w:sz="4" w:space="0"/>
              <w:right w:val="single" w:color="000000" w:sz="4" w:space="0"/>
            </w:tcBorders>
            <w:shd w:val="clear" w:color="auto" w:fill="auto"/>
            <w:vAlign w:val="center"/>
          </w:tcPr>
          <w:p w14:paraId="19EFAD59">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954" w:type="dxa"/>
            <w:tcBorders>
              <w:top w:val="single" w:color="auto" w:sz="4" w:space="0"/>
              <w:left w:val="single" w:color="000000" w:sz="4" w:space="0"/>
              <w:bottom w:val="single" w:color="000000" w:sz="4" w:space="0"/>
              <w:right w:val="single" w:color="000000" w:sz="4" w:space="0"/>
            </w:tcBorders>
            <w:shd w:val="clear" w:color="auto" w:fill="auto"/>
            <w:vAlign w:val="center"/>
          </w:tcPr>
          <w:p w14:paraId="0B6259A8">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15 </w:t>
            </w:r>
          </w:p>
        </w:tc>
        <w:tc>
          <w:tcPr>
            <w:tcW w:w="4548" w:type="dxa"/>
            <w:tcBorders>
              <w:top w:val="single" w:color="auto" w:sz="4" w:space="0"/>
              <w:left w:val="single" w:color="000000" w:sz="4" w:space="0"/>
              <w:bottom w:val="single" w:color="000000" w:sz="4" w:space="0"/>
              <w:right w:val="single" w:color="000000" w:sz="4" w:space="0"/>
            </w:tcBorders>
            <w:shd w:val="clear" w:color="auto" w:fill="auto"/>
            <w:vAlign w:val="center"/>
          </w:tcPr>
          <w:p w14:paraId="30930EC8">
            <w:pPr>
              <w:keepNext w:val="0"/>
              <w:keepLines w:val="0"/>
              <w:widowControl/>
              <w:suppressLineNumbers w:val="0"/>
              <w:snapToGrid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干燥荚果圆柱形，长30~60cm，直径1.5~2cm，顶端尖，基部有时具木质状的果柄。表面暗褐色，平滑而带光泽，腹缝、背缝明显。果皮薄，硬而木质状，内有多数横隔，每隔有种子1粒，具长而暗色的珠柄，附着于腹缝。种子扁卵圆形，长约8mm，宽约6mm，厚约4mm，赤褐色，光滑而质坚，内为淡黄色，胚乳角质状，胚弯曲。味甜而微酸，有特异臭味。</w:t>
            </w:r>
          </w:p>
        </w:tc>
        <w:tc>
          <w:tcPr>
            <w:tcW w:w="1091" w:type="dxa"/>
            <w:tcBorders>
              <w:top w:val="single" w:color="auto" w:sz="4" w:space="0"/>
              <w:left w:val="single" w:color="000000" w:sz="4" w:space="0"/>
              <w:bottom w:val="single" w:color="000000" w:sz="4" w:space="0"/>
              <w:right w:val="single" w:color="000000" w:sz="4" w:space="0"/>
            </w:tcBorders>
            <w:shd w:val="clear" w:color="auto" w:fill="auto"/>
            <w:vAlign w:val="center"/>
          </w:tcPr>
          <w:p w14:paraId="7C8A66B7">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29C8C6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0FBE3">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2 </w:t>
            </w: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43C3A">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阿拉伯胶</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669F4">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CB1E1">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B49E3">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25 </w:t>
            </w:r>
          </w:p>
        </w:tc>
        <w:tc>
          <w:tcPr>
            <w:tcW w:w="4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E6EB8">
            <w:pPr>
              <w:keepNext w:val="0"/>
              <w:keepLines w:val="0"/>
              <w:widowControl/>
              <w:suppressLineNumbers w:val="0"/>
              <w:snapToGrid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本品为白色至棕黄色的半透明或不透明的球形或不规则的颗粒、碎片或粉末。</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EB4DD">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0E2F57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929C2">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3 </w:t>
            </w: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30708">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阿里红</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A800C">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1B72F">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55680">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175 </w:t>
            </w:r>
          </w:p>
        </w:tc>
        <w:tc>
          <w:tcPr>
            <w:tcW w:w="4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EB3BE">
            <w:pPr>
              <w:keepNext w:val="0"/>
              <w:keepLines w:val="0"/>
              <w:widowControl/>
              <w:suppressLineNumbers w:val="0"/>
              <w:snapToGrid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菌体内部白色或淡黄色，折断时有粉尘飞出。菌肉软，石棉样。气微，味苦，有的微甜。</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D937C">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544A73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E445A">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4 </w:t>
            </w: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DF03E">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阿莫尼亚脂</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8160A">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269D1">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FD6F1">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345 </w:t>
            </w:r>
          </w:p>
        </w:tc>
        <w:tc>
          <w:tcPr>
            <w:tcW w:w="4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A328C">
            <w:pPr>
              <w:keepNext w:val="0"/>
              <w:keepLines w:val="0"/>
              <w:widowControl/>
              <w:suppressLineNumbers w:val="0"/>
              <w:snapToGrid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本品为滴乳状或节状团块，直径0.3~3cm。淡黄色，放置色泽变深。冷时变脆，受热软而黏，但不融化。新破碎面乳白色至淡棕色，略带蜡样光泽。气特异，味苦而辛。</w:t>
            </w:r>
            <w:r>
              <w:rPr>
                <w:rFonts w:hint="eastAsia" w:ascii="微软雅黑" w:hAnsi="微软雅黑" w:eastAsia="微软雅黑" w:cs="微软雅黑"/>
                <w:b/>
                <w:bCs/>
                <w:i w:val="0"/>
                <w:iCs w:val="0"/>
                <w:color w:val="auto"/>
                <w:kern w:val="0"/>
                <w:sz w:val="21"/>
                <w:szCs w:val="21"/>
                <w:highlight w:val="none"/>
                <w:u w:val="none"/>
                <w:lang w:val="en-US" w:eastAsia="zh-CN" w:bidi="ar"/>
              </w:rPr>
              <w:t>（提供样品以及提供第三方机构出具的检测报告）</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8DA12">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p>
        </w:tc>
      </w:tr>
      <w:tr w14:paraId="2E26DF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95B54">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5 </w:t>
            </w: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051D0">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阿纳其根</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30B4C">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B6FCD">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0FC21">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175 </w:t>
            </w:r>
          </w:p>
        </w:tc>
        <w:tc>
          <w:tcPr>
            <w:tcW w:w="4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55935">
            <w:pPr>
              <w:keepNext w:val="0"/>
              <w:keepLines w:val="0"/>
              <w:widowControl/>
              <w:suppressLineNumbers w:val="0"/>
              <w:snapToGrid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本品呈短段，圆柱形，表皮面黄棕色至灰棕色，有明显的纵沟及少数侧根痕，有的可见网状皱纹。质较坚硬，断面皮部棕色，木部棕黄色。气芳香而特异、微有刺激感，味辛辣而麻舌。</w:t>
            </w:r>
            <w:r>
              <w:rPr>
                <w:rFonts w:hint="eastAsia" w:ascii="微软雅黑" w:hAnsi="微软雅黑" w:eastAsia="微软雅黑" w:cs="微软雅黑"/>
                <w:b/>
                <w:bCs/>
                <w:i w:val="0"/>
                <w:iCs w:val="0"/>
                <w:color w:val="auto"/>
                <w:kern w:val="0"/>
                <w:sz w:val="21"/>
                <w:szCs w:val="21"/>
                <w:highlight w:val="none"/>
                <w:u w:val="none"/>
                <w:lang w:val="en-US" w:eastAsia="zh-CN" w:bidi="ar"/>
              </w:rPr>
              <w:t>（提供样品以及提供第三方机构出具的检测报告）</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88B62">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p>
        </w:tc>
      </w:tr>
      <w:tr w14:paraId="0A6BC7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61FA5">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6 </w:t>
            </w: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7B480">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阿育魏果</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7BA0E">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2D665">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69B41">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35 </w:t>
            </w:r>
          </w:p>
        </w:tc>
        <w:tc>
          <w:tcPr>
            <w:tcW w:w="4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C8D70">
            <w:pPr>
              <w:keepNext w:val="0"/>
              <w:keepLines w:val="0"/>
              <w:widowControl/>
              <w:suppressLineNumbers w:val="0"/>
              <w:snapToGrid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为双悬果，呈卵圆形或广卵形，略扁，长约2mm，直径1.5~2.0mm。表面浅灰棕色或黄绿色，顶端残留有小突起的花柱基，圆锥形，基部有时有纤细的果柄。分果呈长卵形，背面有具纵棱线5条，棱间凹陷处色泽较深，表面密被乳突状毛，结合面平坦，中部色较深。横切面略呈五角形。气特异，味辛、有麻舌感。</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C438C">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66C2C9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73592">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7 </w:t>
            </w: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19C49">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阿月浑子</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D9940">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F3FCF">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4F41C">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190 </w:t>
            </w:r>
          </w:p>
        </w:tc>
        <w:tc>
          <w:tcPr>
            <w:tcW w:w="4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4B241">
            <w:pPr>
              <w:keepNext w:val="0"/>
              <w:keepLines w:val="0"/>
              <w:widowControl/>
              <w:suppressLineNumbers w:val="0"/>
              <w:snapToGrid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呈卵圆形,长1.5~2.5cm,宽1.0~1.5cm。果核表面类白色.具纵向突起的棱线，多开裂;上端略呈芒尖，下端宽，具棕色或类白色椭圆形果梗痕。除去果核，种子卵形或椭圆形，皱缩，种皮黄白色至黄棕色，膜质，质脆易剥离。子叶2枚，黄绿色，富油性。气微，味微甜。</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0D9EB">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0630F2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09448">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8 </w:t>
            </w: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2B2A2">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艾叶</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28054">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00372">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531CE">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14 </w:t>
            </w:r>
          </w:p>
        </w:tc>
        <w:tc>
          <w:tcPr>
            <w:tcW w:w="4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8C123">
            <w:pPr>
              <w:keepNext w:val="0"/>
              <w:keepLines w:val="0"/>
              <w:widowControl/>
              <w:suppressLineNumbers w:val="0"/>
              <w:snapToGrid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多皱缩、破碎，有短柄。完整叶片展平后呈卵状椭圆形，羽状深裂、半裂或浅裂，裂片卵形、卵状披针形或披针形，边缘有不规则的粗锯齿；上表面灰绿色或深黄绿色，有稀疏的柔毛和腺点；下表面密生灰白色绒毛。质柔软。气清香，味苦。</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DE088">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4FC253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AD708">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9 </w:t>
            </w: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6F88F">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巴旦仁</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CC2E6">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05A18">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C8ECB">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60 </w:t>
            </w:r>
          </w:p>
        </w:tc>
        <w:tc>
          <w:tcPr>
            <w:tcW w:w="4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827D7">
            <w:pPr>
              <w:keepNext w:val="0"/>
              <w:keepLines w:val="0"/>
              <w:widowControl/>
              <w:suppressLineNumbers w:val="0"/>
              <w:snapToGrid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本品呈扁长卵形，长2.2~3.5cm，宽约1.5cm。表面红棕色，顶端稍尖，底部圆形，顶端有线形脐点，底部有合点，由合点处向上具有多数维管束，呈暗色纹理。种皮菲薄，子叶2枚，乳白色，富油性。气微，味甘。</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4C2C6">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提供检验报告单、真空包装状态送货</w:t>
            </w:r>
          </w:p>
        </w:tc>
      </w:tr>
      <w:tr w14:paraId="76DC23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51D08">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10 </w:t>
            </w: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BEA8C">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巴旦仁油</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57718">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20BB5">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B818D">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110 </w:t>
            </w:r>
          </w:p>
        </w:tc>
        <w:tc>
          <w:tcPr>
            <w:tcW w:w="4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D2C6F">
            <w:pPr>
              <w:keepNext w:val="0"/>
              <w:keepLines w:val="0"/>
              <w:widowControl/>
              <w:suppressLineNumbers w:val="0"/>
              <w:snapToGrid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本品为淡黄色的澄清液体;气香，无异味。冷时常发生浑浊或析出结晶，加温后又澄清。</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8262A">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71F238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42F93">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11 </w:t>
            </w: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94C2E">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巴旦仁油</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E1558">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50ml</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09D75">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盒</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73230">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8 </w:t>
            </w:r>
          </w:p>
        </w:tc>
        <w:tc>
          <w:tcPr>
            <w:tcW w:w="4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B9BEF">
            <w:pPr>
              <w:keepNext w:val="0"/>
              <w:keepLines w:val="0"/>
              <w:widowControl/>
              <w:suppressLineNumbers w:val="0"/>
              <w:snapToGrid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本品为淡黄色的澄清液体;气香，无异味。冷时常发生浑浊或析出结晶，加温后又澄清。</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493B6">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21BEEB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C8E39">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12 </w:t>
            </w: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527AA">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菝葜</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A2F2E">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137BF">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AB326">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18 </w:t>
            </w:r>
          </w:p>
        </w:tc>
        <w:tc>
          <w:tcPr>
            <w:tcW w:w="4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C1484">
            <w:pPr>
              <w:keepNext w:val="0"/>
              <w:keepLines w:val="0"/>
              <w:widowControl/>
              <w:suppressLineNumbers w:val="0"/>
              <w:snapToGrid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为不规则块状或弯曲扁柱形，有结节状隆起，长10～20cm，直径2～4cm。表面黄棕色或紫棕色，具圆锥状突起的茎基痕，并残留坚硬的刺状须根残基或细根。质坚硬，难折断，断面呈棕黄色或红棕色，纤维性，可见点状维管束和多数小亮点。切片呈不规则形，厚0.3～1cm，边缘不整齐，切面粗纤维性；质硬，折断时有粉尘飞扬。气微，味微苦、涩。</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58AB4">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13D339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4872F">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13 </w:t>
            </w: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EE911">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白矾</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79AB0">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3604D">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BAC9C">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23 </w:t>
            </w:r>
          </w:p>
        </w:tc>
        <w:tc>
          <w:tcPr>
            <w:tcW w:w="4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D5B14">
            <w:pPr>
              <w:keepNext w:val="0"/>
              <w:keepLines w:val="0"/>
              <w:widowControl/>
              <w:suppressLineNumbers w:val="0"/>
              <w:snapToGrid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本品呈不规则的块状或粒状。无色或淡黄白色，透明或半透明。表面略平滑或凹凸不平，具细密纵棱，有玻璃样光泽。质硬而脆。气微，味酸、微甘而极涩。</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E8D0D">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4E3B92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1789E">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14 </w:t>
            </w: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02607">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白花丹</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1C3AF">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299AB">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4B414">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33 </w:t>
            </w:r>
          </w:p>
        </w:tc>
        <w:tc>
          <w:tcPr>
            <w:tcW w:w="4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93DBF">
            <w:pPr>
              <w:keepNext w:val="0"/>
              <w:keepLines w:val="0"/>
              <w:widowControl/>
              <w:suppressLineNumbers w:val="0"/>
              <w:snapToGrid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本品呈圆柱形不规则短段，直径0.2~0.7cm，表面黄绿色至淡棕褐色，节明显，具细纵棱。体轻，质硬，易折断，断面皮部纤维状，内层颗粒状，髓部白色，松软如海绵状，气微，味淡。</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176FA">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353A0B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4A37D">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15 </w:t>
            </w: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68AB8">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白芥子</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73B5F">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779CD">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DA32A">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25 </w:t>
            </w:r>
          </w:p>
        </w:tc>
        <w:tc>
          <w:tcPr>
            <w:tcW w:w="4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D835A">
            <w:pPr>
              <w:keepNext w:val="0"/>
              <w:keepLines w:val="0"/>
              <w:widowControl/>
              <w:suppressLineNumbers w:val="0"/>
              <w:snapToGrid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白芥子　呈球形，直径1.5～2.5mm。表面灰白色至淡黄色，具细微的网纹，有明显的点状种脐。种皮薄而脆，破开后内有白色折叠的子叶，中间包有胚根，有油性。气微，味辛辣。</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08840">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10336B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050EF">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16 </w:t>
            </w: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2FDDD">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白皮松子仁</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7760C">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FA493">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FC480">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260 </w:t>
            </w:r>
          </w:p>
        </w:tc>
        <w:tc>
          <w:tcPr>
            <w:tcW w:w="4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B61F6">
            <w:pPr>
              <w:keepNext w:val="0"/>
              <w:keepLines w:val="0"/>
              <w:pageBreakBefore w:val="0"/>
              <w:widowControl/>
              <w:suppressLineNumbers w:val="0"/>
              <w:kinsoku/>
              <w:wordWrap w:val="0"/>
              <w:overflowPunct/>
              <w:topLinePunct w:val="0"/>
              <w:autoSpaceDE/>
              <w:autoSpaceDN/>
              <w:bidi w:val="0"/>
              <w:adjustRightInd/>
              <w:snapToGrid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本品呈长椭圆或长卵形，略扁，长1~2cm，直径4~8mm。表面白色至淡棕色，残留外包膜质内种皮，淡棕色。顶端略尖，基部钝圆。胚乳中央可见淡黄色的胚;具多个子叶，6~9居多。气微，味微甘。</w:t>
            </w:r>
            <w:r>
              <w:rPr>
                <w:rFonts w:hint="eastAsia" w:ascii="微软雅黑" w:hAnsi="微软雅黑" w:eastAsia="微软雅黑" w:cs="微软雅黑"/>
                <w:b/>
                <w:bCs/>
                <w:i w:val="0"/>
                <w:iCs w:val="0"/>
                <w:color w:val="auto"/>
                <w:kern w:val="0"/>
                <w:sz w:val="21"/>
                <w:szCs w:val="21"/>
                <w:highlight w:val="none"/>
                <w:u w:val="none"/>
                <w:lang w:val="en-US" w:eastAsia="zh-CN" w:bidi="ar"/>
              </w:rPr>
              <w:t>（提供样品以及提供第三方机构出具的检测报告）</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CCEBA">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真空包装完以后送货</w:t>
            </w:r>
          </w:p>
        </w:tc>
      </w:tr>
      <w:tr w14:paraId="2EE4B8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10715">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17 </w:t>
            </w: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EE800">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薄荷</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55FF7">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06DEF">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C4068">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15 </w:t>
            </w:r>
          </w:p>
        </w:tc>
        <w:tc>
          <w:tcPr>
            <w:tcW w:w="4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9B127">
            <w:pPr>
              <w:keepNext w:val="0"/>
              <w:keepLines w:val="0"/>
              <w:widowControl/>
              <w:suppressLineNumbers w:val="0"/>
              <w:snapToGrid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茎呈方柱形，有对生分枝，长15～40cm，直径0.2～0.4cm；表面紫棕色或淡绿色，棱角处具茸毛，节间长2～5cm；质脆，断面白色，髓部中空。叶对生，有短柄；叶片皱缩卷曲，完整者展平后呈宽披针形、长椭圆形或卵形，长2～7cm，宽1～3cm；上表面深绿色，下表面灰绿色，稀被茸毛，有凹点状腺鳞。轮伞花序腋生，花萼钟状，先端5齿裂，花冠淡紫色。揉搓后有特殊清凉香气，味辛凉。</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8B2A5">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6B9269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02F30">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18 </w:t>
            </w: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AC152">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荜茇</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81417">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D64A5">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EC926">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80 </w:t>
            </w:r>
          </w:p>
        </w:tc>
        <w:tc>
          <w:tcPr>
            <w:tcW w:w="4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10606">
            <w:pPr>
              <w:keepNext w:val="0"/>
              <w:keepLines w:val="0"/>
              <w:pageBreakBefore w:val="0"/>
              <w:widowControl/>
              <w:suppressLineNumbers w:val="0"/>
              <w:kinsoku/>
              <w:wordWrap w:val="0"/>
              <w:overflowPunct/>
              <w:topLinePunct w:val="0"/>
              <w:autoSpaceDE/>
              <w:autoSpaceDN/>
              <w:bidi w:val="0"/>
              <w:adjustRightInd/>
              <w:snapToGrid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呈圆柱形，稍弯曲，由多数小浆果集合而成，长1.5～3.5cm，直径0.3～0.5cm。表面黑褐色或棕色，有斜向排列整齐的小突起，基部有果穗梗残存或脱落。质硬而脆，易折断，断面不整齐，颗粒状。小浆果球形，直径约0.1cm。有特异香气，味辛辣。</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91AEB">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188EAC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120B1">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19 </w:t>
            </w: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5BB0B">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补骨脂</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7349C">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02042">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A4D18">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43 </w:t>
            </w:r>
          </w:p>
        </w:tc>
        <w:tc>
          <w:tcPr>
            <w:tcW w:w="4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47C1F">
            <w:pPr>
              <w:keepNext w:val="0"/>
              <w:keepLines w:val="0"/>
              <w:widowControl/>
              <w:suppressLineNumbers w:val="0"/>
              <w:snapToGrid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呈肾形，略扁，长3～5mm，宽2～4mm，厚约1.5mm。表面黑色、黑褐色或灰褐色，具细微网状皱纹。顶端圆钝，有一小突起，凹侧有果梗痕。质硬。果皮薄，与种子不易分离；种子1枚，子叶2，黄白色，有油性。气香，味辛、微苦。</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F4626">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4E01CB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15E17">
            <w:pPr>
              <w:keepNext w:val="0"/>
              <w:keepLines w:val="0"/>
              <w:widowControl/>
              <w:suppressLineNumbers w:val="0"/>
              <w:snapToGrid w:val="0"/>
              <w:jc w:val="center"/>
              <w:textAlignment w:val="center"/>
              <w:rPr>
                <w:rFonts w:hint="eastAsia" w:ascii="微软雅黑" w:hAnsi="微软雅黑" w:eastAsia="微软雅黑" w:cs="微软雅黑"/>
                <w:b w:val="0"/>
                <w:bCs w:val="0"/>
                <w:i w:val="0"/>
                <w:iCs w:val="0"/>
                <w:color w:val="auto"/>
                <w:sz w:val="21"/>
                <w:szCs w:val="21"/>
                <w:highlight w:val="none"/>
                <w:u w:val="none"/>
              </w:rPr>
            </w:pPr>
            <w:r>
              <w:rPr>
                <w:rFonts w:hint="eastAsia" w:ascii="微软雅黑" w:hAnsi="微软雅黑" w:eastAsia="微软雅黑" w:cs="微软雅黑"/>
                <w:b w:val="0"/>
                <w:bCs w:val="0"/>
                <w:i w:val="0"/>
                <w:iCs w:val="0"/>
                <w:color w:val="auto"/>
                <w:kern w:val="0"/>
                <w:sz w:val="21"/>
                <w:szCs w:val="21"/>
                <w:highlight w:val="none"/>
                <w:u w:val="none"/>
                <w:lang w:val="en-US" w:eastAsia="zh-CN" w:bidi="ar"/>
              </w:rPr>
              <w:t xml:space="preserve">20 </w:t>
            </w: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98D4A">
            <w:pPr>
              <w:keepNext w:val="0"/>
              <w:keepLines w:val="0"/>
              <w:widowControl/>
              <w:suppressLineNumbers w:val="0"/>
              <w:snapToGrid w:val="0"/>
              <w:jc w:val="center"/>
              <w:textAlignment w:val="center"/>
              <w:rPr>
                <w:rFonts w:hint="eastAsia" w:ascii="微软雅黑" w:hAnsi="微软雅黑" w:eastAsia="微软雅黑" w:cs="微软雅黑"/>
                <w:b w:val="0"/>
                <w:bCs w:val="0"/>
                <w:i w:val="0"/>
                <w:iCs w:val="0"/>
                <w:color w:val="auto"/>
                <w:sz w:val="21"/>
                <w:szCs w:val="21"/>
                <w:highlight w:val="none"/>
                <w:u w:val="none"/>
              </w:rPr>
            </w:pPr>
            <w:r>
              <w:rPr>
                <w:rFonts w:hint="eastAsia" w:ascii="微软雅黑" w:hAnsi="微软雅黑" w:eastAsia="微软雅黑" w:cs="微软雅黑"/>
                <w:b w:val="0"/>
                <w:bCs w:val="0"/>
                <w:i w:val="0"/>
                <w:iCs w:val="0"/>
                <w:color w:val="auto"/>
                <w:kern w:val="0"/>
                <w:sz w:val="21"/>
                <w:szCs w:val="21"/>
                <w:highlight w:val="none"/>
                <w:u w:val="none"/>
                <w:lang w:val="en-US" w:eastAsia="zh-CN" w:bidi="ar"/>
              </w:rPr>
              <w:t>蚕茧</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2D488">
            <w:pPr>
              <w:keepNext w:val="0"/>
              <w:keepLines w:val="0"/>
              <w:widowControl/>
              <w:suppressLineNumbers w:val="0"/>
              <w:snapToGrid w:val="0"/>
              <w:jc w:val="center"/>
              <w:textAlignment w:val="center"/>
              <w:rPr>
                <w:rFonts w:hint="eastAsia" w:ascii="微软雅黑" w:hAnsi="微软雅黑" w:eastAsia="微软雅黑" w:cs="微软雅黑"/>
                <w:b w:val="0"/>
                <w:bCs w:val="0"/>
                <w:i w:val="0"/>
                <w:iCs w:val="0"/>
                <w:color w:val="auto"/>
                <w:sz w:val="21"/>
                <w:szCs w:val="21"/>
                <w:highlight w:val="none"/>
                <w:u w:val="none"/>
              </w:rPr>
            </w:pPr>
            <w:r>
              <w:rPr>
                <w:rFonts w:hint="eastAsia" w:ascii="微软雅黑" w:hAnsi="微软雅黑" w:eastAsia="微软雅黑" w:cs="微软雅黑"/>
                <w:b w:val="0"/>
                <w:bCs w:val="0"/>
                <w:i w:val="0"/>
                <w:iCs w:val="0"/>
                <w:color w:val="auto"/>
                <w:kern w:val="0"/>
                <w:sz w:val="21"/>
                <w:szCs w:val="21"/>
                <w:highlight w:val="none"/>
                <w:u w:val="none"/>
                <w:lang w:val="en-US" w:eastAsia="zh-CN" w:bidi="ar"/>
              </w:rPr>
              <w:t>统货</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667E5">
            <w:pPr>
              <w:keepNext w:val="0"/>
              <w:keepLines w:val="0"/>
              <w:widowControl/>
              <w:suppressLineNumbers w:val="0"/>
              <w:snapToGrid w:val="0"/>
              <w:jc w:val="center"/>
              <w:textAlignment w:val="center"/>
              <w:rPr>
                <w:rFonts w:hint="eastAsia" w:ascii="微软雅黑" w:hAnsi="微软雅黑" w:eastAsia="微软雅黑" w:cs="微软雅黑"/>
                <w:b w:val="0"/>
                <w:bCs w:val="0"/>
                <w:i w:val="0"/>
                <w:iCs w:val="0"/>
                <w:color w:val="auto"/>
                <w:sz w:val="21"/>
                <w:szCs w:val="21"/>
                <w:highlight w:val="none"/>
                <w:u w:val="none"/>
              </w:rPr>
            </w:pPr>
            <w:r>
              <w:rPr>
                <w:rFonts w:hint="eastAsia" w:ascii="微软雅黑" w:hAnsi="微软雅黑" w:eastAsia="微软雅黑" w:cs="微软雅黑"/>
                <w:b w:val="0"/>
                <w:bCs w:val="0"/>
                <w:i w:val="0"/>
                <w:iCs w:val="0"/>
                <w:color w:val="auto"/>
                <w:kern w:val="0"/>
                <w:sz w:val="21"/>
                <w:szCs w:val="21"/>
                <w:highlight w:val="none"/>
                <w:u w:val="none"/>
                <w:lang w:val="en-US" w:eastAsia="zh-CN" w:bidi="ar"/>
              </w:rPr>
              <w:t>kg</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32844">
            <w:pPr>
              <w:keepNext w:val="0"/>
              <w:keepLines w:val="0"/>
              <w:widowControl/>
              <w:suppressLineNumbers w:val="0"/>
              <w:snapToGrid w:val="0"/>
              <w:jc w:val="center"/>
              <w:textAlignment w:val="center"/>
              <w:rPr>
                <w:rFonts w:hint="eastAsia" w:ascii="微软雅黑" w:hAnsi="微软雅黑" w:eastAsia="微软雅黑" w:cs="微软雅黑"/>
                <w:b w:val="0"/>
                <w:bCs w:val="0"/>
                <w:i w:val="0"/>
                <w:iCs w:val="0"/>
                <w:color w:val="auto"/>
                <w:sz w:val="21"/>
                <w:szCs w:val="21"/>
                <w:highlight w:val="none"/>
                <w:u w:val="none"/>
              </w:rPr>
            </w:pPr>
            <w:r>
              <w:rPr>
                <w:rFonts w:hint="eastAsia" w:ascii="微软雅黑" w:hAnsi="微软雅黑" w:eastAsia="微软雅黑" w:cs="微软雅黑"/>
                <w:b w:val="0"/>
                <w:bCs w:val="0"/>
                <w:i w:val="0"/>
                <w:iCs w:val="0"/>
                <w:color w:val="auto"/>
                <w:kern w:val="0"/>
                <w:sz w:val="21"/>
                <w:szCs w:val="21"/>
                <w:highlight w:val="none"/>
                <w:u w:val="none"/>
                <w:lang w:val="en-US" w:eastAsia="zh-CN" w:bidi="ar"/>
              </w:rPr>
              <w:t xml:space="preserve">226.4 </w:t>
            </w:r>
          </w:p>
        </w:tc>
        <w:tc>
          <w:tcPr>
            <w:tcW w:w="4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209B3">
            <w:pPr>
              <w:keepNext w:val="0"/>
              <w:keepLines w:val="0"/>
              <w:widowControl/>
              <w:suppressLineNumbers w:val="0"/>
              <w:snapToGrid w:val="0"/>
              <w:jc w:val="left"/>
              <w:textAlignment w:val="center"/>
              <w:rPr>
                <w:rFonts w:hint="eastAsia" w:ascii="微软雅黑" w:hAnsi="微软雅黑" w:eastAsia="微软雅黑" w:cs="微软雅黑"/>
                <w:b w:val="0"/>
                <w:bCs w:val="0"/>
                <w:i w:val="0"/>
                <w:iCs w:val="0"/>
                <w:color w:val="auto"/>
                <w:sz w:val="21"/>
                <w:szCs w:val="21"/>
                <w:highlight w:val="none"/>
                <w:u w:val="none"/>
              </w:rPr>
            </w:pPr>
            <w:r>
              <w:rPr>
                <w:rFonts w:hint="eastAsia" w:ascii="微软雅黑" w:hAnsi="微软雅黑" w:eastAsia="微软雅黑" w:cs="微软雅黑"/>
                <w:b w:val="0"/>
                <w:bCs w:val="0"/>
                <w:i w:val="0"/>
                <w:iCs w:val="0"/>
                <w:color w:val="auto"/>
                <w:kern w:val="0"/>
                <w:sz w:val="21"/>
                <w:szCs w:val="21"/>
                <w:highlight w:val="none"/>
                <w:u w:val="none"/>
                <w:lang w:val="en-US" w:eastAsia="zh-CN" w:bidi="ar"/>
              </w:rPr>
              <w:t>本品多呈长椭圆形，椭圆束腰形、球形或纺锤形等不同形状，或中部稍缢缩，可见剪开的破口。长3~4cm，直径1.5~2.5cm。表面乳白色或黄白色，有不规则皱纹，并有附着的蚕丝，呈绒毛状。内壁具薄的丝网层，壁的断面稍剥离可见多数明显的茧层。质轻而韧，不易撕破。气微，味淡。</w:t>
            </w:r>
            <w:r>
              <w:rPr>
                <w:rFonts w:hint="eastAsia" w:ascii="微软雅黑" w:hAnsi="微软雅黑" w:eastAsia="微软雅黑" w:cs="微软雅黑"/>
                <w:b/>
                <w:bCs/>
                <w:i w:val="0"/>
                <w:iCs w:val="0"/>
                <w:color w:val="auto"/>
                <w:kern w:val="0"/>
                <w:sz w:val="21"/>
                <w:szCs w:val="21"/>
                <w:highlight w:val="none"/>
                <w:u w:val="none"/>
                <w:lang w:val="en-US" w:eastAsia="zh-CN" w:bidi="ar"/>
              </w:rPr>
              <w:t>（提供样品以及提供第三方机构出具的检测报告）</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A9501">
            <w:pPr>
              <w:keepNext w:val="0"/>
              <w:keepLines w:val="0"/>
              <w:widowControl/>
              <w:suppressLineNumbers w:val="0"/>
              <w:snapToGrid w:val="0"/>
              <w:jc w:val="center"/>
              <w:textAlignment w:val="center"/>
              <w:rPr>
                <w:rFonts w:hint="eastAsia" w:ascii="微软雅黑" w:hAnsi="微软雅黑" w:eastAsia="微软雅黑" w:cs="微软雅黑"/>
                <w:b w:val="0"/>
                <w:bCs w:val="0"/>
                <w:i w:val="0"/>
                <w:iCs w:val="0"/>
                <w:color w:val="auto"/>
                <w:sz w:val="21"/>
                <w:szCs w:val="21"/>
                <w:highlight w:val="none"/>
                <w:u w:val="none"/>
              </w:rPr>
            </w:pPr>
          </w:p>
        </w:tc>
      </w:tr>
      <w:tr w14:paraId="6C779E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76070">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21 </w:t>
            </w: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6DA64">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草果</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E6297">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028CC">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1E99A">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60 </w:t>
            </w:r>
          </w:p>
        </w:tc>
        <w:tc>
          <w:tcPr>
            <w:tcW w:w="4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07571">
            <w:pPr>
              <w:keepNext w:val="0"/>
              <w:keepLines w:val="0"/>
              <w:widowControl/>
              <w:suppressLineNumbers w:val="0"/>
              <w:snapToGrid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呈长椭圆形，具三钝棱，长2～4cm，直径1～2.5cm。表面灰棕色至红棕色，具纵沟及棱线，顶端有圆形突起的柱基，基部有果梗或果梗痕。果皮质坚韧，易纵向撕裂。剥去外皮，中间有黄棕色隔膜，将种子团分成3瓣，每瓣有种子多为8～11粒。种子呈圆锥状多面体，直径约5mm；表面红棕色，外被灰白色膜质的假种皮，种脊为一条纵沟，尖端有凹状的种脐；质硬，胚乳灰白色。有特异香气，味辛、微苦。</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DB728">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21ED72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E4A0B">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22 </w:t>
            </w: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48573">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车前子</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21BC9">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2D248">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231F7">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40 </w:t>
            </w:r>
          </w:p>
        </w:tc>
        <w:tc>
          <w:tcPr>
            <w:tcW w:w="4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B3AD1">
            <w:pPr>
              <w:keepNext w:val="0"/>
              <w:keepLines w:val="0"/>
              <w:widowControl/>
              <w:suppressLineNumbers w:val="0"/>
              <w:snapToGrid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本品呈椭圆形、不规则长圆形或三角状长圆形，略扁，长约2mm，宽约1mm。表面黄棕色至黑褐色，有细皱纹，一面有灰白色凹点状种脐。质硬。气微，味淡。</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2D85B">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636D51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6681E">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23 </w:t>
            </w: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11241">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沉香</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5B984">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06F67">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EC704">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450 </w:t>
            </w:r>
          </w:p>
        </w:tc>
        <w:tc>
          <w:tcPr>
            <w:tcW w:w="4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9F3E9">
            <w:pPr>
              <w:keepNext w:val="0"/>
              <w:keepLines w:val="0"/>
              <w:widowControl/>
              <w:suppressLineNumbers w:val="0"/>
              <w:snapToGrid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本品呈不规则块、片状或盔帽状，有的为小碎块。表面凹凸不平，有刀痕，偶有孔洞，可见黑褐色树脂与黄白色木部相间的斑纹，孔洞及凹窝表面多呈朽木状。质较坚实，断面刺状。气芳香，味苦。</w:t>
            </w:r>
            <w:r>
              <w:rPr>
                <w:rFonts w:hint="eastAsia" w:ascii="微软雅黑" w:hAnsi="微软雅黑" w:eastAsia="微软雅黑" w:cs="微软雅黑"/>
                <w:b/>
                <w:bCs/>
                <w:i w:val="0"/>
                <w:iCs w:val="0"/>
                <w:color w:val="auto"/>
                <w:kern w:val="0"/>
                <w:sz w:val="21"/>
                <w:szCs w:val="21"/>
                <w:highlight w:val="none"/>
                <w:u w:val="none"/>
                <w:lang w:val="en-US" w:eastAsia="zh-CN" w:bidi="ar"/>
              </w:rPr>
              <w:t>（提供样品以及提供第三方机构出具的检测报告）</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C90E0">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p>
        </w:tc>
      </w:tr>
      <w:tr w14:paraId="385A11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612BD">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24 </w:t>
            </w: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E3257">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陈皮</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68BEB">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33111">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0EC31">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18 </w:t>
            </w:r>
          </w:p>
        </w:tc>
        <w:tc>
          <w:tcPr>
            <w:tcW w:w="4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6C358">
            <w:pPr>
              <w:keepNext w:val="0"/>
              <w:keepLines w:val="0"/>
              <w:widowControl/>
              <w:suppressLineNumbers w:val="0"/>
              <w:snapToGrid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陈皮　常剥成数瓣，基部相连，有的呈不规则的片状，厚1～4mm。外表面橙红色或红棕色，有细皱纹和凹下的点状油室；内表面浅黄白色，粗糙，附黄白色或黄棕色筋络状维管束。质稍硬而脆。气香，味辛、苦。</w:t>
            </w:r>
            <w:r>
              <w:rPr>
                <w:rFonts w:hint="eastAsia" w:ascii="微软雅黑" w:hAnsi="微软雅黑" w:eastAsia="微软雅黑" w:cs="微软雅黑"/>
                <w:i w:val="0"/>
                <w:iCs w:val="0"/>
                <w:color w:val="auto"/>
                <w:kern w:val="0"/>
                <w:sz w:val="21"/>
                <w:szCs w:val="21"/>
                <w:highlight w:val="none"/>
                <w:u w:val="none"/>
                <w:lang w:val="en-US" w:eastAsia="zh-CN" w:bidi="ar"/>
              </w:rPr>
              <w:br w:type="textWrapping"/>
            </w:r>
            <w:r>
              <w:rPr>
                <w:rFonts w:hint="eastAsia" w:ascii="微软雅黑" w:hAnsi="微软雅黑" w:eastAsia="微软雅黑" w:cs="微软雅黑"/>
                <w:i w:val="0"/>
                <w:iCs w:val="0"/>
                <w:color w:val="auto"/>
                <w:kern w:val="0"/>
                <w:sz w:val="21"/>
                <w:szCs w:val="21"/>
                <w:highlight w:val="none"/>
                <w:u w:val="none"/>
                <w:lang w:val="en-US" w:eastAsia="zh-CN" w:bidi="ar"/>
              </w:rPr>
              <w:t>广陈皮　常3瓣相连，形状整齐，厚度均匀，约1mm。外表面橙黄色至棕褐色，点状油室较大，对光照视，透明清晰。质较柔软。</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C75B4">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53AC96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91766">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25 </w:t>
            </w: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8EF87">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赤芍</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F7086">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F1BBB">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6A924">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52 </w:t>
            </w:r>
          </w:p>
        </w:tc>
        <w:tc>
          <w:tcPr>
            <w:tcW w:w="4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B808C">
            <w:pPr>
              <w:keepNext w:val="0"/>
              <w:keepLines w:val="0"/>
              <w:widowControl/>
              <w:suppressLineNumbers w:val="0"/>
              <w:snapToGrid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本品呈圆柱形，稍弯曲，长5～40cm，直径0.5～3cm。表面棕褐色，粗糙，有纵沟和皱纹，并有须根痕和横长的皮孔样突起，有的外皮易脱落。质硬而脆，易折断，断面粉白色或粉红色，皮部窄，木部放射状纹理明显，有的有裂隙。气微香，味微苦、酸涩。</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F4CF2">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01C6C2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761B7">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26 </w:t>
            </w: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202AC">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赤石脂</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C5454">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EA2CC">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06DD7">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40 </w:t>
            </w:r>
          </w:p>
        </w:tc>
        <w:tc>
          <w:tcPr>
            <w:tcW w:w="4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EC90A">
            <w:pPr>
              <w:keepNext w:val="0"/>
              <w:keepLines w:val="0"/>
              <w:widowControl/>
              <w:suppressLineNumbers w:val="0"/>
              <w:snapToGrid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本品为块状集合体，呈不规则的块状。粉红色、红色至紫红色，或有红白相间的花纹。质软，易碎，断面有的具蜡样光泽。吸水性强。具黏土气，味淡，嚼之无沙粒感。</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60189">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671A2E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2D585">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27 </w:t>
            </w: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ECBEE">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刺山柑根皮</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4F0D7">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65B8A">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56818">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32 </w:t>
            </w:r>
          </w:p>
        </w:tc>
        <w:tc>
          <w:tcPr>
            <w:tcW w:w="4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83444">
            <w:pPr>
              <w:keepNext w:val="0"/>
              <w:keepLines w:val="0"/>
              <w:widowControl/>
              <w:suppressLineNumbers w:val="0"/>
              <w:snapToGrid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本品呈短筒状或槽状，厚0.1~0.9cm。表面灰白色或淡灰黄色，具细密的横纹及多数突起的皮孔。内表面类白色，较光滑，有的有细纵纹。质硬脆，断面不平坦，呈层片状。气微，味苦而后甘。</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8691A">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69075D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2E862">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28 </w:t>
            </w: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4AA1A">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刺糖</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70BC9">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9C6D5">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7DD80">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115 </w:t>
            </w:r>
          </w:p>
        </w:tc>
        <w:tc>
          <w:tcPr>
            <w:tcW w:w="4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76F86">
            <w:pPr>
              <w:keepNext w:val="0"/>
              <w:keepLines w:val="0"/>
              <w:widowControl/>
              <w:suppressLineNumbers w:val="0"/>
              <w:snapToGrid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本品呈颗粒状或泪滴状。外表面淡黄白色至棕黄色，内部呈乳白色至淡黄色，略有黏性。气微，味甜。</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C6C27">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5D18BA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F2B6C">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29 </w:t>
            </w: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C3845">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大黄</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D4943">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F1534">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1A09B">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40 </w:t>
            </w:r>
          </w:p>
        </w:tc>
        <w:tc>
          <w:tcPr>
            <w:tcW w:w="4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DE6E1">
            <w:pPr>
              <w:keepNext w:val="0"/>
              <w:keepLines w:val="0"/>
              <w:widowControl/>
              <w:suppressLineNumbers w:val="0"/>
              <w:snapToGrid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根呈类圆柱形、圆锥形、卵圆形或不规则块状，长3～17cm，直径3～10cm。除尽外皮者表面黄棕色至红棕色，有的可见类白色网状纹理及星点（异型维管束）散在，残留的外皮棕褐色，多具绳孔及粗皱纹。质坚实，有的中心稍松软，断面淡红棕色或黄棕色，显颗粒性；根茎髓部宽广，有星点环列或散在；根木部发达，具放射状纹理，形成层环明显，无星点。气清香，味苦而微涩，嚼之粘牙，有沙粒感。</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3986F">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508F6E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2E8FD">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30 </w:t>
            </w: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46A72">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大戟脂</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BB348">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9CC14">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D6B02">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620 </w:t>
            </w:r>
          </w:p>
        </w:tc>
        <w:tc>
          <w:tcPr>
            <w:tcW w:w="4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7FBA5">
            <w:pPr>
              <w:keepNext w:val="0"/>
              <w:keepLines w:val="0"/>
              <w:widowControl/>
              <w:suppressLineNumbers w:val="0"/>
              <w:snapToGrid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为不规则块状或滴状物。大小不等，直径可达3cm，暗黄色或黄棕色，新鲜者色略浅，质脆。有时可见含有本植物的破碎叶、花和果实。气微，加热则有香脂样芳香，味辛辣而特异，粉末能强烈刺激黏膜并引起喷嚏。</w:t>
            </w:r>
            <w:r>
              <w:rPr>
                <w:rFonts w:hint="eastAsia" w:ascii="微软雅黑" w:hAnsi="微软雅黑" w:eastAsia="微软雅黑" w:cs="微软雅黑"/>
                <w:b/>
                <w:bCs/>
                <w:i w:val="0"/>
                <w:iCs w:val="0"/>
                <w:color w:val="auto"/>
                <w:kern w:val="0"/>
                <w:sz w:val="21"/>
                <w:szCs w:val="21"/>
                <w:highlight w:val="none"/>
                <w:u w:val="none"/>
                <w:lang w:val="en-US" w:eastAsia="zh-CN" w:bidi="ar"/>
              </w:rPr>
              <w:t>（提供样品以及提供第三方机构出具的检测报告）</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A08EB">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p>
        </w:tc>
      </w:tr>
      <w:tr w14:paraId="41BC0C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13529">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31 </w:t>
            </w: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FA1F7">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大麦</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1DC88">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3D671">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C8128">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15 </w:t>
            </w:r>
          </w:p>
        </w:tc>
        <w:tc>
          <w:tcPr>
            <w:tcW w:w="4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F0E82">
            <w:pPr>
              <w:keepNext w:val="0"/>
              <w:keepLines w:val="0"/>
              <w:widowControl/>
              <w:suppressLineNumbers w:val="0"/>
              <w:snapToGrid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呈梭形，两端狭尖，长6.5~10mm，直径2.5~4mm，厚1.5~2.5mm。表面黄色，背面浑圆，为外稃包围，具5脉，先端长芒已断落。腹面为内稃包围，有一条纵沟。除去内外稃片后，果皮黄色。质硬，断面白色，粉性。无臭，味微甘。</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DFF6D">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28948F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1E961">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32 </w:t>
            </w: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7989B">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大青盐</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725CA">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CE987">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1CBFA">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9 </w:t>
            </w:r>
          </w:p>
        </w:tc>
        <w:tc>
          <w:tcPr>
            <w:tcW w:w="4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65816">
            <w:pPr>
              <w:keepNext w:val="0"/>
              <w:keepLines w:val="0"/>
              <w:widowControl/>
              <w:suppressLineNumbers w:val="0"/>
              <w:snapToGrid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本品为立方体、八面体或菱形的结晶，有的为歪晶，直径0.5～1.5cm。白色或灰白色，半透明，具玻璃样光泽。质硬，易砸碎，断面光亮。气微，味咸、微涩苦。</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8A462">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7A7258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5E05A">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33 </w:t>
            </w: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8BFD7">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党参片</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1B5DF">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499B7">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40F7A">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150 </w:t>
            </w:r>
          </w:p>
        </w:tc>
        <w:tc>
          <w:tcPr>
            <w:tcW w:w="4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9AB9F">
            <w:pPr>
              <w:keepNext w:val="0"/>
              <w:keepLines w:val="0"/>
              <w:widowControl/>
              <w:suppressLineNumbers w:val="0"/>
              <w:snapToGrid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党参　呈长圆柱形，稍弯曲，长10～35cm，直径0.4～2cm。表面灰黄色、黄棕色至灰棕色，根头部有多数疣状突起的茎痕及芽，每个茎痕的顶端呈凹下的圆点状；根头下有致密的环状横纹，向下渐稀疏，有的达全长的一半，栽培品环状横纹少或无；全体有纵皱纹和散在的横长皮孔样突起，支根断落处常有黑褐色胶状物。质稍柔软或稍硬而略带韧性，断面稍平坦，有裂隙或放射状纹理，皮部淡棕黄色至黄棕色，木部淡黄色至黄色。有特殊香气，味微甜。</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D5768">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3FC3B3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D5533">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34 </w:t>
            </w: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E09B2">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地锦草</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F3E2D">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A0D72">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08143">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16 </w:t>
            </w:r>
          </w:p>
        </w:tc>
        <w:tc>
          <w:tcPr>
            <w:tcW w:w="4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91632">
            <w:pPr>
              <w:keepNext w:val="0"/>
              <w:keepLines w:val="0"/>
              <w:widowControl/>
              <w:suppressLineNumbers w:val="0"/>
              <w:snapToGrid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常皱缩卷曲，根细小。茎细，呈叉状分枝，表面带紫红色，光滑无毛或疏生白色细柔毛；质脆，易折断，断面黄白色，中空。单叶对生，具淡红色短柄或几无柄；叶片多皱缩或已脱落，展平后呈长椭圆形，长5～10mm，宽4～6mm；绿色或带紫红色，通常无毛或疏生细柔毛；先端钝圆，基部偏斜，边缘具小锯齿或呈微波状。杯状聚伞花序腋生，细小。蒴果三棱状球形，表面光滑。种子细小，卵形，褐色。气微，味微涩。</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96C02">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4AC892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55CA9">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35 </w:t>
            </w: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99F89">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丁香</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D8A5E">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A37F5">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8BF96">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80 </w:t>
            </w:r>
          </w:p>
        </w:tc>
        <w:tc>
          <w:tcPr>
            <w:tcW w:w="4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82910">
            <w:pPr>
              <w:keepNext w:val="0"/>
              <w:keepLines w:val="0"/>
              <w:widowControl/>
              <w:suppressLineNumbers w:val="0"/>
              <w:snapToGrid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略呈研棒状，长1～2cm。花冠圆球形，直径0.3～0.5cm，花瓣4，复瓦状抱合，棕褐色或褐黄色，花瓣内为雄蕊和花柱，搓碎后可见众多黄色细粒状的花药。萼筒圆柱状，略扁，有的稍弯曲，长0.7～1.4cm，直径0.3～0.6cm，红棕色或棕褐色，上部有4枚三角状的萼片，十字状分开。质坚实，富油性。气芳香浓烈，味辛辣、有麻舌感。</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E7EBF">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120B4C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3A9B8">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36 </w:t>
            </w: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C806E">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丁香罗勒子</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332D0">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0F773">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35BC6">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65 </w:t>
            </w:r>
          </w:p>
        </w:tc>
        <w:tc>
          <w:tcPr>
            <w:tcW w:w="4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71039">
            <w:pPr>
              <w:keepNext w:val="0"/>
              <w:keepLines w:val="0"/>
              <w:widowControl/>
              <w:suppressLineNumbers w:val="0"/>
              <w:snapToGrid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本品卵形、三角棱。表面多数黑色，紫褐色。顶端稍尖，有白色胚，气微味微，苦涩。</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7D9D5">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033C85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B8060">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37 </w:t>
            </w: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872B4">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丁香油</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BB083">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50ml</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C55CA">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盒</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92840">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9 </w:t>
            </w:r>
          </w:p>
        </w:tc>
        <w:tc>
          <w:tcPr>
            <w:tcW w:w="4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34C58">
            <w:pPr>
              <w:keepNext w:val="0"/>
              <w:keepLines w:val="0"/>
              <w:widowControl/>
              <w:suppressLineNumbers w:val="0"/>
              <w:snapToGrid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本品为微黄色至黄色的透明液体。</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EF148">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17F698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F508B">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38 </w:t>
            </w: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770D0">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冬葵子</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7CDC5">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69450">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B8457">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40 </w:t>
            </w:r>
          </w:p>
        </w:tc>
        <w:tc>
          <w:tcPr>
            <w:tcW w:w="4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8CA77">
            <w:pPr>
              <w:keepNext w:val="0"/>
              <w:keepLines w:val="0"/>
              <w:widowControl/>
              <w:suppressLineNumbers w:val="0"/>
              <w:snapToGrid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参照冬葵果：本品呈扁球状盘形，直径4～7mm。外被膜质宿萼，宿萼钟状，黄绿色或黄棕色，有的微带紫色，先端5齿裂，裂片内卷，其外有条状披针形的小苞片3片。果梗细短。果实由分果瓣10～12枚组成，在圆锥形中轴周围排成1轮，分果类扁圆形，直径1.4～2.5mm。表面黄白色或黄棕色，具隆起的环向细脉纹。种子肾形，棕黄色或黑褐色。气微，味涩。</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82A91">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5D9142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00950">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39 </w:t>
            </w: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B4BA6">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莪术</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D3A2B">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C2DEB">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E7E52">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25 </w:t>
            </w:r>
          </w:p>
        </w:tc>
        <w:tc>
          <w:tcPr>
            <w:tcW w:w="4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47062">
            <w:pPr>
              <w:keepNext w:val="0"/>
              <w:keepLines w:val="0"/>
              <w:widowControl/>
              <w:suppressLineNumbers w:val="0"/>
              <w:snapToGrid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蓬莪术　呈卵圆形、长卵形、圆锥形或长纺锤形，顶端多钝尖，基部钝圆，长2～8cm，直径1.5～4cm。表面灰黄色至灰棕色，上部环节突起，有圆形微凹的须根痕或残留的须根，有的两侧各有1列下陷的芽痕和类圆形的侧生根茎痕，有的可见刀削痕。体重，质坚实，断面灰褐色至蓝褐色，蜡样，常附有灰棕色粉末，皮层与中柱易分离，内皮层环纹棕褐色。气微香，味微苦而辛。</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25E4E">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1E8550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FBC49">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40 </w:t>
            </w: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CC151">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儿茶</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95787">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C2AD3">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72C0A">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60 </w:t>
            </w:r>
          </w:p>
        </w:tc>
        <w:tc>
          <w:tcPr>
            <w:tcW w:w="4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D70AF">
            <w:pPr>
              <w:keepNext w:val="0"/>
              <w:keepLines w:val="0"/>
              <w:widowControl/>
              <w:suppressLineNumbers w:val="0"/>
              <w:snapToGrid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本品呈方形或不规则块状，大小不一。表面棕褐色或黑褐色，光滑而稍有光泽。质硬，易碎，断面不整齐，具光泽，有细孔，遇潮有黏性。气微，味涩、苦，略回甜。</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C21BC">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2980AA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D0683">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41 </w:t>
            </w: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CC8C6">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番泻叶</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A405E">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51B9D">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531F5">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16 </w:t>
            </w:r>
          </w:p>
        </w:tc>
        <w:tc>
          <w:tcPr>
            <w:tcW w:w="4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34CF1">
            <w:pPr>
              <w:keepNext w:val="0"/>
              <w:keepLines w:val="0"/>
              <w:widowControl/>
              <w:suppressLineNumbers w:val="0"/>
              <w:snapToGrid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狭叶番泻　呈长卵形或卵状披针形，长1.5～5cm，宽0.4～2cm，叶端急尖，叶基稍不对称，全缘。上表面黄绿色，下表面浅黄绿色，无毛或近无毛，叶脉稍隆起。革质。气微弱而特异，味微苦，稍有黏性。</w:t>
            </w:r>
            <w:r>
              <w:rPr>
                <w:rFonts w:hint="eastAsia" w:ascii="微软雅黑" w:hAnsi="微软雅黑" w:eastAsia="微软雅黑" w:cs="微软雅黑"/>
                <w:i w:val="0"/>
                <w:iCs w:val="0"/>
                <w:color w:val="auto"/>
                <w:kern w:val="0"/>
                <w:sz w:val="21"/>
                <w:szCs w:val="21"/>
                <w:highlight w:val="none"/>
                <w:u w:val="none"/>
                <w:lang w:val="en-US" w:eastAsia="zh-CN" w:bidi="ar"/>
              </w:rPr>
              <w:br w:type="textWrapping"/>
            </w:r>
            <w:r>
              <w:rPr>
                <w:rFonts w:hint="eastAsia" w:ascii="微软雅黑" w:hAnsi="微软雅黑" w:eastAsia="微软雅黑" w:cs="微软雅黑"/>
                <w:i w:val="0"/>
                <w:iCs w:val="0"/>
                <w:color w:val="auto"/>
                <w:kern w:val="0"/>
                <w:sz w:val="21"/>
                <w:szCs w:val="21"/>
                <w:highlight w:val="none"/>
                <w:u w:val="none"/>
                <w:lang w:val="en-US" w:eastAsia="zh-CN" w:bidi="ar"/>
              </w:rPr>
              <w:t>尖叶番泻　呈披针形或长卵形，略卷曲，叶端短尖或微突，叶基不对称，两面均有细短毛茸。</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67716">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31AA0C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7649F">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42 </w:t>
            </w: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50C0D">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非洲防己根 </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5B05C">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C3ECA">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780C1">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200 </w:t>
            </w:r>
          </w:p>
        </w:tc>
        <w:tc>
          <w:tcPr>
            <w:tcW w:w="4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3C297">
            <w:pPr>
              <w:keepNext w:val="0"/>
              <w:keepLines w:val="0"/>
              <w:widowControl/>
              <w:suppressLineNumbers w:val="0"/>
              <w:snapToGrid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呈类圆形、卵圆形横切厚片，或短段，直径3~10cm，片厚0.5~2cm或略厚的片。边缘之栓皮层灰棕色至灰褐色，有粗糙皱纹。断面淡黄棕色至灰黄棕色，形成层明显，中心部较凹陷。质脆，易折断，断面带粉性。气微，味微芳香而极苦。</w:t>
            </w:r>
            <w:r>
              <w:rPr>
                <w:rFonts w:hint="eastAsia" w:ascii="微软雅黑" w:hAnsi="微软雅黑" w:eastAsia="微软雅黑" w:cs="微软雅黑"/>
                <w:b/>
                <w:bCs/>
                <w:i w:val="0"/>
                <w:iCs w:val="0"/>
                <w:color w:val="auto"/>
                <w:kern w:val="0"/>
                <w:sz w:val="21"/>
                <w:szCs w:val="21"/>
                <w:highlight w:val="none"/>
                <w:u w:val="none"/>
                <w:lang w:val="en-US" w:eastAsia="zh-CN" w:bidi="ar"/>
              </w:rPr>
              <w:t>（提供样品以及提供第三方机构出具的检测报告）</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77EEB">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p>
        </w:tc>
      </w:tr>
      <w:tr w14:paraId="27A69B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34886">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43 </w:t>
            </w: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9220F">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茯苓</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42E8D">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AE2FD">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5653C">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30 </w:t>
            </w:r>
          </w:p>
        </w:tc>
        <w:tc>
          <w:tcPr>
            <w:tcW w:w="4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77F88">
            <w:pPr>
              <w:keepNext w:val="0"/>
              <w:keepLines w:val="0"/>
              <w:widowControl/>
              <w:suppressLineNumbers w:val="0"/>
              <w:snapToGrid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茯苓个　呈类球形、椭圆形、扁圆形或不规则团块，大小不一。外皮薄而粗糙，棕褐色至黑褐色，有明显的皱缩纹理。体重，质坚实，断面颗粒性，有的具裂隙，外层淡棕色，内部白色，少数淡红色，有的中间抱有松根。气微，味淡，嚼之粘牙。</w:t>
            </w:r>
            <w:r>
              <w:rPr>
                <w:rFonts w:hint="eastAsia" w:ascii="微软雅黑" w:hAnsi="微软雅黑" w:eastAsia="微软雅黑" w:cs="微软雅黑"/>
                <w:i w:val="0"/>
                <w:iCs w:val="0"/>
                <w:color w:val="auto"/>
                <w:kern w:val="0"/>
                <w:sz w:val="21"/>
                <w:szCs w:val="21"/>
                <w:highlight w:val="none"/>
                <w:u w:val="none"/>
                <w:lang w:val="en-US" w:eastAsia="zh-CN" w:bidi="ar"/>
              </w:rPr>
              <w:br w:type="textWrapping"/>
            </w:r>
            <w:r>
              <w:rPr>
                <w:rFonts w:hint="eastAsia" w:ascii="微软雅黑" w:hAnsi="微软雅黑" w:eastAsia="微软雅黑" w:cs="微软雅黑"/>
                <w:i w:val="0"/>
                <w:iCs w:val="0"/>
                <w:color w:val="auto"/>
                <w:kern w:val="0"/>
                <w:sz w:val="21"/>
                <w:szCs w:val="21"/>
                <w:highlight w:val="none"/>
                <w:u w:val="none"/>
                <w:lang w:val="en-US" w:eastAsia="zh-CN" w:bidi="ar"/>
              </w:rPr>
              <w:br w:type="textWrapping"/>
            </w:r>
            <w:r>
              <w:rPr>
                <w:rFonts w:hint="eastAsia" w:ascii="微软雅黑" w:hAnsi="微软雅黑" w:eastAsia="微软雅黑" w:cs="微软雅黑"/>
                <w:i w:val="0"/>
                <w:iCs w:val="0"/>
                <w:color w:val="auto"/>
                <w:kern w:val="0"/>
                <w:sz w:val="21"/>
                <w:szCs w:val="21"/>
                <w:highlight w:val="none"/>
                <w:u w:val="none"/>
                <w:lang w:val="en-US" w:eastAsia="zh-CN" w:bidi="ar"/>
              </w:rPr>
              <w:t>茯苓块　为去皮后切制的茯苓，呈立方块状或方块状厚片，大小不一。白色、淡红色或淡棕色。</w:t>
            </w:r>
            <w:r>
              <w:rPr>
                <w:rFonts w:hint="eastAsia" w:ascii="微软雅黑" w:hAnsi="微软雅黑" w:eastAsia="微软雅黑" w:cs="微软雅黑"/>
                <w:i w:val="0"/>
                <w:iCs w:val="0"/>
                <w:color w:val="auto"/>
                <w:kern w:val="0"/>
                <w:sz w:val="21"/>
                <w:szCs w:val="21"/>
                <w:highlight w:val="none"/>
                <w:u w:val="none"/>
                <w:lang w:val="en-US" w:eastAsia="zh-CN" w:bidi="ar"/>
              </w:rPr>
              <w:br w:type="textWrapping"/>
            </w:r>
            <w:r>
              <w:rPr>
                <w:rFonts w:hint="eastAsia" w:ascii="微软雅黑" w:hAnsi="微软雅黑" w:eastAsia="微软雅黑" w:cs="微软雅黑"/>
                <w:i w:val="0"/>
                <w:iCs w:val="0"/>
                <w:color w:val="auto"/>
                <w:kern w:val="0"/>
                <w:sz w:val="21"/>
                <w:szCs w:val="21"/>
                <w:highlight w:val="none"/>
                <w:u w:val="none"/>
                <w:lang w:val="en-US" w:eastAsia="zh-CN" w:bidi="ar"/>
              </w:rPr>
              <w:t>茯苓片　为去皮后切制的茯苓，呈不规则厚片，厚薄不一。白色、淡红色或淡棕色。</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9597C">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385C1E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538F2">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44 </w:t>
            </w: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6D375">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甘草片</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B494F">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6863D">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A9060">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33 </w:t>
            </w:r>
          </w:p>
        </w:tc>
        <w:tc>
          <w:tcPr>
            <w:tcW w:w="4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545F5">
            <w:pPr>
              <w:keepNext w:val="0"/>
              <w:keepLines w:val="0"/>
              <w:widowControl/>
              <w:suppressLineNumbers w:val="0"/>
              <w:snapToGrid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根呈圆柱形，长25～100cm，直径0.6～3.5cm。外皮松紧不一。表面红棕色或灰棕色，具显著的纵皱纹、沟纹、皮孔及稀疏的细根痕。质坚实，断面略显纤维性，黄白色，粉性，形成层环明显，射线放射状，有的有裂隙。根茎呈圆柱形，表面有芽痕，断面中部有髓。气微，味甜而特殊。</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8E695">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2B2697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072E3">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45 </w:t>
            </w: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E0F25">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甘草味胶</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CF4B1">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F0C59">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33B45">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550 </w:t>
            </w:r>
          </w:p>
        </w:tc>
        <w:tc>
          <w:tcPr>
            <w:tcW w:w="4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4F7D9">
            <w:pPr>
              <w:keepNext w:val="0"/>
              <w:keepLines w:val="0"/>
              <w:widowControl/>
              <w:suppressLineNumbers w:val="0"/>
              <w:snapToGrid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本品呈不规则团块或细小颗粒状。表面黄白色至深红色，略具玻璃样光泽。质脆，易碎，破碎面不平坦，其色与表面基本一致而较新鲜。气微，味特异，微甜而后苦。</w:t>
            </w:r>
            <w:r>
              <w:rPr>
                <w:rFonts w:hint="eastAsia" w:ascii="微软雅黑" w:hAnsi="微软雅黑" w:eastAsia="微软雅黑" w:cs="微软雅黑"/>
                <w:b/>
                <w:bCs/>
                <w:i w:val="0"/>
                <w:iCs w:val="0"/>
                <w:color w:val="auto"/>
                <w:kern w:val="0"/>
                <w:sz w:val="21"/>
                <w:szCs w:val="21"/>
                <w:highlight w:val="none"/>
                <w:u w:val="none"/>
                <w:lang w:val="en-US" w:eastAsia="zh-CN" w:bidi="ar"/>
              </w:rPr>
              <w:t>（提供样品以及提供第三方机构出具的检测报告）</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7969A">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p>
        </w:tc>
      </w:tr>
      <w:tr w14:paraId="76F0D3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6B47B">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46 </w:t>
            </w: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4B1E9">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甘松</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51677">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9243E">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7881D">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110 </w:t>
            </w:r>
          </w:p>
        </w:tc>
        <w:tc>
          <w:tcPr>
            <w:tcW w:w="4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9569F">
            <w:pPr>
              <w:keepNext w:val="0"/>
              <w:keepLines w:val="0"/>
              <w:widowControl/>
              <w:suppressLineNumbers w:val="0"/>
              <w:snapToGrid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略呈圆锥形，多弯曲，长5～18cm。根茎短小，上端有茎、叶残基，呈狭长的膜质片状或纤维状。外层黑棕色，内层棕色或黄色。根单一或数条交结、分枝或并列，直径0.3～1cm。表面棕褐色，皱缩，有细根和须根。质松脆，易折断，断面粗糙，皮部深棕色，常呈裂片状，木部黄白色。气特异，味苦而辛，有清凉感。</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3365F">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1189AB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80AD3">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47 </w:t>
            </w: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5BC7D">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橄榄油</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653A3">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50ml</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A2C0F">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盒</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3F0CC">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7 </w:t>
            </w:r>
          </w:p>
        </w:tc>
        <w:tc>
          <w:tcPr>
            <w:tcW w:w="4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EA03E">
            <w:pPr>
              <w:keepNext w:val="0"/>
              <w:keepLines w:val="0"/>
              <w:widowControl/>
              <w:suppressLineNumbers w:val="0"/>
              <w:snapToGrid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本品为无色至黄色或黄绿色的油状液体。</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A8FDF">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51CAB2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33AA1">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48 </w:t>
            </w: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BBB69">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干姜</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BCCC5">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3B890">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B9B63">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30 </w:t>
            </w:r>
          </w:p>
        </w:tc>
        <w:tc>
          <w:tcPr>
            <w:tcW w:w="4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C1B34">
            <w:pPr>
              <w:keepNext w:val="0"/>
              <w:keepLines w:val="0"/>
              <w:widowControl/>
              <w:suppressLineNumbers w:val="0"/>
              <w:snapToGrid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呈扁平块状，具指状分枝，长3～7cm，厚1～2cm。表面灰黄色或浅灰棕色，粗糙，具纵皱纹和明显的环节。分枝处常有鳞叶残存，分枝顶端有茎痕或芽。质坚实，断面黄白色或灰白色，粉性或颗粒性，内皮层环纹明显，维管束及黄色油点散在。气香、特异，味辛辣。</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E842D">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177AB0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36479">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49 </w:t>
            </w: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F6BF7">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高良姜</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42368">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4288F">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5B3B1">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32 </w:t>
            </w:r>
          </w:p>
        </w:tc>
        <w:tc>
          <w:tcPr>
            <w:tcW w:w="4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45475">
            <w:pPr>
              <w:keepNext w:val="0"/>
              <w:keepLines w:val="0"/>
              <w:widowControl/>
              <w:suppressLineNumbers w:val="0"/>
              <w:snapToGrid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呈圆柱形，多弯曲，有分枝，长5～9cm，直径1～1.5cm。表面棕红色至暗褐色，有细密的纵皱纹和灰棕色的波状环节，节间长0.2～1cm，一面有圆形的根痕。质坚韧，不易折断，断面灰棕色或红棕色，纤维性，中柱约占103。气香，味辛辣。</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FB41D">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44BBA2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69D57">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50 </w:t>
            </w: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2C75D">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枸杞子</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EC77A">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3495E">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60BC0">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48 </w:t>
            </w:r>
          </w:p>
        </w:tc>
        <w:tc>
          <w:tcPr>
            <w:tcW w:w="4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15871">
            <w:pPr>
              <w:keepNext w:val="0"/>
              <w:keepLines w:val="0"/>
              <w:widowControl/>
              <w:suppressLineNumbers w:val="0"/>
              <w:snapToGrid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呈类纺锤形或椭圆形，长6～20mm，直径3～10mm。表面红色或暗红色，顶端有小突起状的花柱痕，基部有白色的果梗痕。果皮柔韧，皱缩；果肉肉质，柔润。种子20～50粒，类肾形，扁而翘，长1.5～1.9mm，宽1～1.7mm，表面浅黄色或棕黄色。气微，味甜。</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317B4">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24EB4C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74DEC">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51 </w:t>
            </w: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25CBA">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海螵蛸</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F6CF3">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F5677">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3399D">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82 </w:t>
            </w:r>
          </w:p>
        </w:tc>
        <w:tc>
          <w:tcPr>
            <w:tcW w:w="4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B0AF1">
            <w:pPr>
              <w:keepNext w:val="0"/>
              <w:keepLines w:val="0"/>
              <w:widowControl/>
              <w:suppressLineNumbers w:val="0"/>
              <w:snapToGrid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呈扁长椭圆形，中间厚，边缘薄，长9～14cm，宽2.5～3.5cm，厚约1.3cm。背面有磁白色脊状隆起，两侧略显微红色，有不甚明显的细小疣点；腹面白色，自尾端到中部有细密波状横层纹；角质缘半透明，尾部较宽平，无骨针。体轻，质松，易折断，断面粉质，显疏松层纹。气微腥，味微咸。</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EB62C">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2EC342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54365">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52 </w:t>
            </w: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189CC">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蒿柳花</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F74EF">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1AA71">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F5ABE">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275 </w:t>
            </w:r>
          </w:p>
        </w:tc>
        <w:tc>
          <w:tcPr>
            <w:tcW w:w="4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1267A">
            <w:pPr>
              <w:keepNext w:val="0"/>
              <w:keepLines w:val="0"/>
              <w:widowControl/>
              <w:suppressLineNumbers w:val="0"/>
              <w:snapToGrid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本品呈圆柱形，略弯曲，下端具圆形花序柱痕，上端略膨大，长1.0~2.5cm，直径0.3-0.5cm。整个花序黄灰色，密集绒毛和黄色花药。质柔软。气微香，味涩、微苦。</w:t>
            </w:r>
            <w:r>
              <w:rPr>
                <w:rFonts w:hint="eastAsia" w:ascii="微软雅黑" w:hAnsi="微软雅黑" w:eastAsia="微软雅黑" w:cs="微软雅黑"/>
                <w:b/>
                <w:bCs/>
                <w:i w:val="0"/>
                <w:iCs w:val="0"/>
                <w:color w:val="auto"/>
                <w:kern w:val="0"/>
                <w:sz w:val="21"/>
                <w:szCs w:val="21"/>
                <w:highlight w:val="none"/>
                <w:u w:val="none"/>
                <w:lang w:val="en-US" w:eastAsia="zh-CN" w:bidi="ar"/>
              </w:rPr>
              <w:t>（提供样品以及提供第三方机构出具的检测报告）</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C7D86">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p>
        </w:tc>
      </w:tr>
      <w:tr w14:paraId="455D92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8ECD9">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53 </w:t>
            </w: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51A8E">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诃子</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3D870">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DDD25">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69581">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20 </w:t>
            </w:r>
          </w:p>
        </w:tc>
        <w:tc>
          <w:tcPr>
            <w:tcW w:w="4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68DD7">
            <w:pPr>
              <w:keepNext w:val="0"/>
              <w:keepLines w:val="0"/>
              <w:widowControl/>
              <w:suppressLineNumbers w:val="0"/>
              <w:snapToGrid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为长圆形或卵圆形，长2～4cm，直径2～2.5cm。表面黄棕色或暗棕色，略具光泽，有5～6条纵棱线和不规则的皱纹，基部有圆形果梗痕。质坚实。果肉厚0.2～0.4cm，黄棕色或黄褐色。果核长1.5～2.5cm，直径1～1.5cm，浅黄色，粗糙，坚硬。种子狭长纺锤形，长约1cm，直径0.2～0.4cm，种皮黄棕色，子叶2，白色，相互重叠卷旋。气微，味酸涩后甜。</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AB1A2">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提供检验报告单、取掉核子以后送货。</w:t>
            </w:r>
          </w:p>
        </w:tc>
      </w:tr>
      <w:tr w14:paraId="122E42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FBB5E">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54 </w:t>
            </w: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94A55">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诃子肉</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E3E4B">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3EA0C">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3B2A7">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20 </w:t>
            </w:r>
          </w:p>
        </w:tc>
        <w:tc>
          <w:tcPr>
            <w:tcW w:w="4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4C3CF">
            <w:pPr>
              <w:keepNext w:val="0"/>
              <w:keepLines w:val="0"/>
              <w:widowControl/>
              <w:suppressLineNumbers w:val="0"/>
              <w:snapToGrid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为长圆形或卵圆形，长2～4cm，直径2～2.5cm。表面黄棕色或暗棕色，略具光泽，有5～6条纵棱线和不规则的皱纹，基部有圆形果梗痕。质坚实。果肉厚0.2～0.4cm，黄棕色或黄褐色。果核长1.5～2.5cm，直径1～1.5cm，浅黄色，粗糙，坚硬。种子狭长纺锤形，长约1cm，直径0.2～0.4cm，种皮黄棕色，子叶2，白色，相互重叠卷旋。气微，味酸涩后甜。</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7F11E">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5F7F1C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FECF8">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55 </w:t>
            </w: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EEBEF">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核桃仁</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7FA8A">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0A7D2">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8D816">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36 </w:t>
            </w:r>
          </w:p>
        </w:tc>
        <w:tc>
          <w:tcPr>
            <w:tcW w:w="4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BB152">
            <w:pPr>
              <w:keepNext w:val="0"/>
              <w:keepLines w:val="0"/>
              <w:widowControl/>
              <w:suppressLineNumbers w:val="0"/>
              <w:snapToGrid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本品多破碎，为不规则的块状，有皱曲的沟槽，大小不一；完整者类球形，直径2～3cm。种皮淡黄色或黄褐色，膜状，维管束脉纹深棕色。子叶类白色。质脆，富油性。气微，味甘；种皮味涩、微苦。</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D3B36">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提供检验报告单、真空包装完以后送货</w:t>
            </w:r>
          </w:p>
        </w:tc>
      </w:tr>
      <w:tr w14:paraId="39BE1A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19488">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56 </w:t>
            </w: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17BE6">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盒果藤根</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68DC1">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D6816">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5D34D">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75 </w:t>
            </w:r>
          </w:p>
        </w:tc>
        <w:tc>
          <w:tcPr>
            <w:tcW w:w="4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F0E99">
            <w:pPr>
              <w:keepNext w:val="0"/>
              <w:keepLines w:val="0"/>
              <w:widowControl/>
              <w:suppressLineNumbers w:val="0"/>
              <w:snapToGrid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类圆柱形的根或根皮，表皮棕色或棕褐色，具横向纹理，易折断，断面略平坦，皮部白色略呈粉性，木部黄白色质坚，木部与皮部连接处多呈裂隙，木部具细小空隙。除去木心后，成筒状或半简状，有纵剖开的裂缝。气微，味苦。</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DAC1E">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712E6E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78B8E">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57 </w:t>
            </w: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D90EC">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黑胡椒</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B9197">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4F280">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D3EE8">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69 </w:t>
            </w:r>
          </w:p>
        </w:tc>
        <w:tc>
          <w:tcPr>
            <w:tcW w:w="4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34E80">
            <w:pPr>
              <w:keepNext w:val="0"/>
              <w:keepLines w:val="0"/>
              <w:widowControl/>
              <w:suppressLineNumbers w:val="0"/>
              <w:snapToGrid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本品呈球形，直径3.5~5mm。表面黑褐色，具隆起网状皱纹，顶端有细小花柱残迹，甚至有白果轴脱落的疤痕。质硬，外果皮可剥离，中果皮灰白色或淡黄色。切断面黄白色，粉性，中有小空隙。气芳香，味辛辣。</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B8197">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7E331E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D7394">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58 </w:t>
            </w: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B5AC5">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黑芝麻</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8C0EE">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9887B">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2BCB9">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33 </w:t>
            </w:r>
          </w:p>
        </w:tc>
        <w:tc>
          <w:tcPr>
            <w:tcW w:w="4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5CFB4">
            <w:pPr>
              <w:keepNext w:val="0"/>
              <w:keepLines w:val="0"/>
              <w:widowControl/>
              <w:suppressLineNumbers w:val="0"/>
              <w:snapToGrid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本品呈扁卵圆形，长约3mm，宽约2mm。表面黑色，平滑或有网状皱纹。尖端有棕色点状种脐。种皮薄，子叶2，白色，富油性。气微，味甘，有油香气。</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14639">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503F2A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CCD39">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59 </w:t>
            </w: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78BBC">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黑种草子</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F87F7">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F5DCA">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84DAC">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47 </w:t>
            </w:r>
          </w:p>
        </w:tc>
        <w:tc>
          <w:tcPr>
            <w:tcW w:w="4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19855">
            <w:pPr>
              <w:keepNext w:val="0"/>
              <w:keepLines w:val="0"/>
              <w:widowControl/>
              <w:suppressLineNumbers w:val="0"/>
              <w:snapToGrid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本品呈三棱状卵形，长2.5～3mm，宽约1.5mm。表面黑色，粗糙，顶端较狭而尖，下端稍钝，有不规则的突起。质坚硬，断面灰白色，有油性。气微香，味辛。</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DC1C8">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0746F8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458E9">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60 </w:t>
            </w: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330F7">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红花</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1678C">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1AE1F">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48A70">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168 </w:t>
            </w:r>
          </w:p>
        </w:tc>
        <w:tc>
          <w:tcPr>
            <w:tcW w:w="4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DFAE7">
            <w:pPr>
              <w:keepNext w:val="0"/>
              <w:keepLines w:val="0"/>
              <w:widowControl/>
              <w:suppressLineNumbers w:val="0"/>
              <w:snapToGrid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本品为不带子房的管状花，长1～2cm。表面红黄色或红色。花冠筒细长，先端5裂，裂片呈狭条形，长5～8mm；雄蕊5，花药聚合成筒状，黄白色；柱头长圆柱形，顶端微分叉。质柔软。气微香，味微苦。</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BAC93">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6409CA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F9736">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61 </w:t>
            </w: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7BEE3">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红枣（大枣）</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E201E">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14332">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2D6A6">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14 </w:t>
            </w:r>
          </w:p>
        </w:tc>
        <w:tc>
          <w:tcPr>
            <w:tcW w:w="4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C9476">
            <w:pPr>
              <w:keepNext w:val="0"/>
              <w:keepLines w:val="0"/>
              <w:widowControl/>
              <w:suppressLineNumbers w:val="0"/>
              <w:snapToGrid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呈椭圆形或球形，长2～3.5cm，直径1.5～2.5cm。表面暗红色，略带光泽，有不规则皱纹。基部凹陷，有短果梗。外果皮薄，中果皮棕黄色或淡褐色，肉质，柔软，富糖性而油润。果核纺锤形，两端锐尖，质坚硬。气微香，味甜。</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E8ECB">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提供检验报告单、取掉枣核以后送货。</w:t>
            </w:r>
          </w:p>
        </w:tc>
      </w:tr>
      <w:tr w14:paraId="52339A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2A967">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62 </w:t>
            </w: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7BFA5">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胡芦巴</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E18C7">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B8E75">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9F7F6">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15 </w:t>
            </w:r>
          </w:p>
        </w:tc>
        <w:tc>
          <w:tcPr>
            <w:tcW w:w="4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0FB61">
            <w:pPr>
              <w:keepNext w:val="0"/>
              <w:keepLines w:val="0"/>
              <w:widowControl/>
              <w:suppressLineNumbers w:val="0"/>
              <w:snapToGrid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略呈斜方形或矩形，长3～4mm，宽2～3mm，厚约2mm。表面黄绿色或黄棕色，平滑，两侧各具一深斜沟，相交处有点状种脐。质坚硬，不易破碎。种皮薄，胚乳呈半透明状，具黏性；子叶2，淡黄色，胚根弯曲，肥大而长。气香，味微苦。</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3EEEF">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1A55ED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EC889">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63 </w:t>
            </w: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C9B06">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野胡萝卜子</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74AAB">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86602">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FE3B7">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28 </w:t>
            </w:r>
          </w:p>
        </w:tc>
        <w:tc>
          <w:tcPr>
            <w:tcW w:w="4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10955">
            <w:pPr>
              <w:keepNext w:val="0"/>
              <w:keepLines w:val="0"/>
              <w:widowControl/>
              <w:suppressLineNumbers w:val="0"/>
              <w:snapToGrid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双悬果呈长卵圆形，商品多已裂为分果。分果长椭圆形，半球体状，长约4mm,宽约1.5mm。外表淡黄棕色，顶端留有柱头痕迹。脊面隆起，具四条突起的肋线，沿肋线密生横向排列的刺毛，毛长达0.5mm，肋线间的凹下处散有短柔毛，分果的接合面平坦,有三条脉纹，两侧的二条均作弧形，脉纹上有柔毛。</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54060">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14DCC9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E12E0">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64 </w:t>
            </w: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2F864">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葫芦子</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79DFF">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B0EAB">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7665F">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26 </w:t>
            </w:r>
          </w:p>
        </w:tc>
        <w:tc>
          <w:tcPr>
            <w:tcW w:w="4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68D6B">
            <w:pPr>
              <w:keepNext w:val="0"/>
              <w:keepLines w:val="0"/>
              <w:widowControl/>
              <w:suppressLineNumbers w:val="0"/>
              <w:snapToGrid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略呈三角状长卵形，扁平,长约2cm,宽约lcm,厚约4mm,顶端略尖，下端较宽，上下端两侧增厚呈角状突起。表面白色或灰绿色，扁面两侧各有2条浅色纵向条纹，端角增厚部色亦浅。内有长卵形子叶2,乳白色，富油性。气微，味淡，微甘。</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D060F">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提供检验报告单、真空包装完以后送货</w:t>
            </w:r>
          </w:p>
        </w:tc>
      </w:tr>
      <w:tr w14:paraId="24B3EB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C0247">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65 </w:t>
            </w: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1D19F">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湖蛙</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A6783">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1F62A">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82CC1">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250 </w:t>
            </w:r>
          </w:p>
        </w:tc>
        <w:tc>
          <w:tcPr>
            <w:tcW w:w="4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B1CD8">
            <w:pPr>
              <w:keepNext w:val="0"/>
              <w:keepLines w:val="0"/>
              <w:pageBreakBefore w:val="0"/>
              <w:widowControl/>
              <w:suppressLineNumbers w:val="0"/>
              <w:kinsoku/>
              <w:wordWrap w:val="0"/>
              <w:overflowPunct/>
              <w:topLinePunct w:val="0"/>
              <w:autoSpaceDE/>
              <w:autoSpaceDN/>
              <w:bidi w:val="0"/>
              <w:adjustRightInd/>
              <w:snapToGrid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全体瘪干萎缩，,体长(吻端至后肢趾端)10~15cm，身长(吻端至尾端)3~5cm。头部略呈马蹄形，长与宽几相等，由胸至腹渐狭，两侧呈纵行的棱，脊柱及肋明晰可见。全体背部黑褐色，头部腹面淡灰色至暗灰色，胸、腹、四肢腹面及前肢腋部红褐色至暗褐色。味涩。</w:t>
            </w:r>
            <w:r>
              <w:rPr>
                <w:rFonts w:hint="eastAsia" w:ascii="微软雅黑" w:hAnsi="微软雅黑" w:eastAsia="微软雅黑" w:cs="微软雅黑"/>
                <w:b/>
                <w:bCs/>
                <w:i w:val="0"/>
                <w:iCs w:val="0"/>
                <w:color w:val="auto"/>
                <w:kern w:val="0"/>
                <w:sz w:val="21"/>
                <w:szCs w:val="21"/>
                <w:highlight w:val="none"/>
                <w:u w:val="none"/>
                <w:lang w:val="en-US" w:eastAsia="zh-CN" w:bidi="ar"/>
              </w:rPr>
              <w:t>（提供样品以及提供第三方机构出具的检测报告）</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C2CBF">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p>
        </w:tc>
      </w:tr>
      <w:tr w14:paraId="76B493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B4526">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66 </w:t>
            </w: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ECE37">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琥珀</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D2CA1">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1D861">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97C42">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73 </w:t>
            </w:r>
          </w:p>
        </w:tc>
        <w:tc>
          <w:tcPr>
            <w:tcW w:w="4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D0339">
            <w:pPr>
              <w:keepNext w:val="0"/>
              <w:keepLines w:val="0"/>
              <w:widowControl/>
              <w:suppressLineNumbers w:val="0"/>
              <w:snapToGrid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 本品呈不规则块片或粗颗粒状。表面淡黄色、黄棕色或至深棕色、血红色;光滑或凹凸不平;透明至半透明;具树脂样光泽。体较轻，质较酥脆，研之易碎。摩擦带电，可吸附纸屑、毛发等轻小物体。气微或微有松脂味，味淡，嚼之无砂砾感。</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18648">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7B2C0E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E0C7E">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67 </w:t>
            </w: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D6902">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花椒</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1458F">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9E8E6">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FF0B0">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55 </w:t>
            </w:r>
          </w:p>
        </w:tc>
        <w:tc>
          <w:tcPr>
            <w:tcW w:w="4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B3BF1">
            <w:pPr>
              <w:keepNext w:val="0"/>
              <w:keepLines w:val="0"/>
              <w:widowControl/>
              <w:suppressLineNumbers w:val="0"/>
              <w:snapToGrid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蓇葖果多单生，直径4～5mm。外表面紫红色或棕红色，散有多数疣状突起的油点，直径0.5～1mm，对光观察半透明；内表面淡黄色。香气浓，味麻辣而持久。</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FDE84">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6AE856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A88D5">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68 </w:t>
            </w: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E8C80">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黄瓜子</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532E3">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2C677">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EC65A">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75 </w:t>
            </w:r>
          </w:p>
        </w:tc>
        <w:tc>
          <w:tcPr>
            <w:tcW w:w="4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BF824">
            <w:pPr>
              <w:keepNext w:val="0"/>
              <w:keepLines w:val="0"/>
              <w:widowControl/>
              <w:suppressLineNumbers w:val="0"/>
              <w:snapToGrid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本品呈扁梭形或狭长卵形，长8~12mm，宽3~5mm。表面黄白色，平滑，略具光泽;顶端较狭平截，中央有尖凸，下端尖，有白色种脐。种皮革质，从上端破开后可见膜状胚乳，子叶2枚，白色。气微，味淡微甘。</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D0E38">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133718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2B89B">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69 </w:t>
            </w: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9B452">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黄连</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DB5DA">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45150">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09CB0">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370 </w:t>
            </w:r>
          </w:p>
        </w:tc>
        <w:tc>
          <w:tcPr>
            <w:tcW w:w="4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ABACF">
            <w:pPr>
              <w:keepNext w:val="0"/>
              <w:keepLines w:val="0"/>
              <w:widowControl/>
              <w:suppressLineNumbers w:val="0"/>
              <w:snapToGrid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多集聚成簇，常弯曲，形如鸡爪，单枝根茎长3～6cm，直径0.3～0.8cm。表面灰黄色或黄褐色，粗糙，有不规则结节状隆起、须根及须根残基，有的节间表面平滑如茎秆，习称“过桥”。上部多残留褐色鳞叶，顶端常留有残余的茎或叶柄。质硬，断面不整齐，皮部橙红色或暗棕色，木部鲜黄色或橙黄色，呈放射状排列，髓部有的中空。气微，味极苦。</w:t>
            </w:r>
            <w:r>
              <w:rPr>
                <w:rFonts w:hint="eastAsia" w:ascii="微软雅黑" w:hAnsi="微软雅黑" w:eastAsia="微软雅黑" w:cs="微软雅黑"/>
                <w:b/>
                <w:bCs/>
                <w:i w:val="0"/>
                <w:iCs w:val="0"/>
                <w:color w:val="auto"/>
                <w:kern w:val="0"/>
                <w:sz w:val="21"/>
                <w:szCs w:val="21"/>
                <w:highlight w:val="none"/>
                <w:u w:val="none"/>
                <w:lang w:val="en-US" w:eastAsia="zh-CN" w:bidi="ar"/>
              </w:rPr>
              <w:t>（提供样品以及提供第三方机构出具的检测报告）</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0A787">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p>
        </w:tc>
      </w:tr>
      <w:tr w14:paraId="695837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C3C69">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70 </w:t>
            </w: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DA80F">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黄芪</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391C4">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F7541">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8A480">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70 </w:t>
            </w:r>
          </w:p>
        </w:tc>
        <w:tc>
          <w:tcPr>
            <w:tcW w:w="4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5352F">
            <w:pPr>
              <w:keepNext w:val="0"/>
              <w:keepLines w:val="0"/>
              <w:widowControl/>
              <w:suppressLineNumbers w:val="0"/>
              <w:snapToGrid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呈圆柱形，有的有分枝，上端较粗，长30～90cm，直径1～3.5cm。表面淡棕黄色或淡棕褐色，有不整齐的纵皱纹或纵沟。质硬而韧，不易折断，断面纤维性强，并显粉性，皮部黄白色，木部淡黄色，有放射状纹理和裂隙，老根中心偶呈枯朽状，黑褐色或呈空洞。气微，味微甜，嚼之微有豆腥味。</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91C97">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53D8BC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27EB2">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71 </w:t>
            </w: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28057">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茴芹果</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D124D">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E7B6D">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B01CE">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55 </w:t>
            </w:r>
          </w:p>
        </w:tc>
        <w:tc>
          <w:tcPr>
            <w:tcW w:w="4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6A4F6">
            <w:pPr>
              <w:keepNext w:val="0"/>
              <w:keepLines w:val="0"/>
              <w:widowControl/>
              <w:suppressLineNumbers w:val="0"/>
              <w:snapToGrid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为双悬果,多连接而少分离，呈卵圆形,长2.5~4mm,直径约1.5mm。表面灰绿色或灰棕色，顶端狭细，基部宽圆，果柄长1~3mm或无。分果具5条明显的肋线，微隆起，肋间具有短刚毛。分果横切面置解剖镜下观察，背面具20~30个细小的油室，结合面存有较大的油室2~3个。气芳香，味甜。</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67A4B">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1BE925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97ACB">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72 </w:t>
            </w: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3E66E">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茴香根皮</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51506">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66D16">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41096">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55 </w:t>
            </w:r>
          </w:p>
        </w:tc>
        <w:tc>
          <w:tcPr>
            <w:tcW w:w="4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648B0">
            <w:pPr>
              <w:keepNext w:val="0"/>
              <w:keepLines w:val="0"/>
              <w:widowControl/>
              <w:suppressLineNumbers w:val="0"/>
              <w:snapToGrid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本品呈短段，卷筒状，表面灰白色至浅灰黄色，具纵向皱缩条纹和突起的横向类圆形皮孔;内表面颜色较深，呈黄棕色，略平滑，有的残留有木心。质脆易折断，断面不整齐，白色。气微香，味淡。</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CC96A">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3FE802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0AECD">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73 </w:t>
            </w: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B2251">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藿香</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08A8B">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49377">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F1F10">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48 </w:t>
            </w:r>
          </w:p>
        </w:tc>
        <w:tc>
          <w:tcPr>
            <w:tcW w:w="4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1AA1A">
            <w:pPr>
              <w:keepNext w:val="0"/>
              <w:keepLines w:val="0"/>
              <w:widowControl/>
              <w:suppressLineNumbers w:val="0"/>
              <w:snapToGrid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参照广藿香:本品茎略呈方柱形，多分枝，枝条稍曲折，长30～60cm，直径0.2～0.7cm；表面被柔毛；质脆，易折断，断面中部有髓；老茎类圆柱形，直径1～1.2cm，被灰褐色栓皮。叶对生，皱缩成团，展平后叶片呈卵形或椭圆形，长4～9cm，宽3～7cm；两面均被灰白色茸毛；先端短尖或钝圆，基部楔形或钝圆，边缘具大小不规则的钝齿；叶柄细，长2～5cm，被柔毛。气香特异，味微苦。</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49B09">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175FD2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DFF0E">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74 </w:t>
            </w: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CD775">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鸡蛋黄</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F0FF9">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70BAB">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个</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3A7AF">
            <w:pPr>
              <w:keepNext w:val="0"/>
              <w:keepLines w:val="0"/>
              <w:widowControl/>
              <w:suppressLineNumbers w:val="0"/>
              <w:snapToGrid w:val="0"/>
              <w:jc w:val="center"/>
              <w:textAlignment w:val="center"/>
              <w:rPr>
                <w:rFonts w:hint="default" w:ascii="微软雅黑" w:hAnsi="微软雅黑" w:eastAsia="微软雅黑" w:cs="微软雅黑"/>
                <w:i w:val="0"/>
                <w:iCs w:val="0"/>
                <w:color w:val="auto"/>
                <w:sz w:val="21"/>
                <w:szCs w:val="21"/>
                <w:highlight w:val="none"/>
                <w:u w:val="none"/>
                <w:lang w:val="en-US"/>
              </w:rPr>
            </w:pPr>
            <w:r>
              <w:rPr>
                <w:rFonts w:hint="eastAsia" w:ascii="微软雅黑" w:hAnsi="微软雅黑" w:eastAsia="微软雅黑" w:cs="微软雅黑"/>
                <w:i w:val="0"/>
                <w:iCs w:val="0"/>
                <w:color w:val="auto"/>
                <w:kern w:val="0"/>
                <w:sz w:val="21"/>
                <w:szCs w:val="21"/>
                <w:highlight w:val="none"/>
                <w:u w:val="none"/>
                <w:lang w:val="en-US" w:eastAsia="zh-CN" w:bidi="ar"/>
              </w:rPr>
              <w:t>1</w:t>
            </w:r>
          </w:p>
        </w:tc>
        <w:tc>
          <w:tcPr>
            <w:tcW w:w="4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C0B92">
            <w:pPr>
              <w:keepNext w:val="0"/>
              <w:keepLines w:val="0"/>
              <w:widowControl/>
              <w:suppressLineNumbers w:val="0"/>
              <w:snapToGrid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本品为大小不等的块状物，表面黄色或棕黄色，细腻而稍有光泽，富油性，质松，手捻易碎，断面黄色或棕黄色。气清香，微腥，味淡。</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8BA20">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7C055D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86707">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75 </w:t>
            </w: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D7F01">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鸡内金</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B2722">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9EC71">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1B9A7">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30 </w:t>
            </w:r>
          </w:p>
        </w:tc>
        <w:tc>
          <w:tcPr>
            <w:tcW w:w="4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A954F">
            <w:pPr>
              <w:keepNext w:val="0"/>
              <w:keepLines w:val="0"/>
              <w:widowControl/>
              <w:suppressLineNumbers w:val="0"/>
              <w:snapToGrid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本品为不规则卷片，厚约2mm。表面黄色、黄绿色或黄褐色，薄而半透明，具明显的条状皱纹。质脆，易碎，断面角质样，有光泽。气微腥，味微苦。</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50E4A">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4D084C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65717">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76 </w:t>
            </w: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491D5">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蒺藜</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759F5">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EE1C9">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4744A">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65 </w:t>
            </w:r>
          </w:p>
        </w:tc>
        <w:tc>
          <w:tcPr>
            <w:tcW w:w="4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7953A">
            <w:pPr>
              <w:keepNext w:val="0"/>
              <w:keepLines w:val="0"/>
              <w:widowControl/>
              <w:suppressLineNumbers w:val="0"/>
              <w:snapToGrid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由5个分果瓣组成，呈放射状排列，直径7～12mm。常裂为单一的分果瓣，分果瓣呈斧状，长3～6mm；背部黄绿色，隆起，有纵棱和多数小刺，并有对称的长刺和短刺各1对，两侧面粗糙，有网纹，灰白色。质坚硬。气微，味苦、辛。</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68B46">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499E50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7CA10">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77 </w:t>
            </w: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E28BC">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姜黄</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64809">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EBDC0">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E3A9B">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28 </w:t>
            </w:r>
          </w:p>
        </w:tc>
        <w:tc>
          <w:tcPr>
            <w:tcW w:w="4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0E5BC">
            <w:pPr>
              <w:keepNext w:val="0"/>
              <w:keepLines w:val="0"/>
              <w:widowControl/>
              <w:suppressLineNumbers w:val="0"/>
              <w:snapToGrid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呈不规则卵圆形、圆柱形或纺锤形，常弯曲，有的具短叉状分枝，长2～5cm，直径1～3cm。表面深黄色，粗糙，有皱缩纹理和明显环节，并有圆形分枝痕及须根痕。质坚实，不易折断，断面棕黄色至金黄色，角质样，有蜡样光泽，内皮层环纹明显，维管束呈点状散在。气香特异，味苦、辛。</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924B1">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3B9B37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63DE9">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78 </w:t>
            </w: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02C90">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金箔</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BF9C5">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片</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B79DD">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片</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4D903">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2 </w:t>
            </w:r>
          </w:p>
        </w:tc>
        <w:tc>
          <w:tcPr>
            <w:tcW w:w="4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9141F">
            <w:pPr>
              <w:keepNext w:val="0"/>
              <w:keepLines w:val="0"/>
              <w:widowControl/>
              <w:suppressLineNumbers w:val="0"/>
              <w:snapToGrid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本品为正方形的薄片，夹于面积相同的薄纸层中。淡金黄色，表面平坦，具微细皱纹，有较强的金属光泽。质轻，富延展性，易被弯折、粘叠成团。气味皆无。</w:t>
            </w:r>
            <w:r>
              <w:rPr>
                <w:rFonts w:hint="eastAsia" w:ascii="微软雅黑" w:hAnsi="微软雅黑" w:eastAsia="微软雅黑" w:cs="微软雅黑"/>
                <w:b/>
                <w:bCs/>
                <w:i w:val="0"/>
                <w:iCs w:val="0"/>
                <w:color w:val="auto"/>
                <w:kern w:val="0"/>
                <w:sz w:val="21"/>
                <w:szCs w:val="21"/>
                <w:highlight w:val="none"/>
                <w:u w:val="none"/>
                <w:lang w:val="en-US" w:eastAsia="zh-CN" w:bidi="ar"/>
              </w:rPr>
              <w:t>（提供样品以及提供第三方机构出具的检测报告）</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4CCAD">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p>
        </w:tc>
      </w:tr>
      <w:tr w14:paraId="329123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8F0D1">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79 </w:t>
            </w: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4E55C">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金钱白花蛇</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91F3A">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个</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97E40">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个</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D39AC">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90 </w:t>
            </w:r>
          </w:p>
        </w:tc>
        <w:tc>
          <w:tcPr>
            <w:tcW w:w="4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74DEF">
            <w:pPr>
              <w:keepNext w:val="0"/>
              <w:keepLines w:val="0"/>
              <w:widowControl/>
              <w:suppressLineNumbers w:val="0"/>
              <w:snapToGrid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呈圆盘状，盘径3～6cm，蛇体直径0.2～0.4cm。头盘在中间，尾细，常纳口内，口腔内上颌骨前端有毒沟牙1对，鼻间鳞2片，无颊鳞，上下唇鳞通常各为7片。背部黑色或灰黑色，有白色环纹45～58个，黑白相间，白环纹在背部宽1～2行鳞片，向腹面渐增宽，黑环纹宽3～5行鳞片，背正中明显突起一条脊棱，脊鳞扩大呈六角形，背鳞细密，通身15行，尾下鳞单行。气微腥，味微咸。</w:t>
            </w:r>
            <w:r>
              <w:rPr>
                <w:rFonts w:hint="eastAsia" w:ascii="微软雅黑" w:hAnsi="微软雅黑" w:eastAsia="微软雅黑" w:cs="微软雅黑"/>
                <w:b/>
                <w:bCs/>
                <w:i w:val="0"/>
                <w:iCs w:val="0"/>
                <w:color w:val="auto"/>
                <w:kern w:val="0"/>
                <w:sz w:val="21"/>
                <w:szCs w:val="21"/>
                <w:highlight w:val="none"/>
                <w:u w:val="none"/>
                <w:lang w:val="en-US" w:eastAsia="zh-CN" w:bidi="ar"/>
              </w:rPr>
              <w:t>（提供样品以及提供第三方机构出具的检测报告）</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F4D55">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p>
        </w:tc>
      </w:tr>
      <w:tr w14:paraId="2DD399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73B06">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80 </w:t>
            </w:r>
          </w:p>
        </w:tc>
        <w:tc>
          <w:tcPr>
            <w:tcW w:w="12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D0947">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锦灯笼</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61352">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B65E7">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7BDB1">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125 </w:t>
            </w:r>
          </w:p>
        </w:tc>
        <w:tc>
          <w:tcPr>
            <w:tcW w:w="4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549B5">
            <w:pPr>
              <w:keepNext w:val="0"/>
              <w:keepLines w:val="0"/>
              <w:widowControl/>
              <w:suppressLineNumbers w:val="0"/>
              <w:snapToGrid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略呈灯笼状，多压扁，长3～4.5cm，宽2.5～4cm。表面橙红色或橙黄色，有5条明显的纵棱，棱间有网状的细脉纹。顶端渐尖，微5裂，基部略平截，中心凹陷有果梗。体轻，质柔韧，中空，或内有棕红色或橙红色果实。果实球形，多压扁，直径1～1.5cm，果皮皱缩，内含种子多数。气微，宿萼味苦，果实味甘、微酸。</w:t>
            </w:r>
          </w:p>
        </w:tc>
        <w:tc>
          <w:tcPr>
            <w:tcW w:w="10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86504">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bl>
    <w:p w14:paraId="25944E23">
      <w:pPr>
        <w:rPr>
          <w:rStyle w:val="48"/>
          <w:rFonts w:hint="eastAsia" w:ascii="微软雅黑" w:hAnsi="微软雅黑" w:eastAsia="微软雅黑" w:cs="微软雅黑"/>
          <w:color w:val="auto"/>
          <w:sz w:val="28"/>
          <w:szCs w:val="28"/>
          <w:highlight w:val="none"/>
          <w:lang w:eastAsia="zh-CN"/>
        </w:rPr>
      </w:pPr>
      <w:bookmarkStart w:id="1683" w:name="_Toc612"/>
      <w:bookmarkStart w:id="1684" w:name="_Toc21031"/>
      <w:r>
        <w:rPr>
          <w:rStyle w:val="48"/>
          <w:rFonts w:hint="eastAsia" w:ascii="微软雅黑" w:hAnsi="微软雅黑" w:eastAsia="微软雅黑" w:cs="微软雅黑"/>
          <w:color w:val="auto"/>
          <w:sz w:val="28"/>
          <w:szCs w:val="28"/>
          <w:highlight w:val="none"/>
          <w:lang w:eastAsia="zh-CN"/>
        </w:rPr>
        <w:br w:type="page"/>
      </w:r>
    </w:p>
    <w:p w14:paraId="7FDDF48D">
      <w:pPr>
        <w:numPr>
          <w:ilvl w:val="0"/>
          <w:numId w:val="0"/>
        </w:numPr>
        <w:jc w:val="left"/>
        <w:outlineLvl w:val="2"/>
        <w:rPr>
          <w:rStyle w:val="48"/>
          <w:rFonts w:hint="eastAsia" w:ascii="微软雅黑" w:hAnsi="微软雅黑" w:eastAsia="微软雅黑" w:cs="微软雅黑"/>
          <w:color w:val="auto"/>
          <w:sz w:val="28"/>
          <w:szCs w:val="28"/>
          <w:highlight w:val="none"/>
          <w:lang w:eastAsia="zh-CN"/>
        </w:rPr>
      </w:pPr>
      <w:r>
        <w:rPr>
          <w:rStyle w:val="48"/>
          <w:rFonts w:hint="eastAsia" w:ascii="微软雅黑" w:hAnsi="微软雅黑" w:eastAsia="微软雅黑" w:cs="微软雅黑"/>
          <w:color w:val="auto"/>
          <w:sz w:val="28"/>
          <w:szCs w:val="28"/>
          <w:highlight w:val="none"/>
          <w:lang w:eastAsia="zh-CN"/>
        </w:rPr>
        <w:t>标项二：维吾尔医药饮片</w:t>
      </w:r>
      <w:bookmarkEnd w:id="1683"/>
      <w:bookmarkEnd w:id="1684"/>
    </w:p>
    <w:tbl>
      <w:tblPr>
        <w:tblStyle w:val="32"/>
        <w:tblW w:w="1005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99"/>
        <w:gridCol w:w="1185"/>
        <w:gridCol w:w="735"/>
        <w:gridCol w:w="555"/>
        <w:gridCol w:w="930"/>
        <w:gridCol w:w="4749"/>
        <w:gridCol w:w="1205"/>
      </w:tblGrid>
      <w:tr w14:paraId="26FA7C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B8B0F">
            <w:pPr>
              <w:keepNext w:val="0"/>
              <w:keepLines w:val="0"/>
              <w:widowControl/>
              <w:suppressLineNumbers w:val="0"/>
              <w:snapToGrid w:val="0"/>
              <w:jc w:val="center"/>
              <w:textAlignment w:val="center"/>
              <w:rPr>
                <w:rFonts w:hint="eastAsia" w:ascii="微软雅黑" w:hAnsi="微软雅黑" w:eastAsia="微软雅黑" w:cs="微软雅黑"/>
                <w:i w:val="0"/>
                <w:iCs w:val="0"/>
                <w:color w:val="auto"/>
                <w:kern w:val="0"/>
                <w:sz w:val="21"/>
                <w:szCs w:val="21"/>
                <w:highlight w:val="none"/>
                <w:u w:val="none"/>
                <w:lang w:val="en-US" w:eastAsia="zh-CN" w:bidi="ar"/>
              </w:rPr>
            </w:pPr>
            <w:r>
              <w:rPr>
                <w:rFonts w:hint="eastAsia" w:ascii="微软雅黑" w:hAnsi="微软雅黑" w:eastAsia="微软雅黑" w:cs="微软雅黑"/>
                <w:b/>
                <w:bCs/>
                <w:i w:val="0"/>
                <w:iCs w:val="0"/>
                <w:color w:val="auto"/>
                <w:kern w:val="0"/>
                <w:sz w:val="21"/>
                <w:szCs w:val="21"/>
                <w:highlight w:val="none"/>
                <w:u w:val="none"/>
                <w:lang w:val="en-US" w:eastAsia="zh-CN" w:bidi="ar"/>
              </w:rPr>
              <w:t>序号</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A7A0C">
            <w:pPr>
              <w:keepNext w:val="0"/>
              <w:keepLines w:val="0"/>
              <w:widowControl/>
              <w:suppressLineNumbers w:val="0"/>
              <w:snapToGrid w:val="0"/>
              <w:jc w:val="center"/>
              <w:textAlignment w:val="center"/>
              <w:rPr>
                <w:rFonts w:hint="eastAsia" w:ascii="微软雅黑" w:hAnsi="微软雅黑" w:eastAsia="微软雅黑" w:cs="微软雅黑"/>
                <w:i w:val="0"/>
                <w:iCs w:val="0"/>
                <w:color w:val="auto"/>
                <w:kern w:val="0"/>
                <w:sz w:val="21"/>
                <w:szCs w:val="21"/>
                <w:highlight w:val="none"/>
                <w:u w:val="none"/>
                <w:lang w:val="en-US" w:eastAsia="zh-CN" w:bidi="ar"/>
              </w:rPr>
            </w:pPr>
            <w:r>
              <w:rPr>
                <w:rFonts w:hint="eastAsia" w:ascii="微软雅黑" w:hAnsi="微软雅黑" w:eastAsia="微软雅黑" w:cs="微软雅黑"/>
                <w:b/>
                <w:bCs/>
                <w:i w:val="0"/>
                <w:iCs w:val="0"/>
                <w:color w:val="auto"/>
                <w:kern w:val="0"/>
                <w:sz w:val="21"/>
                <w:szCs w:val="21"/>
                <w:highlight w:val="none"/>
                <w:u w:val="none"/>
                <w:lang w:val="en-US" w:eastAsia="zh-CN" w:bidi="ar"/>
              </w:rPr>
              <w:t>药品名称</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4979E">
            <w:pPr>
              <w:keepNext w:val="0"/>
              <w:keepLines w:val="0"/>
              <w:widowControl/>
              <w:suppressLineNumbers w:val="0"/>
              <w:snapToGrid w:val="0"/>
              <w:jc w:val="center"/>
              <w:textAlignment w:val="center"/>
              <w:rPr>
                <w:rFonts w:hint="eastAsia" w:ascii="微软雅黑" w:hAnsi="微软雅黑" w:eastAsia="微软雅黑" w:cs="微软雅黑"/>
                <w:i w:val="0"/>
                <w:iCs w:val="0"/>
                <w:color w:val="auto"/>
                <w:kern w:val="0"/>
                <w:sz w:val="21"/>
                <w:szCs w:val="21"/>
                <w:highlight w:val="none"/>
                <w:u w:val="none"/>
                <w:lang w:val="en-US" w:eastAsia="zh-CN" w:bidi="ar"/>
              </w:rPr>
            </w:pPr>
            <w:r>
              <w:rPr>
                <w:rFonts w:hint="eastAsia" w:ascii="微软雅黑" w:hAnsi="微软雅黑" w:eastAsia="微软雅黑" w:cs="微软雅黑"/>
                <w:b/>
                <w:bCs/>
                <w:i w:val="0"/>
                <w:iCs w:val="0"/>
                <w:color w:val="auto"/>
                <w:kern w:val="0"/>
                <w:sz w:val="21"/>
                <w:szCs w:val="21"/>
                <w:highlight w:val="none"/>
                <w:u w:val="none"/>
                <w:lang w:val="en-US" w:eastAsia="zh-CN" w:bidi="ar"/>
              </w:rPr>
              <w:t>规格</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ECAB0">
            <w:pPr>
              <w:keepNext w:val="0"/>
              <w:keepLines w:val="0"/>
              <w:widowControl/>
              <w:suppressLineNumbers w:val="0"/>
              <w:snapToGrid w:val="0"/>
              <w:jc w:val="center"/>
              <w:textAlignment w:val="center"/>
              <w:rPr>
                <w:rFonts w:hint="eastAsia" w:ascii="微软雅黑" w:hAnsi="微软雅黑" w:eastAsia="微软雅黑" w:cs="微软雅黑"/>
                <w:i w:val="0"/>
                <w:iCs w:val="0"/>
                <w:color w:val="auto"/>
                <w:kern w:val="0"/>
                <w:sz w:val="21"/>
                <w:szCs w:val="21"/>
                <w:highlight w:val="none"/>
                <w:u w:val="none"/>
                <w:lang w:val="en-US" w:eastAsia="zh-CN" w:bidi="ar"/>
              </w:rPr>
            </w:pPr>
            <w:r>
              <w:rPr>
                <w:rFonts w:hint="eastAsia" w:ascii="微软雅黑" w:hAnsi="微软雅黑" w:eastAsia="微软雅黑" w:cs="微软雅黑"/>
                <w:b/>
                <w:bCs/>
                <w:i w:val="0"/>
                <w:iCs w:val="0"/>
                <w:color w:val="auto"/>
                <w:kern w:val="0"/>
                <w:sz w:val="21"/>
                <w:szCs w:val="21"/>
                <w:highlight w:val="none"/>
                <w:u w:val="none"/>
                <w:lang w:val="en-US" w:eastAsia="zh-CN" w:bidi="ar"/>
              </w:rPr>
              <w:t>单位</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1383E">
            <w:pPr>
              <w:keepNext w:val="0"/>
              <w:keepLines w:val="0"/>
              <w:widowControl/>
              <w:suppressLineNumbers w:val="0"/>
              <w:snapToGrid w:val="0"/>
              <w:jc w:val="center"/>
              <w:textAlignment w:val="center"/>
              <w:rPr>
                <w:rFonts w:hint="eastAsia" w:ascii="微软雅黑" w:hAnsi="微软雅黑" w:eastAsia="微软雅黑" w:cs="微软雅黑"/>
                <w:i w:val="0"/>
                <w:iCs w:val="0"/>
                <w:color w:val="auto"/>
                <w:kern w:val="0"/>
                <w:sz w:val="21"/>
                <w:szCs w:val="21"/>
                <w:highlight w:val="none"/>
                <w:u w:val="none"/>
                <w:lang w:val="en-US" w:eastAsia="zh-CN" w:bidi="ar"/>
              </w:rPr>
            </w:pPr>
            <w:r>
              <w:rPr>
                <w:rFonts w:hint="eastAsia" w:ascii="微软雅黑" w:hAnsi="微软雅黑" w:eastAsia="微软雅黑" w:cs="微软雅黑"/>
                <w:b/>
                <w:bCs/>
                <w:i w:val="0"/>
                <w:iCs w:val="0"/>
                <w:color w:val="auto"/>
                <w:kern w:val="0"/>
                <w:sz w:val="21"/>
                <w:szCs w:val="21"/>
                <w:highlight w:val="none"/>
                <w:u w:val="none"/>
                <w:lang w:val="en-US" w:eastAsia="zh-CN" w:bidi="ar"/>
              </w:rPr>
              <w:t>预算单价（元）</w:t>
            </w:r>
          </w:p>
        </w:tc>
        <w:tc>
          <w:tcPr>
            <w:tcW w:w="4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13ECD">
            <w:pPr>
              <w:keepNext w:val="0"/>
              <w:keepLines w:val="0"/>
              <w:widowControl/>
              <w:suppressLineNumbers w:val="0"/>
              <w:snapToGrid w:val="0"/>
              <w:jc w:val="center"/>
              <w:textAlignment w:val="center"/>
              <w:rPr>
                <w:rFonts w:hint="eastAsia" w:ascii="微软雅黑" w:hAnsi="微软雅黑" w:eastAsia="微软雅黑" w:cs="微软雅黑"/>
                <w:i w:val="0"/>
                <w:iCs w:val="0"/>
                <w:color w:val="auto"/>
                <w:kern w:val="0"/>
                <w:sz w:val="21"/>
                <w:szCs w:val="21"/>
                <w:highlight w:val="none"/>
                <w:u w:val="none"/>
                <w:lang w:val="en-US" w:eastAsia="zh-CN" w:bidi="ar"/>
              </w:rPr>
            </w:pPr>
            <w:r>
              <w:rPr>
                <w:rFonts w:hint="eastAsia" w:ascii="微软雅黑" w:hAnsi="微软雅黑" w:eastAsia="微软雅黑" w:cs="微软雅黑"/>
                <w:b/>
                <w:bCs/>
                <w:i w:val="0"/>
                <w:iCs w:val="0"/>
                <w:color w:val="auto"/>
                <w:kern w:val="0"/>
                <w:sz w:val="21"/>
                <w:szCs w:val="21"/>
                <w:highlight w:val="none"/>
                <w:u w:val="none"/>
                <w:lang w:val="en-US" w:eastAsia="zh-CN" w:bidi="ar"/>
              </w:rPr>
              <w:t>药品参数</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F89F3">
            <w:pPr>
              <w:keepNext w:val="0"/>
              <w:keepLines w:val="0"/>
              <w:widowControl/>
              <w:suppressLineNumbers w:val="0"/>
              <w:snapToGrid w:val="0"/>
              <w:jc w:val="center"/>
              <w:textAlignment w:val="center"/>
              <w:rPr>
                <w:rFonts w:hint="eastAsia" w:ascii="微软雅黑" w:hAnsi="微软雅黑" w:eastAsia="微软雅黑" w:cs="微软雅黑"/>
                <w:i w:val="0"/>
                <w:iCs w:val="0"/>
                <w:color w:val="auto"/>
                <w:kern w:val="0"/>
                <w:sz w:val="21"/>
                <w:szCs w:val="21"/>
                <w:highlight w:val="none"/>
                <w:u w:val="none"/>
                <w:lang w:val="en-US" w:eastAsia="zh-CN" w:bidi="ar"/>
              </w:rPr>
            </w:pPr>
            <w:r>
              <w:rPr>
                <w:rFonts w:hint="eastAsia" w:ascii="微软雅黑" w:hAnsi="微软雅黑" w:eastAsia="微软雅黑" w:cs="微软雅黑"/>
                <w:b/>
                <w:bCs/>
                <w:i w:val="0"/>
                <w:iCs w:val="0"/>
                <w:color w:val="auto"/>
                <w:kern w:val="0"/>
                <w:sz w:val="21"/>
                <w:szCs w:val="21"/>
                <w:highlight w:val="none"/>
                <w:u w:val="none"/>
                <w:lang w:val="en-US" w:eastAsia="zh-CN" w:bidi="ar"/>
              </w:rPr>
              <w:t>备注</w:t>
            </w:r>
          </w:p>
        </w:tc>
      </w:tr>
      <w:tr w14:paraId="15550A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61653">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1 </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F279D">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韭菜子</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99071">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64821">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F2F94">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52 </w:t>
            </w:r>
          </w:p>
        </w:tc>
        <w:tc>
          <w:tcPr>
            <w:tcW w:w="4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0E3E5">
            <w:pPr>
              <w:keepNext w:val="0"/>
              <w:keepLines w:val="0"/>
              <w:widowControl/>
              <w:suppressLineNumbers w:val="0"/>
              <w:snapToGrid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本品呈半圆形或半卵圆形，略扁，长2～4mm，宽1.5～3mm。表面黑色，一面突起，粗糙，有细密的网状皱纹，另一面微凹，皱纹不甚明显。顶端钝，基部稍尖，有点状突起的种脐。质硬。气特异，味微辛。</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16A7B">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58C931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F1480">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2 </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0DB84">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菊苣</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B1CB0">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D166E">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BD55B">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35 </w:t>
            </w:r>
          </w:p>
        </w:tc>
        <w:tc>
          <w:tcPr>
            <w:tcW w:w="4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19051">
            <w:pPr>
              <w:keepNext w:val="0"/>
              <w:keepLines w:val="0"/>
              <w:widowControl/>
              <w:suppressLineNumbers w:val="0"/>
              <w:snapToGrid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茎表面近光滑。茎生叶少，长圆状披针形。头状花序少数，簇生；苞片外短内长，无毛或先端被稀毛。瘦果鳞片状，冠毛短，长0.2～0.3mm。</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218E1">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54ED2A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50EDE">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3 </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DE2C5">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菊苣子</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6F604">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515F9">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BC820">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30 </w:t>
            </w:r>
          </w:p>
        </w:tc>
        <w:tc>
          <w:tcPr>
            <w:tcW w:w="4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20CAA">
            <w:pPr>
              <w:keepNext w:val="0"/>
              <w:keepLines w:val="0"/>
              <w:widowControl/>
              <w:suppressLineNumbers w:val="0"/>
              <w:snapToGrid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本品略呈圆锥形，略弯曲或直，长3~5mm。表面棕黄色或黄白色，部分黑棕色斑纹，具3~4条明显纵棱线。顶端平截，边缘有一圈白色或紫色鳞片状冠毛，基部平截。气微，味微苦。</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4CC93">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2718B0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F2EA9">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4 </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CD9B9">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莱菔子</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3BC61">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3BA9D">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295DE">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35 </w:t>
            </w:r>
          </w:p>
        </w:tc>
        <w:tc>
          <w:tcPr>
            <w:tcW w:w="4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BF1DF">
            <w:pPr>
              <w:keepNext w:val="0"/>
              <w:keepLines w:val="0"/>
              <w:widowControl/>
              <w:suppressLineNumbers w:val="0"/>
              <w:snapToGrid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本品呈类卵圆形或椭圆形，稍扁，长2.5～4mm，宽2～3mm。表面黄棕色、红棕色或灰棕色。一端有深棕色圆形种脐，一侧有数条纵沟。种皮薄而脆，子叶2，黄白色，有油性。气微，味淡、微苦辛。</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8D346">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063077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5B2DB">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5 </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D132D">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龙葵果</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B7FB4">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6DE97">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F3BED">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35 </w:t>
            </w:r>
          </w:p>
        </w:tc>
        <w:tc>
          <w:tcPr>
            <w:tcW w:w="4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DE7A6">
            <w:pPr>
              <w:keepNext w:val="0"/>
              <w:keepLines w:val="0"/>
              <w:widowControl/>
              <w:suppressLineNumbers w:val="0"/>
              <w:snapToGrid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本品呈类球形，皱缩，直径2~5mm。表面黑褐色、橙红色或黄绿色，顶端有一圆形花柱残痕，下端有一细果柄，体轻易破碎,种子多数圆扁形，黄白色。气微，味甜酸、微苦。</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97993">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6A534D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619B1">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6 </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FD9F4">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龙涎香</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33A79">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8EDBA">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g</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45B3A">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155 </w:t>
            </w:r>
          </w:p>
        </w:tc>
        <w:tc>
          <w:tcPr>
            <w:tcW w:w="4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14B77">
            <w:pPr>
              <w:keepNext w:val="0"/>
              <w:keepLines w:val="0"/>
              <w:widowControl/>
              <w:suppressLineNumbers w:val="0"/>
              <w:snapToGrid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本品呈不透明蜡样块状物，大小不一。灰绿色、黄褐色至黑褐色，有时带五彩斑纹和白粉霜。气特异芳香浓郁而持久，味微甜酸，嚼之黏牙。</w:t>
            </w:r>
            <w:r>
              <w:rPr>
                <w:rFonts w:hint="eastAsia" w:ascii="微软雅黑" w:hAnsi="微软雅黑" w:eastAsia="微软雅黑" w:cs="微软雅黑"/>
                <w:b/>
                <w:bCs/>
                <w:i w:val="0"/>
                <w:iCs w:val="0"/>
                <w:color w:val="auto"/>
                <w:kern w:val="0"/>
                <w:sz w:val="21"/>
                <w:szCs w:val="21"/>
                <w:highlight w:val="none"/>
                <w:u w:val="none"/>
                <w:lang w:val="en-US" w:eastAsia="zh-CN" w:bidi="ar"/>
              </w:rPr>
              <w:t>（提供样品以及提供第三方机构出具的检测报告）</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AEF4A">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p>
        </w:tc>
      </w:tr>
      <w:tr w14:paraId="764A18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437A8">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7 </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ADA00">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芦荟</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7C483">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D5950">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0648C">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74 </w:t>
            </w:r>
          </w:p>
        </w:tc>
        <w:tc>
          <w:tcPr>
            <w:tcW w:w="4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F0A80">
            <w:pPr>
              <w:keepNext w:val="0"/>
              <w:keepLines w:val="0"/>
              <w:widowControl/>
              <w:suppressLineNumbers w:val="0"/>
              <w:snapToGrid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呈不规则块状，常破裂为多角形，大小不一。表面呈暗红褐色或深褐色，无光泽。体轻，质硬，不易破碎，断面粗糙或显麻纹。富吸湿性。有特殊臭气，味极苦。</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CC3F5">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提供检验报告单、粉碎完以后送货。</w:t>
            </w:r>
          </w:p>
        </w:tc>
      </w:tr>
      <w:tr w14:paraId="05F6DD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C4EC7">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8 </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254D8">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鹿茸片</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CF02F">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DFD5B">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FBAD4">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2700 </w:t>
            </w:r>
          </w:p>
        </w:tc>
        <w:tc>
          <w:tcPr>
            <w:tcW w:w="4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452E7">
            <w:pPr>
              <w:keepNext w:val="0"/>
              <w:keepLines w:val="0"/>
              <w:widowControl/>
              <w:suppressLineNumbers w:val="0"/>
              <w:snapToGrid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取鹿茸，燎去茸毛，刮净，以布带缠绕茸体，自锯口面小孔灌入热白酒，并不断添酒，至润透或灌酒稍蒸，横切薄片，压平，干燥。</w:t>
            </w:r>
            <w:r>
              <w:rPr>
                <w:rFonts w:hint="eastAsia" w:ascii="微软雅黑" w:hAnsi="微软雅黑" w:eastAsia="微软雅黑" w:cs="微软雅黑"/>
                <w:b/>
                <w:bCs/>
                <w:i w:val="0"/>
                <w:iCs w:val="0"/>
                <w:color w:val="auto"/>
                <w:kern w:val="0"/>
                <w:sz w:val="21"/>
                <w:szCs w:val="21"/>
                <w:highlight w:val="none"/>
                <w:u w:val="none"/>
                <w:lang w:val="en-US" w:eastAsia="zh-CN" w:bidi="ar"/>
              </w:rPr>
              <w:t>（提供样品以及提供第三方机构出具的检测报告）</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798BF">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p>
        </w:tc>
      </w:tr>
      <w:tr w14:paraId="73D93D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38BBE">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9 </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24F2D">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罗勒子</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FA6DA">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F5F73">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F8AAA">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45 </w:t>
            </w:r>
          </w:p>
        </w:tc>
        <w:tc>
          <w:tcPr>
            <w:tcW w:w="4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040ED">
            <w:pPr>
              <w:keepNext w:val="0"/>
              <w:keepLines w:val="0"/>
              <w:widowControl/>
              <w:suppressLineNumbers w:val="0"/>
              <w:snapToGrid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fldChar w:fldCharType="begin"/>
            </w:r>
            <w:r>
              <w:rPr>
                <w:rFonts w:hint="eastAsia" w:ascii="微软雅黑" w:hAnsi="微软雅黑" w:eastAsia="微软雅黑" w:cs="微软雅黑"/>
                <w:i w:val="0"/>
                <w:iCs w:val="0"/>
                <w:color w:val="auto"/>
                <w:kern w:val="0"/>
                <w:sz w:val="21"/>
                <w:szCs w:val="21"/>
                <w:highlight w:val="none"/>
                <w:u w:val="none"/>
                <w:lang w:val="en-US" w:eastAsia="zh-CN" w:bidi="ar"/>
              </w:rPr>
              <w:instrText xml:space="preserve"> HYPERLINK "../xwechat_files/wxid_p4ym6k923k1m12_834c/temp/RWTemp/2026-03/f2110d6f3cabd83e18f54848c7bdc8b6.png" </w:instrText>
            </w:r>
            <w:r>
              <w:rPr>
                <w:rFonts w:hint="eastAsia" w:ascii="微软雅黑" w:hAnsi="微软雅黑" w:eastAsia="微软雅黑" w:cs="微软雅黑"/>
                <w:i w:val="0"/>
                <w:iCs w:val="0"/>
                <w:color w:val="auto"/>
                <w:kern w:val="0"/>
                <w:sz w:val="21"/>
                <w:szCs w:val="21"/>
                <w:highlight w:val="none"/>
                <w:u w:val="none"/>
                <w:lang w:val="en-US" w:eastAsia="zh-CN" w:bidi="ar"/>
              </w:rPr>
              <w:fldChar w:fldCharType="separate"/>
            </w:r>
            <w:r>
              <w:rPr>
                <w:rStyle w:val="38"/>
                <w:rFonts w:hint="eastAsia" w:ascii="微软雅黑" w:hAnsi="微软雅黑" w:eastAsia="微软雅黑" w:cs="微软雅黑"/>
                <w:i w:val="0"/>
                <w:iCs w:val="0"/>
                <w:color w:val="auto"/>
                <w:sz w:val="21"/>
                <w:szCs w:val="21"/>
                <w:highlight w:val="none"/>
                <w:u w:val="none"/>
              </w:rPr>
              <w:t>本品小坚果扁卵形,长2.5-2.8mm,宽1.4~1.7mm,厚0.8~1.1mm。表面棕黑色,略有光泽，解剖镜下可见密布细小疣状突起。顶端钝，截形，基部具3锐棱，中心偏靠背面有灰白色果脐，背面中央有一纵棱，两边各1个。果皮坚硬，水浸后强烈黏液化。种子1枚，椭圆形，浅黄色，顶端钝，下端有一尖突。腹面有一浅棕色种脊，合点位于中部稍上方,种皮薄，膜质。黄白色，有油性。胚根短小。子叶2,肥厚。无臭，味淡。</w:t>
            </w:r>
            <w:r>
              <w:rPr>
                <w:rFonts w:hint="eastAsia" w:ascii="微软雅黑" w:hAnsi="微软雅黑" w:eastAsia="微软雅黑" w:cs="微软雅黑"/>
                <w:i w:val="0"/>
                <w:iCs w:val="0"/>
                <w:color w:val="auto"/>
                <w:kern w:val="0"/>
                <w:sz w:val="21"/>
                <w:szCs w:val="21"/>
                <w:highlight w:val="none"/>
                <w:u w:val="none"/>
                <w:lang w:val="en-US" w:eastAsia="zh-CN" w:bidi="ar"/>
              </w:rPr>
              <w:fldChar w:fldCharType="end"/>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0F159">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28DA45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499B6">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10 </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914D2">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罗望子</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0EE0B">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68636">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93005">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35 </w:t>
            </w:r>
          </w:p>
        </w:tc>
        <w:tc>
          <w:tcPr>
            <w:tcW w:w="4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34393">
            <w:pPr>
              <w:keepNext w:val="0"/>
              <w:keepLines w:val="0"/>
              <w:widowControl/>
              <w:suppressLineNumbers w:val="0"/>
              <w:snapToGrid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为不开荚果，类长圆形，稍扁，长3~6cm，微弯曲。外果皮棕褐色，稍坚脆;中果皮棕黄色或棕黑色，较厚，味酸，外侧有数条纤维状筋脉;内果皮革质状。种子形状多样,呈类圆形,近方形或规则形,长7~14mm,宽6~1lmm,较扁，表面呈红棕色，光滑，有光泽，稍具指纹样纹理，压扁，两侧各具一近圆形疤痕，脐点呈圆点状，微凹人，合点亦为点状而微突起，位于脐点对侧，子叶白色。气芳香，味酸甜</w:t>
            </w:r>
            <w:r>
              <w:rPr>
                <w:rFonts w:hint="eastAsia" w:ascii="微软雅黑" w:hAnsi="微软雅黑" w:eastAsia="微软雅黑" w:cs="微软雅黑"/>
                <w:i w:val="0"/>
                <w:iCs w:val="0"/>
                <w:color w:val="auto"/>
                <w:kern w:val="0"/>
                <w:sz w:val="21"/>
                <w:szCs w:val="21"/>
                <w:highlight w:val="none"/>
                <w:u w:val="none"/>
                <w:lang w:val="en-US" w:eastAsia="zh-CN" w:bidi="ar"/>
              </w:rPr>
              <w:br w:type="textWrapping"/>
            </w:r>
            <w:r>
              <w:rPr>
                <w:rFonts w:hint="eastAsia" w:ascii="微软雅黑" w:hAnsi="微软雅黑" w:eastAsia="微软雅黑" w:cs="微软雅黑"/>
                <w:i w:val="0"/>
                <w:iCs w:val="0"/>
                <w:color w:val="auto"/>
                <w:kern w:val="0"/>
                <w:sz w:val="21"/>
                <w:szCs w:val="21"/>
                <w:highlight w:val="none"/>
                <w:u w:val="none"/>
                <w:lang w:val="en-US" w:eastAsia="zh-CN" w:bidi="ar"/>
              </w:rPr>
              <w:t>压制品呈较坚实块状物，如挑选可分出完整者，形如蚕豆，一般具2~4枚种子。气特异，强酸性，味甜。</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632C3">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提供检验报告单、真空包装完以后送货</w:t>
            </w:r>
          </w:p>
        </w:tc>
      </w:tr>
      <w:tr w14:paraId="1BDD79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F113B">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11 </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9BE09">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骆驼蓬子</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1D86B">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13B00">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8B0B0">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35 </w:t>
            </w:r>
          </w:p>
        </w:tc>
        <w:tc>
          <w:tcPr>
            <w:tcW w:w="4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53366">
            <w:pPr>
              <w:keepNext w:val="0"/>
              <w:keepLines w:val="0"/>
              <w:widowControl/>
              <w:suppressLineNumbers w:val="0"/>
              <w:snapToGrid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本品呈圆锥状三角形四面体，长2~4mm,中部直径1~2mm。表面棕色至褐色，粗糙。顶端较尖，可见脐点，下端钝圆，置放大镜下可见表面皱缩呈蜂窝状。用水浸泡后膨胀，表面平滑。气微，味苦。</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18942">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64FCAC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D884D">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12 </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DB241">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绿豆</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8B843">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01D43">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CB7C0">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35 </w:t>
            </w:r>
          </w:p>
        </w:tc>
        <w:tc>
          <w:tcPr>
            <w:tcW w:w="4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293EB">
            <w:pPr>
              <w:keepNext w:val="0"/>
              <w:keepLines w:val="0"/>
              <w:widowControl/>
              <w:suppressLineNumbers w:val="0"/>
              <w:snapToGrid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本品呈短圆矩形，长4~6mm。表面绿黄色或暗绿色，有光泽。种脐位于一侧上端，长约为种子的103，呈白色纵向线形。种皮薄而韧，剥离后露出淡黄绿色或黄白色的种仁，子叶2枚，肥厚。质坚硬。无臭，味微甘。</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52BAE">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387DCC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E60BE">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13 </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924FE">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马齿苋子</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FD4CA">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3045F">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882F5">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47 </w:t>
            </w:r>
          </w:p>
        </w:tc>
        <w:tc>
          <w:tcPr>
            <w:tcW w:w="4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6B182">
            <w:pPr>
              <w:keepNext w:val="0"/>
              <w:keepLines w:val="0"/>
              <w:widowControl/>
              <w:suppressLineNumbers w:val="0"/>
              <w:snapToGrid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本品扁圆形或圆肾形，直径0.7~1.lmm，厚0.4mm。表面黑色或棕黑色，稍有光泽。解剖镜下可见表面密布排列整齐的颗粒状突起。侧边微凹处有一灰白色种脐。胚乳白色，半透明。气微，味淡。</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E7516">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7E3DC9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04BB7">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14 </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93B52">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曼陀罗子</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4B415">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BB8B6">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42B9B">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36 </w:t>
            </w:r>
          </w:p>
        </w:tc>
        <w:tc>
          <w:tcPr>
            <w:tcW w:w="4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E61FD">
            <w:pPr>
              <w:keepNext w:val="0"/>
              <w:keepLines w:val="0"/>
              <w:widowControl/>
              <w:suppressLineNumbers w:val="0"/>
              <w:snapToGrid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本品呈肾形,略扁，长3~4mm.宽2.5~3.2mm。表面黑色或棕黑色，具隆起的网纹，遍布小凹点。种脐位于一侧，平坦。气微，味辛辣。</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E9ACE">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797688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F2271">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15 </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746E2">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毛诃子</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59427">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14E61">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55808">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20 </w:t>
            </w:r>
          </w:p>
        </w:tc>
        <w:tc>
          <w:tcPr>
            <w:tcW w:w="4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9F251">
            <w:pPr>
              <w:keepNext w:val="0"/>
              <w:keepLines w:val="0"/>
              <w:widowControl/>
              <w:suppressLineNumbers w:val="0"/>
              <w:snapToGrid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呈卵形或椭圆形，长2～3.8cm，直径1.5～3cm。表面棕褐色，被细密绒毛，基部有残留果柄或果柄痕。具5棱脊，棱脊间平滑或有不规则皱纹。质坚硬。果肉厚2～5mm，暗棕色或浅绿黄色，果核淡棕黄色。种子1，种皮棕黄色，种仁黄白色，有油性。气微，味涩、苦。</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49CD9">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提供检验报告单、取掉核子以后送货。</w:t>
            </w:r>
          </w:p>
        </w:tc>
      </w:tr>
      <w:tr w14:paraId="2B75F6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2DCD6">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16 </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0EB10">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没食子</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BCFAE">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20024">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22C80">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75 </w:t>
            </w:r>
          </w:p>
        </w:tc>
        <w:tc>
          <w:tcPr>
            <w:tcW w:w="4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94435">
            <w:pPr>
              <w:keepNext w:val="0"/>
              <w:keepLines w:val="0"/>
              <w:widowControl/>
              <w:suppressLineNumbers w:val="0"/>
              <w:snapToGrid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呈类球形，直径1~2.5cm，有短柄。表面灰绿色、灰黑色或灰黄色，有多数小瘤状突起。质坚不易破碎，破碎面不平坦，呈黄白色或淡黄色，有光泽。中央有圆形空隙，常见有幼蜂的尸体，有的可见通往表面的小孔道。无臭，味涩而苦。</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AD679">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44A6C0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F9F5B">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17 </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A8BB0">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木香</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237BA">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052CC">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B5B2F">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75 </w:t>
            </w:r>
          </w:p>
        </w:tc>
        <w:tc>
          <w:tcPr>
            <w:tcW w:w="4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1A190">
            <w:pPr>
              <w:keepNext w:val="0"/>
              <w:keepLines w:val="0"/>
              <w:widowControl/>
              <w:suppressLineNumbers w:val="0"/>
              <w:snapToGrid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呈圆柱形或半圆柱形，长5～10cm，直径0.5～5cm。表面黄棕色至灰褐色，有明显的皱纹、纵沟及侧根痕。质坚，不易折断，断面灰褐色至暗褐色，周边灰黄色或浅棕黄色，形成层环棕色，有放射状纹理及散在的褐色点状油室。气香特异，味微苦。</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EAD11">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1BB5B1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B2D29">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18 </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9F1E2">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木瓜</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79460">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A4D79">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4127F">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35 </w:t>
            </w:r>
          </w:p>
        </w:tc>
        <w:tc>
          <w:tcPr>
            <w:tcW w:w="4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A260C">
            <w:pPr>
              <w:keepNext w:val="0"/>
              <w:keepLines w:val="0"/>
              <w:widowControl/>
              <w:suppressLineNumbers w:val="0"/>
              <w:snapToGrid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本品为落叶灌木，高达2米，具枝刺；小枝圆柱形，开展，粗壮，嫩时紫褐色，无毛，老时暗褐色。花2～6朵簇生于二年生枝上，花瓣近圆形或倒卵形，具短爪。</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E8B49">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2A828B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48BDC">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19 </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4307C">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苜蓿子</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43E3C">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B31FC">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FC261">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20 </w:t>
            </w:r>
          </w:p>
        </w:tc>
        <w:tc>
          <w:tcPr>
            <w:tcW w:w="4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AB00B">
            <w:pPr>
              <w:keepNext w:val="0"/>
              <w:keepLines w:val="0"/>
              <w:widowControl/>
              <w:suppressLineNumbers w:val="0"/>
              <w:snapToGrid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本品呈肾形,长2.0~2.7mm,宽约1.5mm。表面黄褐或黄绿色,在较大一端有斜截面，凹处有点状种脐。种皮薄，光滑具光泽。无臭，有豆腥味。</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CA48D">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2A2241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7D7DA">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20 </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0D8F3">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穆库没药</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BE671">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1F364">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ECB84">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140 </w:t>
            </w:r>
          </w:p>
        </w:tc>
        <w:tc>
          <w:tcPr>
            <w:tcW w:w="4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08764">
            <w:pPr>
              <w:keepNext w:val="0"/>
              <w:keepLines w:val="0"/>
              <w:widowControl/>
              <w:suppressLineNumbers w:val="0"/>
              <w:snapToGrid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本品呈大小不等的团块状，常黏有原植物树皮或残枝。表面黄棕色至棕褐色，半透明或不透明。破碎面有蜡样或玻璃样光泽。遇热软化变黏，冷时质脆。具特异香气，味苦。</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CB952">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38C08C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3F803">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21 </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34E25">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奶桃</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EFF3E">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EC281">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31A9A">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50 </w:t>
            </w:r>
          </w:p>
        </w:tc>
        <w:tc>
          <w:tcPr>
            <w:tcW w:w="4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2CABC">
            <w:pPr>
              <w:keepNext w:val="0"/>
              <w:keepLines w:val="0"/>
              <w:widowControl/>
              <w:suppressLineNumbers w:val="0"/>
              <w:snapToGrid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呈心形，直径5~15cm,有时纵剖成两瓣。种皮薄，棕紫红色，具众多凹陷的网状纹理，其一侧有数条纵向条纹(种脊)。胚乳肥厚，白色，厚7~13mm,内有大形空腔,新鲜食之香而可口，干时较硬，折断面光滑，洁白，富油性。气微，味微苦。</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F1C15">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60BFE8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6D823">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22 </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FC8BC">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牛舌草</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AFCA0">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1F43A">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505EA">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35 </w:t>
            </w:r>
          </w:p>
        </w:tc>
        <w:tc>
          <w:tcPr>
            <w:tcW w:w="4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34FB7">
            <w:pPr>
              <w:keepNext w:val="0"/>
              <w:keepLines w:val="0"/>
              <w:widowControl/>
              <w:suppressLineNumbers w:val="0"/>
              <w:snapToGrid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呈短段，茎具棱，表面淡绿色，有纵皱纹，具白硬刺和刺落后微凸起的白色刺痕，质坚脆，断面黄白色，多中空。叶多破碎，卷曲或皱缩，上表面黄绿色，下表面淡黄绿色微灰白，上下表面均具众多的白色坚硬刺，或刺落后的白色斑痕。叶柄三棱形，多扭曲，上具白刺和刺痕，叶脉两边多向上表面皱卷，完整叶片展开后，先端钝圆，叶片厚，</w:t>
            </w:r>
            <w:r>
              <w:rPr>
                <w:rFonts w:hint="eastAsia" w:ascii="微软雅黑" w:hAnsi="微软雅黑" w:eastAsia="微软雅黑" w:cs="微软雅黑"/>
                <w:i w:val="0"/>
                <w:iCs w:val="0"/>
                <w:color w:val="auto"/>
                <w:kern w:val="0"/>
                <w:sz w:val="21"/>
                <w:szCs w:val="21"/>
                <w:highlight w:val="none"/>
                <w:u w:val="none"/>
                <w:lang w:val="en-US" w:eastAsia="zh-CN" w:bidi="ar"/>
              </w:rPr>
              <w:br w:type="textWrapping"/>
            </w:r>
            <w:r>
              <w:rPr>
                <w:rFonts w:hint="eastAsia" w:ascii="微软雅黑" w:hAnsi="微软雅黑" w:eastAsia="微软雅黑" w:cs="微软雅黑"/>
                <w:i w:val="0"/>
                <w:iCs w:val="0"/>
                <w:color w:val="auto"/>
                <w:kern w:val="0"/>
                <w:sz w:val="21"/>
                <w:szCs w:val="21"/>
                <w:highlight w:val="none"/>
                <w:u w:val="none"/>
                <w:lang w:val="en-US" w:eastAsia="zh-CN" w:bidi="ar"/>
              </w:rPr>
              <w:t>全缘,形似牛舌。气微芳香，味淡，具黏性</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FCD3C">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0B690E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8F5E5">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23 </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EB52F">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蓝蓟花（牛舌草花）</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2B4C1">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973A9">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117E6">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440 </w:t>
            </w:r>
          </w:p>
        </w:tc>
        <w:tc>
          <w:tcPr>
            <w:tcW w:w="4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6DA0E">
            <w:pPr>
              <w:keepNext w:val="0"/>
              <w:keepLines w:val="0"/>
              <w:widowControl/>
              <w:suppressLineNumbers w:val="0"/>
              <w:snapToGrid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略呈扁圆锥形，上宽下窄，长1.5~3.0cm，表面具纵棱及短柔毛。下端细,棕色，直径1~2mm.上端不整齐,蓝色至紫红色，宽3~10mm。水浸泡后完整花冠斜钟状,两侧对称。檐部不等浅裂，上方一个裂片较大。内具雄蕊五枚，花丝长1~2.5cm，花药长圆形;花柱多伸出或脱离，长1.2~2.5cm，顶端2裂。气微，味淡。</w:t>
            </w:r>
            <w:r>
              <w:rPr>
                <w:rFonts w:hint="eastAsia" w:ascii="微软雅黑" w:hAnsi="微软雅黑" w:eastAsia="微软雅黑" w:cs="微软雅黑"/>
                <w:b/>
                <w:bCs/>
                <w:i w:val="0"/>
                <w:iCs w:val="0"/>
                <w:color w:val="auto"/>
                <w:kern w:val="0"/>
                <w:sz w:val="21"/>
                <w:szCs w:val="21"/>
                <w:highlight w:val="none"/>
                <w:u w:val="none"/>
                <w:lang w:val="en-US" w:eastAsia="zh-CN" w:bidi="ar"/>
              </w:rPr>
              <w:t>（提供样品以及提供第三方机构出具的检测报告）</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A01E4">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p>
        </w:tc>
      </w:tr>
      <w:tr w14:paraId="19C9DD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B164C">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24 </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79A8A">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欧菝葜根</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46E18">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ECA10">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25C7A">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240 </w:t>
            </w:r>
          </w:p>
        </w:tc>
        <w:tc>
          <w:tcPr>
            <w:tcW w:w="4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39EEA">
            <w:pPr>
              <w:keepNext w:val="0"/>
              <w:keepLines w:val="0"/>
              <w:widowControl/>
              <w:suppressLineNumbers w:val="0"/>
              <w:snapToGrid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呈短段，直径3~5mm。表面黄棕色至棕红色，具纵沟棱，并有稀疏须根痕。有时可见残留的根状茎和地上茎。地上茎节部膨大，淡黄棕色，有纵条纹。质略脆易折断，断面皮部淡黄色，木质部色略深，并具多数细孔，髓部白色，木部与皮部易分离粉性微黏滑。气微，味辛淡。</w:t>
            </w:r>
            <w:r>
              <w:rPr>
                <w:rFonts w:hint="eastAsia" w:ascii="微软雅黑" w:hAnsi="微软雅黑" w:eastAsia="微软雅黑" w:cs="微软雅黑"/>
                <w:b/>
                <w:bCs/>
                <w:i w:val="0"/>
                <w:iCs w:val="0"/>
                <w:color w:val="auto"/>
                <w:kern w:val="0"/>
                <w:sz w:val="21"/>
                <w:szCs w:val="21"/>
                <w:highlight w:val="none"/>
                <w:u w:val="none"/>
                <w:lang w:val="en-US" w:eastAsia="zh-CN" w:bidi="ar"/>
              </w:rPr>
              <w:t>（提供样品以及提供第三方机构出具的检测报告）</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976E1">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p>
        </w:tc>
      </w:tr>
      <w:tr w14:paraId="01C0E0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993A4">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25 </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C1F08">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欧矢车菊</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82219">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98AE4">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BF16B">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80 </w:t>
            </w:r>
          </w:p>
        </w:tc>
        <w:tc>
          <w:tcPr>
            <w:tcW w:w="4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D7AE8">
            <w:pPr>
              <w:keepNext w:val="0"/>
              <w:keepLines w:val="0"/>
              <w:widowControl/>
              <w:suppressLineNumbers w:val="0"/>
              <w:snapToGrid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呈类圆形或不规则的厚片。外表面类白色，或残存极少量浅棕色、深棕色或红棕色栓皮，有纵棱。偶见断续环节痕。质硬，较脆，断面淡黄白色或淡黄棕色。根木质部发达，具放射性纹理，断面可见黄色细小木心。形成层环明显。根茎髓部宽广。味微甘涩:</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795C3">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3F5A14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18FCD">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26 </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CCB08">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破布木果</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95C1B">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C43C9">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348DB">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30 </w:t>
            </w:r>
          </w:p>
        </w:tc>
        <w:tc>
          <w:tcPr>
            <w:tcW w:w="4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5CDA7">
            <w:pPr>
              <w:keepNext w:val="0"/>
              <w:keepLines w:val="0"/>
              <w:widowControl/>
              <w:suppressLineNumbers w:val="0"/>
              <w:snapToGrid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呈圆锥状卵形，常皱缩显纵纹或网状不规则之棱角，长1~1.5cm，中部直径0.5~lem。表面棕色或棕褐色，先端尖，可见花柱脱落残迹，底部平截或微凸起，有的可见残留浅杯状宿萼，萼灰黄棕色。果皮薄。内果皮骨质，4室,通常为1~2室，发育完全，每室有1粒种子，稀见3粒，几乎无4粒者。气微或无，味酸而微甘。</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565C3">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0B23F7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FCA69">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27 </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544DE">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红葡萄干</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C173D">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DF96E">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FF428">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20 </w:t>
            </w:r>
          </w:p>
        </w:tc>
        <w:tc>
          <w:tcPr>
            <w:tcW w:w="4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39C29">
            <w:pPr>
              <w:keepNext w:val="0"/>
              <w:keepLines w:val="0"/>
              <w:widowControl/>
              <w:suppressLineNumbers w:val="0"/>
              <w:snapToGrid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呈长椭圆形，直径4~5mm。外果皮红褐色，皱缩。果肉柔韧，内藏无核。气微，</w:t>
            </w:r>
            <w:r>
              <w:rPr>
                <w:rFonts w:hint="eastAsia" w:ascii="微软雅黑" w:hAnsi="微软雅黑" w:eastAsia="微软雅黑" w:cs="微软雅黑"/>
                <w:i w:val="0"/>
                <w:iCs w:val="0"/>
                <w:color w:val="auto"/>
                <w:kern w:val="0"/>
                <w:sz w:val="21"/>
                <w:szCs w:val="21"/>
                <w:highlight w:val="none"/>
                <w:u w:val="none"/>
                <w:lang w:val="en-US" w:eastAsia="zh-CN" w:bidi="ar"/>
              </w:rPr>
              <w:br w:type="textWrapping"/>
            </w:r>
            <w:r>
              <w:rPr>
                <w:rFonts w:hint="eastAsia" w:ascii="微软雅黑" w:hAnsi="微软雅黑" w:eastAsia="微软雅黑" w:cs="微软雅黑"/>
                <w:i w:val="0"/>
                <w:iCs w:val="0"/>
                <w:color w:val="auto"/>
                <w:kern w:val="0"/>
                <w:sz w:val="21"/>
                <w:szCs w:val="21"/>
                <w:highlight w:val="none"/>
                <w:u w:val="none"/>
                <w:lang w:val="en-US" w:eastAsia="zh-CN" w:bidi="ar"/>
              </w:rPr>
              <w:t>味甜。</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CDAB5">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1E347E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4B043">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28 </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EE954">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芹菜根</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84DFE">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E865A">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4B4FC">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31 </w:t>
            </w:r>
          </w:p>
        </w:tc>
        <w:tc>
          <w:tcPr>
            <w:tcW w:w="4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98AB5">
            <w:pPr>
              <w:keepNext w:val="0"/>
              <w:keepLines w:val="0"/>
              <w:widowControl/>
              <w:suppressLineNumbers w:val="0"/>
              <w:snapToGrid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主根长圆锥形或略呈类纺锤形，长2~15 cm,直径0.5~2.5cm，表面棕灰色，具明显纵纹。下部常有支根2至数条，多着生多数细长的须根，细根上常有细小的疣状突起。有的根茎部膨大，顶部具茎残基或呈凹窝状，直径0.5~4cm，表面粗糙，灰棕色。质硬，断面黄白色，形成层环纹黄棕色。气微，味微咸。</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6B453">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651FAF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799FF">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29 </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DD553">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芹菜子</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60169">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A17F6">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47205">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35 </w:t>
            </w:r>
          </w:p>
        </w:tc>
        <w:tc>
          <w:tcPr>
            <w:tcW w:w="4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1DE04">
            <w:pPr>
              <w:keepNext w:val="0"/>
              <w:keepLines w:val="0"/>
              <w:widowControl/>
              <w:suppressLineNumbers w:val="0"/>
              <w:snapToGrid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近球形至广卵形，长1~1.5mm，直径1~1.2mm。表面灰绿色至棕黄绿色，分果卵圆形，先端稍尖，残留有花柱基，圆锥状，底端钝圆，微向腹面弯曲，背肋3条，微突起，侧肋2条，均呈黄白色。横切面近五角形，肋间油管多为1条(稀为2条),结合面2条。气清香而具特异的芹菜气，味辛、微甜</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D5E23">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5E1C9B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0CA2E">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30 </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2841E">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香茅</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33BDA">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B5AF8">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FB50B">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20 </w:t>
            </w:r>
          </w:p>
        </w:tc>
        <w:tc>
          <w:tcPr>
            <w:tcW w:w="4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80942">
            <w:pPr>
              <w:keepNext w:val="0"/>
              <w:keepLines w:val="0"/>
              <w:widowControl/>
              <w:suppressLineNumbers w:val="0"/>
              <w:snapToGrid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呈短段，直径2~3mm。表面淡黄棕色或微绿色，节处膨大。质脆，易折断,断面中空。叶片狭条形或长线形,长7~20cm,宽1~5mm。叶鞘基部多破碎，上部叶鞘短于节间。叶舌长1~1.5mm,黄白色，膜质。有时可见稀疏的圆锥花序。果实淡黄棕色，骨质，长约5mm。有特异香气，嚼之有麻舌感。</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B42CE">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4FB64F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BA91B">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31 </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8CCD8">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秋水仙</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D7DAE">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2C592">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25293">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165 </w:t>
            </w:r>
          </w:p>
        </w:tc>
        <w:tc>
          <w:tcPr>
            <w:tcW w:w="4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62A3B">
            <w:pPr>
              <w:keepNext w:val="0"/>
              <w:keepLines w:val="0"/>
              <w:widowControl/>
              <w:suppressLineNumbers w:val="0"/>
              <w:snapToGrid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 本品呈片状或丝状。表面灰黄白色或淡棕黄色，质稍硬，易断，断面白色或淡灰黄色，粉性。气微芳香，味苦。</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12180">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0ACBFA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CD91D">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32 </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FEA7E">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驱虫斑鸠菊</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579EC">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F50E0">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20515">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64 </w:t>
            </w:r>
          </w:p>
        </w:tc>
        <w:tc>
          <w:tcPr>
            <w:tcW w:w="4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4AE19">
            <w:pPr>
              <w:keepNext w:val="0"/>
              <w:keepLines w:val="0"/>
              <w:widowControl/>
              <w:suppressLineNumbers w:val="0"/>
              <w:snapToGrid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本品呈倒圆锥形或圆柱形，长约5mm。表面呈棕绿色或墨绿色，具10条纵向突起棱肋，用放大镜观察可见棱肋处有非腺毛，其肋间凹陷处有腺毛。顶端平截，下端稍细。气特异，味极苦。</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7FAE2">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55B715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57D01">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33 </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3926C">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全蝎</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D1ABA">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7B057">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A830C">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1800 </w:t>
            </w:r>
          </w:p>
        </w:tc>
        <w:tc>
          <w:tcPr>
            <w:tcW w:w="4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BBC15">
            <w:pPr>
              <w:keepNext w:val="0"/>
              <w:keepLines w:val="0"/>
              <w:widowControl/>
              <w:suppressLineNumbers w:val="0"/>
              <w:snapToGrid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头胸部与前腹部呈扁平长椭圆形，后腹部呈尾状，皱缩弯曲，完整者体长约6cm。头胸部呈绿褐色，前面有1对短小的螯肢和1对较长大的钳状脚须，形似蟹螯，背面覆有梯形背甲，腹面有足4对，均为7节，末端各具2爪钩；前腹部由7节组成，第7节色深，背甲上有5条隆脊线。背面绿褐色，后腹部棕黄色，6节，节上均有纵沟，末节有锐钩状毒刺，毒刺下方无距。气微腥，味咸。</w:t>
            </w:r>
            <w:r>
              <w:rPr>
                <w:rFonts w:hint="eastAsia" w:ascii="微软雅黑" w:hAnsi="微软雅黑" w:eastAsia="微软雅黑" w:cs="微软雅黑"/>
                <w:b/>
                <w:bCs/>
                <w:i w:val="0"/>
                <w:iCs w:val="0"/>
                <w:color w:val="auto"/>
                <w:kern w:val="0"/>
                <w:sz w:val="21"/>
                <w:szCs w:val="21"/>
                <w:highlight w:val="none"/>
                <w:u w:val="none"/>
                <w:lang w:val="en-US" w:eastAsia="zh-CN" w:bidi="ar"/>
              </w:rPr>
              <w:t>（提供样品以及提供第三方机构出具的检测报告）</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14E95">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需要安装装200g塑料瓶送货</w:t>
            </w:r>
          </w:p>
        </w:tc>
      </w:tr>
      <w:tr w14:paraId="62D6E7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5A7FB">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34 </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A5038">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拳参</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833F6">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C5D45">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1FF1E">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90 </w:t>
            </w:r>
          </w:p>
        </w:tc>
        <w:tc>
          <w:tcPr>
            <w:tcW w:w="4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04887">
            <w:pPr>
              <w:keepNext w:val="0"/>
              <w:keepLines w:val="0"/>
              <w:widowControl/>
              <w:suppressLineNumbers w:val="0"/>
              <w:snapToGrid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呈扁长条形或扁圆柱形，弯曲，有的对卷弯曲，两端略尖，或一端渐细，长6～13cm，直径1～2.5cm。表面紫褐色或紫黑色，粗糙，一面隆起，一面稍平坦或略具凹槽，全体密具粗环纹，有残留须根或根痕。质硬，断面浅棕红色或棕红色，维管束呈黄白色点状，排列成环。气微，味苦、涩。</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2D0EC">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2F4F32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C04D4">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35 </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E6253">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肉豆蔻</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2D26B">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5CD03">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AE1AD">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90 </w:t>
            </w:r>
          </w:p>
        </w:tc>
        <w:tc>
          <w:tcPr>
            <w:tcW w:w="4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93D01">
            <w:pPr>
              <w:keepNext w:val="0"/>
              <w:keepLines w:val="0"/>
              <w:widowControl/>
              <w:suppressLineNumbers w:val="0"/>
              <w:snapToGrid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呈卵圆形或椭圆形，长2～3cm，直径1.5～2.5cm。表面灰棕色或灰黄色，有时外被白粉（石灰粉末）。全体有浅色纵行沟纹和不规则网状沟纹。种脐位于宽端，呈浅色圆形突起，合点呈暗凹陷。种脊呈纵沟状，连接两端。质坚，断面显棕黄色相杂的大理石花纹，宽端可见干燥皱缩的胚，富油性。气香浓烈，味辛。</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26294">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提供检验报告单、真空包装完以后送货</w:t>
            </w:r>
          </w:p>
        </w:tc>
      </w:tr>
      <w:tr w14:paraId="2515D0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DA11B">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36 </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63C94">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肉豆蔻衣</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E8E7F">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0459E">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680DE">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329 </w:t>
            </w:r>
          </w:p>
        </w:tc>
        <w:tc>
          <w:tcPr>
            <w:tcW w:w="4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98673">
            <w:pPr>
              <w:keepNext w:val="0"/>
              <w:keepLines w:val="0"/>
              <w:widowControl/>
              <w:suppressLineNumbers w:val="0"/>
              <w:snapToGrid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本品为扁平的裂瓣，分枝状或半筒状，常常折叠压扁，长约25mm，厚约mm。表面淡红棕色或橙红棕色，半透明状，微具白霜，肉质油润。气香，味辛辣。</w:t>
            </w:r>
            <w:r>
              <w:rPr>
                <w:rFonts w:hint="eastAsia" w:ascii="微软雅黑" w:hAnsi="微软雅黑" w:eastAsia="微软雅黑" w:cs="微软雅黑"/>
                <w:b/>
                <w:bCs/>
                <w:i w:val="0"/>
                <w:iCs w:val="0"/>
                <w:color w:val="auto"/>
                <w:kern w:val="0"/>
                <w:sz w:val="21"/>
                <w:szCs w:val="21"/>
                <w:highlight w:val="none"/>
                <w:u w:val="none"/>
                <w:lang w:val="en-US" w:eastAsia="zh-CN" w:bidi="ar"/>
              </w:rPr>
              <w:t>（提供样品以及提供第三方机构出具的检测报告）</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A1AE0">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p>
        </w:tc>
      </w:tr>
      <w:tr w14:paraId="35DA42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04FEB">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37 </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B3698">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肉桂</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20FC6">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12B16">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6F966">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28 </w:t>
            </w:r>
          </w:p>
        </w:tc>
        <w:tc>
          <w:tcPr>
            <w:tcW w:w="4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4E590">
            <w:pPr>
              <w:keepNext w:val="0"/>
              <w:keepLines w:val="0"/>
              <w:widowControl/>
              <w:suppressLineNumbers w:val="0"/>
              <w:snapToGrid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呈槽状或卷筒状，长30～40cm，宽或直径3～10cm，厚0.2～0.8cm。外表面灰棕色，稍粗糙，有不规则的细皱纹和横向突起的皮孔，有的可见灰白色的斑纹；内表面红棕色，略平坦，有细纵纹，划之显油痕。质硬而脆，易折断，断面不平坦，外层棕色而较粗糙，内层红棕色而油润，两层间有1条黄棕色的线纹。气香浓烈，味甜、辣。</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53666">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40680F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92815">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38 </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E3A87">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三条筋</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3EEB1">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183AB">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8FCBD">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30 </w:t>
            </w:r>
          </w:p>
        </w:tc>
        <w:tc>
          <w:tcPr>
            <w:tcW w:w="4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D1644">
            <w:pPr>
              <w:keepNext w:val="0"/>
              <w:keepLines w:val="0"/>
              <w:widowControl/>
              <w:suppressLineNumbers w:val="0"/>
              <w:snapToGrid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呈广披针形或长圆形，长7~15cm,宽2.5~9cm。先端渐尖，基部楔形,全缘。上表面黄绿色或黄棕色，光滑，有光泽;下表面稀被柔毛，叶脉3条显著凸起，细脉略呈横向平行。叶柄长0.5~1.3cm,略呈四棱形。革质稍韧。气香，味微甜、辛。</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421BE">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41F362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28A43">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39 </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FE990">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沙龙子</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89C71">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D12F8">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D98F9">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4500 </w:t>
            </w:r>
          </w:p>
        </w:tc>
        <w:tc>
          <w:tcPr>
            <w:tcW w:w="4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2D9A6">
            <w:pPr>
              <w:keepNext w:val="0"/>
              <w:keepLines w:val="0"/>
              <w:widowControl/>
              <w:suppressLineNumbers w:val="0"/>
              <w:snapToGrid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呈长圆柱状，头体长8.0~10.5cm，尾长3.0~5.5cm。头较小，呈长圆形，吻端钝圆，较狭，鼻孔位于吻端的上方，吻鳞1片，大型。体背橙红色，体侧灰白色，每侧有5~7块黑斑，腹面白色，全体具蜡状光泽，除头部以外均被大型圆鳞，复瓦状排列，背脊纵行隆起，呈梭状。四足细弱而短，5趾，边缘具栉齿，尾部骤细。气腥，味微咸。</w:t>
            </w:r>
            <w:r>
              <w:rPr>
                <w:rFonts w:hint="eastAsia" w:ascii="微软雅黑" w:hAnsi="微软雅黑" w:eastAsia="微软雅黑" w:cs="微软雅黑"/>
                <w:b/>
                <w:bCs/>
                <w:i w:val="0"/>
                <w:iCs w:val="0"/>
                <w:color w:val="auto"/>
                <w:kern w:val="0"/>
                <w:sz w:val="21"/>
                <w:szCs w:val="21"/>
                <w:highlight w:val="none"/>
                <w:u w:val="none"/>
                <w:lang w:val="en-US" w:eastAsia="zh-CN" w:bidi="ar"/>
              </w:rPr>
              <w:t>（提供样品以及提供第三方机构出具的检测报告）</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BA275">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p>
        </w:tc>
      </w:tr>
      <w:tr w14:paraId="505752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19849">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40 </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09EE2">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珊瑚</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7C2A0">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C9A28">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304AA">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125 </w:t>
            </w:r>
          </w:p>
        </w:tc>
        <w:tc>
          <w:tcPr>
            <w:tcW w:w="4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35EC7">
            <w:pPr>
              <w:keepNext w:val="0"/>
              <w:keepLines w:val="0"/>
              <w:widowControl/>
              <w:suppressLineNumbers w:val="0"/>
              <w:snapToGrid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本品为小树枝状，或碎断成棒状，长约2~3cm，直径约3~5mm。有分枝或有小突起，周围有许多小孔，红色。质坚硬如瓷，不易折断。气味均无。</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E6F4F">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4E0F77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16BB5">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41 </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58D05">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蛇蜕</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FD2B6">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09045">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4E62F">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145 </w:t>
            </w:r>
          </w:p>
        </w:tc>
        <w:tc>
          <w:tcPr>
            <w:tcW w:w="4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84AC8">
            <w:pPr>
              <w:keepNext w:val="0"/>
              <w:keepLines w:val="0"/>
              <w:widowControl/>
              <w:suppressLineNumbers w:val="0"/>
              <w:snapToGrid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呈圆筒形，多压扁而皱缩，完整者形似蛇，长可达1m以上。背部银灰色或淡灰棕色，有光泽，鳞迹菱形或椭圆形，衔接处呈白色，略抽皱或凹下；腹部乳白色或略显黄色，鳞迹长方形，呈覆瓦状排列。体轻，质微韧，手捏有润滑感和弹性，轻轻搓揉，沙沙作响。气微腥，味淡或微咸。</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7CA91">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5F57CF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6F2E0">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42 </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37A70">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神香草</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59055">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90FFC">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20C1F">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71 </w:t>
            </w:r>
          </w:p>
        </w:tc>
        <w:tc>
          <w:tcPr>
            <w:tcW w:w="4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3817B">
            <w:pPr>
              <w:keepNext w:val="0"/>
              <w:keepLines w:val="0"/>
              <w:widowControl/>
              <w:suppressLineNumbers w:val="0"/>
              <w:snapToGrid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本品当年枝黄绿色，茎具不明显四棱，光滑。叶对生，多破碎，完整者条形长1.3~4cm.宽2~3mm.边缘内卷，密被腺点。花蓝紫色.花冠二唇形，长约10mm。果矩圆状三角形。气芳香，味辛苦。</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44D35">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1641CC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3E832">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43 </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47DDC">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声色草</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2822C">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E04E3">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D09EB">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35 </w:t>
            </w:r>
          </w:p>
        </w:tc>
        <w:tc>
          <w:tcPr>
            <w:tcW w:w="4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390B8">
            <w:pPr>
              <w:keepNext w:val="0"/>
              <w:keepLines w:val="0"/>
              <w:widowControl/>
              <w:suppressLineNumbers w:val="0"/>
              <w:snapToGrid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全长15~40cm。根单一，扭曲，表面浅棕黄色。茎近基部有密生的叶片和托叶，上部二歧分枝，表面被白色茸毛，枝纤细，质硬而脆，易折断，断面中空。单叶，对生，无柄，狭线形，长约lem，宽约lmm，上部叶较细小。花小，多数，密集成顶生聚伞状花序，白色。气微，味淡。</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AA6E8">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39F3E2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625B1">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44 </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43CEE">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石榴花</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9113B">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C048B">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95873">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270 </w:t>
            </w:r>
          </w:p>
        </w:tc>
        <w:tc>
          <w:tcPr>
            <w:tcW w:w="4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99F83">
            <w:pPr>
              <w:keepNext w:val="0"/>
              <w:keepLines w:val="0"/>
              <w:widowControl/>
              <w:suppressLineNumbers w:val="0"/>
              <w:snapToGrid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多皱缩，有的破碎，完整者展平后呈卵形或卵圆形，长20-30mm,宽20~25mm。花瓣红色或暗红色，羽状网脉，主脉基部宽至先端渐细，顶端圆形，边缘微波状，具疏而浅的钝锯齿，基部宽楔形或近圆形。薄而质脆，易碎。气微，味苦涩。</w:t>
            </w:r>
            <w:r>
              <w:rPr>
                <w:rFonts w:hint="eastAsia" w:ascii="微软雅黑" w:hAnsi="微软雅黑" w:eastAsia="微软雅黑" w:cs="微软雅黑"/>
                <w:b/>
                <w:bCs/>
                <w:i w:val="0"/>
                <w:iCs w:val="0"/>
                <w:color w:val="auto"/>
                <w:kern w:val="0"/>
                <w:sz w:val="21"/>
                <w:szCs w:val="21"/>
                <w:highlight w:val="none"/>
                <w:u w:val="none"/>
                <w:lang w:val="en-US" w:eastAsia="zh-CN" w:bidi="ar"/>
              </w:rPr>
              <w:t>（提供样品以及提供第三方机构出具的检测报告）</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C1FC3">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p>
        </w:tc>
      </w:tr>
      <w:tr w14:paraId="7C5849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B9B00">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45 </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EE051">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石榴皮</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93D6A">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B478B">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6310C">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6 </w:t>
            </w:r>
          </w:p>
        </w:tc>
        <w:tc>
          <w:tcPr>
            <w:tcW w:w="4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7B608">
            <w:pPr>
              <w:keepNext w:val="0"/>
              <w:keepLines w:val="0"/>
              <w:widowControl/>
              <w:suppressLineNumbers w:val="0"/>
              <w:snapToGrid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呈不规则的片状或瓢状，大小不一，厚1.5～3mm。外表面红棕色、棕黄色或暗棕色，略有光泽，粗糙，有多数疣状突起，有的有突起的筒状宿萼及粗短果梗或果梗痕。内表面黄色或红棕色，有隆起呈网状的果蒂残痕。质硬而脆，断面黄色，略显颗粒状。气微，味苦涩。</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BC646">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6F60F2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D7872">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46 </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920D0">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莳萝子</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5144C">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3AC40">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32B5C">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25 </w:t>
            </w:r>
          </w:p>
        </w:tc>
        <w:tc>
          <w:tcPr>
            <w:tcW w:w="4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89971">
            <w:pPr>
              <w:keepNext w:val="0"/>
              <w:keepLines w:val="0"/>
              <w:widowControl/>
              <w:suppressLineNumbers w:val="0"/>
              <w:snapToGrid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为双悬果，多数开裂为分果，呈扁广椭圆形，长3~5mm，宽1~3mm，厚约lmm。表面呈黄绿色至灰棕色，背部有3条不明显的肋线，两侧肋线扩展成翅状，边缘灰白色。多数分离或未分离的双悬果基部有残存果柄。气芳香，味辛凉。</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31235">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6B77FA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C475C">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47 </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0992A">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蜀葵子</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7C3AE">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E8B67">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CE4F6">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41 </w:t>
            </w:r>
          </w:p>
        </w:tc>
        <w:tc>
          <w:tcPr>
            <w:tcW w:w="4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116CE">
            <w:pPr>
              <w:keepNext w:val="0"/>
              <w:keepLines w:val="0"/>
              <w:widowControl/>
              <w:suppressLineNumbers w:val="0"/>
              <w:snapToGrid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 本品呈扁圆形，直径4~8mm,表面灰黑色，具放射状纹理，中部略凸起，种脐部凹陷，边缘白色，并具一环状纵沟。除去果皮，种子呈三角状肾形，表面棕褐色，长</w:t>
            </w:r>
            <w:r>
              <w:rPr>
                <w:rFonts w:hint="eastAsia" w:ascii="微软雅黑" w:hAnsi="微软雅黑" w:eastAsia="微软雅黑" w:cs="微软雅黑"/>
                <w:i w:val="0"/>
                <w:iCs w:val="0"/>
                <w:color w:val="auto"/>
                <w:kern w:val="0"/>
                <w:sz w:val="21"/>
                <w:szCs w:val="21"/>
                <w:highlight w:val="none"/>
                <w:u w:val="none"/>
                <w:lang w:val="en-US" w:eastAsia="zh-CN" w:bidi="ar"/>
              </w:rPr>
              <w:br w:type="textWrapping"/>
            </w:r>
            <w:r>
              <w:rPr>
                <w:rFonts w:hint="eastAsia" w:ascii="微软雅黑" w:hAnsi="微软雅黑" w:eastAsia="微软雅黑" w:cs="微软雅黑"/>
                <w:i w:val="0"/>
                <w:iCs w:val="0"/>
                <w:color w:val="auto"/>
                <w:kern w:val="0"/>
                <w:sz w:val="21"/>
                <w:szCs w:val="21"/>
                <w:highlight w:val="none"/>
                <w:u w:val="none"/>
                <w:lang w:val="en-US" w:eastAsia="zh-CN" w:bidi="ar"/>
              </w:rPr>
              <w:t>3~4mm,质坚,子叶黄白色。气微，味淡。</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E0D65">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6810D3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81310">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48 </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25904">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水菖蒲</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E2A0B">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F7A75">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11C97">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32 </w:t>
            </w:r>
          </w:p>
        </w:tc>
        <w:tc>
          <w:tcPr>
            <w:tcW w:w="4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9D94C">
            <w:pPr>
              <w:keepNext w:val="0"/>
              <w:keepLines w:val="0"/>
              <w:widowControl/>
              <w:suppressLineNumbers w:val="0"/>
              <w:snapToGrid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本品为不规则的厚片。切面海绵样，类白色或淡棕色，内皮层环明显，有多数小空洞及维管束小点，周边淡黄棕色或暗棕褐色，有细纵纹。质硬。气较浓烈而特异，味苦，辛。</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C4A9F">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4CBFAF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373F4">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49 </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8ECBF">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水龙骨</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7F695">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A0EEB">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CDDEE">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46 </w:t>
            </w:r>
          </w:p>
        </w:tc>
        <w:tc>
          <w:tcPr>
            <w:tcW w:w="4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4183C">
            <w:pPr>
              <w:keepNext w:val="0"/>
              <w:keepLines w:val="0"/>
              <w:widowControl/>
              <w:suppressLineNumbers w:val="0"/>
              <w:snapToGrid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本品呈短段，茎细圆柱状，直径3~4mm,稍弯曲，有的有分枝。表面棕黄色至棕褐色，有纵皱纹，一侧有须根痕或少数残留的须根。质硬而脆，易折断，断面较平滑，黄色至黄绿色。气味微，味甜。</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041D4">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67268D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D9446">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50 </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C59D2">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睡莲花</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44E98">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A57C0">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12C7A">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69 </w:t>
            </w:r>
          </w:p>
        </w:tc>
        <w:tc>
          <w:tcPr>
            <w:tcW w:w="4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ED905">
            <w:pPr>
              <w:keepNext w:val="0"/>
              <w:keepLines w:val="0"/>
              <w:widowControl/>
              <w:suppressLineNumbers w:val="0"/>
              <w:snapToGrid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呈圆锥形或长圆形，花蕾长2.5~4cm,直径约2em,花托略呈方形。花萼4.革质,近离生，长卵状披针形，无毛，表面绿色或棕黄色。剥去花萼可见白色花瓣15~25，卵圆形。雄蕊30~40枚，花药线形,长约10mm,花丝扁平，几与花药等长。子房球形或椭圆形，无花柱或极短，柱头5~15,密排成轮状，中央有一凹陷窝。气微，味淡。</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A60D6">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4296BA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FF529">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51 </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F73B5">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司卡摩尼亚脂</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7018A">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4748E">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066F0">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1200 </w:t>
            </w:r>
          </w:p>
        </w:tc>
        <w:tc>
          <w:tcPr>
            <w:tcW w:w="4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41283">
            <w:pPr>
              <w:keepNext w:val="0"/>
              <w:keepLines w:val="0"/>
              <w:widowControl/>
              <w:suppressLineNumbers w:val="0"/>
              <w:snapToGrid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表面暗灰色至棕黑色，有灰色粉尘，质脆，易破碎，新鲜破碎面带有光泽，树脂状并具有细孔，呈暗棕色至褐黑色。气似乳酪，味淡。</w:t>
            </w:r>
            <w:r>
              <w:rPr>
                <w:rFonts w:hint="eastAsia" w:ascii="微软雅黑" w:hAnsi="微软雅黑" w:eastAsia="微软雅黑" w:cs="微软雅黑"/>
                <w:b/>
                <w:bCs/>
                <w:i w:val="0"/>
                <w:iCs w:val="0"/>
                <w:color w:val="auto"/>
                <w:kern w:val="0"/>
                <w:sz w:val="21"/>
                <w:szCs w:val="21"/>
                <w:highlight w:val="none"/>
                <w:u w:val="none"/>
                <w:lang w:val="en-US" w:eastAsia="zh-CN" w:bidi="ar"/>
              </w:rPr>
              <w:t>（提供样品以及提供第三方机构出具的检测报告）</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FFAC3">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p>
        </w:tc>
      </w:tr>
      <w:tr w14:paraId="436E3F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46B50">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52 </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B7688">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松萝</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7400B">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5AB73">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8228C">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30 </w:t>
            </w:r>
          </w:p>
        </w:tc>
        <w:tc>
          <w:tcPr>
            <w:tcW w:w="4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5AA83">
            <w:pPr>
              <w:keepNext w:val="0"/>
              <w:keepLines w:val="0"/>
              <w:widowControl/>
              <w:suppressLineNumbers w:val="0"/>
              <w:snapToGrid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】本品为丝状，常缠绕成团，二歧分枝，基部分枝少，末梢细如丝。表面黄白色、灰绿色或黄绿色，有明显的环状裂纹，拉之略能伸长，并露出强韧的白色线状的中轴。体轻，质柔软气微，味淡而微苦涩。</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8CE54">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2DBD23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7B51A">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53 </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8DD72">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檀香</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F1858">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57707">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6BF21">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320 </w:t>
            </w:r>
          </w:p>
        </w:tc>
        <w:tc>
          <w:tcPr>
            <w:tcW w:w="4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8F06A">
            <w:pPr>
              <w:keepNext w:val="0"/>
              <w:keepLines w:val="0"/>
              <w:widowControl/>
              <w:suppressLineNumbers w:val="0"/>
              <w:snapToGrid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为长短不一的圆柱形木段，有的略弯曲，一般长约1m，直径10～30cm。外表面灰黄色或黄褐色，光滑细腻，有的具疤节或纵裂，横截面呈棕黄色，显油迹；棕色年轮明显或不明显，纵向劈开纹理顺直。质坚实，不易折断。气清香，燃烧时香气更浓；味淡，嚼之微有辛辣感。</w:t>
            </w:r>
            <w:r>
              <w:rPr>
                <w:rFonts w:hint="eastAsia" w:ascii="微软雅黑" w:hAnsi="微软雅黑" w:eastAsia="微软雅黑" w:cs="微软雅黑"/>
                <w:b/>
                <w:bCs/>
                <w:i w:val="0"/>
                <w:iCs w:val="0"/>
                <w:color w:val="auto"/>
                <w:kern w:val="0"/>
                <w:sz w:val="21"/>
                <w:szCs w:val="21"/>
                <w:highlight w:val="none"/>
                <w:u w:val="none"/>
                <w:lang w:val="en-US" w:eastAsia="zh-CN" w:bidi="ar"/>
              </w:rPr>
              <w:t>（提供样品以及提供第三方机构出具的检测报告）</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8B56D">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p>
        </w:tc>
      </w:tr>
      <w:tr w14:paraId="5AF555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12F44">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54 </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28EB6">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天山堇菜</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EE2B0">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C1855">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98522">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60 </w:t>
            </w:r>
          </w:p>
        </w:tc>
        <w:tc>
          <w:tcPr>
            <w:tcW w:w="4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58CC7">
            <w:pPr>
              <w:keepNext w:val="0"/>
              <w:keepLines w:val="0"/>
              <w:widowControl/>
              <w:suppressLineNumbers w:val="0"/>
              <w:snapToGrid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主根较粗壮，圆锥形。表面浅褐色至灰白色，有不规则的纵皱纹。根茎具环纹及叶柄残基。叶皱缩，多破碎，完整叶湿润展开后呈匙形或椭圆形，灰绿色，顶端钝圆，基部楔形，下延，有长柄。花灰蓝色，萼片5.披针形，花瓣5.倒卵形，两侧对称，灰蓝色。气微芳香，味微苦辛。</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741DC">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237285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355D9">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55 </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0A2E7">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人工天竺黄</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3E9DD">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DD29A">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B5F93">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50 </w:t>
            </w:r>
          </w:p>
        </w:tc>
        <w:tc>
          <w:tcPr>
            <w:tcW w:w="4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CE41B">
            <w:pPr>
              <w:keepNext w:val="0"/>
              <w:keepLines w:val="0"/>
              <w:widowControl/>
              <w:suppressLineNumbers w:val="0"/>
              <w:snapToGrid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本品为不规则的片块或颗粒，大小不一。表面灰蓝色、灰黄色或灰白色，有的洁白色，半透明，略带光泽。体轻，质硬而脆，易破碎，吸湿性强。气微，味淡。</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80B59">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234984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F2C3D">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56 </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986E2">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甜瓜子</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83716">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AF79F">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ADD8C">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35 </w:t>
            </w:r>
          </w:p>
        </w:tc>
        <w:tc>
          <w:tcPr>
            <w:tcW w:w="4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376D9">
            <w:pPr>
              <w:keepNext w:val="0"/>
              <w:keepLines w:val="0"/>
              <w:widowControl/>
              <w:suppressLineNumbers w:val="0"/>
              <w:snapToGrid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本品呈扁平长卵形，长5～9mm，宽2～4mm。表面黄白色、浅棕红色或棕黄色，平滑，微有光泽。一端稍尖，另端钝圆。种皮较硬而脆，内有膜质胚乳和子叶2片。气微，味淡。</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7AB8A">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19457E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1897A">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57 </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16288">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铁落</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B4549">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F7B78">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F80CE">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165 </w:t>
            </w:r>
          </w:p>
        </w:tc>
        <w:tc>
          <w:tcPr>
            <w:tcW w:w="4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7B9F7">
            <w:pPr>
              <w:keepNext w:val="0"/>
              <w:keepLines w:val="0"/>
              <w:widowControl/>
              <w:suppressLineNumbers w:val="0"/>
              <w:snapToGrid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本品为不规则的小片或碎粒，大小不一。表面深黑色，有金属光泽。体重。质坚而脆，易折断。气微，无臭，味淡。</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F2A30">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66AB41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EAE09">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58 </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7B309">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铁线蕨</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04BAA">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0B137">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14C1D">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42 </w:t>
            </w:r>
          </w:p>
        </w:tc>
        <w:tc>
          <w:tcPr>
            <w:tcW w:w="4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84F97">
            <w:pPr>
              <w:keepNext w:val="0"/>
              <w:keepLines w:val="0"/>
              <w:widowControl/>
              <w:suppressLineNumbers w:val="0"/>
              <w:snapToGrid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长15~40cm。根茎横生，密被棕色披针形鳞片及较疏纤细须根。叶近生，一至三回羽状复叶,叶柄长9~15cm,棕褐色，稍有光泽。羽片及小羽片均为互生，微皱缩，展平后呈扇形或倒三角形，长0.5~lem,灰绿色或棕黄色，顶端圆形或略平，有细齿，基部短楔形，叶脉细。羽片及小羽片均有细柄。可育羽片有孢子囊群1~2枚，矩圆形，棕色，膜质。气微，味淡。</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AF70A">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1AE168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C0A8E">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59 </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E18D4">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菟丝草</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069D2">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43391">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8DF9E">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45 </w:t>
            </w:r>
          </w:p>
        </w:tc>
        <w:tc>
          <w:tcPr>
            <w:tcW w:w="4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F3DED">
            <w:pPr>
              <w:keepNext w:val="0"/>
              <w:keepLines w:val="0"/>
              <w:widowControl/>
              <w:suppressLineNumbers w:val="0"/>
              <w:snapToGrid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本品茎多缠绕成团，棕黄色，柔细。叶退化成鳞片状，多脱落。花簇生于茎节，成球形。常有圆形或扁球形的果实，棕黄色。气微，味苦。</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353A5">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70DE31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6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6E7DE">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60 </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2CC82">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菟丝子</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B59AB">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5F52E">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716A9">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40 </w:t>
            </w:r>
          </w:p>
        </w:tc>
        <w:tc>
          <w:tcPr>
            <w:tcW w:w="47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B47FF">
            <w:pPr>
              <w:keepNext w:val="0"/>
              <w:keepLines w:val="0"/>
              <w:widowControl/>
              <w:suppressLineNumbers w:val="0"/>
              <w:snapToGrid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本品呈类球形，直径1～2mm。表面灰棕色至棕褐色，粗糙，种脐线形或扁圆形。质坚实，不易以指甲压碎。气微，味淡。</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22DA9">
            <w:pPr>
              <w:keepNext w:val="0"/>
              <w:keepLines w:val="0"/>
              <w:widowControl/>
              <w:suppressLineNumbers w:val="0"/>
              <w:snapToGrid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bl>
    <w:p w14:paraId="7BD062BA">
      <w:pPr>
        <w:rPr>
          <w:rStyle w:val="48"/>
          <w:rFonts w:hint="eastAsia" w:ascii="微软雅黑" w:hAnsi="微软雅黑" w:eastAsia="微软雅黑" w:cs="微软雅黑"/>
          <w:color w:val="auto"/>
          <w:sz w:val="28"/>
          <w:szCs w:val="28"/>
          <w:highlight w:val="none"/>
          <w:lang w:eastAsia="zh-CN"/>
        </w:rPr>
      </w:pPr>
      <w:bookmarkStart w:id="1685" w:name="_Toc31323"/>
      <w:bookmarkStart w:id="1686" w:name="_Toc27421"/>
      <w:r>
        <w:rPr>
          <w:rStyle w:val="48"/>
          <w:rFonts w:hint="eastAsia" w:ascii="微软雅黑" w:hAnsi="微软雅黑" w:eastAsia="微软雅黑" w:cs="微软雅黑"/>
          <w:color w:val="auto"/>
          <w:sz w:val="28"/>
          <w:szCs w:val="28"/>
          <w:highlight w:val="none"/>
          <w:lang w:eastAsia="zh-CN"/>
        </w:rPr>
        <w:br w:type="page"/>
      </w:r>
    </w:p>
    <w:p w14:paraId="2C376B38">
      <w:pPr>
        <w:numPr>
          <w:ilvl w:val="0"/>
          <w:numId w:val="0"/>
        </w:numPr>
        <w:jc w:val="left"/>
        <w:outlineLvl w:val="2"/>
        <w:rPr>
          <w:rStyle w:val="48"/>
          <w:rFonts w:hint="eastAsia" w:ascii="微软雅黑" w:hAnsi="微软雅黑" w:eastAsia="微软雅黑" w:cs="微软雅黑"/>
          <w:color w:val="auto"/>
          <w:sz w:val="28"/>
          <w:szCs w:val="28"/>
          <w:highlight w:val="none"/>
          <w:lang w:eastAsia="zh-CN"/>
        </w:rPr>
      </w:pPr>
      <w:r>
        <w:rPr>
          <w:rStyle w:val="48"/>
          <w:rFonts w:hint="eastAsia" w:ascii="微软雅黑" w:hAnsi="微软雅黑" w:eastAsia="微软雅黑" w:cs="微软雅黑"/>
          <w:color w:val="auto"/>
          <w:sz w:val="28"/>
          <w:szCs w:val="28"/>
          <w:highlight w:val="none"/>
          <w:lang w:eastAsia="zh-CN"/>
        </w:rPr>
        <w:t>标项三：维吾尔医药饮片、中药饮片</w:t>
      </w:r>
      <w:bookmarkEnd w:id="1685"/>
      <w:bookmarkEnd w:id="1686"/>
    </w:p>
    <w:tbl>
      <w:tblPr>
        <w:tblStyle w:val="32"/>
        <w:tblpPr w:leftFromText="180" w:rightFromText="180" w:vertAnchor="text" w:horzAnchor="page" w:tblpX="828" w:tblpY="882"/>
        <w:tblOverlap w:val="never"/>
        <w:tblW w:w="1026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05"/>
        <w:gridCol w:w="848"/>
        <w:gridCol w:w="872"/>
        <w:gridCol w:w="895"/>
        <w:gridCol w:w="1025"/>
        <w:gridCol w:w="4895"/>
        <w:gridCol w:w="1020"/>
      </w:tblGrid>
      <w:tr w14:paraId="3E01D7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D9D47">
            <w:pPr>
              <w:keepNext w:val="0"/>
              <w:keepLines w:val="0"/>
              <w:widowControl/>
              <w:suppressLineNumbers w:val="0"/>
              <w:snapToGrid w:val="0"/>
              <w:jc w:val="center"/>
              <w:textAlignment w:val="center"/>
              <w:rPr>
                <w:rFonts w:hint="eastAsia" w:ascii="微软雅黑" w:hAnsi="微软雅黑" w:eastAsia="微软雅黑" w:cs="微软雅黑"/>
                <w:i w:val="0"/>
                <w:iCs w:val="0"/>
                <w:color w:val="auto"/>
                <w:kern w:val="0"/>
                <w:sz w:val="21"/>
                <w:szCs w:val="21"/>
                <w:highlight w:val="none"/>
                <w:u w:val="none"/>
                <w:lang w:val="en-US" w:eastAsia="zh-CN" w:bidi="ar"/>
              </w:rPr>
            </w:pPr>
            <w:r>
              <w:rPr>
                <w:rFonts w:hint="eastAsia" w:ascii="微软雅黑" w:hAnsi="微软雅黑" w:eastAsia="微软雅黑" w:cs="微软雅黑"/>
                <w:b/>
                <w:bCs/>
                <w:i w:val="0"/>
                <w:iCs w:val="0"/>
                <w:color w:val="auto"/>
                <w:kern w:val="0"/>
                <w:sz w:val="21"/>
                <w:szCs w:val="21"/>
                <w:highlight w:val="none"/>
                <w:u w:val="none"/>
                <w:lang w:val="en-US" w:eastAsia="zh-CN" w:bidi="ar"/>
              </w:rPr>
              <w:t>序号</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37822">
            <w:pPr>
              <w:keepNext w:val="0"/>
              <w:keepLines w:val="0"/>
              <w:widowControl/>
              <w:suppressLineNumbers w:val="0"/>
              <w:snapToGrid w:val="0"/>
              <w:jc w:val="center"/>
              <w:textAlignment w:val="center"/>
              <w:rPr>
                <w:rFonts w:hint="eastAsia" w:ascii="微软雅黑" w:hAnsi="微软雅黑" w:eastAsia="微软雅黑" w:cs="微软雅黑"/>
                <w:i w:val="0"/>
                <w:iCs w:val="0"/>
                <w:color w:val="auto"/>
                <w:kern w:val="0"/>
                <w:sz w:val="21"/>
                <w:szCs w:val="21"/>
                <w:highlight w:val="none"/>
                <w:u w:val="none"/>
                <w:lang w:val="en-US" w:eastAsia="zh-CN" w:bidi="ar"/>
              </w:rPr>
            </w:pPr>
            <w:r>
              <w:rPr>
                <w:rFonts w:hint="eastAsia" w:ascii="微软雅黑" w:hAnsi="微软雅黑" w:eastAsia="微软雅黑" w:cs="微软雅黑"/>
                <w:b/>
                <w:bCs/>
                <w:i w:val="0"/>
                <w:iCs w:val="0"/>
                <w:color w:val="auto"/>
                <w:kern w:val="0"/>
                <w:sz w:val="21"/>
                <w:szCs w:val="21"/>
                <w:highlight w:val="none"/>
                <w:u w:val="none"/>
                <w:lang w:val="en-US" w:eastAsia="zh-CN" w:bidi="ar"/>
              </w:rPr>
              <w:t>药品名称</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419DA">
            <w:pPr>
              <w:keepNext w:val="0"/>
              <w:keepLines w:val="0"/>
              <w:widowControl/>
              <w:suppressLineNumbers w:val="0"/>
              <w:snapToGrid w:val="0"/>
              <w:jc w:val="center"/>
              <w:textAlignment w:val="center"/>
              <w:rPr>
                <w:rFonts w:hint="eastAsia" w:ascii="微软雅黑" w:hAnsi="微软雅黑" w:eastAsia="微软雅黑" w:cs="微软雅黑"/>
                <w:i w:val="0"/>
                <w:iCs w:val="0"/>
                <w:color w:val="auto"/>
                <w:kern w:val="0"/>
                <w:sz w:val="21"/>
                <w:szCs w:val="21"/>
                <w:highlight w:val="none"/>
                <w:u w:val="none"/>
                <w:lang w:val="en-US" w:eastAsia="zh-CN" w:bidi="ar"/>
              </w:rPr>
            </w:pPr>
            <w:r>
              <w:rPr>
                <w:rFonts w:hint="eastAsia" w:ascii="微软雅黑" w:hAnsi="微软雅黑" w:eastAsia="微软雅黑" w:cs="微软雅黑"/>
                <w:b/>
                <w:bCs/>
                <w:i w:val="0"/>
                <w:iCs w:val="0"/>
                <w:color w:val="auto"/>
                <w:kern w:val="0"/>
                <w:sz w:val="21"/>
                <w:szCs w:val="21"/>
                <w:highlight w:val="none"/>
                <w:u w:val="none"/>
                <w:lang w:val="en-US" w:eastAsia="zh-CN" w:bidi="ar"/>
              </w:rPr>
              <w:t>规格</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BB183">
            <w:pPr>
              <w:keepNext w:val="0"/>
              <w:keepLines w:val="0"/>
              <w:widowControl/>
              <w:suppressLineNumbers w:val="0"/>
              <w:snapToGrid w:val="0"/>
              <w:jc w:val="center"/>
              <w:textAlignment w:val="center"/>
              <w:rPr>
                <w:rFonts w:hint="eastAsia" w:ascii="微软雅黑" w:hAnsi="微软雅黑" w:eastAsia="微软雅黑" w:cs="微软雅黑"/>
                <w:i w:val="0"/>
                <w:iCs w:val="0"/>
                <w:color w:val="auto"/>
                <w:kern w:val="0"/>
                <w:sz w:val="21"/>
                <w:szCs w:val="21"/>
                <w:highlight w:val="none"/>
                <w:u w:val="none"/>
                <w:lang w:val="en-US" w:eastAsia="zh-CN" w:bidi="ar"/>
              </w:rPr>
            </w:pPr>
            <w:r>
              <w:rPr>
                <w:rFonts w:hint="eastAsia" w:ascii="微软雅黑" w:hAnsi="微软雅黑" w:eastAsia="微软雅黑" w:cs="微软雅黑"/>
                <w:b/>
                <w:bCs/>
                <w:i w:val="0"/>
                <w:iCs w:val="0"/>
                <w:color w:val="auto"/>
                <w:kern w:val="0"/>
                <w:sz w:val="21"/>
                <w:szCs w:val="21"/>
                <w:highlight w:val="none"/>
                <w:u w:val="none"/>
                <w:lang w:val="en-US" w:eastAsia="zh-CN" w:bidi="ar"/>
              </w:rPr>
              <w:t>单位</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1BF22">
            <w:pPr>
              <w:keepNext w:val="0"/>
              <w:keepLines w:val="0"/>
              <w:widowControl/>
              <w:suppressLineNumbers w:val="0"/>
              <w:snapToGrid w:val="0"/>
              <w:jc w:val="center"/>
              <w:textAlignment w:val="center"/>
              <w:rPr>
                <w:rFonts w:hint="eastAsia" w:ascii="微软雅黑" w:hAnsi="微软雅黑" w:eastAsia="微软雅黑" w:cs="微软雅黑"/>
                <w:i w:val="0"/>
                <w:iCs w:val="0"/>
                <w:color w:val="auto"/>
                <w:kern w:val="0"/>
                <w:sz w:val="21"/>
                <w:szCs w:val="21"/>
                <w:highlight w:val="none"/>
                <w:u w:val="none"/>
                <w:lang w:val="en-US" w:eastAsia="zh-CN" w:bidi="ar"/>
              </w:rPr>
            </w:pPr>
            <w:r>
              <w:rPr>
                <w:rFonts w:hint="eastAsia" w:ascii="微软雅黑" w:hAnsi="微软雅黑" w:eastAsia="微软雅黑" w:cs="微软雅黑"/>
                <w:b/>
                <w:bCs/>
                <w:i w:val="0"/>
                <w:iCs w:val="0"/>
                <w:color w:val="auto"/>
                <w:kern w:val="0"/>
                <w:sz w:val="21"/>
                <w:szCs w:val="21"/>
                <w:highlight w:val="none"/>
                <w:u w:val="none"/>
                <w:lang w:val="en-US" w:eastAsia="zh-CN" w:bidi="ar"/>
              </w:rPr>
              <w:t>预算单价（元）</w:t>
            </w:r>
          </w:p>
        </w:tc>
        <w:tc>
          <w:tcPr>
            <w:tcW w:w="4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5D4DF">
            <w:pPr>
              <w:keepNext w:val="0"/>
              <w:keepLines w:val="0"/>
              <w:widowControl/>
              <w:suppressLineNumbers w:val="0"/>
              <w:snapToGrid w:val="0"/>
              <w:jc w:val="center"/>
              <w:textAlignment w:val="center"/>
              <w:rPr>
                <w:rFonts w:hint="eastAsia" w:ascii="微软雅黑" w:hAnsi="微软雅黑" w:eastAsia="微软雅黑" w:cs="微软雅黑"/>
                <w:i w:val="0"/>
                <w:iCs w:val="0"/>
                <w:color w:val="auto"/>
                <w:kern w:val="0"/>
                <w:sz w:val="21"/>
                <w:szCs w:val="21"/>
                <w:highlight w:val="none"/>
                <w:u w:val="none"/>
                <w:lang w:val="en-US" w:eastAsia="zh-CN" w:bidi="ar"/>
              </w:rPr>
            </w:pPr>
            <w:r>
              <w:rPr>
                <w:rFonts w:hint="eastAsia" w:ascii="微软雅黑" w:hAnsi="微软雅黑" w:eastAsia="微软雅黑" w:cs="微软雅黑"/>
                <w:b/>
                <w:bCs/>
                <w:i w:val="0"/>
                <w:iCs w:val="0"/>
                <w:color w:val="auto"/>
                <w:kern w:val="0"/>
                <w:sz w:val="21"/>
                <w:szCs w:val="21"/>
                <w:highlight w:val="none"/>
                <w:u w:val="none"/>
                <w:lang w:val="en-US" w:eastAsia="zh-CN" w:bidi="ar"/>
              </w:rPr>
              <w:t>药品参数</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D4B63">
            <w:pPr>
              <w:keepNext w:val="0"/>
              <w:keepLines w:val="0"/>
              <w:widowControl/>
              <w:suppressLineNumbers w:val="0"/>
              <w:snapToGrid w:val="0"/>
              <w:jc w:val="center"/>
              <w:textAlignment w:val="center"/>
              <w:rPr>
                <w:rFonts w:hint="eastAsia" w:ascii="微软雅黑" w:hAnsi="微软雅黑" w:eastAsia="微软雅黑" w:cs="微软雅黑"/>
                <w:i w:val="0"/>
                <w:iCs w:val="0"/>
                <w:color w:val="auto"/>
                <w:kern w:val="0"/>
                <w:sz w:val="21"/>
                <w:szCs w:val="21"/>
                <w:highlight w:val="none"/>
                <w:u w:val="none"/>
                <w:lang w:val="en-US" w:eastAsia="zh-CN" w:bidi="ar"/>
              </w:rPr>
            </w:pPr>
            <w:r>
              <w:rPr>
                <w:rFonts w:hint="eastAsia" w:ascii="微软雅黑" w:hAnsi="微软雅黑" w:eastAsia="微软雅黑" w:cs="微软雅黑"/>
                <w:b/>
                <w:bCs/>
                <w:i w:val="0"/>
                <w:iCs w:val="0"/>
                <w:color w:val="auto"/>
                <w:kern w:val="0"/>
                <w:sz w:val="21"/>
                <w:szCs w:val="21"/>
                <w:highlight w:val="none"/>
                <w:u w:val="none"/>
                <w:lang w:val="en-US" w:eastAsia="zh-CN" w:bidi="ar"/>
              </w:rPr>
              <w:t>备注</w:t>
            </w:r>
          </w:p>
        </w:tc>
      </w:tr>
      <w:tr w14:paraId="2174B2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85304">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1 </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565DD">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莴苣子</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075D6">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AE36A">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7682E">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40 </w:t>
            </w:r>
          </w:p>
        </w:tc>
        <w:tc>
          <w:tcPr>
            <w:tcW w:w="4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2890F">
            <w:pPr>
              <w:keepNext w:val="0"/>
              <w:keepLines w:val="0"/>
              <w:widowControl/>
              <w:suppressLineNumbers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果实呈长椭圆形或倒狭卵形而扁，先端钝圆，底端渐尖，长约2~3mm。外表灰白色、棕褐色至黑褐色。瘦果的每面具6~9条纵棱肋。用手擦下外皮，揉碎或研成粉末即成细毛状，除去外皮后可见棕色的种子，富油性。气微，味微甘辛。</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71EE7">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241204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2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5D6A3">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2 </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283A7">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乌梅</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BD92A">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55E4A">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1682E">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30 </w:t>
            </w:r>
          </w:p>
        </w:tc>
        <w:tc>
          <w:tcPr>
            <w:tcW w:w="4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339B6">
            <w:pPr>
              <w:keepNext w:val="0"/>
              <w:keepLines w:val="0"/>
              <w:widowControl/>
              <w:suppressLineNumbers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本品呈类球形或扁球形，直径1.5～3cm。表面乌黑色或棕黑色，皱缩不平，基部有圆形果梗痕。果核坚硬，椭圆形，棕黄色，表面有凹点；种子扁卵形，淡黄色。气微，味极酸。</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010E2">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提供检验报告单、不要熏制</w:t>
            </w:r>
          </w:p>
        </w:tc>
      </w:tr>
      <w:tr w14:paraId="693FF5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22FBC">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3 </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18A46">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乌梢蛇</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AE908">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48729">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83EA2">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446 </w:t>
            </w:r>
          </w:p>
        </w:tc>
        <w:tc>
          <w:tcPr>
            <w:tcW w:w="4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65DBB">
            <w:pPr>
              <w:keepNext w:val="0"/>
              <w:keepLines w:val="0"/>
              <w:widowControl/>
              <w:suppressLineNumbers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呈圆盘状，盘径约16cm。表面黑褐色或绿黑色，密被菱形鳞片；背鳞行数成双，背中央2～4行鳞片强烈起棱，形成两条纵贯全体的黑线。头盘在中间，扁圆形，眼大而下凹陷，有光泽。上唇鳞8枚，第4、5枚入眶，颊鳞1枚，眼前下鳞1枚，较小，眼后鳞2枚。脊部高耸成屋脊状。腹部剖开边缘向内卷曲，脊肌肉厚，黄白色或淡棕色，可见排列整齐的肋骨。尾部渐细而长，尾下鳞双行。剥皮者仅留头尾之皮鳞，中段较光滑。气腥，味淡。</w:t>
            </w:r>
            <w:r>
              <w:rPr>
                <w:rFonts w:hint="eastAsia" w:ascii="微软雅黑" w:hAnsi="微软雅黑" w:eastAsia="微软雅黑" w:cs="微软雅黑"/>
                <w:b/>
                <w:bCs/>
                <w:i w:val="0"/>
                <w:iCs w:val="0"/>
                <w:color w:val="auto"/>
                <w:kern w:val="0"/>
                <w:sz w:val="21"/>
                <w:szCs w:val="21"/>
                <w:highlight w:val="none"/>
                <w:u w:val="none"/>
                <w:lang w:val="en-US" w:eastAsia="zh-CN" w:bidi="ar"/>
              </w:rPr>
              <w:t>（提供样品以及提供第三方机构出具的检测报告）</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9C1EC">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p>
        </w:tc>
      </w:tr>
      <w:tr w14:paraId="41E052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AD585">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4 </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02358">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无花果</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2C451">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CCED4">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FBA58">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43 </w:t>
            </w:r>
          </w:p>
        </w:tc>
        <w:tc>
          <w:tcPr>
            <w:tcW w:w="4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7FA5E">
            <w:pPr>
              <w:keepNext w:val="0"/>
              <w:keepLines w:val="0"/>
              <w:widowControl/>
              <w:suppressLineNumbers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多呈扁圆形，有的呈类圆形、梨状或挤压成不规则形，直径2.5~4.5cm，厚0.5~3cm。上端中央有脐状凸起，并有孔隙;下端亦微凸起，有托梗相连，基部有3枚三角形伏贴的苞片或托梗脱落及苞片的残痕。表面淡黄棕色至暗紫褐色，有10余条微隆起的纵皱和脉纹，加糖者皱纹不明显。切面黄白色、肉红色或黄棕色，肉壁着生众多卵圆形黄棕色小瘦果，果长1~2mm，以及枯萎的小花。质柔软。气微，嚼之微甜而有黏滑感。</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1EA6C">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01F805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05942">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5 </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6275F">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西红花</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772E1">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lang w:eastAsia="zh-CN"/>
              </w:rPr>
            </w:pPr>
            <w:r>
              <w:rPr>
                <w:rFonts w:hint="eastAsia" w:ascii="微软雅黑" w:hAnsi="微软雅黑" w:eastAsia="微软雅黑" w:cs="微软雅黑"/>
                <w:i w:val="0"/>
                <w:iCs w:val="0"/>
                <w:color w:val="auto"/>
                <w:sz w:val="21"/>
                <w:szCs w:val="21"/>
                <w:highlight w:val="none"/>
                <w:u w:val="none"/>
                <w:lang w:eastAsia="zh-CN"/>
              </w:rPr>
              <w:t>克</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29181">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g</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CC4A7">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8 </w:t>
            </w:r>
          </w:p>
        </w:tc>
        <w:tc>
          <w:tcPr>
            <w:tcW w:w="4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24C21">
            <w:pPr>
              <w:keepNext w:val="0"/>
              <w:keepLines w:val="0"/>
              <w:widowControl/>
              <w:suppressLineNumbers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呈线形，单独或三枚柱头连于一枚花柱上，长约2～3.5cm，略弯曲，下端易断。暗红色，上部较宽而略扁平，顶端边缘显不整齐的齿状，内侧有一短裂隙，下端有时残留一小段黄色花柱。体轻，质松软，无油润光泽，干燥后质脆易断。气特异，微有刺激性，味微苦。</w:t>
            </w:r>
            <w:r>
              <w:rPr>
                <w:rFonts w:hint="eastAsia" w:ascii="微软雅黑" w:hAnsi="微软雅黑" w:eastAsia="微软雅黑" w:cs="微软雅黑"/>
                <w:b/>
                <w:bCs/>
                <w:i w:val="0"/>
                <w:iCs w:val="0"/>
                <w:color w:val="auto"/>
                <w:kern w:val="0"/>
                <w:sz w:val="21"/>
                <w:szCs w:val="21"/>
                <w:highlight w:val="none"/>
                <w:u w:val="none"/>
                <w:lang w:val="en-US" w:eastAsia="zh-CN" w:bidi="ar"/>
              </w:rPr>
              <w:t>（提供样品以及提供第三方机构出具的检测报告）</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C3F9D">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p>
        </w:tc>
      </w:tr>
      <w:tr w14:paraId="36109D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2413E">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6 </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F38F1">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西青果</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70391">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2FB3F">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C323E">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39 </w:t>
            </w:r>
          </w:p>
        </w:tc>
        <w:tc>
          <w:tcPr>
            <w:tcW w:w="4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3D4E2">
            <w:pPr>
              <w:keepNext w:val="0"/>
              <w:keepLines w:val="0"/>
              <w:widowControl/>
              <w:suppressLineNumbers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呈长卵形，略扁，长1.5～3cm，直径0.5～1.2cm。表面黑褐色，具有明显的纵皱纹，一端较大，另一端略小，钝尖，下部有果梗痕。质坚硬。断面褐色，有胶质样光泽，果核不明显，常有空心，小者黑褐色，无空心。气微，味苦涩，微甘。</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A19A0">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371A43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6AC5A">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7 </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0E0FB">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细辛</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AB3AB">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E4951">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20495">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480 </w:t>
            </w:r>
          </w:p>
        </w:tc>
        <w:tc>
          <w:tcPr>
            <w:tcW w:w="4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230E4">
            <w:pPr>
              <w:keepNext w:val="0"/>
              <w:keepLines w:val="0"/>
              <w:widowControl/>
              <w:suppressLineNumbers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北细辛　常卷曲成团。根茎横生呈不规则圆柱状，具短分枝，长1～10cm，直径0.2～0.4cm；表面灰棕色，粗糙，有环形的节，节间长0.2～0.3cm，分枝顶端有碗状的茎痕。根细长，密生节上，长10～20cm，直径0.1cm；表面灰黄色，平滑或具纵皱纹；有须根和须根痕；质脆，易折断，断面平坦，黄白色或白色。气辛香，味辛辣、麻舌。</w:t>
            </w:r>
            <w:r>
              <w:rPr>
                <w:rFonts w:hint="eastAsia" w:ascii="微软雅黑" w:hAnsi="微软雅黑" w:eastAsia="微软雅黑" w:cs="微软雅黑"/>
                <w:i w:val="0"/>
                <w:iCs w:val="0"/>
                <w:color w:val="auto"/>
                <w:kern w:val="0"/>
                <w:sz w:val="21"/>
                <w:szCs w:val="21"/>
                <w:highlight w:val="none"/>
                <w:u w:val="none"/>
                <w:lang w:val="en-US" w:eastAsia="zh-CN" w:bidi="ar"/>
              </w:rPr>
              <w:br w:type="textWrapping"/>
            </w:r>
            <w:r>
              <w:rPr>
                <w:rFonts w:hint="eastAsia" w:ascii="微软雅黑" w:hAnsi="微软雅黑" w:eastAsia="微软雅黑" w:cs="微软雅黑"/>
                <w:i w:val="0"/>
                <w:iCs w:val="0"/>
                <w:color w:val="auto"/>
                <w:kern w:val="0"/>
                <w:sz w:val="21"/>
                <w:szCs w:val="21"/>
                <w:highlight w:val="none"/>
                <w:u w:val="none"/>
                <w:lang w:val="en-US" w:eastAsia="zh-CN" w:bidi="ar"/>
              </w:rPr>
              <w:br w:type="textWrapping"/>
            </w:r>
            <w:r>
              <w:rPr>
                <w:rFonts w:hint="eastAsia" w:ascii="微软雅黑" w:hAnsi="微软雅黑" w:eastAsia="微软雅黑" w:cs="微软雅黑"/>
                <w:i w:val="0"/>
                <w:iCs w:val="0"/>
                <w:color w:val="auto"/>
                <w:kern w:val="0"/>
                <w:sz w:val="21"/>
                <w:szCs w:val="21"/>
                <w:highlight w:val="none"/>
                <w:u w:val="none"/>
                <w:lang w:val="en-US" w:eastAsia="zh-CN" w:bidi="ar"/>
              </w:rPr>
              <w:t>汉城细辛　根茎直径0.1～0.5cm，节间长0.1～1cm。</w:t>
            </w:r>
            <w:r>
              <w:rPr>
                <w:rFonts w:hint="eastAsia" w:ascii="微软雅黑" w:hAnsi="微软雅黑" w:eastAsia="微软雅黑" w:cs="微软雅黑"/>
                <w:i w:val="0"/>
                <w:iCs w:val="0"/>
                <w:color w:val="auto"/>
                <w:kern w:val="0"/>
                <w:sz w:val="21"/>
                <w:szCs w:val="21"/>
                <w:highlight w:val="none"/>
                <w:u w:val="none"/>
                <w:lang w:val="en-US" w:eastAsia="zh-CN" w:bidi="ar"/>
              </w:rPr>
              <w:br w:type="textWrapping"/>
            </w:r>
            <w:r>
              <w:rPr>
                <w:rFonts w:hint="eastAsia" w:ascii="微软雅黑" w:hAnsi="微软雅黑" w:eastAsia="微软雅黑" w:cs="微软雅黑"/>
                <w:i w:val="0"/>
                <w:iCs w:val="0"/>
                <w:color w:val="auto"/>
                <w:kern w:val="0"/>
                <w:sz w:val="21"/>
                <w:szCs w:val="21"/>
                <w:highlight w:val="none"/>
                <w:u w:val="none"/>
                <w:lang w:val="en-US" w:eastAsia="zh-CN" w:bidi="ar"/>
              </w:rPr>
              <w:br w:type="textWrapping"/>
            </w:r>
            <w:r>
              <w:rPr>
                <w:rFonts w:hint="eastAsia" w:ascii="微软雅黑" w:hAnsi="微软雅黑" w:eastAsia="微软雅黑" w:cs="微软雅黑"/>
                <w:i w:val="0"/>
                <w:iCs w:val="0"/>
                <w:color w:val="auto"/>
                <w:kern w:val="0"/>
                <w:sz w:val="21"/>
                <w:szCs w:val="21"/>
                <w:highlight w:val="none"/>
                <w:u w:val="none"/>
                <w:lang w:val="en-US" w:eastAsia="zh-CN" w:bidi="ar"/>
              </w:rPr>
              <w:t>华细辛　根茎长5～20cm，直径0.1～0.2cm，节间长0.2～1cm。气味较弱。</w:t>
            </w:r>
            <w:r>
              <w:rPr>
                <w:rFonts w:hint="eastAsia" w:ascii="微软雅黑" w:hAnsi="微软雅黑" w:eastAsia="微软雅黑" w:cs="微软雅黑"/>
                <w:b/>
                <w:bCs/>
                <w:i w:val="0"/>
                <w:iCs w:val="0"/>
                <w:color w:val="auto"/>
                <w:kern w:val="0"/>
                <w:sz w:val="21"/>
                <w:szCs w:val="21"/>
                <w:highlight w:val="none"/>
                <w:u w:val="none"/>
                <w:lang w:val="en-US" w:eastAsia="zh-CN" w:bidi="ar"/>
              </w:rPr>
              <w:t>（提供样品以及提供第三方机构出具的检测报告）</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C6BF3">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p>
        </w:tc>
      </w:tr>
      <w:tr w14:paraId="1CD56D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5995A">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8 </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6B42E">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香附</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2E9E5">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E789F">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C7E73">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20 </w:t>
            </w:r>
          </w:p>
        </w:tc>
        <w:tc>
          <w:tcPr>
            <w:tcW w:w="4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0B44F">
            <w:pPr>
              <w:keepNext w:val="0"/>
              <w:keepLines w:val="0"/>
              <w:widowControl/>
              <w:suppressLineNumbers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多呈纺锤形，有的略弯曲，长2～3.5cm，直径0.5～1cm。表面棕褐色或黑褐色，有纵皱纹，并有6～10个略隆起的环节，节上有未除净的棕色毛须和须根断痕；去净毛须者较光滑，环节不明显。质硬，经蒸煮者断面黄棕色或红棕色，角质样；生晒者断面色白而显粉性，内皮层环纹明显，中柱色较深，点状维管束散在。气香，味微苦。</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AF550">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636C84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4DDC5">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9 </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871DE">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香青兰</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522B9">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1B028">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0FA3F">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13 </w:t>
            </w:r>
          </w:p>
        </w:tc>
        <w:tc>
          <w:tcPr>
            <w:tcW w:w="4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D13D7">
            <w:pPr>
              <w:keepNext w:val="0"/>
              <w:keepLines w:val="0"/>
              <w:widowControl/>
              <w:suppressLineNumbers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呈短段，茎方形，四棱。表面黄绿色或紫红色。被倒向疏柔毛，体轻，质泡，折断面白色，中空。叶对生，有柄，多脱落或破碎;完整者披针形或狭披针形，长2~5cm,边缘有三角形锯齿，基部2齿常具芒刺，两面叶脉疏被细毛，叶背面有凹陷的棕色腺点。轮伞花序顶生，苞片长圆形，每侧有3~4个长刺齿，背面有腺点;花萼简状，长约lcm，有纵向纹理，先端5齿裂，齿间具疣状突起，花多萎缩，蓝紫色。气清香，味微苦</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5C756">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300FE2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CBD09">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10 </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61A72">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香桃木果</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0E411">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0A8E3">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6D16B">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134 </w:t>
            </w:r>
          </w:p>
        </w:tc>
        <w:tc>
          <w:tcPr>
            <w:tcW w:w="4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D4F1A">
            <w:pPr>
              <w:keepNext w:val="0"/>
              <w:keepLines w:val="0"/>
              <w:widowControl/>
              <w:suppressLineNumbers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呈矩圆形或卵形，长5~9mm，直径4~6mm。成熟果实表面紫褐色或棕红色，嫩者淡黄棕色。顶端有5裂宿存萼片，下端有圆点状果柄痕，有时可见残留的细果柄，柄长1~1.5cm。果皮薄而脆,外表皱缩，易破碎。切开后可见2~3室(罕见4室),每室具种子2~3枚，白色，肾形，光滑。气微香,味微酸甜而辛。</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D3D59">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7BBA20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3839E">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11 </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36596">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小檗果</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16B86">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F63CE">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B31F7">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110 </w:t>
            </w:r>
          </w:p>
        </w:tc>
        <w:tc>
          <w:tcPr>
            <w:tcW w:w="4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BE9F9">
            <w:pPr>
              <w:keepNext w:val="0"/>
              <w:keepLines w:val="0"/>
              <w:widowControl/>
              <w:suppressLineNumbers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呈广卵形、椭圆形或近球形，长7~12mm,宽5~8mm。外表面光滑或微显皱缩，紫黑色，常被灰白色粉霜。果皮薄而脆，极易破碎，破碎面紫黑色。有时可见果柄，长约5mm,果柄着生处可见种子3-6粒，棕褐色，先端稍弯曲，底端钝圆，长约5mm,光滑。气微，味微酸。</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55372">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037819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F3AD2">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12 </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1735D">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小豆蔻</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BEB93">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21B3F">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F8472">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340 </w:t>
            </w:r>
          </w:p>
        </w:tc>
        <w:tc>
          <w:tcPr>
            <w:tcW w:w="4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BA1C5">
            <w:pPr>
              <w:keepNext w:val="0"/>
              <w:keepLines w:val="0"/>
              <w:widowControl/>
              <w:suppressLineNumbers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呈长卵圆形，两端尖,具三钝棱，长10~20mm,直径5~10mm。表面淡棕色至灰白色，有细密的纵纹，顶端有突起的柱基，基部有凹人的果柄痕，果皮质韧，不易开裂。子房3室,中轴胎座，每室含种子5~9粒。种子呈长卵形或3~4面形,长3~4mm.厚约3mm，表面淡橙色或暗红棕色，背面微隆起，腹面有沟纹，外被无色薄膜状假种皮。断面白色。气芳香而浓烈，味辣、微苦。</w:t>
            </w:r>
            <w:r>
              <w:rPr>
                <w:rFonts w:hint="eastAsia" w:ascii="微软雅黑" w:hAnsi="微软雅黑" w:eastAsia="微软雅黑" w:cs="微软雅黑"/>
                <w:b/>
                <w:bCs/>
                <w:i w:val="0"/>
                <w:iCs w:val="0"/>
                <w:color w:val="auto"/>
                <w:kern w:val="0"/>
                <w:sz w:val="21"/>
                <w:szCs w:val="21"/>
                <w:highlight w:val="none"/>
                <w:u w:val="none"/>
                <w:lang w:val="en-US" w:eastAsia="zh-CN" w:bidi="ar"/>
              </w:rPr>
              <w:t>（提供样品以及提供第三方机构出具的检测报告）</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0C889">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p>
        </w:tc>
      </w:tr>
      <w:tr w14:paraId="371B05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09274">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13 </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B9083">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小茴香</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937EA">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395D4">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E71B5">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18 </w:t>
            </w:r>
          </w:p>
        </w:tc>
        <w:tc>
          <w:tcPr>
            <w:tcW w:w="4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40C40">
            <w:pPr>
              <w:keepNext w:val="0"/>
              <w:keepLines w:val="0"/>
              <w:widowControl/>
              <w:suppressLineNumbers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为双悬果，呈圆柱形，有的稍弯曲，长4～8mm，直径1.5～2.5mm。表面黄绿色或淡黄色，两端略尖，顶端残留有黄棕色突起的柱基，基部有时有细小的果梗。分果呈长椭圆形，背面有纵棱5条，接合面平坦而较宽。横切面略呈五边形，背面的四边约等长。有特异香气，味微甜、辛。</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4BB64">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05B44D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D919E">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14 </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B1F37">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甜杏仁</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56080">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5CE50">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25A3A">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45 </w:t>
            </w:r>
          </w:p>
        </w:tc>
        <w:tc>
          <w:tcPr>
            <w:tcW w:w="4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05035">
            <w:pPr>
              <w:keepNext w:val="0"/>
              <w:keepLines w:val="0"/>
              <w:widowControl/>
              <w:suppressLineNumbers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本品呈扁心形，表面黄棕色至深棕色，一端尖，另端钝圆，肥厚，左右不对成。尖端一侧有短线形种脐，圆端合点处向上具多数深棕色的脉纹。种皮薄。子叶2，乳白色，富油性。气微，味甜。</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4B902">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提供检验报告单、真空包装完以后送货</w:t>
            </w:r>
          </w:p>
        </w:tc>
      </w:tr>
      <w:tr w14:paraId="22A329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301BD">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15 </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6D515">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薰鲁香</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23C7B">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4FCB9">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4E93A">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230 </w:t>
            </w:r>
          </w:p>
        </w:tc>
        <w:tc>
          <w:tcPr>
            <w:tcW w:w="4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4032B">
            <w:pPr>
              <w:keepNext w:val="0"/>
              <w:keepLines w:val="0"/>
              <w:widowControl/>
              <w:suppressLineNumbers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本品呈泪滴状或卵圆形，直径3~8mm。新鲜品外表近于无色，有光泽，半透明，质脆，断面透明，玻璃样;陈旧者灰黄色而无光泽，质脆，破碎面呈贝壳状，有玻璃样光泽。气微芳香，味苦。</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6D877">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136F93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B5926">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16 </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C76F9">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薰衣草</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7BCE7">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9D441">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08F87">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58 </w:t>
            </w:r>
          </w:p>
        </w:tc>
        <w:tc>
          <w:tcPr>
            <w:tcW w:w="4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5569C">
            <w:pPr>
              <w:keepNext w:val="0"/>
              <w:keepLines w:val="0"/>
              <w:widowControl/>
              <w:suppressLineNumbers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本品茎方形，密被白色茸毛，折断面淡黄白色或灰白色，有时可见中央有细小的空腔。轮伞花序生于枝的上部，花萼二唇形，筒状，长约5mm,具5齿，其中1齿特肥大;花二唇形,蓝色,长6~10mm。气芳香,味辛凉。</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B8F39">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3A04E3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DD003">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17 </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0CAE4">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羊脂</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ED276">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FAC97">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593C0">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20 </w:t>
            </w:r>
          </w:p>
        </w:tc>
        <w:tc>
          <w:tcPr>
            <w:tcW w:w="4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85189">
            <w:pPr>
              <w:keepNext w:val="0"/>
              <w:keepLines w:val="0"/>
              <w:widowControl/>
              <w:suppressLineNumbers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】本品呈不规则块状，大小不等，表面墨绿或绿色，而透闪石色较浅，常由乳白或浅绿，具有玻璃光泽。透明或半透明，质坚韧而不易压碎。</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FE4DF">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153DA2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9ECF3">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18 </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51B1C">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洋甘菊</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08103">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4D3CC">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C90D1">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70 </w:t>
            </w:r>
          </w:p>
        </w:tc>
        <w:tc>
          <w:tcPr>
            <w:tcW w:w="4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C9CB2">
            <w:pPr>
              <w:keepNext w:val="0"/>
              <w:keepLines w:val="0"/>
              <w:widowControl/>
              <w:suppressLineNumbers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茎枝细弱，具纵棱，直径1~2mm。绿色至红褐色。总苞呈半圆形,2层，边缘宽膜质，长卵形，内外层均绿，外层苞片具绒毛。花托呈圆锥形，宽1.5~2mm。花异形，边花舌状，雌性。花瓣宽卵形，白色，宽2mm.先端浅裂。中央花两性，管状，黄色，顶端4~5齿裂。气芳香，味苦。</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9ED2D">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5DAF79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8007E">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19 </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14339">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药西瓜</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5CA2F">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10597">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2D418">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70 </w:t>
            </w:r>
          </w:p>
        </w:tc>
        <w:tc>
          <w:tcPr>
            <w:tcW w:w="4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DFA54">
            <w:pPr>
              <w:keepNext w:val="0"/>
              <w:keepLines w:val="0"/>
              <w:widowControl/>
              <w:suppressLineNumbers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厚片状。表面黄色、浅黄色至类黄白色，无毛。果皮薄，皱缩，顶端有残存的柱基，另一端有果梗残迹。中果皮内果皮干缩成空腔状。心皮结合处的胎座肥厚，干时呈海绵状，其上有多数种子。种子扁卵形，长5~6mm,棕黄色，略有光泽。种皮较硬，内有灰白色子叶。质轻脆而易碎。味极苦。</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D8512">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63D00A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7654C">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20 </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E584D">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银箔</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DDA3B">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片</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4F035">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片</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EB67F">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1 </w:t>
            </w:r>
          </w:p>
        </w:tc>
        <w:tc>
          <w:tcPr>
            <w:tcW w:w="4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2C1BD">
            <w:pPr>
              <w:keepNext w:val="0"/>
              <w:keepLines w:val="0"/>
              <w:widowControl/>
              <w:suppressLineNumbers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本品呈正方形的薄片状，多夹于面积相同的薄纸层中。银白色，表面平坦，具微细皱纹，有较强的金属光泽，不透明。质薄，易皱折而破裂。气微，味淡。</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F4C8D">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2FFD06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BA55C">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21 </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FD111">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余甘子</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1DE1D">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22637">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C73AA">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18 </w:t>
            </w:r>
          </w:p>
        </w:tc>
        <w:tc>
          <w:tcPr>
            <w:tcW w:w="4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4683E">
            <w:pPr>
              <w:keepNext w:val="0"/>
              <w:keepLines w:val="0"/>
              <w:widowControl/>
              <w:suppressLineNumbers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呈球形或扁球形，直径1.2～2cm。表面棕褐色或墨绿色，有浅黄色颗粒状突起，具皱纹及不明显的6棱，果梗长约1mm。外果皮厚1～4mm，质硬而脆。内果皮黄白色，硬核样，表面略具6棱，背缝线的偏上部有数条筋脉纹，干后可裂成6瓣，种子6，近三棱形，棕色。气微，味酸涩，回甜。</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96C20">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5CA24E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867C7">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22 </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41CA0">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玉竹</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685F5">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1167B">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573FD">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62 </w:t>
            </w:r>
          </w:p>
        </w:tc>
        <w:tc>
          <w:tcPr>
            <w:tcW w:w="4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8B40B">
            <w:pPr>
              <w:keepNext w:val="0"/>
              <w:keepLines w:val="0"/>
              <w:widowControl/>
              <w:suppressLineNumbers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呈长圆柱形，略扁，少有分枝，长4～18cm，直径0.3～1.6cm。表面黄白色或淡黄棕色，有的半透明，具纵皱纹和微隆起的环节，有白色圆点状的须根痕和圆盘状茎痕。质硬而脆或稍软，易折断，断面角质样或显颗粒性。气微，味甘，嚼之发黏。</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55F3D">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1D7A07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5EB86">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23 </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73CF0">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郁金</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03A23">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3150C">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917E0">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30 </w:t>
            </w:r>
          </w:p>
        </w:tc>
        <w:tc>
          <w:tcPr>
            <w:tcW w:w="4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775A1">
            <w:pPr>
              <w:keepNext w:val="0"/>
              <w:keepLines w:val="0"/>
              <w:widowControl/>
              <w:suppressLineNumbers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温郁金　呈长圆形或卵圆形，稍扁，有的微弯曲，两端渐尖，长2.5～8.5cm，直径1～2.5cm。表面灰褐色或灰棕色，具不规则的纵皱纹，纵纹隆起处色较浅。质坚实，断面灰棕色至灰褐色，角质样；内皮层环明显。气微香，味微苦。</w:t>
            </w:r>
            <w:r>
              <w:rPr>
                <w:rFonts w:hint="eastAsia" w:ascii="微软雅黑" w:hAnsi="微软雅黑" w:eastAsia="微软雅黑" w:cs="微软雅黑"/>
                <w:i w:val="0"/>
                <w:iCs w:val="0"/>
                <w:color w:val="auto"/>
                <w:kern w:val="0"/>
                <w:sz w:val="21"/>
                <w:szCs w:val="21"/>
                <w:highlight w:val="none"/>
                <w:u w:val="none"/>
                <w:lang w:val="en-US" w:eastAsia="zh-CN" w:bidi="ar"/>
              </w:rPr>
              <w:br w:type="textWrapping"/>
            </w:r>
            <w:r>
              <w:rPr>
                <w:rFonts w:hint="eastAsia" w:ascii="微软雅黑" w:hAnsi="微软雅黑" w:eastAsia="微软雅黑" w:cs="微软雅黑"/>
                <w:i w:val="0"/>
                <w:iCs w:val="0"/>
                <w:color w:val="auto"/>
                <w:kern w:val="0"/>
                <w:sz w:val="21"/>
                <w:szCs w:val="21"/>
                <w:highlight w:val="none"/>
                <w:u w:val="none"/>
                <w:lang w:val="en-US" w:eastAsia="zh-CN" w:bidi="ar"/>
              </w:rPr>
              <w:br w:type="textWrapping"/>
            </w:r>
            <w:r>
              <w:rPr>
                <w:rFonts w:hint="eastAsia" w:ascii="微软雅黑" w:hAnsi="微软雅黑" w:eastAsia="微软雅黑" w:cs="微软雅黑"/>
                <w:i w:val="0"/>
                <w:iCs w:val="0"/>
                <w:color w:val="auto"/>
                <w:kern w:val="0"/>
                <w:sz w:val="21"/>
                <w:szCs w:val="21"/>
                <w:highlight w:val="none"/>
                <w:u w:val="none"/>
                <w:lang w:val="en-US" w:eastAsia="zh-CN" w:bidi="ar"/>
              </w:rPr>
              <w:t>黄丝郁金　呈纺锤形，有的稍扁，有的一端细长，长2～5.5cm，直径0.5～1.5cm。表面棕灰色或灰黄色，具细皱纹。断面橙黄色，外周棕黄色至棕红色。气芳香，味辛辣。</w:t>
            </w:r>
            <w:r>
              <w:rPr>
                <w:rFonts w:hint="eastAsia" w:ascii="微软雅黑" w:hAnsi="微软雅黑" w:eastAsia="微软雅黑" w:cs="微软雅黑"/>
                <w:i w:val="0"/>
                <w:iCs w:val="0"/>
                <w:color w:val="auto"/>
                <w:kern w:val="0"/>
                <w:sz w:val="21"/>
                <w:szCs w:val="21"/>
                <w:highlight w:val="none"/>
                <w:u w:val="none"/>
                <w:lang w:val="en-US" w:eastAsia="zh-CN" w:bidi="ar"/>
              </w:rPr>
              <w:br w:type="textWrapping"/>
            </w:r>
            <w:r>
              <w:rPr>
                <w:rFonts w:hint="eastAsia" w:ascii="微软雅黑" w:hAnsi="微软雅黑" w:eastAsia="微软雅黑" w:cs="微软雅黑"/>
                <w:i w:val="0"/>
                <w:iCs w:val="0"/>
                <w:color w:val="auto"/>
                <w:kern w:val="0"/>
                <w:sz w:val="21"/>
                <w:szCs w:val="21"/>
                <w:highlight w:val="none"/>
                <w:u w:val="none"/>
                <w:lang w:val="en-US" w:eastAsia="zh-CN" w:bidi="ar"/>
              </w:rPr>
              <w:br w:type="textWrapping"/>
            </w:r>
            <w:r>
              <w:rPr>
                <w:rFonts w:hint="eastAsia" w:ascii="微软雅黑" w:hAnsi="微软雅黑" w:eastAsia="微软雅黑" w:cs="微软雅黑"/>
                <w:i w:val="0"/>
                <w:iCs w:val="0"/>
                <w:color w:val="auto"/>
                <w:kern w:val="0"/>
                <w:sz w:val="21"/>
                <w:szCs w:val="21"/>
                <w:highlight w:val="none"/>
                <w:u w:val="none"/>
                <w:lang w:val="en-US" w:eastAsia="zh-CN" w:bidi="ar"/>
              </w:rPr>
              <w:t>桂郁金　呈长圆锥形或长圆形，长2～6.5cm，直径1～2cm。表面淡棕色至棕色或红棕色，具疏浅纵纹或较粗糙网状皱纹。断面淡棕色至棕色或呈棕褐色，角质样或半角质样。气微，味微辛、苦。</w:t>
            </w:r>
            <w:r>
              <w:rPr>
                <w:rFonts w:hint="eastAsia" w:ascii="微软雅黑" w:hAnsi="微软雅黑" w:eastAsia="微软雅黑" w:cs="微软雅黑"/>
                <w:i w:val="0"/>
                <w:iCs w:val="0"/>
                <w:color w:val="auto"/>
                <w:kern w:val="0"/>
                <w:sz w:val="21"/>
                <w:szCs w:val="21"/>
                <w:highlight w:val="none"/>
                <w:u w:val="none"/>
                <w:lang w:val="en-US" w:eastAsia="zh-CN" w:bidi="ar"/>
              </w:rPr>
              <w:br w:type="textWrapping"/>
            </w:r>
            <w:r>
              <w:rPr>
                <w:rFonts w:hint="eastAsia" w:ascii="微软雅黑" w:hAnsi="微软雅黑" w:eastAsia="微软雅黑" w:cs="微软雅黑"/>
                <w:i w:val="0"/>
                <w:iCs w:val="0"/>
                <w:color w:val="auto"/>
                <w:kern w:val="0"/>
                <w:sz w:val="21"/>
                <w:szCs w:val="21"/>
                <w:highlight w:val="none"/>
                <w:u w:val="none"/>
                <w:lang w:val="en-US" w:eastAsia="zh-CN" w:bidi="ar"/>
              </w:rPr>
              <w:br w:type="textWrapping"/>
            </w:r>
            <w:r>
              <w:rPr>
                <w:rFonts w:hint="eastAsia" w:ascii="微软雅黑" w:hAnsi="微软雅黑" w:eastAsia="微软雅黑" w:cs="微软雅黑"/>
                <w:i w:val="0"/>
                <w:iCs w:val="0"/>
                <w:color w:val="auto"/>
                <w:kern w:val="0"/>
                <w:sz w:val="21"/>
                <w:szCs w:val="21"/>
                <w:highlight w:val="none"/>
                <w:u w:val="none"/>
                <w:lang w:val="en-US" w:eastAsia="zh-CN" w:bidi="ar"/>
              </w:rPr>
              <w:t>绿丝郁金　呈长椭圆形，有的稍扁，较粗壮，长1.5～4cm，直径1～1.5cm。表面灰色或灰黑色，具皱纹。断面棕色至棕褐色或显灰黑色，角质样或半角质样。气微，味淡。</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A3945">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7CACE1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571B8">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24 </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B570C">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芫荽子</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6B015">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58EEA">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F29F8">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20 </w:t>
            </w:r>
          </w:p>
        </w:tc>
        <w:tc>
          <w:tcPr>
            <w:tcW w:w="4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11031">
            <w:pPr>
              <w:keepNext w:val="0"/>
              <w:keepLines w:val="0"/>
              <w:widowControl/>
              <w:suppressLineNumbers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芫荽子 本品为双悬果，呈圆球形或卵圆形，直径3~5mm,表面淡黄棕色或黄棕色,有不甚明显的波状初生肋线10条和较为明显的纵直次生肋线10条，两者相间排列。顶端可见极短的柱头残基，多分裂为二，周围有5枚萼片痕。基部钝圆，可见小果柄或果柄痕。分果半圆形，背面隆起，有波状的初生肋线5条及次生纵直肋线4条，接合面中央下凹，具3条纵行的棱线，中央较粗，两侧呈弧形,有的可见果柄。质坚硬。气芳香,味微辛、麻。</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CE5F3">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406AD9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AB007">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25 </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AAF6D">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蚤状车前子</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FF641">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891F0">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BF0AC">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50 </w:t>
            </w:r>
          </w:p>
        </w:tc>
        <w:tc>
          <w:tcPr>
            <w:tcW w:w="4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BBC5C">
            <w:pPr>
              <w:keepNext w:val="0"/>
              <w:keepLines w:val="0"/>
              <w:widowControl/>
              <w:suppressLineNumbers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呈舟状椭圆形，长2~3mm,宽1~1.5mm。表面黄棕色至棕褐色，常覆盖有灰白色膜状物，背面隆起，中央有一纵向狭长棕色色带，腹面凹陷成纵沟，沟底呈棕褐色。沟底近中央处有一椭圆形种脐，色更深，两端钝圆而渐狭，靠近较宽一端腹面有圆点状珠孔。气微，味淡。</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E75DA">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31D0B7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4E9F5">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26 </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2AA41">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珍珠</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C9B35">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1F40D">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7340D">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343 </w:t>
            </w:r>
          </w:p>
        </w:tc>
        <w:tc>
          <w:tcPr>
            <w:tcW w:w="4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7EF5C">
            <w:pPr>
              <w:keepNext w:val="0"/>
              <w:keepLines w:val="0"/>
              <w:widowControl/>
              <w:suppressLineNumbers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本品呈类球形、长圆形、卵圆形或棒形，直径1.5～8mm。表面类白色、浅粉红色、浅黄绿色或浅蓝色，半透明，光滑或微有凹凸，具特有的彩色光泽。质坚硬，破碎面显层纹。气微，味淡。</w:t>
            </w:r>
            <w:r>
              <w:rPr>
                <w:rFonts w:hint="eastAsia" w:ascii="微软雅黑" w:hAnsi="微软雅黑" w:eastAsia="微软雅黑" w:cs="微软雅黑"/>
                <w:b/>
                <w:bCs/>
                <w:i w:val="0"/>
                <w:iCs w:val="0"/>
                <w:color w:val="auto"/>
                <w:kern w:val="0"/>
                <w:sz w:val="21"/>
                <w:szCs w:val="21"/>
                <w:highlight w:val="none"/>
                <w:u w:val="none"/>
                <w:lang w:val="en-US" w:eastAsia="zh-CN" w:bidi="ar"/>
              </w:rPr>
              <w:t>（提供样品以及提供第三方机构出具的检测报告）</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B1C10">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p>
        </w:tc>
      </w:tr>
      <w:tr w14:paraId="7DB769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DD635">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27 </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3F1A7">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珍珠粉</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676B5">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6DD54">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C749D">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198 </w:t>
            </w:r>
          </w:p>
        </w:tc>
        <w:tc>
          <w:tcPr>
            <w:tcW w:w="4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9AD29">
            <w:pPr>
              <w:keepNext w:val="0"/>
              <w:keepLines w:val="0"/>
              <w:widowControl/>
              <w:suppressLineNumbers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本品呈类球形、长圆形、卵圆形或棒形，直径1.5～8mm。表面类白色、浅粉红色、浅黄绿色或浅蓝色，半透明，光滑或微有凹凸，具特有的彩色光泽。质坚硬，破碎面显层纹。气微，味淡。</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1E118">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611BF9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3BB53">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28 </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F5B08">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珍珠母</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8CC50">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DE7A7">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BEFB0">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35 </w:t>
            </w:r>
          </w:p>
        </w:tc>
        <w:tc>
          <w:tcPr>
            <w:tcW w:w="4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810EF">
            <w:pPr>
              <w:keepNext w:val="0"/>
              <w:keepLines w:val="0"/>
              <w:widowControl/>
              <w:suppressLineNumbers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本品呈类球形、长圆形、卵圆形或棒形，直径1.5～8mm。表面类白色、浅粉红色、浅黄绿色或浅蓝色，半透明，光滑或微有凹凸，具特有的彩色光泽。质坚硬，破碎面显层纹。气微，味淡。</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ACD99">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54B3C4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5948A">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29 </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FA36F">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栀子</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B67C1">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DF980">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ABC9F">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55 </w:t>
            </w:r>
          </w:p>
        </w:tc>
        <w:tc>
          <w:tcPr>
            <w:tcW w:w="4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19E70">
            <w:pPr>
              <w:keepNext w:val="0"/>
              <w:keepLines w:val="0"/>
              <w:widowControl/>
              <w:suppressLineNumbers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品呈长卵圆形或椭圆形，长1.5～3.5cm，直径1～1.5cm。表面红黄色或棕红色，具5～8条翅状纵棱，棱间常有1条明显的纵脉纹，并有分枝。顶端残存萼片，基部稍尖，有残留果梗。果皮薄而脆，略有光泽；内表面色较浅，有光泽，具2～3条隆起的假隔膜。种子多数，扁卵圆形，集结成团，深红色或红黄色，表面密具细小疣状突起。气微，味微酸而苦。</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55BB9">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278C79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9CC04">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30 </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C1FBB">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制白附子</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F66BD">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92722">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691D7">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95 </w:t>
            </w:r>
          </w:p>
        </w:tc>
        <w:tc>
          <w:tcPr>
            <w:tcW w:w="4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24159">
            <w:pPr>
              <w:keepNext w:val="0"/>
              <w:keepLines w:val="0"/>
              <w:widowControl/>
              <w:suppressLineNumbers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 本品为类圆形或椭圆形厚片。外表皮淡棕色。切面黄白色，角质。味淡，微有麻舌感。</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FF873">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180F5F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C839E">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31 </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91E49">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制马钱子</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35292">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B86D5">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E4A40">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120 </w:t>
            </w:r>
          </w:p>
        </w:tc>
        <w:tc>
          <w:tcPr>
            <w:tcW w:w="4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E4B17">
            <w:pPr>
              <w:keepNext w:val="0"/>
              <w:keepLines w:val="0"/>
              <w:widowControl/>
              <w:suppressLineNumbers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 本品呈纽扣状圆板形，常一面隆起，一面稍凹下，直径1.5~3cm，厚0.3~0.6cm。表面密被灰棕色或灰绿色绢状茸毛，自中间向四周呈辐射状排列，有丝样光泽。边缘稍隆起，较厚，有突起的珠孔，底面中心有突起的圆点状种脐。质坚硬，平行剖面可见淡黄白色胚乳，黄白色子叶圆形，边缘稍隆起，较厚，角质状。无臭，味苦。</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C0509">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22F424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B7B55">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32 </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3466B">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中亚白及</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0FA4D">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17575">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3E602">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1200 </w:t>
            </w:r>
          </w:p>
        </w:tc>
        <w:tc>
          <w:tcPr>
            <w:tcW w:w="4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2751F">
            <w:pPr>
              <w:keepNext w:val="0"/>
              <w:keepLines w:val="0"/>
              <w:widowControl/>
              <w:suppressLineNumbers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本品呈卵圆形，清类白色。味微淡，异气，有黏性，少数细皱纹，少数有须。</w:t>
            </w:r>
            <w:r>
              <w:rPr>
                <w:rFonts w:hint="eastAsia" w:ascii="微软雅黑" w:hAnsi="微软雅黑" w:eastAsia="微软雅黑" w:cs="微软雅黑"/>
                <w:b/>
                <w:bCs/>
                <w:i w:val="0"/>
                <w:iCs w:val="0"/>
                <w:color w:val="auto"/>
                <w:kern w:val="0"/>
                <w:sz w:val="21"/>
                <w:szCs w:val="21"/>
                <w:highlight w:val="none"/>
                <w:u w:val="none"/>
                <w:lang w:val="en-US" w:eastAsia="zh-CN" w:bidi="ar"/>
              </w:rPr>
              <w:t>（提供样品以及提供第三方机构出具的检测报告）</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2CE35">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p>
        </w:tc>
      </w:tr>
      <w:tr w14:paraId="371A8C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2F428">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33 </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59619">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孜然</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B8463">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DAC90">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C94C6">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36 </w:t>
            </w:r>
          </w:p>
        </w:tc>
        <w:tc>
          <w:tcPr>
            <w:tcW w:w="4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DA969">
            <w:pPr>
              <w:keepNext w:val="0"/>
              <w:keepLines w:val="0"/>
              <w:widowControl/>
              <w:suppressLineNumbers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孜然 果实细卵状长圆形，两端稍弯，略呈半月形。灰黄绿色、灰黄色或灰绿色。多以分果存在，分果具5条纵棱，具众多短毛。两侧稍扁压，长3~6mm，直径1~1.5mm,合面内凹，果棱5,主棱与副棱同形,侧向有短硬毛。花萼柱头宿存,锥状，具特异芳香。味微辛麻。以颗粒饱满，色灰绿黄者为佳。</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FF8F4">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419F2B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4BE6D">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34 </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E3C8D">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新疆紫草</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65A91">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832BF">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E2686">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600 </w:t>
            </w:r>
          </w:p>
        </w:tc>
        <w:tc>
          <w:tcPr>
            <w:tcW w:w="4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E02E9">
            <w:pPr>
              <w:keepNext w:val="0"/>
              <w:keepLines w:val="0"/>
              <w:widowControl/>
              <w:suppressLineNumbers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新疆紫草（软紫草）　呈不规则的长圆柱形，多扭曲，长7～20cm，直径1～2.5cm。表面紫红色或紫褐色，皮部疏松，呈条形片状，常10余层重叠，易剥落。顶端有的可见分歧的茎残基。体轻，质松软，易折断，断面不整齐，木部较小，黄白色或黄色。气特异，味微苦、涩。</w:t>
            </w:r>
            <w:r>
              <w:rPr>
                <w:rFonts w:hint="eastAsia" w:ascii="微软雅黑" w:hAnsi="微软雅黑" w:eastAsia="微软雅黑" w:cs="微软雅黑"/>
                <w:b/>
                <w:bCs/>
                <w:i w:val="0"/>
                <w:iCs w:val="0"/>
                <w:color w:val="auto"/>
                <w:kern w:val="0"/>
                <w:sz w:val="21"/>
                <w:szCs w:val="21"/>
                <w:highlight w:val="none"/>
                <w:u w:val="none"/>
                <w:lang w:val="en-US" w:eastAsia="zh-CN" w:bidi="ar"/>
              </w:rPr>
              <w:t>（提供样品以及提供第三方机构出具的检测报告）</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D0E89">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p>
        </w:tc>
      </w:tr>
      <w:tr w14:paraId="28D7B1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D3F0B">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35 </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32CA3">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紫苏子</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61455">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773BA">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FD6AA">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43 </w:t>
            </w:r>
          </w:p>
        </w:tc>
        <w:tc>
          <w:tcPr>
            <w:tcW w:w="4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920D4">
            <w:pPr>
              <w:keepNext w:val="0"/>
              <w:keepLines w:val="0"/>
              <w:widowControl/>
              <w:suppressLineNumbers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呈卵圆形或类球形，直径约1.5mm。表面灰棕色或灰褐色，有微隆起的暗紫色网纹，基部稍尖，有灰白色点状果梗痕。果皮薄而脆，易压碎。种子黄白色，种皮膜质，子叶2，类白色，有油性。压碎有香气，味微辛。</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6AAAE">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5E7EAE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28694">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36 </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E6C69">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紫檀香</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6F19A">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E5892">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2B66A">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55 </w:t>
            </w:r>
          </w:p>
        </w:tc>
        <w:tc>
          <w:tcPr>
            <w:tcW w:w="4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CE467">
            <w:pPr>
              <w:keepNext w:val="0"/>
              <w:keepLines w:val="0"/>
              <w:widowControl/>
              <w:suppressLineNumbers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本品为不规则的片或小碎块。红棕色，带绿色光泽;质致密而重,但易割断，其横断面可见巨大的孔点，纵切面成细条形。可见红色树脂状物，以水煮，不产生红色溶液，但易溶于乙醇中。气微香，味淡。</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32E86">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08F831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E9B7A">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37 </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BA745">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紫菀</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84828">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EE34B">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F195A">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205 </w:t>
            </w:r>
          </w:p>
        </w:tc>
        <w:tc>
          <w:tcPr>
            <w:tcW w:w="4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ABEDC">
            <w:pPr>
              <w:keepNext w:val="0"/>
              <w:keepLines w:val="0"/>
              <w:widowControl/>
              <w:suppressLineNumbers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本品根茎呈不规则块状，大小不一，顶端有茎、叶的残基；质稍硬。根茎簇生多数细根，长3～15cm，直径0.1～0.3cm，多编成辫状；表面紫红色或灰红色，有纵皱纹；质较柔韧。气微香，味甜、微苦。</w:t>
            </w:r>
            <w:r>
              <w:rPr>
                <w:rFonts w:hint="eastAsia" w:ascii="微软雅黑" w:hAnsi="微软雅黑" w:eastAsia="微软雅黑" w:cs="微软雅黑"/>
                <w:b/>
                <w:bCs/>
                <w:i w:val="0"/>
                <w:iCs w:val="0"/>
                <w:color w:val="auto"/>
                <w:kern w:val="0"/>
                <w:sz w:val="21"/>
                <w:szCs w:val="21"/>
                <w:highlight w:val="none"/>
                <w:u w:val="none"/>
                <w:lang w:val="en-US" w:eastAsia="zh-CN" w:bidi="ar"/>
              </w:rPr>
              <w:t>（提供样品以及提供第三方机构出具的检测报告）</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5252E">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p>
        </w:tc>
      </w:tr>
      <w:tr w14:paraId="64912B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67786">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38 </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E0F0C">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玫瑰花油</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78189">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50ml</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C9B1F">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瓶</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63184">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8 </w:t>
            </w:r>
          </w:p>
        </w:tc>
        <w:tc>
          <w:tcPr>
            <w:tcW w:w="4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D7BEE">
            <w:pPr>
              <w:keepNext w:val="0"/>
              <w:keepLines w:val="0"/>
              <w:widowControl/>
              <w:suppressLineNumbers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本品呈淡黄色的液体， 有淡淡的玫瑰花味儿。</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B4AA4">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627353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7AE4E">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39 </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22A74">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蜂蜜</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80134">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D5ADD">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B08F0">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20 </w:t>
            </w:r>
          </w:p>
        </w:tc>
        <w:tc>
          <w:tcPr>
            <w:tcW w:w="4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EFDDD">
            <w:pPr>
              <w:keepNext w:val="0"/>
              <w:keepLines w:val="0"/>
              <w:widowControl/>
              <w:suppressLineNumbers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本品为半透明、带光泽、浓稠的液体，白色至淡黄色或橘黄色至黄褐色，放久或遇冷渐有白色颗粒状结晶析出。气芳香，味极甜。</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C880F">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11A4DC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F4283">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40 </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90A23">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蜂蜜</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4DB65">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500g</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69E76">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瓶</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BCB99">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15 </w:t>
            </w:r>
          </w:p>
        </w:tc>
        <w:tc>
          <w:tcPr>
            <w:tcW w:w="4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579F2">
            <w:pPr>
              <w:keepNext w:val="0"/>
              <w:keepLines w:val="0"/>
              <w:widowControl/>
              <w:suppressLineNumbers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本品为半透明、带光泽、浓稠的液体，白色至淡黄色或橘黄色至黄褐色，放久或遇冷渐有白色颗粒状结晶析出。气芳香，味极甜。</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C6C91">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3491A6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44AAE">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41 </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DD678">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蜂蜜</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61A0F">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1000g</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285C3">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瓶</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B7637">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30 </w:t>
            </w:r>
          </w:p>
        </w:tc>
        <w:tc>
          <w:tcPr>
            <w:tcW w:w="4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0A998">
            <w:pPr>
              <w:keepNext w:val="0"/>
              <w:keepLines w:val="0"/>
              <w:widowControl/>
              <w:suppressLineNumbers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本品为半透明、带光泽、浓稠的液体，白色至淡黄色或橘黄色至黄褐色，放久或遇冷渐有白色颗粒状结晶析出。气芳香，味极甜。</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F4FEC">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3E2DC4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2A66B">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42 </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BC265">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八角茴香</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5362F">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A59B6">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9A886">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50 </w:t>
            </w:r>
          </w:p>
        </w:tc>
        <w:tc>
          <w:tcPr>
            <w:tcW w:w="4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DCA01">
            <w:pPr>
              <w:keepNext w:val="0"/>
              <w:keepLines w:val="0"/>
              <w:widowControl/>
              <w:suppressLineNumbers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为聚合果，多由8个蓇葖果组成，放射状排列于中轴上。蓇葖果长1～2cm，宽0.3～0.5cm，高0.6～1cm；外表面红棕色，有不规则皱纹，顶端呈鸟喙状，上侧多开裂；内表面淡棕色，平滑，有光泽；质硬而脆。果梗长3～4cm，连于果实基部中央，弯曲，常脱落。每个蓇葖果含种子1粒，扁卵圆形，长约6mm，红棕色或黄棕色，光亮，尖端有种脐；胚乳白色，富油性。气芳香，味辛、甜。</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DA844">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036FD7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C1D85">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43 </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DBD14">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白胡椒</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F22D2">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82B23">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DC849">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70 </w:t>
            </w:r>
          </w:p>
        </w:tc>
        <w:tc>
          <w:tcPr>
            <w:tcW w:w="4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99625">
            <w:pPr>
              <w:keepNext w:val="0"/>
              <w:keepLines w:val="0"/>
              <w:widowControl/>
              <w:suppressLineNumbers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表面灰白色或淡黄白色，平滑，顶端与基部间有多数浅色线状条纹</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5F692">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2331E4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91E13">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44 </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C6742">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白蜡树子</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B53D7">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23810">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44A56">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88 </w:t>
            </w:r>
          </w:p>
        </w:tc>
        <w:tc>
          <w:tcPr>
            <w:tcW w:w="4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676D1">
            <w:pPr>
              <w:keepNext w:val="0"/>
              <w:keepLines w:val="0"/>
              <w:widowControl/>
              <w:suppressLineNumbers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本品呈扁圆柱状,两端渐尖,长1.1~1.5cm,直径1.3~3.5mm。表面淡黄色、棕色至棕褐色，光滑，稍有纵细纹。气微，味淡、微苦。</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2D518">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593C3F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8563F">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45 </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B108E">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白芝麻</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D64CE">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80D05">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203C5">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25 </w:t>
            </w:r>
          </w:p>
        </w:tc>
        <w:tc>
          <w:tcPr>
            <w:tcW w:w="4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BE508">
            <w:pPr>
              <w:keepNext w:val="0"/>
              <w:keepLines w:val="0"/>
              <w:widowControl/>
              <w:suppressLineNumbers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本品呈扁卵圆形,长约3mm,宽约2mm。表面呈类白色，平滑或有网状皱纹。尖端有棕色点状种脐。种皮薄,子叶2,白色,富油性。气微,味甘,有油香气。</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B5C02">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3DED4E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C39C9">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46 </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3EA5C">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炒栀子</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8E5F1">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207AC">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2327E">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30 </w:t>
            </w:r>
          </w:p>
        </w:tc>
        <w:tc>
          <w:tcPr>
            <w:tcW w:w="4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08386">
            <w:pPr>
              <w:keepNext w:val="0"/>
              <w:keepLines w:val="0"/>
              <w:widowControl/>
              <w:suppressLineNumbers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本品呈不规则碎块状或细小颗粒，黄褐色，种子多数，扁卵圆形，红褐色或红黄色，表面密具细小疣状突起。具焦香气，味微酸而苦。</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04711">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2D39E9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08496">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47 </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E7372">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红豆杉</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E0A46">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C25EC">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3257C">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80 </w:t>
            </w:r>
          </w:p>
        </w:tc>
        <w:tc>
          <w:tcPr>
            <w:tcW w:w="4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3B5A7">
            <w:pPr>
              <w:keepNext w:val="0"/>
              <w:keepLines w:val="0"/>
              <w:widowControl/>
              <w:suppressLineNumbers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呈短段，二年生树枝表皮棕色，新的当年枝棕绿色，可见叶序排列的突起残茎，二年枝1~2mm，当年枝与二年枝几近等粗或略细。叶线形，通常较直，上下几乎等宽或上端稍渐狭，先端具凸起的尖头，基部两侧对称，长2~3cm,宽约1.5mm.主脉在背面隆起，边缘反曲。气芳香，味微苦涩。</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16C66">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582011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46574">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48 </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576D2">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芥子</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765A3">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1743E">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6F8DD">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20 </w:t>
            </w:r>
          </w:p>
        </w:tc>
        <w:tc>
          <w:tcPr>
            <w:tcW w:w="4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4DCBD">
            <w:pPr>
              <w:keepNext w:val="0"/>
              <w:keepLines w:val="0"/>
              <w:widowControl/>
              <w:suppressLineNumbers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白芥子　呈球形，直径1.5～2.5mm。表面灰白色至淡黄色，具细微的网纹，有明显的点状种脐。种皮薄而脆，破开后内有白色折叠的子叶，中间包有胚根，有油性。气微，味辛辣。</w:t>
            </w:r>
            <w:r>
              <w:rPr>
                <w:rFonts w:hint="eastAsia" w:ascii="微软雅黑" w:hAnsi="微软雅黑" w:eastAsia="微软雅黑" w:cs="微软雅黑"/>
                <w:i w:val="0"/>
                <w:iCs w:val="0"/>
                <w:color w:val="auto"/>
                <w:kern w:val="0"/>
                <w:sz w:val="21"/>
                <w:szCs w:val="21"/>
                <w:highlight w:val="none"/>
                <w:u w:val="none"/>
                <w:lang w:val="en-US" w:eastAsia="zh-CN" w:bidi="ar"/>
              </w:rPr>
              <w:br w:type="textWrapping"/>
            </w:r>
            <w:r>
              <w:rPr>
                <w:rFonts w:hint="eastAsia" w:ascii="微软雅黑" w:hAnsi="微软雅黑" w:eastAsia="微软雅黑" w:cs="微软雅黑"/>
                <w:i w:val="0"/>
                <w:iCs w:val="0"/>
                <w:color w:val="auto"/>
                <w:kern w:val="0"/>
                <w:sz w:val="21"/>
                <w:szCs w:val="21"/>
                <w:highlight w:val="none"/>
                <w:u w:val="none"/>
                <w:lang w:val="en-US" w:eastAsia="zh-CN" w:bidi="ar"/>
              </w:rPr>
              <w:br w:type="textWrapping"/>
            </w:r>
            <w:r>
              <w:rPr>
                <w:rFonts w:hint="eastAsia" w:ascii="微软雅黑" w:hAnsi="微软雅黑" w:eastAsia="微软雅黑" w:cs="微软雅黑"/>
                <w:i w:val="0"/>
                <w:iCs w:val="0"/>
                <w:color w:val="auto"/>
                <w:kern w:val="0"/>
                <w:sz w:val="21"/>
                <w:szCs w:val="21"/>
                <w:highlight w:val="none"/>
                <w:u w:val="none"/>
                <w:lang w:val="en-US" w:eastAsia="zh-CN" w:bidi="ar"/>
              </w:rPr>
              <w:t>黄芥子　较小，直径1～2mm。表面黄色至棕黄色，少数呈暗红棕色。研碎后加水浸湿，则产生辛烈的特异臭气。</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37D7D">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291EBC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65F55">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49 </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5F1E1">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没药</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3B70B">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65079">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62407">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120 </w:t>
            </w:r>
          </w:p>
        </w:tc>
        <w:tc>
          <w:tcPr>
            <w:tcW w:w="4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FC7F7">
            <w:pPr>
              <w:keepNext w:val="0"/>
              <w:keepLines w:val="0"/>
              <w:widowControl/>
              <w:suppressLineNumbers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天然没药　呈不规则颗粒性团块，大小不等，大者直径长达6cm以上。表面黄棕色或红棕色，近半透明，部分呈棕黑色，被有黄色粉尘。质坚脆，破碎面不整齐，无光泽。有特异香气，味苦而微辛。</w:t>
            </w:r>
            <w:r>
              <w:rPr>
                <w:rFonts w:hint="eastAsia" w:ascii="微软雅黑" w:hAnsi="微软雅黑" w:eastAsia="微软雅黑" w:cs="微软雅黑"/>
                <w:i w:val="0"/>
                <w:iCs w:val="0"/>
                <w:color w:val="auto"/>
                <w:kern w:val="0"/>
                <w:sz w:val="21"/>
                <w:szCs w:val="21"/>
                <w:highlight w:val="none"/>
                <w:u w:val="none"/>
                <w:lang w:val="en-US" w:eastAsia="zh-CN" w:bidi="ar"/>
              </w:rPr>
              <w:br w:type="textWrapping"/>
            </w:r>
            <w:r>
              <w:rPr>
                <w:rFonts w:hint="eastAsia" w:ascii="微软雅黑" w:hAnsi="微软雅黑" w:eastAsia="微软雅黑" w:cs="微软雅黑"/>
                <w:i w:val="0"/>
                <w:iCs w:val="0"/>
                <w:color w:val="auto"/>
                <w:kern w:val="0"/>
                <w:sz w:val="21"/>
                <w:szCs w:val="21"/>
                <w:highlight w:val="none"/>
                <w:u w:val="none"/>
                <w:lang w:val="en-US" w:eastAsia="zh-CN" w:bidi="ar"/>
              </w:rPr>
              <w:br w:type="textWrapping"/>
            </w:r>
            <w:r>
              <w:rPr>
                <w:rFonts w:hint="eastAsia" w:ascii="微软雅黑" w:hAnsi="微软雅黑" w:eastAsia="微软雅黑" w:cs="微软雅黑"/>
                <w:i w:val="0"/>
                <w:iCs w:val="0"/>
                <w:color w:val="auto"/>
                <w:kern w:val="0"/>
                <w:sz w:val="21"/>
                <w:szCs w:val="21"/>
                <w:highlight w:val="none"/>
                <w:u w:val="none"/>
                <w:lang w:val="en-US" w:eastAsia="zh-CN" w:bidi="ar"/>
              </w:rPr>
              <w:t>胶质没药　呈不规则块状和颗粒，多黏结成大小不等的团块，大者直径长达6cm以上，表面棕黄色至棕褐色，不透明，质坚实或疏松，有特异香气，味苦而有黏性。</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F5383">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106E31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905ED">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50 </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F442E">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没药枝</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0B1BA">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F5A7A">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672E0">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160 </w:t>
            </w:r>
          </w:p>
        </w:tc>
        <w:tc>
          <w:tcPr>
            <w:tcW w:w="4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C6EDF">
            <w:pPr>
              <w:keepNext w:val="0"/>
              <w:keepLines w:val="0"/>
              <w:widowControl/>
              <w:suppressLineNumbers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呈短段。皮薄，呈片状剥离，外层灰棕色至灰绿色，内层灰绿色至橄榄绿色。表面光滑或具纵皱，可见小枝痕及点状皮孔。质硬，切断面木质，黄白色至黄棕色，可见环纹及放射状纹理。小枝刺状，具3~5个刺状分枝。气香特异，味苦。</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4E072">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6F0150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FF70F">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51 </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D8783">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玫瑰花瓣</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FE428">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289FE">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1BB30">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90 </w:t>
            </w:r>
          </w:p>
        </w:tc>
        <w:tc>
          <w:tcPr>
            <w:tcW w:w="4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81270">
            <w:pPr>
              <w:keepNext w:val="0"/>
              <w:keepLines w:val="0"/>
              <w:widowControl/>
              <w:suppressLineNumbers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略呈倒卵形或扇形，多皱缩，上宽下窄，长0.8~2cm。底端具芒尖，黄色.上端宽呈浅紫红色至紫红色，花瓣表面可见从底向上延伸的放射状纹理和横向纹理，背面略呈凹凸状。体轻，质脆。气芳香浓郁，味微苦、涩。</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602C6">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3377DA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14E28">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52 </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CE8E4">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南瓜子</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7FA45">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B74E3">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F0010">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60 </w:t>
            </w:r>
          </w:p>
        </w:tc>
        <w:tc>
          <w:tcPr>
            <w:tcW w:w="4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E5472">
            <w:pPr>
              <w:keepNext w:val="0"/>
              <w:keepLines w:val="0"/>
              <w:widowControl/>
              <w:suppressLineNumbers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本品呈扁椭圆形，一端略尖。胚乳绿色菲薄，长1.2~2cm，宽0.7~1.2cm，有2枚黄色肥厚的子叶，子叶内含脂肪油，胚根小。气香，味微甘。</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28342">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6AC04A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C2CEE">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53 </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83DA2">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牛鞭</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CF52B">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4ADC3">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588E5">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250 </w:t>
            </w:r>
          </w:p>
        </w:tc>
        <w:tc>
          <w:tcPr>
            <w:tcW w:w="4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96D9E">
            <w:pPr>
              <w:keepNext w:val="0"/>
              <w:keepLines w:val="0"/>
              <w:widowControl/>
              <w:suppressLineNumbers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牛鞭片 本品为圆形片，表面红棕色至黄褐色，半透明或不透明。气微腥，味微咸。</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2E8F0">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042F4A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DBE70">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54 </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63163">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苹果</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6CD74">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4ED86">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65E9F">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15 </w:t>
            </w:r>
          </w:p>
        </w:tc>
        <w:tc>
          <w:tcPr>
            <w:tcW w:w="4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7F8D7">
            <w:pPr>
              <w:keepNext w:val="0"/>
              <w:keepLines w:val="0"/>
              <w:widowControl/>
              <w:suppressLineNumbers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梗短粗，剖面白色或黄白色。置空气中氧化渐变为棕色，果肉肥厚细腻，中心分隔5室，有种子5~10粒;气香，味酸甜。</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F5A93">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522538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EB5E8">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55 </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79659">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茜草</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AC0D9">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CC0D7">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37588">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105 </w:t>
            </w:r>
          </w:p>
        </w:tc>
        <w:tc>
          <w:tcPr>
            <w:tcW w:w="4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5EAD4">
            <w:pPr>
              <w:keepNext w:val="0"/>
              <w:keepLines w:val="0"/>
              <w:widowControl/>
              <w:suppressLineNumbers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根茎呈结节状，丛生粗细不等的根。根呈圆柱形，略弯曲，长10～25cm，直径0.2～1cm；表面红棕色或暗棕色，具细纵皱纹和少数细根痕；皮部脱落处呈黄红色。质脆，易折断，断面平坦皮部狭，紫红色，木部宽广，浅黄红色，导管孔多数。气微，味微苦，久嚼刺舌。</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7C6F7">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40F4CB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34BD1">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56 </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12DD6">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肉苁蓉</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65101">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66764">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E3D81">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120 </w:t>
            </w:r>
          </w:p>
        </w:tc>
        <w:tc>
          <w:tcPr>
            <w:tcW w:w="4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8A2D9">
            <w:pPr>
              <w:keepNext w:val="0"/>
              <w:keepLines w:val="0"/>
              <w:widowControl/>
              <w:suppressLineNumbers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肉苁蓉　呈扁圆柱形，稍弯曲，长3～15cm，直径2～8cm。表面棕褐色或灰棕色，密被覆瓦状排列的肉质鳞叶，通常鳞叶先端已断。体重，质硬，微有柔性，不易折断，断面棕褐色，有淡棕色点状维管束，排列成波状环纹。气微，味甜、微苦。</w:t>
            </w:r>
            <w:r>
              <w:rPr>
                <w:rFonts w:hint="eastAsia" w:ascii="微软雅黑" w:hAnsi="微软雅黑" w:eastAsia="微软雅黑" w:cs="微软雅黑"/>
                <w:i w:val="0"/>
                <w:iCs w:val="0"/>
                <w:color w:val="auto"/>
                <w:kern w:val="0"/>
                <w:sz w:val="21"/>
                <w:szCs w:val="21"/>
                <w:highlight w:val="none"/>
                <w:u w:val="none"/>
                <w:lang w:val="en-US" w:eastAsia="zh-CN" w:bidi="ar"/>
              </w:rPr>
              <w:br w:type="textWrapping"/>
            </w:r>
            <w:r>
              <w:rPr>
                <w:rFonts w:hint="eastAsia" w:ascii="微软雅黑" w:hAnsi="微软雅黑" w:eastAsia="微软雅黑" w:cs="微软雅黑"/>
                <w:i w:val="0"/>
                <w:iCs w:val="0"/>
                <w:color w:val="auto"/>
                <w:kern w:val="0"/>
                <w:sz w:val="21"/>
                <w:szCs w:val="21"/>
                <w:highlight w:val="none"/>
                <w:u w:val="none"/>
                <w:lang w:val="en-US" w:eastAsia="zh-CN" w:bidi="ar"/>
              </w:rPr>
              <w:br w:type="textWrapping"/>
            </w:r>
            <w:r>
              <w:rPr>
                <w:rFonts w:hint="eastAsia" w:ascii="微软雅黑" w:hAnsi="微软雅黑" w:eastAsia="微软雅黑" w:cs="微软雅黑"/>
                <w:i w:val="0"/>
                <w:iCs w:val="0"/>
                <w:color w:val="auto"/>
                <w:kern w:val="0"/>
                <w:sz w:val="21"/>
                <w:szCs w:val="21"/>
                <w:highlight w:val="none"/>
                <w:u w:val="none"/>
                <w:lang w:val="en-US" w:eastAsia="zh-CN" w:bidi="ar"/>
              </w:rPr>
              <w:t>管花肉苁蓉　呈类纺锤形、扁纺锤形或扁柱形，稍弯曲，长5～25cm，直径2.5～9cm。表面棕褐色至黑褐色。断面颗粒状，灰棕色至灰褐色，散生点状维管束。</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824A8">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63B638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F7841">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57 </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4FF5B">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肉桂子</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7F15E">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84640">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5A297">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90 </w:t>
            </w:r>
          </w:p>
        </w:tc>
        <w:tc>
          <w:tcPr>
            <w:tcW w:w="4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4BA3A">
            <w:pPr>
              <w:keepNext w:val="0"/>
              <w:keepLines w:val="0"/>
              <w:widowControl/>
              <w:suppressLineNumbers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呈槽状或卷筒状，长30～40cm，宽或直径3～10cm，厚0.2～0.8cm。外表面灰棕色，稍粗糙，有不规则的细皱纹和横向突起的皮孔，有的可见灰白色的斑纹；内表面红棕色，略平坦，有细纵纹，划之显油痕。质硬而脆，易折断，断面不平坦，外层棕色而较粗糙，内层红棕色而油润，两层间有1条黄棕色的线纹。气香浓烈，味甜、辣。</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4056B">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15A41D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10592">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58 </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3E2A6">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乳香</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1F808">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A0C8E">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1D910">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89 </w:t>
            </w:r>
          </w:p>
        </w:tc>
        <w:tc>
          <w:tcPr>
            <w:tcW w:w="4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D1DE2">
            <w:pPr>
              <w:keepNext w:val="0"/>
              <w:keepLines w:val="0"/>
              <w:widowControl/>
              <w:suppressLineNumbers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呈长卵形滴乳状、类圆形颗粒或粘合成大小不等的不规则块状物。大者长达2cm（乳香珠）或5cm（原乳香）。表面黄白色，半透明，被有黄白色粉末，久存则颜色加深。质脆，遇热软化。破碎面有玻璃样或蜡样光泽。具特异香气，味微苦。</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C359F">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78E02F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BE39F">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59 </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AC2B4">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石榴</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DD70B">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9E252">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18A31">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8 </w:t>
            </w:r>
          </w:p>
        </w:tc>
        <w:tc>
          <w:tcPr>
            <w:tcW w:w="4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260A6">
            <w:pPr>
              <w:keepNext w:val="0"/>
              <w:keepLines w:val="0"/>
              <w:widowControl/>
              <w:suppressLineNumbers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石榴 本品通常近球形，直径4~12cm,果皮革质，较厚，外表面黄色至红色。种子多数着生在淡黄色肉质胎座上，具棱角，形状多不规则，长0.5~1.0cm，宽0.3~0.8cm。种皮红色或深红色，品莹、半透明,有光泽,肉质多汁;内种皮白色，坚硬。种仁1枚。气微，味酸甜。</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F3247">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521B82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7447A">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60 </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86371">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铁筷子</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065A1">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DA086">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D846B">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550 </w:t>
            </w:r>
          </w:p>
        </w:tc>
        <w:tc>
          <w:tcPr>
            <w:tcW w:w="4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29FF8">
            <w:pPr>
              <w:keepNext w:val="0"/>
              <w:keepLines w:val="0"/>
              <w:widowControl/>
              <w:suppressLineNumbers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 本品略卷曲成团。根茎呈结节状圆柱形，稍扁，略弯曲，长3~6cm，直径0.4~0.8cm;较粗的通常有分枝，分枝顶端有凹窝状茎痕或浅褐色干燥的小芽苞;表面黑褐色或灰黑色;质坚硬，折断面不平坦，灰白色至灰棕色。根细圆柱形，长5~12cm，直径0.1~0.2cm;多数簇状集生，略卷曲呈团状，有的断落;表面灰褐色至黑褐色，平滑或具纵皱纹。质硬脆，易折断，断面平坦，灰白色，显粉性。气微，味苦，微有麻舌感。</w:t>
            </w:r>
            <w:r>
              <w:rPr>
                <w:rFonts w:hint="eastAsia" w:ascii="微软雅黑" w:hAnsi="微软雅黑" w:eastAsia="微软雅黑" w:cs="微软雅黑"/>
                <w:b/>
                <w:bCs/>
                <w:i w:val="0"/>
                <w:iCs w:val="0"/>
                <w:color w:val="auto"/>
                <w:kern w:val="0"/>
                <w:sz w:val="21"/>
                <w:szCs w:val="21"/>
                <w:highlight w:val="none"/>
                <w:u w:val="none"/>
                <w:lang w:val="en-US" w:eastAsia="zh-CN" w:bidi="ar"/>
              </w:rPr>
              <w:t>（提供样品以及提供第三方机构出具的检测报告）</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6DF36">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p>
        </w:tc>
      </w:tr>
      <w:tr w14:paraId="6DAAF3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5B718">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61 </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CCD98">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榅桲子</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9E67D">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398F3">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4AC8F">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30 </w:t>
            </w:r>
          </w:p>
        </w:tc>
        <w:tc>
          <w:tcPr>
            <w:tcW w:w="4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B3CBF">
            <w:pPr>
              <w:keepNext w:val="0"/>
              <w:keepLines w:val="0"/>
              <w:widowControl/>
              <w:suppressLineNumbers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本品呈扁心形，长6.5~7.5mm，宽3.5~4.5mm。表面紫红色或紫褐色，较平滑略有光泽。一端尖，另一端钝圆，左右不对称，脉纹不明显。种皮较厚而硬，子叶2枚，乳白色，富油性。气微，味淡。</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0EF3A">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611BD7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5A351">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62 </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7B444">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洋葱子</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78A97">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397F2">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5DAB6">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90 </w:t>
            </w:r>
          </w:p>
        </w:tc>
        <w:tc>
          <w:tcPr>
            <w:tcW w:w="4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AAF53">
            <w:pPr>
              <w:keepNext w:val="0"/>
              <w:keepLines w:val="0"/>
              <w:widowControl/>
              <w:suppressLineNumbers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 本品呈不规则类半圆形或半卵圆形，略扁，长3~4mm，宽2~3mm，表面黑色，一面突起，皱缩，有细密的网状皱纹，另一面微凹，皱纹不甚明显，顶端钝，基部稍尖，种脐多为点状，种子剖开后可见类白色种仁。质硬。嚼之有洋葱的特异辛味。</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806B9">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5B0150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3D00D">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63 </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6CC57">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野葱</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5C3A6">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E1154">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18CB9">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210 </w:t>
            </w:r>
          </w:p>
        </w:tc>
        <w:tc>
          <w:tcPr>
            <w:tcW w:w="4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2BE60">
            <w:pPr>
              <w:keepNext w:val="0"/>
              <w:keepLines w:val="0"/>
              <w:widowControl/>
              <w:suppressLineNumbers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 本品圆柱形或狭卵状圆柱形，直径0.5~1.5cm，长5~10cm。鳞茎外皮老时红褐色或褐色，纤维状或呈不明显网状。薄膜质，常条裂。外被宿存的纤维状叶鞘，有残存的须根。气微，味微辛。</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F4858">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01D3CD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8A9F2">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64 </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3C696">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鸢尾根</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FEAF1">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8A3D2">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3250A">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65 </w:t>
            </w:r>
          </w:p>
        </w:tc>
        <w:tc>
          <w:tcPr>
            <w:tcW w:w="4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598B9">
            <w:pPr>
              <w:keepNext w:val="0"/>
              <w:keepLines w:val="0"/>
              <w:widowControl/>
              <w:suppressLineNumbers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本品呈短段，直径1~1.5cm。表面浅棕黄色至棕褐色，质稍坚硬，结节处易折断，断面不平坦，黄白色。气微，味微苦而辛。</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7932A">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74AC8E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89A83">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65 </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D6130">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海狸香</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76AC9">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5B2B9">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D565C">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12000 </w:t>
            </w:r>
          </w:p>
        </w:tc>
        <w:tc>
          <w:tcPr>
            <w:tcW w:w="4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9ACB8">
            <w:pPr>
              <w:keepNext w:val="0"/>
              <w:keepLines w:val="0"/>
              <w:widowControl/>
              <w:suppressLineNumbers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欧亚海狸香 呈扁梨状或略呈圆捧形，成对连接，稍压扁，不皱缩或稍具纵皱纹，长6~12cm,宽3~7cm。外部皮膜极易剥落，内含分泌物，新鲜时为乳黄色，糊状，放置后颜色加深，呈棕黄色至棕褐色，并渐变硬，剖开后可见麦粒状结块，外被白色薄膜。气特异芳香,味辛辣。</w:t>
            </w:r>
            <w:r>
              <w:rPr>
                <w:rFonts w:hint="eastAsia" w:ascii="微软雅黑" w:hAnsi="微软雅黑" w:eastAsia="微软雅黑" w:cs="微软雅黑"/>
                <w:i w:val="0"/>
                <w:iCs w:val="0"/>
                <w:color w:val="auto"/>
                <w:kern w:val="0"/>
                <w:sz w:val="21"/>
                <w:szCs w:val="21"/>
                <w:highlight w:val="none"/>
                <w:u w:val="none"/>
                <w:lang w:val="en-US" w:eastAsia="zh-CN" w:bidi="ar"/>
              </w:rPr>
              <w:br w:type="textWrapping"/>
            </w:r>
            <w:r>
              <w:rPr>
                <w:rFonts w:hint="eastAsia" w:ascii="微软雅黑" w:hAnsi="微软雅黑" w:eastAsia="微软雅黑" w:cs="微软雅黑"/>
                <w:i w:val="0"/>
                <w:iCs w:val="0"/>
                <w:color w:val="auto"/>
                <w:kern w:val="0"/>
                <w:sz w:val="21"/>
                <w:szCs w:val="21"/>
                <w:highlight w:val="none"/>
                <w:u w:val="none"/>
                <w:lang w:val="en-US" w:eastAsia="zh-CN" w:bidi="ar"/>
              </w:rPr>
              <w:t>加拿大海狸香 呈扁梨状或长卵形，成对连接，表面暗棕色或棕色至红棕色，皱缩有数条纵纹，长8~10cm,宽约3cm。连接处有一小开口，内含树脂状分泌物，鲜时浅黄棕色，糊状，放置后渐变硬，呈棕色或棕褐色。</w:t>
            </w:r>
            <w:r>
              <w:rPr>
                <w:rFonts w:hint="eastAsia" w:ascii="微软雅黑" w:hAnsi="微软雅黑" w:eastAsia="微软雅黑" w:cs="微软雅黑"/>
                <w:b/>
                <w:bCs/>
                <w:i w:val="0"/>
                <w:iCs w:val="0"/>
                <w:color w:val="auto"/>
                <w:kern w:val="0"/>
                <w:sz w:val="21"/>
                <w:szCs w:val="21"/>
                <w:highlight w:val="none"/>
                <w:u w:val="none"/>
                <w:lang w:val="en-US" w:eastAsia="zh-CN" w:bidi="ar"/>
              </w:rPr>
              <w:t>（提供样品以及提供第三方机构出具的检测报告）</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921AF">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p>
        </w:tc>
      </w:tr>
      <w:tr w14:paraId="0F6463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0248A">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66 </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F09CD">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白芍</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1701B">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7B659">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A9848">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85 </w:t>
            </w:r>
          </w:p>
        </w:tc>
        <w:tc>
          <w:tcPr>
            <w:tcW w:w="4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E51D3">
            <w:pPr>
              <w:keepNext w:val="0"/>
              <w:keepLines w:val="0"/>
              <w:widowControl/>
              <w:suppressLineNumbers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呈圆柱形，平直或稍弯曲，两端平截，长5～18cm，直径1～2.5cm。表面类白色或淡棕红色，光洁或有纵皱纹及细根痕，偶有残存的棕褐色外皮。质坚实，不易折断，断面较平坦，类白色或微带棕红色，形成层环明显，射线放射状。气微，味微苦、酸。</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901A9">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094C4A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35C05">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67 </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B4E37">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白术</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89A03">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B1BA3">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54112">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280 </w:t>
            </w:r>
          </w:p>
        </w:tc>
        <w:tc>
          <w:tcPr>
            <w:tcW w:w="4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5F98B">
            <w:pPr>
              <w:keepNext w:val="0"/>
              <w:keepLines w:val="0"/>
              <w:widowControl/>
              <w:suppressLineNumbers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为不规则的肥厚团块，长3～13cm，直径1.5～7cm。表面灰黄色或灰棕色，有瘤状突起及断续的纵皱和沟纹，并有须根痕，顶端有残留茎基和芽痕。质坚硬不易折断，断面不平坦，黄白色至淡棕色，有棕黄色的点状油室散在；烘干者断面角质样，色较深或有裂隙。气清香，味甘、微辛，嚼之略带黏性。</w:t>
            </w:r>
            <w:r>
              <w:rPr>
                <w:rFonts w:hint="eastAsia" w:ascii="微软雅黑" w:hAnsi="微软雅黑" w:eastAsia="微软雅黑" w:cs="微软雅黑"/>
                <w:b/>
                <w:bCs/>
                <w:i w:val="0"/>
                <w:iCs w:val="0"/>
                <w:color w:val="auto"/>
                <w:kern w:val="0"/>
                <w:sz w:val="21"/>
                <w:szCs w:val="21"/>
                <w:highlight w:val="none"/>
                <w:u w:val="none"/>
                <w:lang w:val="en-US" w:eastAsia="zh-CN" w:bidi="ar"/>
              </w:rPr>
              <w:t>（提供样品以及提供第三方机构出具的检测报告）</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8C2ED">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p>
        </w:tc>
      </w:tr>
      <w:tr w14:paraId="22709E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88ED1">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68 </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7D967">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白鲜皮</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A3F79">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203BF">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36A87">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255 </w:t>
            </w:r>
          </w:p>
        </w:tc>
        <w:tc>
          <w:tcPr>
            <w:tcW w:w="4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6EAA7">
            <w:pPr>
              <w:keepNext w:val="0"/>
              <w:keepLines w:val="0"/>
              <w:widowControl/>
              <w:suppressLineNumbers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呈卷筒状，长5～15cm，直径1～2cm，厚0.2～0.5cm。外表面灰白色或淡灰黄色，具细纵皱纹和细根痕，常有突起的颗粒状小点；内表面类白色，有细纵纹。质脆，折断时有粉尘飞扬，断面不平坦，略呈层片状，剥去外层，迎光可见闪烁的小亮点。有羊膻气，味微苦。</w:t>
            </w:r>
            <w:r>
              <w:rPr>
                <w:rFonts w:hint="eastAsia" w:ascii="微软雅黑" w:hAnsi="微软雅黑" w:eastAsia="微软雅黑" w:cs="微软雅黑"/>
                <w:b/>
                <w:bCs/>
                <w:i w:val="0"/>
                <w:iCs w:val="0"/>
                <w:color w:val="auto"/>
                <w:kern w:val="0"/>
                <w:sz w:val="21"/>
                <w:szCs w:val="21"/>
                <w:highlight w:val="none"/>
                <w:u w:val="none"/>
                <w:lang w:val="en-US" w:eastAsia="zh-CN" w:bidi="ar"/>
              </w:rPr>
              <w:t>（提供样品以及提供第三方机构出具的检测报告）</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D4566">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p>
        </w:tc>
      </w:tr>
      <w:tr w14:paraId="3E3B4F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3C2B9">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69 </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B7478">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白芷</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5C4DD">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8A53E">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2CD3D">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60 </w:t>
            </w:r>
          </w:p>
        </w:tc>
        <w:tc>
          <w:tcPr>
            <w:tcW w:w="4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E29AC">
            <w:pPr>
              <w:keepNext w:val="0"/>
              <w:keepLines w:val="0"/>
              <w:widowControl/>
              <w:suppressLineNumbers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呈长圆锥形，长10～25cm，直径1.5～2.5cm。表面灰棕色或黄棕色，根头部钝四棱形或近圆形，具纵皱纹、支根痕及皮孔样的横向突起，有的排列成四纵行。顶端有凹陷的茎痕。质坚实，断面白色或灰白色，粉性，形成层环棕色，近方形或近圆形，皮部散有多数棕色油点。气芳香，味辛、微苦。</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65A58">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3E3E3D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6B3C9">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70 </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4BB52">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冰片</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E4E90">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0A11A">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3EDE2">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275 </w:t>
            </w:r>
          </w:p>
        </w:tc>
        <w:tc>
          <w:tcPr>
            <w:tcW w:w="4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9AE49">
            <w:pPr>
              <w:keepNext w:val="0"/>
              <w:keepLines w:val="0"/>
              <w:widowControl/>
              <w:suppressLineNumbers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本品为无色透明或白色半透明的片状松脆结晶；气清香，味辛、凉；具挥发性，点燃发生浓烟，并有带光的火焰。</w:t>
            </w:r>
            <w:r>
              <w:rPr>
                <w:rFonts w:hint="eastAsia" w:ascii="微软雅黑" w:hAnsi="微软雅黑" w:eastAsia="微软雅黑" w:cs="微软雅黑"/>
                <w:i w:val="0"/>
                <w:iCs w:val="0"/>
                <w:color w:val="auto"/>
                <w:kern w:val="0"/>
                <w:sz w:val="21"/>
                <w:szCs w:val="21"/>
                <w:highlight w:val="none"/>
                <w:u w:val="none"/>
                <w:lang w:val="en-US" w:eastAsia="zh-CN" w:bidi="ar"/>
              </w:rPr>
              <w:br w:type="textWrapping"/>
            </w:r>
            <w:r>
              <w:rPr>
                <w:rFonts w:hint="eastAsia" w:ascii="微软雅黑" w:hAnsi="微软雅黑" w:eastAsia="微软雅黑" w:cs="微软雅黑"/>
                <w:i w:val="0"/>
                <w:iCs w:val="0"/>
                <w:color w:val="auto"/>
                <w:kern w:val="0"/>
                <w:sz w:val="21"/>
                <w:szCs w:val="21"/>
                <w:highlight w:val="none"/>
                <w:u w:val="none"/>
                <w:lang w:val="en-US" w:eastAsia="zh-CN" w:bidi="ar"/>
              </w:rPr>
              <w:br w:type="textWrapping"/>
            </w:r>
            <w:r>
              <w:rPr>
                <w:rFonts w:hint="eastAsia" w:ascii="微软雅黑" w:hAnsi="微软雅黑" w:eastAsia="微软雅黑" w:cs="微软雅黑"/>
                <w:i w:val="0"/>
                <w:iCs w:val="0"/>
                <w:color w:val="auto"/>
                <w:kern w:val="0"/>
                <w:sz w:val="21"/>
                <w:szCs w:val="21"/>
                <w:highlight w:val="none"/>
                <w:u w:val="none"/>
                <w:lang w:val="en-US" w:eastAsia="zh-CN" w:bidi="ar"/>
              </w:rPr>
              <w:t>本品在乙醇、三氯甲烷或乙醚中易溶，在水中几乎不溶。</w:t>
            </w:r>
            <w:r>
              <w:rPr>
                <w:rFonts w:hint="eastAsia" w:ascii="微软雅黑" w:hAnsi="微软雅黑" w:eastAsia="微软雅黑" w:cs="微软雅黑"/>
                <w:b/>
                <w:bCs/>
                <w:i w:val="0"/>
                <w:iCs w:val="0"/>
                <w:color w:val="auto"/>
                <w:kern w:val="0"/>
                <w:sz w:val="21"/>
                <w:szCs w:val="21"/>
                <w:highlight w:val="none"/>
                <w:u w:val="none"/>
                <w:lang w:val="en-US" w:eastAsia="zh-CN" w:bidi="ar"/>
              </w:rPr>
              <w:t>（提供样品以及提供第三方机构出具的检测报告）</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41686">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p>
        </w:tc>
      </w:tr>
      <w:tr w14:paraId="28DFF9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6EDC2">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71 </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D39E5">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白花酸藤果</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4D875">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D184E">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DD6ED">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45 </w:t>
            </w:r>
          </w:p>
        </w:tc>
        <w:tc>
          <w:tcPr>
            <w:tcW w:w="4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75B83">
            <w:pPr>
              <w:keepNext w:val="0"/>
              <w:keepLines w:val="0"/>
              <w:widowControl/>
              <w:suppressLineNumbers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本品为幼枝无毛，老枝具皮孔；叶片坚纸质，倒卵状椭圆形，两面无毛；圆锥花序顶生，花淡绿色或白色，果球形，成熟时红色或深紫色。</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71568">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0DCA60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CDE51">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72 </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82EBA">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白石英</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E62D2">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9C04C">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C38F2">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14 </w:t>
            </w:r>
          </w:p>
        </w:tc>
        <w:tc>
          <w:tcPr>
            <w:tcW w:w="4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A2258">
            <w:pPr>
              <w:keepNext w:val="0"/>
              <w:keepLines w:val="0"/>
              <w:widowControl/>
              <w:suppressLineNumbers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本品为氧化物类矿物石英的矿石，拣选纯白的石英。</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9273F">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10CF6A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6E78F">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73 </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373FA">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天冬</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E3633">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8321E">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9515C">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80 </w:t>
            </w:r>
          </w:p>
        </w:tc>
        <w:tc>
          <w:tcPr>
            <w:tcW w:w="4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9F288">
            <w:pPr>
              <w:keepNext w:val="0"/>
              <w:keepLines w:val="0"/>
              <w:widowControl/>
              <w:suppressLineNumbers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本品呈长纺锤形，略弯曲，长5～18cm，直径0.5～2cm。表面黄白色至淡黄棕色，半透明，光滑或具深浅不等的纵皱纹，偶有残存的灰棕色外皮。质硬或柔润，有黏性，断面角质样，中柱黄白色。气微，味甜、微苦。</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AE060">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796C40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15C2B">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74 </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E5AA1">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川牛膝</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B0135">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45752">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03465">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60 </w:t>
            </w:r>
          </w:p>
        </w:tc>
        <w:tc>
          <w:tcPr>
            <w:tcW w:w="4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4CAE3">
            <w:pPr>
              <w:keepNext w:val="0"/>
              <w:keepLines w:val="0"/>
              <w:widowControl/>
              <w:suppressLineNumbers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呈近圆柱形，微扭曲，向下略细或有少数分枝，长30～60cm，直径0.5～3cm。表面黄棕色或灰褐色，具纵皱纹、支根痕和多数横长的皮孔样突起。质韧，不易折断，断面浅黄色或棕黄色，维管束点状，排列成数轮同心环。气微，味甜。</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6394B">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4BE45E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70056">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75 </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11F79">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川芎</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0881E">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F2C92">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70DD0">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45 </w:t>
            </w:r>
          </w:p>
        </w:tc>
        <w:tc>
          <w:tcPr>
            <w:tcW w:w="4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938AE">
            <w:pPr>
              <w:keepNext w:val="0"/>
              <w:keepLines w:val="0"/>
              <w:widowControl/>
              <w:suppressLineNumbers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为不规则结节状拳形团块，直径2～7cm。表面灰褐色或褐色，粗糙皱缩，有多数平行隆起的轮节，顶端有凹陷的类圆形茎痕，下侧及轮节上有多数小瘤状根痕。质坚实，不易折断，断面黄白色或灰黄色，散有黄棕色的油室，形成层环呈波状。气浓香，味苦、辛，稍有麻舌感，微回甜。</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9C3A5">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1B0FB3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3D040">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76 </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2F18D">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大皂角</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A7D3E">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6FD2A">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B425A">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64 </w:t>
            </w:r>
          </w:p>
        </w:tc>
        <w:tc>
          <w:tcPr>
            <w:tcW w:w="4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C3583">
            <w:pPr>
              <w:keepNext w:val="0"/>
              <w:keepLines w:val="0"/>
              <w:widowControl/>
              <w:suppressLineNumbers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本品叶为一回偶数羽状复叶，小叶3-9对，卵状披针形或长圆形，边缘有细锯齿。</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7828A">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04EFF6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C1D54">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77 </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E890B">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丹参</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FFD3C">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9B4D1">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00844">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65 </w:t>
            </w:r>
          </w:p>
        </w:tc>
        <w:tc>
          <w:tcPr>
            <w:tcW w:w="4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BB6CA">
            <w:pPr>
              <w:keepNext w:val="0"/>
              <w:keepLines w:val="0"/>
              <w:widowControl/>
              <w:suppressLineNumbers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根茎短粗，顶端有时残留茎基。根数条，长圆柱形，略弯曲，有的分枝并具须状细根，长10～20cm，直径0.3～1cm。表面棕红色或暗棕红色，粗糙，具纵皱纹。老根外皮疏松，多显紫棕色，常呈鳞片状剥落。质硬而脆，断面疏松，有裂隙或略平整而致密，皮部棕红色，木部灰黄色或紫褐色，导管束黄白色，呈放射状排列。气微，味微苦涩。</w:t>
            </w:r>
            <w:r>
              <w:rPr>
                <w:rFonts w:hint="eastAsia" w:ascii="微软雅黑" w:hAnsi="微软雅黑" w:eastAsia="微软雅黑" w:cs="微软雅黑"/>
                <w:i w:val="0"/>
                <w:iCs w:val="0"/>
                <w:color w:val="auto"/>
                <w:kern w:val="0"/>
                <w:sz w:val="21"/>
                <w:szCs w:val="21"/>
                <w:highlight w:val="none"/>
                <w:u w:val="none"/>
                <w:lang w:val="en-US" w:eastAsia="zh-CN" w:bidi="ar"/>
              </w:rPr>
              <w:br w:type="textWrapping"/>
            </w:r>
            <w:r>
              <w:rPr>
                <w:rFonts w:hint="eastAsia" w:ascii="微软雅黑" w:hAnsi="微软雅黑" w:eastAsia="微软雅黑" w:cs="微软雅黑"/>
                <w:i w:val="0"/>
                <w:iCs w:val="0"/>
                <w:color w:val="auto"/>
                <w:kern w:val="0"/>
                <w:sz w:val="21"/>
                <w:szCs w:val="21"/>
                <w:highlight w:val="none"/>
                <w:u w:val="none"/>
                <w:lang w:val="en-US" w:eastAsia="zh-CN" w:bidi="ar"/>
              </w:rPr>
              <w:br w:type="textWrapping"/>
            </w:r>
            <w:r>
              <w:rPr>
                <w:rFonts w:hint="eastAsia" w:ascii="微软雅黑" w:hAnsi="微软雅黑" w:eastAsia="微软雅黑" w:cs="微软雅黑"/>
                <w:i w:val="0"/>
                <w:iCs w:val="0"/>
                <w:color w:val="auto"/>
                <w:kern w:val="0"/>
                <w:sz w:val="21"/>
                <w:szCs w:val="21"/>
                <w:highlight w:val="none"/>
                <w:u w:val="none"/>
                <w:lang w:val="en-US" w:eastAsia="zh-CN" w:bidi="ar"/>
              </w:rPr>
              <w:t>栽培品较粗壮，直径0.5～1.5cm。表面红棕色，具纵皱纹，外皮紧贴不易剥落。质坚实，断面较平整，略呈角质样。</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E7112">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18CCCB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746F6">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78 </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CCD97">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当归</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2B1E5">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F781A">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F5DB0">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215 </w:t>
            </w:r>
          </w:p>
        </w:tc>
        <w:tc>
          <w:tcPr>
            <w:tcW w:w="4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877C8">
            <w:pPr>
              <w:keepNext w:val="0"/>
              <w:keepLines w:val="0"/>
              <w:widowControl/>
              <w:suppressLineNumbers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略呈圆柱形，下部有支根3～5条或更多，长15～25cm。表面浅棕色至棕褐色，具纵皱纹和横长皮孔样突起。根头（归头）直径1.5～4cm，具环纹，上端圆钝，或具数个明显突出的根茎痕，有紫色或黄绿色的茎和叶鞘的残基；主根（归身）表面凹凸不平；支根（归尾）直径0.3～1cm，上粗下细，多扭曲，有少数须根痕。质柔韧，断面黄白色或淡黄棕色，皮部厚，有裂隙和多数棕色点状分泌腔，木部色较淡，形成层环黄棕色。有浓郁的香气，味甘、辛、微苦。</w:t>
            </w:r>
            <w:r>
              <w:rPr>
                <w:rFonts w:hint="eastAsia" w:ascii="微软雅黑" w:hAnsi="微软雅黑" w:eastAsia="微软雅黑" w:cs="微软雅黑"/>
                <w:i w:val="0"/>
                <w:iCs w:val="0"/>
                <w:color w:val="auto"/>
                <w:kern w:val="0"/>
                <w:sz w:val="21"/>
                <w:szCs w:val="21"/>
                <w:highlight w:val="none"/>
                <w:u w:val="none"/>
                <w:lang w:val="en-US" w:eastAsia="zh-CN" w:bidi="ar"/>
              </w:rPr>
              <w:br w:type="textWrapping"/>
            </w:r>
            <w:r>
              <w:rPr>
                <w:rFonts w:hint="eastAsia" w:ascii="微软雅黑" w:hAnsi="微软雅黑" w:eastAsia="微软雅黑" w:cs="微软雅黑"/>
                <w:i w:val="0"/>
                <w:iCs w:val="0"/>
                <w:color w:val="auto"/>
                <w:kern w:val="0"/>
                <w:sz w:val="21"/>
                <w:szCs w:val="21"/>
                <w:highlight w:val="none"/>
                <w:u w:val="none"/>
                <w:lang w:val="en-US" w:eastAsia="zh-CN" w:bidi="ar"/>
              </w:rPr>
              <w:br w:type="textWrapping"/>
            </w:r>
            <w:r>
              <w:rPr>
                <w:rFonts w:hint="eastAsia" w:ascii="微软雅黑" w:hAnsi="微软雅黑" w:eastAsia="微软雅黑" w:cs="微软雅黑"/>
                <w:i w:val="0"/>
                <w:iCs w:val="0"/>
                <w:color w:val="auto"/>
                <w:kern w:val="0"/>
                <w:sz w:val="21"/>
                <w:szCs w:val="21"/>
                <w:highlight w:val="none"/>
                <w:u w:val="none"/>
                <w:lang w:val="en-US" w:eastAsia="zh-CN" w:bidi="ar"/>
              </w:rPr>
              <w:t>柴性大、干枯无油或断面呈绿褐色者不可供药用。</w:t>
            </w:r>
            <w:r>
              <w:rPr>
                <w:rFonts w:hint="eastAsia" w:ascii="微软雅黑" w:hAnsi="微软雅黑" w:eastAsia="微软雅黑" w:cs="微软雅黑"/>
                <w:b/>
                <w:bCs/>
                <w:i w:val="0"/>
                <w:iCs w:val="0"/>
                <w:color w:val="auto"/>
                <w:kern w:val="0"/>
                <w:sz w:val="21"/>
                <w:szCs w:val="21"/>
                <w:highlight w:val="none"/>
                <w:u w:val="none"/>
                <w:lang w:val="en-US" w:eastAsia="zh-CN" w:bidi="ar"/>
              </w:rPr>
              <w:t>（提供样品以及提供第三方机构出具的检测报告）</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D6581">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p>
        </w:tc>
      </w:tr>
      <w:tr w14:paraId="122CB3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1373A">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79 </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36451">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桂枝</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83BDB">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1FAA5">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2184C">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30 </w:t>
            </w:r>
          </w:p>
        </w:tc>
        <w:tc>
          <w:tcPr>
            <w:tcW w:w="4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C73E2">
            <w:pPr>
              <w:keepNext w:val="0"/>
              <w:keepLines w:val="0"/>
              <w:widowControl/>
              <w:suppressLineNumbers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呈长圆柱形，多分枝，长30～75cm，粗端直径0.3～1cm。表面红棕色至棕色，有纵棱线、细皱纹及小疙瘩状的叶痕、枝痕和芽痕，皮孔点状。质硬而脆，易折断。切片厚2～4mm，切面皮部红棕色，木部黄白色至浅黄棕色，髓部略呈方形。有特异香气，味甜、微辛，皮部味较浓。</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82A36">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37814E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46F6D">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80 </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5B26A">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海金沙</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B7614">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BCDE9">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98B89">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280 </w:t>
            </w:r>
          </w:p>
        </w:tc>
        <w:tc>
          <w:tcPr>
            <w:tcW w:w="4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E3653">
            <w:pPr>
              <w:keepNext w:val="0"/>
              <w:keepLines w:val="0"/>
              <w:widowControl/>
              <w:suppressLineNumbers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本品呈粉末状，棕黄色或浅棕黄色。体轻，手捻有光滑感，置手中易由指缝滑落。气微，味淡。</w:t>
            </w:r>
            <w:r>
              <w:rPr>
                <w:rFonts w:hint="eastAsia" w:ascii="微软雅黑" w:hAnsi="微软雅黑" w:eastAsia="微软雅黑" w:cs="微软雅黑"/>
                <w:b/>
                <w:bCs/>
                <w:i w:val="0"/>
                <w:iCs w:val="0"/>
                <w:color w:val="auto"/>
                <w:kern w:val="0"/>
                <w:sz w:val="21"/>
                <w:szCs w:val="21"/>
                <w:highlight w:val="none"/>
                <w:u w:val="none"/>
                <w:lang w:val="en-US" w:eastAsia="zh-CN" w:bidi="ar"/>
              </w:rPr>
              <w:t>（提供样品以及提供第三方机构出具的检测报告）</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41AED">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p>
        </w:tc>
      </w:tr>
      <w:tr w14:paraId="01B63F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FE5A0">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81 </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9F277">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滑石</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42461">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857CB">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41CC1">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36 </w:t>
            </w:r>
          </w:p>
        </w:tc>
        <w:tc>
          <w:tcPr>
            <w:tcW w:w="4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78DC8">
            <w:pPr>
              <w:keepNext w:val="0"/>
              <w:keepLines w:val="0"/>
              <w:widowControl/>
              <w:suppressLineNumbers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本品多为块状集合体。呈不规则的块状。白色、黄白色或淡蓝灰色，有蜡样光泽。质软，细腻，手摸有滑润感，无吸湿性，置水中不崩散。气微，味淡。</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F6FC3">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764CB8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70AB2">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82 </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312E1">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黄柏</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242CF">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71C4B">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BF0F5">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128 </w:t>
            </w:r>
          </w:p>
        </w:tc>
        <w:tc>
          <w:tcPr>
            <w:tcW w:w="4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4FD80">
            <w:pPr>
              <w:keepNext w:val="0"/>
              <w:keepLines w:val="0"/>
              <w:widowControl/>
              <w:suppressLineNumbers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呈板片状或浅槽状，长宽不一，厚1～6mm。外表面黄褐色或黄棕色，平坦或具纵沟纹，有的可见皮孔痕及残存的灰褐色粗皮；内表面暗黄色或淡棕色，具细密的纵棱纹。体轻，质硬，断面纤维性，呈裂片状分层，深黄色。气微，味极苦，嚼之有黏性。</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064E3">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1A3814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EEE2C">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83 </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0EF6F">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金钱草</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432EA">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26B08">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5077E">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35 </w:t>
            </w:r>
          </w:p>
        </w:tc>
        <w:tc>
          <w:tcPr>
            <w:tcW w:w="4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C22E7">
            <w:pPr>
              <w:keepNext w:val="0"/>
              <w:keepLines w:val="0"/>
              <w:widowControl/>
              <w:suppressLineNumbers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常缠结成团，无毛或被疏柔毛。茎扭曲，表面棕色或暗棕红色，有纵纹，下部茎节上有时具须根，断面实心。叶对生，多皱缩，展平后呈宽卵形或心形，长1～4cm，宽1～5cm，基部微凹，全缘；上表面灰绿色或棕褐色，下表面色较浅，主脉明显突起，用水浸后，对光透视可见黑色或褐色条纹；叶柄长1～4cm。有的带花，花黄色，单生叶腋，具长梗。蒴果球形。气微，味淡。</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48662">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1D37B7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258A4">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84 </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5E8C2">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净山楂</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94A1A">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3A51D">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EA267">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28 </w:t>
            </w:r>
          </w:p>
        </w:tc>
        <w:tc>
          <w:tcPr>
            <w:tcW w:w="4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85575">
            <w:pPr>
              <w:keepNext w:val="0"/>
              <w:keepLines w:val="0"/>
              <w:widowControl/>
              <w:suppressLineNumbers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为圆形片，皱缩不平，直径1～2.5cm，厚0.2～0.4cm。外皮红色，具皱纹，有灰白色小斑点。果肉深黄色至浅棕色。中部横切片具5粒浅黄色果核，有的核已脱落而中空。有的片上可见短而细的果梗或花萼残迹。气微清香，味酸、微甜。</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7E5E0">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1A6E22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605CD">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85 </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B930D">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苦参</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AF53E">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96061">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D42C3">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30 </w:t>
            </w:r>
          </w:p>
        </w:tc>
        <w:tc>
          <w:tcPr>
            <w:tcW w:w="4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2FD6E">
            <w:pPr>
              <w:keepNext w:val="0"/>
              <w:keepLines w:val="0"/>
              <w:widowControl/>
              <w:suppressLineNumbers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呈长圆柱形，下部常有分枝，长10～30cm，直径1～6.5cm。表面灰棕色或棕黄色，具纵皱纹和横长皮孔样突起，外皮薄，多破裂反卷，易剥落，剥落处显黄色，光滑。质硬，不易折断，断面纤维性；切片厚3～6mm；切面黄白色，具放射状纹理和裂隙，有的具异型维管束呈同心性环列或不规则散在。气微，味极苦。</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30A4A">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0160D0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12467">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86 </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61CD1">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六神曲</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17706">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003FA">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8BA31">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18 </w:t>
            </w:r>
          </w:p>
        </w:tc>
        <w:tc>
          <w:tcPr>
            <w:tcW w:w="4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C8E37">
            <w:pPr>
              <w:keepNext w:val="0"/>
              <w:keepLines w:val="0"/>
              <w:widowControl/>
              <w:suppressLineNumbers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六神曲 以上七味，苦杏仁、赤小豆粉碎成粗粉，与面粉、麦麸混匀，另取净制的辣蓼、苍耳草、青蒿加水煎煮1h，滤过，滤液浓缩成清膏，趁热与上述药粉拌匀，制成大小适宜的团块，保持适当温度和湿度，使其发酵至表面遍生黄白色或灰白色霉衣，干燥。</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2EE92">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7F5A10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F5450">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87 </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D45BC">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龙胆</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FE51B">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704B5">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22E40">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170 </w:t>
            </w:r>
          </w:p>
        </w:tc>
        <w:tc>
          <w:tcPr>
            <w:tcW w:w="4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6E0CE">
            <w:pPr>
              <w:keepNext w:val="0"/>
              <w:keepLines w:val="0"/>
              <w:widowControl/>
              <w:suppressLineNumbers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根茎呈不规则的块状，长1～3cm，直径0.3～1cm；表面暗灰棕色或深棕色，上端有茎痕或残留茎基，周围和下端着生多数细长的根。根圆柱形，略扭曲，长10～20cm，直径0.2～0.5cm；表面淡黄色或黄棕色，上部多有显著的横皱纹，下部较细，有纵皱纹及支根痕。质脆，易折断，断面略平坦，皮部黄白色或淡黄棕色，木部色较浅，呈点状环列。气微，味甚苦。</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CA167">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1B33FE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C36A0">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88 </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92FE7">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鹿角胶</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8335E">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A0BD3">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47A64">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940 </w:t>
            </w:r>
          </w:p>
        </w:tc>
        <w:tc>
          <w:tcPr>
            <w:tcW w:w="4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9381D">
            <w:pPr>
              <w:keepNext w:val="0"/>
              <w:keepLines w:val="0"/>
              <w:widowControl/>
              <w:suppressLineNumbers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本品呈扁方形块或丁状。黄棕色或红棕色，半透明，有的上部有黄白色泡沫层。质脆，易碎，断面光亮。气微，味微甜。</w:t>
            </w:r>
            <w:r>
              <w:rPr>
                <w:rFonts w:hint="eastAsia" w:ascii="微软雅黑" w:hAnsi="微软雅黑" w:eastAsia="微软雅黑" w:cs="微软雅黑"/>
                <w:b/>
                <w:bCs/>
                <w:i w:val="0"/>
                <w:iCs w:val="0"/>
                <w:color w:val="auto"/>
                <w:kern w:val="0"/>
                <w:sz w:val="21"/>
                <w:szCs w:val="21"/>
                <w:highlight w:val="none"/>
                <w:u w:val="none"/>
                <w:lang w:val="en-US" w:eastAsia="zh-CN" w:bidi="ar"/>
              </w:rPr>
              <w:t>（提供样品以及提供第三方机构出具的检测报告）</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0764C">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p>
        </w:tc>
      </w:tr>
      <w:tr w14:paraId="09A93A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ABCDA">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89 </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E0968">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麦芽</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13D0F">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03272">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6AB7B">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15 </w:t>
            </w:r>
          </w:p>
        </w:tc>
        <w:tc>
          <w:tcPr>
            <w:tcW w:w="4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0485A">
            <w:pPr>
              <w:keepNext w:val="0"/>
              <w:keepLines w:val="0"/>
              <w:widowControl/>
              <w:suppressLineNumbers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呈梭形，长8～12mm，直径3～4mm。表面淡黄色，背面为外稃包围，具5脉；腹面为内稃包围。除去内外稃后，腹面有1条纵沟；基部胚根处生出幼芽和须根，幼芽长披针状条形，长约5mm。须根数条，纤细而弯曲。质硬，断面白色，粉性。气微，味微甘。</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0624B">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0D1FE7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14635">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90 </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7AA55">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芡实</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C99C2">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72A48">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F938D">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60 </w:t>
            </w:r>
          </w:p>
        </w:tc>
        <w:tc>
          <w:tcPr>
            <w:tcW w:w="4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5EF94">
            <w:pPr>
              <w:keepNext w:val="0"/>
              <w:keepLines w:val="0"/>
              <w:widowControl/>
              <w:suppressLineNumbers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本品呈类球形，多为破粒，完整者直径5～8mm。表面有棕红色或红褐色内种皮，一端黄白色，约占全体103，有凹点状的种脐痕，除去内种皮显白色。质较硬，断面白色，粉性。气微，味淡。</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F9D78">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779D8E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3EA03">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91 </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9B746">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蒲公英</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70709">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0A5A2">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E1C3A">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38 </w:t>
            </w:r>
          </w:p>
        </w:tc>
        <w:tc>
          <w:tcPr>
            <w:tcW w:w="4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3DBA0">
            <w:pPr>
              <w:keepNext w:val="0"/>
              <w:keepLines w:val="0"/>
              <w:widowControl/>
              <w:suppressLineNumbers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本品为叶倒卵状披针形、倒披针形或长圆状披针形；花葶1至数个，与叶等长或稍长，头状花序，舌状花黄色，边缘花舌片背面具紫红色条纹，花药和柱头暗绿色；瘦果倒卵状披针形。</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BDAC9">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3E0510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BC8E4">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92 </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22330">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三七</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7E8E1">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2515B">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02851">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205 </w:t>
            </w:r>
          </w:p>
        </w:tc>
        <w:tc>
          <w:tcPr>
            <w:tcW w:w="4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F4241">
            <w:pPr>
              <w:keepNext w:val="0"/>
              <w:keepLines w:val="0"/>
              <w:widowControl/>
              <w:suppressLineNumbers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主根呈类圆锥形或圆柱形，长1～6cm，直径1～4cm。表面灰褐色或灰黄色，有断续的纵皱纹和支根痕。顶端有茎痕，周围有瘤状突起。体重，质坚实，断面灰绿色、黄绿色或灰白色，木部微呈放射状排列。气微，味苦回甜。</w:t>
            </w:r>
            <w:r>
              <w:rPr>
                <w:rFonts w:hint="eastAsia" w:ascii="微软雅黑" w:hAnsi="微软雅黑" w:eastAsia="微软雅黑" w:cs="微软雅黑"/>
                <w:i w:val="0"/>
                <w:iCs w:val="0"/>
                <w:color w:val="auto"/>
                <w:kern w:val="0"/>
                <w:sz w:val="21"/>
                <w:szCs w:val="21"/>
                <w:highlight w:val="none"/>
                <w:u w:val="none"/>
                <w:lang w:val="en-US" w:eastAsia="zh-CN" w:bidi="ar"/>
              </w:rPr>
              <w:br w:type="textWrapping"/>
            </w:r>
            <w:r>
              <w:rPr>
                <w:rFonts w:hint="eastAsia" w:ascii="微软雅黑" w:hAnsi="微软雅黑" w:eastAsia="微软雅黑" w:cs="微软雅黑"/>
                <w:i w:val="0"/>
                <w:iCs w:val="0"/>
                <w:color w:val="auto"/>
                <w:kern w:val="0"/>
                <w:sz w:val="21"/>
                <w:szCs w:val="21"/>
                <w:highlight w:val="none"/>
                <w:u w:val="none"/>
                <w:lang w:val="en-US" w:eastAsia="zh-CN" w:bidi="ar"/>
              </w:rPr>
              <w:br w:type="textWrapping"/>
            </w:r>
            <w:r>
              <w:rPr>
                <w:rFonts w:hint="eastAsia" w:ascii="微软雅黑" w:hAnsi="微软雅黑" w:eastAsia="微软雅黑" w:cs="微软雅黑"/>
                <w:i w:val="0"/>
                <w:iCs w:val="0"/>
                <w:color w:val="auto"/>
                <w:kern w:val="0"/>
                <w:sz w:val="21"/>
                <w:szCs w:val="21"/>
                <w:highlight w:val="none"/>
                <w:u w:val="none"/>
                <w:lang w:val="en-US" w:eastAsia="zh-CN" w:bidi="ar"/>
              </w:rPr>
              <w:t>筋条呈圆柱形或圆锥形，长2～6cm，上端直径约0.8cm，下端直径约0.3cm。</w:t>
            </w:r>
            <w:r>
              <w:rPr>
                <w:rFonts w:hint="eastAsia" w:ascii="微软雅黑" w:hAnsi="微软雅黑" w:eastAsia="微软雅黑" w:cs="微软雅黑"/>
                <w:i w:val="0"/>
                <w:iCs w:val="0"/>
                <w:color w:val="auto"/>
                <w:kern w:val="0"/>
                <w:sz w:val="21"/>
                <w:szCs w:val="21"/>
                <w:highlight w:val="none"/>
                <w:u w:val="none"/>
                <w:lang w:val="en-US" w:eastAsia="zh-CN" w:bidi="ar"/>
              </w:rPr>
              <w:br w:type="textWrapping"/>
            </w:r>
            <w:r>
              <w:rPr>
                <w:rFonts w:hint="eastAsia" w:ascii="微软雅黑" w:hAnsi="微软雅黑" w:eastAsia="微软雅黑" w:cs="微软雅黑"/>
                <w:i w:val="0"/>
                <w:iCs w:val="0"/>
                <w:color w:val="auto"/>
                <w:kern w:val="0"/>
                <w:sz w:val="21"/>
                <w:szCs w:val="21"/>
                <w:highlight w:val="none"/>
                <w:u w:val="none"/>
                <w:lang w:val="en-US" w:eastAsia="zh-CN" w:bidi="ar"/>
              </w:rPr>
              <w:br w:type="textWrapping"/>
            </w:r>
            <w:r>
              <w:rPr>
                <w:rFonts w:hint="eastAsia" w:ascii="微软雅黑" w:hAnsi="微软雅黑" w:eastAsia="微软雅黑" w:cs="微软雅黑"/>
                <w:i w:val="0"/>
                <w:iCs w:val="0"/>
                <w:color w:val="auto"/>
                <w:kern w:val="0"/>
                <w:sz w:val="21"/>
                <w:szCs w:val="21"/>
                <w:highlight w:val="none"/>
                <w:u w:val="none"/>
                <w:lang w:val="en-US" w:eastAsia="zh-CN" w:bidi="ar"/>
              </w:rPr>
              <w:t>剪口呈不规则的皱缩块状或条状，表面有数个明显的茎痕及环纹，断面中心灰绿色或白色，边缘深绿色或灰色。</w:t>
            </w:r>
            <w:r>
              <w:rPr>
                <w:rFonts w:hint="eastAsia" w:ascii="微软雅黑" w:hAnsi="微软雅黑" w:eastAsia="微软雅黑" w:cs="微软雅黑"/>
                <w:b/>
                <w:bCs/>
                <w:i w:val="0"/>
                <w:iCs w:val="0"/>
                <w:color w:val="auto"/>
                <w:kern w:val="0"/>
                <w:sz w:val="21"/>
                <w:szCs w:val="21"/>
                <w:highlight w:val="none"/>
                <w:u w:val="none"/>
                <w:lang w:val="en-US" w:eastAsia="zh-CN" w:bidi="ar"/>
              </w:rPr>
              <w:t>（提供样品以及提供第三方机构出具的检测报告）</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E06B3">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p>
        </w:tc>
      </w:tr>
      <w:tr w14:paraId="543897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1615F">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93 </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32F62">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沙苑子</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16DDD">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F5608">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EEC0D">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190 </w:t>
            </w:r>
          </w:p>
        </w:tc>
        <w:tc>
          <w:tcPr>
            <w:tcW w:w="4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DE85B">
            <w:pPr>
              <w:keepNext w:val="0"/>
              <w:keepLines w:val="0"/>
              <w:widowControl/>
              <w:suppressLineNumbers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本品略呈肾形而稍扁，长2～2.5mm，宽1.5～2mm，厚约1mm。表面光滑，褐绿色或灰褐色，边缘一侧微凹处具圆形种脐。质坚硬，不易破碎。子叶2，淡黄色，胚根弯曲，长约1mm。气微，味淡，嚼之有豆腥味。</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D0644">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42A0D1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F38CA">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94 </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BD9BA">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山药</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0D8E0">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5F7BA">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5F98D">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60 </w:t>
            </w:r>
          </w:p>
        </w:tc>
        <w:tc>
          <w:tcPr>
            <w:tcW w:w="4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88198">
            <w:pPr>
              <w:keepNext w:val="0"/>
              <w:keepLines w:val="0"/>
              <w:widowControl/>
              <w:suppressLineNumbers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毛山药　本品略呈圆柱形，弯曲而稍扁，长15～30cm，直径1.5～6cm。表面黄白色或淡黄色，有纵沟、纵皱纹及须根痕，偶有浅棕色外皮残留。体重，质坚实，不易折断，断面白色，粉性。气微，味淡、微酸，嚼之发黏。</w:t>
            </w:r>
            <w:r>
              <w:rPr>
                <w:rFonts w:hint="eastAsia" w:ascii="微软雅黑" w:hAnsi="微软雅黑" w:eastAsia="微软雅黑" w:cs="微软雅黑"/>
                <w:i w:val="0"/>
                <w:iCs w:val="0"/>
                <w:color w:val="auto"/>
                <w:kern w:val="0"/>
                <w:sz w:val="21"/>
                <w:szCs w:val="21"/>
                <w:highlight w:val="none"/>
                <w:u w:val="none"/>
                <w:lang w:val="en-US" w:eastAsia="zh-CN" w:bidi="ar"/>
              </w:rPr>
              <w:br w:type="textWrapping"/>
            </w:r>
            <w:r>
              <w:rPr>
                <w:rFonts w:hint="eastAsia" w:ascii="微软雅黑" w:hAnsi="微软雅黑" w:eastAsia="微软雅黑" w:cs="微软雅黑"/>
                <w:i w:val="0"/>
                <w:iCs w:val="0"/>
                <w:color w:val="auto"/>
                <w:kern w:val="0"/>
                <w:sz w:val="21"/>
                <w:szCs w:val="21"/>
                <w:highlight w:val="none"/>
                <w:u w:val="none"/>
                <w:lang w:val="en-US" w:eastAsia="zh-CN" w:bidi="ar"/>
              </w:rPr>
              <w:br w:type="textWrapping"/>
            </w:r>
            <w:r>
              <w:rPr>
                <w:rFonts w:hint="eastAsia" w:ascii="微软雅黑" w:hAnsi="微软雅黑" w:eastAsia="微软雅黑" w:cs="微软雅黑"/>
                <w:i w:val="0"/>
                <w:iCs w:val="0"/>
                <w:color w:val="auto"/>
                <w:kern w:val="0"/>
                <w:sz w:val="21"/>
                <w:szCs w:val="21"/>
                <w:highlight w:val="none"/>
                <w:u w:val="none"/>
                <w:lang w:val="en-US" w:eastAsia="zh-CN" w:bidi="ar"/>
              </w:rPr>
              <w:t>山药片　为不规则的厚片，皱缩不平，切面白色或黄白色，质坚脆，粉性。气微，味淡、微酸。</w:t>
            </w:r>
            <w:r>
              <w:rPr>
                <w:rFonts w:hint="eastAsia" w:ascii="微软雅黑" w:hAnsi="微软雅黑" w:eastAsia="微软雅黑" w:cs="微软雅黑"/>
                <w:i w:val="0"/>
                <w:iCs w:val="0"/>
                <w:color w:val="auto"/>
                <w:kern w:val="0"/>
                <w:sz w:val="21"/>
                <w:szCs w:val="21"/>
                <w:highlight w:val="none"/>
                <w:u w:val="none"/>
                <w:lang w:val="en-US" w:eastAsia="zh-CN" w:bidi="ar"/>
              </w:rPr>
              <w:br w:type="textWrapping"/>
            </w:r>
            <w:r>
              <w:rPr>
                <w:rFonts w:hint="eastAsia" w:ascii="微软雅黑" w:hAnsi="微软雅黑" w:eastAsia="微软雅黑" w:cs="微软雅黑"/>
                <w:i w:val="0"/>
                <w:iCs w:val="0"/>
                <w:color w:val="auto"/>
                <w:kern w:val="0"/>
                <w:sz w:val="21"/>
                <w:szCs w:val="21"/>
                <w:highlight w:val="none"/>
                <w:u w:val="none"/>
                <w:lang w:val="en-US" w:eastAsia="zh-CN" w:bidi="ar"/>
              </w:rPr>
              <w:br w:type="textWrapping"/>
            </w:r>
            <w:r>
              <w:rPr>
                <w:rFonts w:hint="eastAsia" w:ascii="微软雅黑" w:hAnsi="微软雅黑" w:eastAsia="微软雅黑" w:cs="微软雅黑"/>
                <w:i w:val="0"/>
                <w:iCs w:val="0"/>
                <w:color w:val="auto"/>
                <w:kern w:val="0"/>
                <w:sz w:val="21"/>
                <w:szCs w:val="21"/>
                <w:highlight w:val="none"/>
                <w:u w:val="none"/>
                <w:lang w:val="en-US" w:eastAsia="zh-CN" w:bidi="ar"/>
              </w:rPr>
              <w:t>光山药　呈圆柱形，两端平齐，长9～18cm，直径1.5～3cm。表面光滑，白色或黄白色。</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2F541">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6B78D4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F0824">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95 </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44AE6">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蛇床子</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BF855">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EE124">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470D1">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65 </w:t>
            </w:r>
          </w:p>
        </w:tc>
        <w:tc>
          <w:tcPr>
            <w:tcW w:w="4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8440B">
            <w:pPr>
              <w:keepNext w:val="0"/>
              <w:keepLines w:val="0"/>
              <w:widowControl/>
              <w:suppressLineNumbers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为双悬果，呈椭圆形，长2～4mm，直径约2mm。表面灰黄色或灰褐色，顶端有2枚向外弯曲的柱基，基部偶有细梗。分果的背面有薄而突起的纵棱5条，接合面平坦，有2条棕色略突起的纵棱线。果皮松脆，揉搓易脱落。种子细小，灰棕色，显油性。气香，味辛凉，有麻舌感。</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B20FB">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561AC5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F5F9C">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96 </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C06D0">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石韦</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26369">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D8869">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438F2">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68 </w:t>
            </w:r>
          </w:p>
        </w:tc>
        <w:tc>
          <w:tcPr>
            <w:tcW w:w="4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D4722">
            <w:pPr>
              <w:keepNext w:val="0"/>
              <w:keepLines w:val="0"/>
              <w:widowControl/>
              <w:suppressLineNumbers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庐山石韦　叶片略皱缩，展平后呈披针形，长10～25cm，宽3～5cm。先端渐尖，基部耳状偏斜，全缘，边缘常向内卷曲；上表面黄绿色或灰绿色，散布有黑色圆形小凹点；下表面密生红棕色星状毛，有的侧脉间布满棕色圆点状的孢子囊群。叶柄具四棱，长10～20cm，直径1.5～3mm，略扭曲，有纵槽。叶片革质。气微，味微涩苦。</w:t>
            </w:r>
            <w:r>
              <w:rPr>
                <w:rFonts w:hint="eastAsia" w:ascii="微软雅黑" w:hAnsi="微软雅黑" w:eastAsia="微软雅黑" w:cs="微软雅黑"/>
                <w:i w:val="0"/>
                <w:iCs w:val="0"/>
                <w:color w:val="auto"/>
                <w:kern w:val="0"/>
                <w:sz w:val="21"/>
                <w:szCs w:val="21"/>
                <w:highlight w:val="none"/>
                <w:u w:val="none"/>
                <w:lang w:val="en-US" w:eastAsia="zh-CN" w:bidi="ar"/>
              </w:rPr>
              <w:br w:type="textWrapping"/>
            </w:r>
            <w:r>
              <w:rPr>
                <w:rFonts w:hint="eastAsia" w:ascii="微软雅黑" w:hAnsi="微软雅黑" w:eastAsia="微软雅黑" w:cs="微软雅黑"/>
                <w:i w:val="0"/>
                <w:iCs w:val="0"/>
                <w:color w:val="auto"/>
                <w:kern w:val="0"/>
                <w:sz w:val="21"/>
                <w:szCs w:val="21"/>
                <w:highlight w:val="none"/>
                <w:u w:val="none"/>
                <w:lang w:val="en-US" w:eastAsia="zh-CN" w:bidi="ar"/>
              </w:rPr>
              <w:br w:type="textWrapping"/>
            </w:r>
            <w:r>
              <w:rPr>
                <w:rFonts w:hint="eastAsia" w:ascii="微软雅黑" w:hAnsi="微软雅黑" w:eastAsia="微软雅黑" w:cs="微软雅黑"/>
                <w:i w:val="0"/>
                <w:iCs w:val="0"/>
                <w:color w:val="auto"/>
                <w:kern w:val="0"/>
                <w:sz w:val="21"/>
                <w:szCs w:val="21"/>
                <w:highlight w:val="none"/>
                <w:u w:val="none"/>
                <w:lang w:val="en-US" w:eastAsia="zh-CN" w:bidi="ar"/>
              </w:rPr>
              <w:t>石韦　叶片披针形或长圆披针形，长8～12cm，宽1～3cm。基部楔形，对称。孢子囊群在侧脉间，排列紧密而整齐。叶柄长5～10cm，直径约1.5mm。</w:t>
            </w:r>
            <w:r>
              <w:rPr>
                <w:rFonts w:hint="eastAsia" w:ascii="微软雅黑" w:hAnsi="微软雅黑" w:eastAsia="微软雅黑" w:cs="微软雅黑"/>
                <w:i w:val="0"/>
                <w:iCs w:val="0"/>
                <w:color w:val="auto"/>
                <w:kern w:val="0"/>
                <w:sz w:val="21"/>
                <w:szCs w:val="21"/>
                <w:highlight w:val="none"/>
                <w:u w:val="none"/>
                <w:lang w:val="en-US" w:eastAsia="zh-CN" w:bidi="ar"/>
              </w:rPr>
              <w:br w:type="textWrapping"/>
            </w:r>
            <w:r>
              <w:rPr>
                <w:rFonts w:hint="eastAsia" w:ascii="微软雅黑" w:hAnsi="微软雅黑" w:eastAsia="微软雅黑" w:cs="微软雅黑"/>
                <w:i w:val="0"/>
                <w:iCs w:val="0"/>
                <w:color w:val="auto"/>
                <w:kern w:val="0"/>
                <w:sz w:val="21"/>
                <w:szCs w:val="21"/>
                <w:highlight w:val="none"/>
                <w:u w:val="none"/>
                <w:lang w:val="en-US" w:eastAsia="zh-CN" w:bidi="ar"/>
              </w:rPr>
              <w:br w:type="textWrapping"/>
            </w:r>
            <w:r>
              <w:rPr>
                <w:rFonts w:hint="eastAsia" w:ascii="微软雅黑" w:hAnsi="微软雅黑" w:eastAsia="微软雅黑" w:cs="微软雅黑"/>
                <w:i w:val="0"/>
                <w:iCs w:val="0"/>
                <w:color w:val="auto"/>
                <w:kern w:val="0"/>
                <w:sz w:val="21"/>
                <w:szCs w:val="21"/>
                <w:highlight w:val="none"/>
                <w:u w:val="none"/>
                <w:lang w:val="en-US" w:eastAsia="zh-CN" w:bidi="ar"/>
              </w:rPr>
              <w:t>有柄石韦　叶片多卷曲呈筒状，展平后呈长圆形或卵状长圆形，长3～8cm，宽1～2.5cm。基部楔形，对称；下表面侧脉不明显，布满孢子囊群。叶柄长3～12cm，直径约1mm。</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8FC15">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4F70B4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651B7">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97 </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E882D">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熟地黄</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9E5C8">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DE561">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48432">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24 </w:t>
            </w:r>
          </w:p>
        </w:tc>
        <w:tc>
          <w:tcPr>
            <w:tcW w:w="4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FE097">
            <w:pPr>
              <w:keepNext w:val="0"/>
              <w:keepLines w:val="0"/>
              <w:widowControl/>
              <w:suppressLineNumbers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本品为不规则的块片、碎块，大小、厚薄不一。表面乌黑色，有光泽，黏性大。质柔软而带韧性，不易折断，断面乌黑色，有光泽。气微，味甜。</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AED04">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418FCA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E7385">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98 </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C2401">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吴茱萸</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CA292">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43081">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B88AD">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95 </w:t>
            </w:r>
          </w:p>
        </w:tc>
        <w:tc>
          <w:tcPr>
            <w:tcW w:w="4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BC27D">
            <w:pPr>
              <w:keepNext w:val="0"/>
              <w:keepLines w:val="0"/>
              <w:widowControl/>
              <w:suppressLineNumbers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呈球形或略呈五角状扁球形，直径2～5mm。表面暗黄绿色至褐色，粗糙，有多数点状突起或凹下的油点。顶端有五角星状的裂隙，基部残留被有黄色茸毛的果梗。质硬而脆，横切面可见子房5室，每室有淡黄色种子1粒。气芳香浓郁，味辛辣而苦。</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D110C">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3ECC40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A3A8A">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99 </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D3B7E">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五味子</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6C65C">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B7C4D">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C09A5">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80 </w:t>
            </w:r>
          </w:p>
        </w:tc>
        <w:tc>
          <w:tcPr>
            <w:tcW w:w="4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B713D">
            <w:pPr>
              <w:keepNext w:val="0"/>
              <w:keepLines w:val="0"/>
              <w:widowControl/>
              <w:suppressLineNumbers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呈不规则的球形或扁球形，直径5～8mm。表面红色、紫红色或暗红色，皱缩，显油润；有的表面呈黑红色或出现“白霜”。果肉柔软，种子1～2，肾形，表面棕黄色，有光泽，种皮薄而脆。果肉气微，味酸；种子破碎后，有香气，味辛、微苦。</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9590E">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67163E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44EEC">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100 </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54B3A">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燂山桃仁</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75746">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62E22">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72D09">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110 </w:t>
            </w:r>
          </w:p>
        </w:tc>
        <w:tc>
          <w:tcPr>
            <w:tcW w:w="4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EB541">
            <w:pPr>
              <w:keepNext w:val="0"/>
              <w:keepLines w:val="0"/>
              <w:widowControl/>
              <w:suppressLineNumbers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本品呈类卵圆形，较小而肥厚，长约1cm，宽约0.7cm,厚约0.5cm.</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7A592">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08FB07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86C99">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101 </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FC571">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淫羊藿</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4775F">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B656B">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C2287">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260 </w:t>
            </w:r>
          </w:p>
        </w:tc>
        <w:tc>
          <w:tcPr>
            <w:tcW w:w="4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1B03F">
            <w:pPr>
              <w:keepNext w:val="0"/>
              <w:keepLines w:val="0"/>
              <w:widowControl/>
              <w:suppressLineNumbers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淫羊藿　二回三出复叶；小叶片卵圆形，长3～8cm，宽2～6cm；先端微尖，顶生小叶基部心形，两侧小叶较小，偏心形，外侧较大，呈耳状，边缘具黄色刺毛状细锯齿；上表面黄绿色，下表面灰绿色，主脉7～9条，基部有稀疏细长毛，细脉两面突起，网脉明显；小叶柄长1～5cm。叶片近革质。气微，味微苦。</w:t>
            </w:r>
            <w:r>
              <w:rPr>
                <w:rFonts w:hint="eastAsia" w:ascii="微软雅黑" w:hAnsi="微软雅黑" w:eastAsia="微软雅黑" w:cs="微软雅黑"/>
                <w:i w:val="0"/>
                <w:iCs w:val="0"/>
                <w:color w:val="auto"/>
                <w:kern w:val="0"/>
                <w:sz w:val="21"/>
                <w:szCs w:val="21"/>
                <w:highlight w:val="none"/>
                <w:u w:val="none"/>
                <w:lang w:val="en-US" w:eastAsia="zh-CN" w:bidi="ar"/>
              </w:rPr>
              <w:br w:type="textWrapping"/>
            </w:r>
            <w:r>
              <w:rPr>
                <w:rFonts w:hint="eastAsia" w:ascii="微软雅黑" w:hAnsi="微软雅黑" w:eastAsia="微软雅黑" w:cs="微软雅黑"/>
                <w:i w:val="0"/>
                <w:iCs w:val="0"/>
                <w:color w:val="auto"/>
                <w:kern w:val="0"/>
                <w:sz w:val="21"/>
                <w:szCs w:val="21"/>
                <w:highlight w:val="none"/>
                <w:u w:val="none"/>
                <w:lang w:val="en-US" w:eastAsia="zh-CN" w:bidi="ar"/>
              </w:rPr>
              <w:br w:type="textWrapping"/>
            </w:r>
            <w:r>
              <w:rPr>
                <w:rFonts w:hint="eastAsia" w:ascii="微软雅黑" w:hAnsi="微软雅黑" w:eastAsia="微软雅黑" w:cs="微软雅黑"/>
                <w:i w:val="0"/>
                <w:iCs w:val="0"/>
                <w:color w:val="auto"/>
                <w:kern w:val="0"/>
                <w:sz w:val="21"/>
                <w:szCs w:val="21"/>
                <w:highlight w:val="none"/>
                <w:u w:val="none"/>
                <w:lang w:val="en-US" w:eastAsia="zh-CN" w:bidi="ar"/>
              </w:rPr>
              <w:t>箭叶淫羊藿　一回三出复叶，小叶片长卵形至卵状披针形，长4～12cm，宽2.5～5cm；先端渐尖，两侧小叶基部明显偏斜，外侧多呈箭形。下表面疏被粗短伏毛或近无毛。叶片革质。</w:t>
            </w:r>
            <w:r>
              <w:rPr>
                <w:rFonts w:hint="eastAsia" w:ascii="微软雅黑" w:hAnsi="微软雅黑" w:eastAsia="微软雅黑" w:cs="微软雅黑"/>
                <w:i w:val="0"/>
                <w:iCs w:val="0"/>
                <w:color w:val="auto"/>
                <w:kern w:val="0"/>
                <w:sz w:val="21"/>
                <w:szCs w:val="21"/>
                <w:highlight w:val="none"/>
                <w:u w:val="none"/>
                <w:lang w:val="en-US" w:eastAsia="zh-CN" w:bidi="ar"/>
              </w:rPr>
              <w:br w:type="textWrapping"/>
            </w:r>
            <w:r>
              <w:rPr>
                <w:rFonts w:hint="eastAsia" w:ascii="微软雅黑" w:hAnsi="微软雅黑" w:eastAsia="微软雅黑" w:cs="微软雅黑"/>
                <w:i w:val="0"/>
                <w:iCs w:val="0"/>
                <w:color w:val="auto"/>
                <w:kern w:val="0"/>
                <w:sz w:val="21"/>
                <w:szCs w:val="21"/>
                <w:highlight w:val="none"/>
                <w:u w:val="none"/>
                <w:lang w:val="en-US" w:eastAsia="zh-CN" w:bidi="ar"/>
              </w:rPr>
              <w:br w:type="textWrapping"/>
            </w:r>
            <w:r>
              <w:rPr>
                <w:rFonts w:hint="eastAsia" w:ascii="微软雅黑" w:hAnsi="微软雅黑" w:eastAsia="微软雅黑" w:cs="微软雅黑"/>
                <w:i w:val="0"/>
                <w:iCs w:val="0"/>
                <w:color w:val="auto"/>
                <w:kern w:val="0"/>
                <w:sz w:val="21"/>
                <w:szCs w:val="21"/>
                <w:highlight w:val="none"/>
                <w:u w:val="none"/>
                <w:lang w:val="en-US" w:eastAsia="zh-CN" w:bidi="ar"/>
              </w:rPr>
              <w:t>柔毛淫羊藿　一回三出复叶；叶下表面及叶柄密被绒毛状柔毛。</w:t>
            </w:r>
            <w:r>
              <w:rPr>
                <w:rFonts w:hint="eastAsia" w:ascii="微软雅黑" w:hAnsi="微软雅黑" w:eastAsia="微软雅黑" w:cs="微软雅黑"/>
                <w:i w:val="0"/>
                <w:iCs w:val="0"/>
                <w:color w:val="auto"/>
                <w:kern w:val="0"/>
                <w:sz w:val="21"/>
                <w:szCs w:val="21"/>
                <w:highlight w:val="none"/>
                <w:u w:val="none"/>
                <w:lang w:val="en-US" w:eastAsia="zh-CN" w:bidi="ar"/>
              </w:rPr>
              <w:br w:type="textWrapping"/>
            </w:r>
            <w:r>
              <w:rPr>
                <w:rFonts w:hint="eastAsia" w:ascii="微软雅黑" w:hAnsi="微软雅黑" w:eastAsia="微软雅黑" w:cs="微软雅黑"/>
                <w:i w:val="0"/>
                <w:iCs w:val="0"/>
                <w:color w:val="auto"/>
                <w:kern w:val="0"/>
                <w:sz w:val="21"/>
                <w:szCs w:val="21"/>
                <w:highlight w:val="none"/>
                <w:u w:val="none"/>
                <w:lang w:val="en-US" w:eastAsia="zh-CN" w:bidi="ar"/>
              </w:rPr>
              <w:br w:type="textWrapping"/>
            </w:r>
            <w:r>
              <w:rPr>
                <w:rFonts w:hint="eastAsia" w:ascii="微软雅黑" w:hAnsi="微软雅黑" w:eastAsia="微软雅黑" w:cs="微软雅黑"/>
                <w:i w:val="0"/>
                <w:iCs w:val="0"/>
                <w:color w:val="auto"/>
                <w:kern w:val="0"/>
                <w:sz w:val="21"/>
                <w:szCs w:val="21"/>
                <w:highlight w:val="none"/>
                <w:u w:val="none"/>
                <w:lang w:val="en-US" w:eastAsia="zh-CN" w:bidi="ar"/>
              </w:rPr>
              <w:t>朝鲜淫羊藿　二回三出复叶；小叶较大，长4～10cm，宽3.5～7cm，先端长尖。叶片较薄。</w:t>
            </w:r>
            <w:r>
              <w:rPr>
                <w:rFonts w:hint="eastAsia" w:ascii="微软雅黑" w:hAnsi="微软雅黑" w:eastAsia="微软雅黑" w:cs="微软雅黑"/>
                <w:b/>
                <w:bCs/>
                <w:i w:val="0"/>
                <w:iCs w:val="0"/>
                <w:color w:val="auto"/>
                <w:kern w:val="0"/>
                <w:sz w:val="21"/>
                <w:szCs w:val="21"/>
                <w:highlight w:val="none"/>
                <w:u w:val="none"/>
                <w:lang w:val="en-US" w:eastAsia="zh-CN" w:bidi="ar"/>
              </w:rPr>
              <w:t>（提供样品以及提供第三方机构出具的检测报告）</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6B68C">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p>
        </w:tc>
      </w:tr>
      <w:tr w14:paraId="64FC67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E4D54">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102 </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835F6">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泽泻</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21231">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27E5E">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BE2CA">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48 </w:t>
            </w:r>
          </w:p>
        </w:tc>
        <w:tc>
          <w:tcPr>
            <w:tcW w:w="4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F3D58">
            <w:pPr>
              <w:keepNext w:val="0"/>
              <w:keepLines w:val="0"/>
              <w:widowControl/>
              <w:suppressLineNumbers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呈类球形、椭圆形或卵圆形，长2～7cm，直径2～6cm。表面淡黄色至淡黄棕色，有不规则的横向环状浅沟纹和多数细小突起的须根痕，底部有的有瘤状芽痕。质坚实，断面黄白色，粉性，有多数细孔。气微，味微苦。</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C1405">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515497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FAFFB">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103 </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17DDA">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炙甘草</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E396E">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0EB3F">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E633F">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50 </w:t>
            </w:r>
          </w:p>
        </w:tc>
        <w:tc>
          <w:tcPr>
            <w:tcW w:w="4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67414">
            <w:pPr>
              <w:keepNext w:val="0"/>
              <w:keepLines w:val="0"/>
              <w:widowControl/>
              <w:suppressLineNumbers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本品呈类圆形或椭圆形切片。外表皮红棕色或灰棕色，微有光泽。切面黄色至深黄色，形成层环明显，射线放射状。略有黏性。具焦香气，味甜。</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15741">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59F6DE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581DB">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104 </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53707">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炙黄芪</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32603">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E44E1">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4A030">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66 </w:t>
            </w:r>
          </w:p>
        </w:tc>
        <w:tc>
          <w:tcPr>
            <w:tcW w:w="4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5A0B8">
            <w:pPr>
              <w:keepNext w:val="0"/>
              <w:keepLines w:val="0"/>
              <w:widowControl/>
              <w:suppressLineNumbers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为圆形或椭圆形的片，直径0.8～3.5cm，厚0.1～0.4cm。外表皮浅棕黄或棕褐色，略有光泽，可见纵皱纹或纵沟。切面皮部浅黄色，木部黄色，有放射状纹理和裂隙，有的中心偶有枯朽状，黑褐色或呈空洞。具蜜香气，味甜，略带黏性，嚼之微有豆腥味。</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2577F">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6F5920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36307">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105 </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00AEF">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百合</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D795C">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BA7F9">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B3949">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60 </w:t>
            </w:r>
          </w:p>
        </w:tc>
        <w:tc>
          <w:tcPr>
            <w:tcW w:w="4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E06BA">
            <w:pPr>
              <w:keepNext w:val="0"/>
              <w:keepLines w:val="0"/>
              <w:widowControl/>
              <w:suppressLineNumbers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呈长椭圆形，长2～5cm，宽1～2cm，中部厚1.3～4mm。表面黄白色至淡棕黄色，有的微带紫色，有数条纵直平行的白色维管束。顶端稍尖，基部较宽，边缘薄，微波状，略向内弯曲。质硬而脆，断面较平坦，角质样。气微，味微苦。</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43078">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094209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44A1E">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106 </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D9908">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北柴胡</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7D634">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E5D06">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E6DDB">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185 </w:t>
            </w:r>
          </w:p>
        </w:tc>
        <w:tc>
          <w:tcPr>
            <w:tcW w:w="4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7A836">
            <w:pPr>
              <w:keepNext w:val="0"/>
              <w:keepLines w:val="0"/>
              <w:widowControl/>
              <w:suppressLineNumbers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北柴胡　呈圆柱形或长圆锥形，长6～15cm，直径0.3～0.8cm。根头膨大，顶端残留3～15个茎基或短纤维状叶基，下部分枝。表面黑褐色或浅棕色，具纵皱纹、支根痕及皮孔。质硬而韧，不易折断，断面显纤维性，皮部浅棕色，木部黄白色。气微香，味微苦。</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091DA">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472172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38F43">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107 </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881B7">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槟榔</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23052">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D6B68">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FCD7B">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75 </w:t>
            </w:r>
          </w:p>
        </w:tc>
        <w:tc>
          <w:tcPr>
            <w:tcW w:w="4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51E1F">
            <w:pPr>
              <w:keepNext w:val="0"/>
              <w:keepLines w:val="0"/>
              <w:widowControl/>
              <w:suppressLineNumbers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呈扁球形或圆锥形，高1.5～3.5cm，底部直径1.5～3cm。表面淡黄棕色或淡红棕色，具稍凹下的网状沟纹，底部中心有圆形凹陷的珠孔，其旁有1明显瘢痕状种脐。质坚硬，不易破碎，断面可见棕色种皮与白色胚乳相间的大理石样花纹。气微，味涩、微苦。</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5290F">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3F9195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77638">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108 </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4D32A">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大青叶</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97E31">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205AC">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7D1B2">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48 </w:t>
            </w:r>
          </w:p>
        </w:tc>
        <w:tc>
          <w:tcPr>
            <w:tcW w:w="4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2588D">
            <w:pPr>
              <w:keepNext w:val="0"/>
              <w:keepLines w:val="0"/>
              <w:widowControl/>
              <w:suppressLineNumbers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多皱缩卷曲，有的破碎。完整叶片展平后呈长椭圆形至长圆状倒披针形，长5～20cm，宽2～6cm；上表面暗灰绿色，有的可见色较深稍突起的小点；先端钝，全缘或微波状，基部狭窄下延至叶柄呈翼状；叶柄长4～10cm，淡棕黄色。质脆。气微，味微酸、苦、涩。</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FD66D">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04B60B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79038">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109 </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33572">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大血藤</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209BB">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4384D">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35C8D">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24 </w:t>
            </w:r>
          </w:p>
        </w:tc>
        <w:tc>
          <w:tcPr>
            <w:tcW w:w="4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0A9CF">
            <w:pPr>
              <w:keepNext w:val="0"/>
              <w:keepLines w:val="0"/>
              <w:widowControl/>
              <w:suppressLineNumbers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呈圆柱形，略弯曲，长30～60cm，直径1～3cm。表面灰棕色，粗糙，外皮常呈鳞片状剥落，剥落处显暗红棕色，有的可见膨大的节和略凹陷的枝痕或叶痕。质硬，断面皮部红棕色，有数处向内嵌入木部，木部黄白色，有多数细孔状导管，射线呈放射状排列。气微，味微涩。</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C1D70">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786552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6FB36">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110 </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9FF12">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胆矾</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E99E4">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DEFDD">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3E7D9">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70 </w:t>
            </w:r>
          </w:p>
        </w:tc>
        <w:tc>
          <w:tcPr>
            <w:tcW w:w="4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64485">
            <w:pPr>
              <w:keepNext w:val="0"/>
              <w:keepLines w:val="0"/>
              <w:widowControl/>
              <w:suppressLineNumbers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本品呈不规则斜方扁块状、棱柱状，大小不一，表面不平坦，有的面具纵向纤维状纹理。深蓝色或淡蓝色，条痕白色或淡蓝色，半透明至透明，具玻璃样光泽。体较轻，质脆，易碎，碎块呈棱柱状。无臭，味涩。</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3BE88">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0A14D4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4F994">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111 </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A7ED8">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冬瓜皮</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64E85">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B9B68">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B099D">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35 </w:t>
            </w:r>
          </w:p>
        </w:tc>
        <w:tc>
          <w:tcPr>
            <w:tcW w:w="4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BD4FD">
            <w:pPr>
              <w:keepNext w:val="0"/>
              <w:keepLines w:val="0"/>
              <w:widowControl/>
              <w:suppressLineNumbers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本品为不规则的碎片，常向内卷曲，大小不一。外表面灰绿色或黄白色，被有白霜，有的较光滑不被白霜；内表面较粗糙，有的可见筋脉状维管束。体轻，质脆。气微，味淡。</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9FC29">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63CAAF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28F54">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112 </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201D2">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麸炒白术</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968D9">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D7DFD">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1B9FB">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64 </w:t>
            </w:r>
          </w:p>
        </w:tc>
        <w:tc>
          <w:tcPr>
            <w:tcW w:w="4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634A2">
            <w:pPr>
              <w:keepNext w:val="0"/>
              <w:keepLines w:val="0"/>
              <w:widowControl/>
              <w:suppressLineNumbers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本品形如白术片，表面黄棕色，偶见焦斑。略有焦香气。</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48D71">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524FB0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52BBE">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113 </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DC925">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广藿香</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52F33">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CA0EA">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7E670">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42 </w:t>
            </w:r>
          </w:p>
        </w:tc>
        <w:tc>
          <w:tcPr>
            <w:tcW w:w="4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CBFEA">
            <w:pPr>
              <w:keepNext w:val="0"/>
              <w:keepLines w:val="0"/>
              <w:widowControl/>
              <w:suppressLineNumbers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茎略呈方柱形，多分枝，枝条稍曲折，长30～60cm，直径0.2～0.7cm；表面被柔毛；质脆，易折断，断面中部有髓；老茎类圆柱形，直径1～1.2cm，被灰褐色栓皮。叶对生，皱缩成团，展平后叶片呈卵形或椭圆形，长4～9cm，宽3～7cm；两面均被灰白色茸毛；先端短尖或钝圆，基部楔形或钝圆，边缘具大小不规则的钝齿；叶柄细，长2～5cm，被柔毛。气香特异，味微苦。</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2CF58">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3C8488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866D1">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114 </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A07CB">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荷叶</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8D92D">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3BB8E">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2ECDB">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30 </w:t>
            </w:r>
          </w:p>
        </w:tc>
        <w:tc>
          <w:tcPr>
            <w:tcW w:w="4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D3029">
            <w:pPr>
              <w:keepNext w:val="0"/>
              <w:keepLines w:val="0"/>
              <w:widowControl/>
              <w:suppressLineNumbers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呈半圆形或折扇形，展开后呈类圆形，全缘或稍呈波状，直径20～50cm。上表面深绿色或黄绿色，较粗糙；下表面淡灰棕色，较光滑，有粗脉21～22条，自中心向四周射出；中心有突起的叶柄残基。质脆，易破碎。稍有清香气，味微苦。</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6FA2C">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56FA07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099A0">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115 </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ED174">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黄芩片</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EB3BA">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A50FE">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B7786">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95 </w:t>
            </w:r>
          </w:p>
        </w:tc>
        <w:tc>
          <w:tcPr>
            <w:tcW w:w="4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EB883">
            <w:pPr>
              <w:keepNext w:val="0"/>
              <w:keepLines w:val="0"/>
              <w:widowControl/>
              <w:suppressLineNumbers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呈圆锥形，扭曲，长8～25cm，直径1～3cm。表面棕黄色或深黄色，有稀疏的疣状细根痕，上部较粗糙，有扭曲的纵皱纹或不规则的网纹，下部有顺纹和细皱纹。质硬而脆，易折断，断面黄色，中心红棕色；老根中心呈枯朽状或中空，暗棕色或棕黑色。气微，味苦。</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6FD21">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0C7870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A8A3F">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116 </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F889A">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姜半夏</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0218F">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01FC7">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B35D4">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245 </w:t>
            </w:r>
          </w:p>
        </w:tc>
        <w:tc>
          <w:tcPr>
            <w:tcW w:w="4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59A8E">
            <w:pPr>
              <w:keepNext w:val="0"/>
              <w:keepLines w:val="0"/>
              <w:widowControl/>
              <w:suppressLineNumbers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本品呈片状、不规则颗粒状或类球形。表面棕色至棕褐色。质硬脆，断面淡黄棕色，常具角质样光泽。气微香，味淡、微有麻舌感，嚼之略粘牙。</w:t>
            </w:r>
            <w:r>
              <w:rPr>
                <w:rFonts w:hint="eastAsia" w:ascii="微软雅黑" w:hAnsi="微软雅黑" w:eastAsia="微软雅黑" w:cs="微软雅黑"/>
                <w:b/>
                <w:bCs/>
                <w:i w:val="0"/>
                <w:iCs w:val="0"/>
                <w:color w:val="auto"/>
                <w:kern w:val="0"/>
                <w:sz w:val="21"/>
                <w:szCs w:val="21"/>
                <w:highlight w:val="none"/>
                <w:u w:val="none"/>
                <w:lang w:val="en-US" w:eastAsia="zh-CN" w:bidi="ar"/>
              </w:rPr>
              <w:t>（提供样品以及提供第三方机构出具的检测报告）</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AE335">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p>
        </w:tc>
      </w:tr>
      <w:tr w14:paraId="12C75F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478C4">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117 </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2E95C">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金银花</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3BD8D">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3AA6B">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04DAC">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310 </w:t>
            </w:r>
          </w:p>
        </w:tc>
        <w:tc>
          <w:tcPr>
            <w:tcW w:w="4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10C8E">
            <w:pPr>
              <w:keepNext w:val="0"/>
              <w:keepLines w:val="0"/>
              <w:widowControl/>
              <w:suppressLineNumbers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本品呈棒状，上粗下细，略弯曲，长2～3cm，上部直径约3mm，下部直径约1.5 mm。表面黄白色或绿白色（贮久色渐深），密被短柔毛。偶见叶状苞片。花萼绿色，先端5裂，裂片有毛，长约2mm。开放者花冠筒状，先端二唇形；雄蕊5，附于筒壁，黄色；雌蕊1，子房无毛。气清香，味淡、微苦。</w:t>
            </w:r>
            <w:r>
              <w:rPr>
                <w:rFonts w:hint="eastAsia" w:ascii="微软雅黑" w:hAnsi="微软雅黑" w:eastAsia="微软雅黑" w:cs="微软雅黑"/>
                <w:b/>
                <w:bCs/>
                <w:i w:val="0"/>
                <w:iCs w:val="0"/>
                <w:color w:val="auto"/>
                <w:kern w:val="0"/>
                <w:sz w:val="21"/>
                <w:szCs w:val="21"/>
                <w:highlight w:val="none"/>
                <w:u w:val="none"/>
                <w:lang w:val="en-US" w:eastAsia="zh-CN" w:bidi="ar"/>
              </w:rPr>
              <w:t>（提供样品以及提供第三方机构出具的检测报告）</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DC411">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p>
        </w:tc>
      </w:tr>
      <w:tr w14:paraId="73F82B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CC302">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118 </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0A114">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荆芥</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60184">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2AB08">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33D0C">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60 </w:t>
            </w:r>
          </w:p>
        </w:tc>
        <w:tc>
          <w:tcPr>
            <w:tcW w:w="4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7F0F1">
            <w:pPr>
              <w:keepNext w:val="0"/>
              <w:keepLines w:val="0"/>
              <w:widowControl/>
              <w:suppressLineNumbers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茎呈方柱形，上部有分枝，长50～80cm，直径0.2～0.4cm；表面淡黄绿色或淡紫红色，被短柔毛；体轻，质脆，断面类白色。叶对生，多已脱落，叶片3～5羽状分裂，裂片细长。穗状轮伞花序顶生，长2～9cm，直径约0.7cm。花冠多脱落，宿萼钟状，先端5齿裂，淡棕色或黄绿色，被短柔毛；小坚果棕黑色。气芳香，味微涩而辛凉。</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C6CDD">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021F75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7"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A81FF">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119 </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B7A81">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菊花</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88EE2">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ADBA6">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391B7">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70 </w:t>
            </w:r>
          </w:p>
        </w:tc>
        <w:tc>
          <w:tcPr>
            <w:tcW w:w="4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3A35A">
            <w:pPr>
              <w:keepNext w:val="0"/>
              <w:keepLines w:val="0"/>
              <w:widowControl/>
              <w:suppressLineNumbers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亳菊　呈倒圆锥形或圆筒形，有时稍压扁呈扇形，直径1.5～3cm，离散。总苞碟状；总苞片3～4层，卵形或椭圆形，草质，黄绿色或褐绿色，外面被柔毛，边缘膜质。花托半球形，无托片或托毛。舌状花数层，雌性，位于外围，类白色，劲直，上举，纵向折缩，散生金黄色腺点；管状花多数，两性，位于中央，为舌状花所隐藏，黄色，顶端5齿裂。瘦果不发育，无冠毛。体轻，质柔润，干时松脆。气清香，味甘、微苦。</w:t>
            </w:r>
            <w:r>
              <w:rPr>
                <w:rFonts w:hint="eastAsia" w:ascii="微软雅黑" w:hAnsi="微软雅黑" w:eastAsia="微软雅黑" w:cs="微软雅黑"/>
                <w:i w:val="0"/>
                <w:iCs w:val="0"/>
                <w:color w:val="auto"/>
                <w:kern w:val="0"/>
                <w:sz w:val="21"/>
                <w:szCs w:val="21"/>
                <w:highlight w:val="none"/>
                <w:u w:val="none"/>
                <w:lang w:val="en-US" w:eastAsia="zh-CN" w:bidi="ar"/>
              </w:rPr>
              <w:br w:type="textWrapping"/>
            </w:r>
            <w:r>
              <w:rPr>
                <w:rFonts w:hint="eastAsia" w:ascii="微软雅黑" w:hAnsi="微软雅黑" w:eastAsia="微软雅黑" w:cs="微软雅黑"/>
                <w:i w:val="0"/>
                <w:iCs w:val="0"/>
                <w:color w:val="auto"/>
                <w:kern w:val="0"/>
                <w:sz w:val="21"/>
                <w:szCs w:val="21"/>
                <w:highlight w:val="none"/>
                <w:u w:val="none"/>
                <w:lang w:val="en-US" w:eastAsia="zh-CN" w:bidi="ar"/>
              </w:rPr>
              <w:br w:type="textWrapping"/>
            </w:r>
            <w:r>
              <w:rPr>
                <w:rFonts w:hint="eastAsia" w:ascii="微软雅黑" w:hAnsi="微软雅黑" w:eastAsia="微软雅黑" w:cs="微软雅黑"/>
                <w:i w:val="0"/>
                <w:iCs w:val="0"/>
                <w:color w:val="auto"/>
                <w:kern w:val="0"/>
                <w:sz w:val="21"/>
                <w:szCs w:val="21"/>
                <w:highlight w:val="none"/>
                <w:u w:val="none"/>
                <w:lang w:val="en-US" w:eastAsia="zh-CN" w:bidi="ar"/>
              </w:rPr>
              <w:t>滁菊　呈不规则球形或扁球形，直径1.5～2.5cm。舌状花类白色，不规则扭曲，内卷，边缘皱缩，有时可见淡褐色腺点；管状花大多隐藏。</w:t>
            </w:r>
            <w:r>
              <w:rPr>
                <w:rFonts w:hint="eastAsia" w:ascii="微软雅黑" w:hAnsi="微软雅黑" w:eastAsia="微软雅黑" w:cs="微软雅黑"/>
                <w:i w:val="0"/>
                <w:iCs w:val="0"/>
                <w:color w:val="auto"/>
                <w:kern w:val="0"/>
                <w:sz w:val="21"/>
                <w:szCs w:val="21"/>
                <w:highlight w:val="none"/>
                <w:u w:val="none"/>
                <w:lang w:val="en-US" w:eastAsia="zh-CN" w:bidi="ar"/>
              </w:rPr>
              <w:br w:type="textWrapping"/>
            </w:r>
            <w:r>
              <w:rPr>
                <w:rFonts w:hint="eastAsia" w:ascii="微软雅黑" w:hAnsi="微软雅黑" w:eastAsia="微软雅黑" w:cs="微软雅黑"/>
                <w:i w:val="0"/>
                <w:iCs w:val="0"/>
                <w:color w:val="auto"/>
                <w:kern w:val="0"/>
                <w:sz w:val="21"/>
                <w:szCs w:val="21"/>
                <w:highlight w:val="none"/>
                <w:u w:val="none"/>
                <w:lang w:val="en-US" w:eastAsia="zh-CN" w:bidi="ar"/>
              </w:rPr>
              <w:br w:type="textWrapping"/>
            </w:r>
            <w:r>
              <w:rPr>
                <w:rFonts w:hint="eastAsia" w:ascii="微软雅黑" w:hAnsi="微软雅黑" w:eastAsia="微软雅黑" w:cs="微软雅黑"/>
                <w:i w:val="0"/>
                <w:iCs w:val="0"/>
                <w:color w:val="auto"/>
                <w:kern w:val="0"/>
                <w:sz w:val="21"/>
                <w:szCs w:val="21"/>
                <w:highlight w:val="none"/>
                <w:u w:val="none"/>
                <w:lang w:val="en-US" w:eastAsia="zh-CN" w:bidi="ar"/>
              </w:rPr>
              <w:t>贡菊　呈扁球形或不规则球形，直径1.5～2.5cm。舌状花白色或类白色，斜升，上部反折，边缘稍内卷而皱缩，通常无腺点；管状花少，外露。</w:t>
            </w:r>
            <w:r>
              <w:rPr>
                <w:rFonts w:hint="eastAsia" w:ascii="微软雅黑" w:hAnsi="微软雅黑" w:eastAsia="微软雅黑" w:cs="微软雅黑"/>
                <w:i w:val="0"/>
                <w:iCs w:val="0"/>
                <w:color w:val="auto"/>
                <w:kern w:val="0"/>
                <w:sz w:val="21"/>
                <w:szCs w:val="21"/>
                <w:highlight w:val="none"/>
                <w:u w:val="none"/>
                <w:lang w:val="en-US" w:eastAsia="zh-CN" w:bidi="ar"/>
              </w:rPr>
              <w:br w:type="textWrapping"/>
            </w:r>
            <w:r>
              <w:rPr>
                <w:rFonts w:hint="eastAsia" w:ascii="微软雅黑" w:hAnsi="微软雅黑" w:eastAsia="微软雅黑" w:cs="微软雅黑"/>
                <w:i w:val="0"/>
                <w:iCs w:val="0"/>
                <w:color w:val="auto"/>
                <w:kern w:val="0"/>
                <w:sz w:val="21"/>
                <w:szCs w:val="21"/>
                <w:highlight w:val="none"/>
                <w:u w:val="none"/>
                <w:lang w:val="en-US" w:eastAsia="zh-CN" w:bidi="ar"/>
              </w:rPr>
              <w:br w:type="textWrapping"/>
            </w:r>
            <w:r>
              <w:rPr>
                <w:rFonts w:hint="eastAsia" w:ascii="微软雅黑" w:hAnsi="微软雅黑" w:eastAsia="微软雅黑" w:cs="微软雅黑"/>
                <w:i w:val="0"/>
                <w:iCs w:val="0"/>
                <w:color w:val="auto"/>
                <w:kern w:val="0"/>
                <w:sz w:val="21"/>
                <w:szCs w:val="21"/>
                <w:highlight w:val="none"/>
                <w:u w:val="none"/>
                <w:lang w:val="en-US" w:eastAsia="zh-CN" w:bidi="ar"/>
              </w:rPr>
              <w:t>杭菊　呈碟形或扁球形，直径2.5～4cm，常数个相连成片。舌状花类白色或黄色，平展或微折叠，彼此粘连，通常无腺点；管状花多数，外露。</w:t>
            </w:r>
            <w:r>
              <w:rPr>
                <w:rFonts w:hint="eastAsia" w:ascii="微软雅黑" w:hAnsi="微软雅黑" w:eastAsia="微软雅黑" w:cs="微软雅黑"/>
                <w:i w:val="0"/>
                <w:iCs w:val="0"/>
                <w:color w:val="auto"/>
                <w:kern w:val="0"/>
                <w:sz w:val="21"/>
                <w:szCs w:val="21"/>
                <w:highlight w:val="none"/>
                <w:u w:val="none"/>
                <w:lang w:val="en-US" w:eastAsia="zh-CN" w:bidi="ar"/>
              </w:rPr>
              <w:br w:type="textWrapping"/>
            </w:r>
            <w:r>
              <w:rPr>
                <w:rFonts w:hint="eastAsia" w:ascii="微软雅黑" w:hAnsi="微软雅黑" w:eastAsia="微软雅黑" w:cs="微软雅黑"/>
                <w:i w:val="0"/>
                <w:iCs w:val="0"/>
                <w:color w:val="auto"/>
                <w:kern w:val="0"/>
                <w:sz w:val="21"/>
                <w:szCs w:val="21"/>
                <w:highlight w:val="none"/>
                <w:u w:val="none"/>
                <w:lang w:val="en-US" w:eastAsia="zh-CN" w:bidi="ar"/>
              </w:rPr>
              <w:t>怀菊　呈不规则球形或扁球形，直径1.5～2.5cm。多数为舌状花，舌状花类白色或黄色，不规则扭曲，内卷，边缘皱缩，有时可见腺点；管状花大多隐藏。</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C3408">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044619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85777">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120 </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49037">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款冬花</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ACE23">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16261">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7A6EB">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195 </w:t>
            </w:r>
          </w:p>
        </w:tc>
        <w:tc>
          <w:tcPr>
            <w:tcW w:w="4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FEBED">
            <w:pPr>
              <w:keepNext w:val="0"/>
              <w:keepLines w:val="0"/>
              <w:widowControl/>
              <w:suppressLineNumbers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呈长圆棒状。单生或2～3个基部连生，长1～2.5cm，直径0.5～1cm。顶端稍膨大，下端渐细或带有残留的短梗，外面被有多数鱼鳞状总苞片。总苞片数层，略呈三角形，表面紫红色或淡红色，内表面及边缘有白色绵毛。花序基部苞叶近广卵形。除去总苞片，可见极细小的舌状花及管状花，具冠毛。体轻，质软韧，折断后，有白色橡胶丝样绵毛外露。气香，味微苦而辛。</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4B559">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366CD5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3A0B1">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121 </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33C42">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连翘</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D8453">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536DF">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3DB3F">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540 </w:t>
            </w:r>
          </w:p>
        </w:tc>
        <w:tc>
          <w:tcPr>
            <w:tcW w:w="4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B37CE">
            <w:pPr>
              <w:keepNext w:val="0"/>
              <w:keepLines w:val="0"/>
              <w:widowControl/>
              <w:suppressLineNumbers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呈长卵形至卵形，稍扁，长1.5～2.5cm，直径0.5～1.3cm。表面有不规则的纵皱纹和多数突起的小斑点，两面各有1条明显的纵沟。顶端锐尖，基部有小果梗或已脱落。青翘多不开裂，表面绿褐色，突起的灰白色小斑点较少；质硬；种子多数，黄绿色，细长，一侧有翅。老翘自顶端开裂或裂成两瓣，表面黄棕色或红棕色，内表面多为浅黄棕色，平滑，具一纵隔；质脆；种子棕色，多已脱落。气微香，味苦。</w:t>
            </w:r>
            <w:r>
              <w:rPr>
                <w:rFonts w:hint="eastAsia" w:ascii="微软雅黑" w:hAnsi="微软雅黑" w:eastAsia="微软雅黑" w:cs="微软雅黑"/>
                <w:b/>
                <w:bCs/>
                <w:i w:val="0"/>
                <w:iCs w:val="0"/>
                <w:color w:val="auto"/>
                <w:kern w:val="0"/>
                <w:sz w:val="21"/>
                <w:szCs w:val="21"/>
                <w:highlight w:val="none"/>
                <w:u w:val="none"/>
                <w:lang w:val="en-US" w:eastAsia="zh-CN" w:bidi="ar"/>
              </w:rPr>
              <w:t>（提供样品以及提供第三方机构出具的检测报告）</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772B3">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p>
        </w:tc>
      </w:tr>
      <w:tr w14:paraId="521E13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4B714">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122 </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B5889">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莨菪子</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DF721">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D4976">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96A7E">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125 </w:t>
            </w:r>
          </w:p>
        </w:tc>
        <w:tc>
          <w:tcPr>
            <w:tcW w:w="4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41303">
            <w:pPr>
              <w:keepNext w:val="0"/>
              <w:keepLines w:val="0"/>
              <w:widowControl/>
              <w:suppressLineNumbers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本品呈类扁肾形或扁卵形，直径约1mm。表面棕黄色或灰黄色，有细密的网纹，略尖的一端有点状种脐。剖面灰白色，油质，有胚乳，胚弯曲。气微，味微辛。</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14100">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28D079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FAD61">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123 </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6963E">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龙胆乳米</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19988">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2E1E8">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44AF4">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110 </w:t>
            </w:r>
          </w:p>
        </w:tc>
        <w:tc>
          <w:tcPr>
            <w:tcW w:w="4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56151">
            <w:pPr>
              <w:keepNext w:val="0"/>
              <w:keepLines w:val="0"/>
              <w:widowControl/>
              <w:suppressLineNumbers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龙胆 根为圆柱形的段，直径0.2~0.3cm。表面深棕色或棕褐色，具纵皱纹或横皱纹，质脆，微具焦斑;切面深黄色，维管束点状环列。根茎类圆形或不规则形，直径0.3~lcm，可见茎痕或根痕。微具酒香气，味极苦。</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913D1">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3DDC45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56AF3">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124 </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D8BED">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路路通</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043B8">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F408A">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D5403">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34 </w:t>
            </w:r>
          </w:p>
        </w:tc>
        <w:tc>
          <w:tcPr>
            <w:tcW w:w="4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64E06">
            <w:pPr>
              <w:keepNext w:val="0"/>
              <w:keepLines w:val="0"/>
              <w:widowControl/>
              <w:suppressLineNumbers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本品为聚花果，由多数小蒴果集合而成，呈球形，直径2～3cm。基部有总果梗。表面灰棕色或棕褐色，有多数尖刺和喙状小钝刺，长0.5～1 mm，常折断，小蒴果顶部开裂，呈蜂窝状小孔。体轻，质硬，不易破开。气微，味淡。</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686C0">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16A139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FF4A0">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125 </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23FC3">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麻黄</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6E6D1">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10F6B">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12F19">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65 </w:t>
            </w:r>
          </w:p>
        </w:tc>
        <w:tc>
          <w:tcPr>
            <w:tcW w:w="4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6EBB4">
            <w:pPr>
              <w:keepNext w:val="0"/>
              <w:keepLines w:val="0"/>
              <w:widowControl/>
              <w:suppressLineNumbers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草麻黄　呈细长圆柱形，少分枝，直径1～2mm。有的带少量棕色木质茎。表面淡绿色至黄绿色，有细纵脊线，触之微有粗糙感。节明显，节间长2～6cm。节上有膜质鳞叶，长3～4mm；裂片2（稀3），锐三角形，先端灰白色，反曲，基部联合成筒状，红棕色。体轻，质脆，易折断，断面略呈纤维性，周边绿黄色，髓部红棕色，近圆形。气微香，味涩、微苦。</w:t>
            </w:r>
            <w:r>
              <w:rPr>
                <w:rFonts w:hint="eastAsia" w:ascii="微软雅黑" w:hAnsi="微软雅黑" w:eastAsia="微软雅黑" w:cs="微软雅黑"/>
                <w:i w:val="0"/>
                <w:iCs w:val="0"/>
                <w:color w:val="auto"/>
                <w:kern w:val="0"/>
                <w:sz w:val="21"/>
                <w:szCs w:val="21"/>
                <w:highlight w:val="none"/>
                <w:u w:val="none"/>
                <w:lang w:val="en-US" w:eastAsia="zh-CN" w:bidi="ar"/>
              </w:rPr>
              <w:br w:type="textWrapping"/>
            </w:r>
            <w:r>
              <w:rPr>
                <w:rFonts w:hint="eastAsia" w:ascii="微软雅黑" w:hAnsi="微软雅黑" w:eastAsia="微软雅黑" w:cs="微软雅黑"/>
                <w:i w:val="0"/>
                <w:iCs w:val="0"/>
                <w:color w:val="auto"/>
                <w:kern w:val="0"/>
                <w:sz w:val="21"/>
                <w:szCs w:val="21"/>
                <w:highlight w:val="none"/>
                <w:u w:val="none"/>
                <w:lang w:val="en-US" w:eastAsia="zh-CN" w:bidi="ar"/>
              </w:rPr>
              <w:br w:type="textWrapping"/>
            </w:r>
            <w:r>
              <w:rPr>
                <w:rFonts w:hint="eastAsia" w:ascii="微软雅黑" w:hAnsi="微软雅黑" w:eastAsia="微软雅黑" w:cs="微软雅黑"/>
                <w:i w:val="0"/>
                <w:iCs w:val="0"/>
                <w:color w:val="auto"/>
                <w:kern w:val="0"/>
                <w:sz w:val="21"/>
                <w:szCs w:val="21"/>
                <w:highlight w:val="none"/>
                <w:u w:val="none"/>
                <w:lang w:val="en-US" w:eastAsia="zh-CN" w:bidi="ar"/>
              </w:rPr>
              <w:t>中麻黄　多分枝，直径1.5～3mm，有粗糙感。节上膜质鳞叶长2～3mm，裂片3（稀2），先端锐尖。断面髓部呈三角状圆形。</w:t>
            </w:r>
            <w:r>
              <w:rPr>
                <w:rFonts w:hint="eastAsia" w:ascii="微软雅黑" w:hAnsi="微软雅黑" w:eastAsia="微软雅黑" w:cs="微软雅黑"/>
                <w:i w:val="0"/>
                <w:iCs w:val="0"/>
                <w:color w:val="auto"/>
                <w:kern w:val="0"/>
                <w:sz w:val="21"/>
                <w:szCs w:val="21"/>
                <w:highlight w:val="none"/>
                <w:u w:val="none"/>
                <w:lang w:val="en-US" w:eastAsia="zh-CN" w:bidi="ar"/>
              </w:rPr>
              <w:br w:type="textWrapping"/>
            </w:r>
            <w:r>
              <w:rPr>
                <w:rFonts w:hint="eastAsia" w:ascii="微软雅黑" w:hAnsi="微软雅黑" w:eastAsia="微软雅黑" w:cs="微软雅黑"/>
                <w:i w:val="0"/>
                <w:iCs w:val="0"/>
                <w:color w:val="auto"/>
                <w:kern w:val="0"/>
                <w:sz w:val="21"/>
                <w:szCs w:val="21"/>
                <w:highlight w:val="none"/>
                <w:u w:val="none"/>
                <w:lang w:val="en-US" w:eastAsia="zh-CN" w:bidi="ar"/>
              </w:rPr>
              <w:br w:type="textWrapping"/>
            </w:r>
            <w:r>
              <w:rPr>
                <w:rFonts w:hint="eastAsia" w:ascii="微软雅黑" w:hAnsi="微软雅黑" w:eastAsia="微软雅黑" w:cs="微软雅黑"/>
                <w:i w:val="0"/>
                <w:iCs w:val="0"/>
                <w:color w:val="auto"/>
                <w:kern w:val="0"/>
                <w:sz w:val="21"/>
                <w:szCs w:val="21"/>
                <w:highlight w:val="none"/>
                <w:u w:val="none"/>
                <w:lang w:val="en-US" w:eastAsia="zh-CN" w:bidi="ar"/>
              </w:rPr>
              <w:t>木贼麻黄　较多分枝，直径1～1.5mm，无粗糙感。节间长1.5～3cm。膜质鳞叶长1～2mm；裂片2（稀3），上部为短三角形，灰白色，先端多不反曲，基部棕红色至棕黑色。</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25DF0">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500380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B5A86">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126 </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DE46F">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麦冬</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47EDE">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2F6E0">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3DFB2">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110 </w:t>
            </w:r>
          </w:p>
        </w:tc>
        <w:tc>
          <w:tcPr>
            <w:tcW w:w="4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F1C92">
            <w:pPr>
              <w:keepNext w:val="0"/>
              <w:keepLines w:val="0"/>
              <w:widowControl/>
              <w:suppressLineNumbers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本品呈纺锤形，两端略尖，长1.5～3cm，直径0.3～0.6cm。表面淡黄色或灰黄色，有细纵纹。质柔韧，断面黄白色，半透明，中柱细小。气微香，味甘、微苦。</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35C28">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6AE994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E9206">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127 </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9067F">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羌活</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B0C15">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5EEC1">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27E6D">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240 </w:t>
            </w:r>
          </w:p>
        </w:tc>
        <w:tc>
          <w:tcPr>
            <w:tcW w:w="4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9D8B6">
            <w:pPr>
              <w:keepNext w:val="0"/>
              <w:keepLines w:val="0"/>
              <w:widowControl/>
              <w:suppressLineNumbers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羌活　为圆柱状略弯曲的根茎，长4～13cm，直径0.6～2.5cm，顶端具茎痕。表面棕褐色至黑褐色，外皮脱落处呈黄色。节间缩短，呈紧密隆起的环状，形似蚕，习称“蚕羌”；节间延长，形如竹节状，习称“竹节羌”。节上有多数点状或瘤状突起的根痕及棕色破碎鳞片。体轻，质脆，易折断，断面不平整，有多数裂隙，皮部黄棕色至暗棕色，油润，有棕色油点，木部黄白色，射线明显，髓部黄色至黄棕色。气香，味微苦而辛。</w:t>
            </w:r>
            <w:r>
              <w:rPr>
                <w:rFonts w:hint="eastAsia" w:ascii="微软雅黑" w:hAnsi="微软雅黑" w:eastAsia="微软雅黑" w:cs="微软雅黑"/>
                <w:i w:val="0"/>
                <w:iCs w:val="0"/>
                <w:color w:val="auto"/>
                <w:kern w:val="0"/>
                <w:sz w:val="21"/>
                <w:szCs w:val="21"/>
                <w:highlight w:val="none"/>
                <w:u w:val="none"/>
                <w:lang w:val="en-US" w:eastAsia="zh-CN" w:bidi="ar"/>
              </w:rPr>
              <w:br w:type="textWrapping"/>
            </w:r>
            <w:r>
              <w:rPr>
                <w:rFonts w:hint="eastAsia" w:ascii="微软雅黑" w:hAnsi="微软雅黑" w:eastAsia="微软雅黑" w:cs="微软雅黑"/>
                <w:i w:val="0"/>
                <w:iCs w:val="0"/>
                <w:color w:val="auto"/>
                <w:kern w:val="0"/>
                <w:sz w:val="21"/>
                <w:szCs w:val="21"/>
                <w:highlight w:val="none"/>
                <w:u w:val="none"/>
                <w:lang w:val="en-US" w:eastAsia="zh-CN" w:bidi="ar"/>
              </w:rPr>
              <w:br w:type="textWrapping"/>
            </w:r>
            <w:r>
              <w:rPr>
                <w:rFonts w:hint="eastAsia" w:ascii="微软雅黑" w:hAnsi="微软雅黑" w:eastAsia="微软雅黑" w:cs="微软雅黑"/>
                <w:i w:val="0"/>
                <w:iCs w:val="0"/>
                <w:color w:val="auto"/>
                <w:kern w:val="0"/>
                <w:sz w:val="21"/>
                <w:szCs w:val="21"/>
                <w:highlight w:val="none"/>
                <w:u w:val="none"/>
                <w:lang w:val="en-US" w:eastAsia="zh-CN" w:bidi="ar"/>
              </w:rPr>
              <w:t>宽叶羌活　为根茎和根。根茎类圆柱形，顶端具茎和叶鞘残基，根类圆锥形，有纵皱纹和皮孔；表面棕褐色，近根茎处有较密的环纹，长8～15cm，直径1～3cm，习称“条羌”。有的根茎粗大，不规则结节状，顶部具数个茎基，根较细，习称“大头羌”。质松脆，易折断，断面略平坦，皮部浅棕色，木部黄白色。气味较淡。</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2BA8C">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35559D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88AE0">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128 </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F62E6">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砂仁</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05F5F">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04533">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66B96">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452 </w:t>
            </w:r>
          </w:p>
        </w:tc>
        <w:tc>
          <w:tcPr>
            <w:tcW w:w="4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2EA9B">
            <w:pPr>
              <w:keepNext w:val="0"/>
              <w:keepLines w:val="0"/>
              <w:widowControl/>
              <w:suppressLineNumbers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 阳春砂、绿壳砂　呈椭圆形或卵圆形，有不明显的三棱，长1.5～2cm，直径1～1.5cm。表面棕褐色，密生刺状突起，顶端有花被残基，基部常有果梗。果皮薄而软。种子集结成团，具三钝棱，中有白色隔膜，将种子团分成3瓣，每瓣有种子5～26粒。种子为不规则多面体，直径2～3mm；表面棕红色或暗褐色，有细皱纹，外被淡棕色膜质假种皮；质硬，胚乳灰白色。气芳香而浓烈，味辛凉、微苦。</w:t>
            </w:r>
            <w:r>
              <w:rPr>
                <w:rFonts w:hint="eastAsia" w:ascii="微软雅黑" w:hAnsi="微软雅黑" w:eastAsia="微软雅黑" w:cs="微软雅黑"/>
                <w:b/>
                <w:bCs/>
                <w:i w:val="0"/>
                <w:iCs w:val="0"/>
                <w:color w:val="auto"/>
                <w:kern w:val="0"/>
                <w:sz w:val="21"/>
                <w:szCs w:val="21"/>
                <w:highlight w:val="none"/>
                <w:u w:val="none"/>
                <w:lang w:val="en-US" w:eastAsia="zh-CN" w:bidi="ar"/>
              </w:rPr>
              <w:t>（提供样品以及提供第三方机构出具的检测报告）</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4FE51">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p>
        </w:tc>
      </w:tr>
      <w:tr w14:paraId="0FB656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3179C">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129 </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18ACA">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生石膏</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F3601">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26EDF">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59529">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25 </w:t>
            </w:r>
          </w:p>
        </w:tc>
        <w:tc>
          <w:tcPr>
            <w:tcW w:w="4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A946E">
            <w:pPr>
              <w:keepNext w:val="0"/>
              <w:keepLines w:val="0"/>
              <w:widowControl/>
              <w:suppressLineNumbers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本品为不规则块状。白色、灰白色或淡黄色。体重，质软，纵断面具绢丝样光泽。气微，味淡。</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D0CC7">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0142FC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488BC">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130 </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CAD19">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透骨草</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8E7E1">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2B3C2">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AD63D">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58 </w:t>
            </w:r>
          </w:p>
        </w:tc>
        <w:tc>
          <w:tcPr>
            <w:tcW w:w="4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A1A66">
            <w:pPr>
              <w:keepNext w:val="0"/>
              <w:keepLines w:val="0"/>
              <w:widowControl/>
              <w:suppressLineNumbers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本品呈干瘪皱缩的长圆柱形，有分枝，长30~60cm，直径0.3~0.8cm，下端直径可至2cm。表面黄棕色或红棕色，有明显纵沟，节膨大，可见互生的突起叶痕。体轻质脆，易折断，断面中空或有白色的髓。气微，味微酸。</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D4C3D">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74372C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3C8C4">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131 </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53CE7">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蜘蛛香</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CE1C9">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A3A41">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9B348">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120 </w:t>
            </w:r>
          </w:p>
        </w:tc>
        <w:tc>
          <w:tcPr>
            <w:tcW w:w="4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8EF9C">
            <w:pPr>
              <w:keepNext w:val="0"/>
              <w:keepLines w:val="0"/>
              <w:widowControl/>
              <w:suppressLineNumbers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根茎呈圆柱形，略扁，稍弯曲，少分枝，长1.5～8cm，直径0.5～2cm；表面暗棕色或灰褐色，有紧密隆起的环节和突起的点状根痕，有的顶端略膨大，具茎、叶残基；质坚实，不易折断，折断面略平坦，黄棕色或灰棕色，可见筋脉点（维管束）断续排列成环。根细长，稍弯曲，长3～15cm，直径约0.2cm，有浅纵皱纹，质脆。气特异，味微苦、辛。</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FC5B3">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0BCC90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BBF58">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132 </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F4995">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葶劳子</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28CA0">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30DD5">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E57E0">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45 </w:t>
            </w:r>
          </w:p>
        </w:tc>
        <w:tc>
          <w:tcPr>
            <w:tcW w:w="4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99EBB">
            <w:pPr>
              <w:keepNext w:val="0"/>
              <w:keepLines w:val="0"/>
              <w:widowControl/>
              <w:suppressLineNumbers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本品为十字花科植物独行菜或播娘蒿的干燥成熟种子。</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CCF87">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提供检验报告单</w:t>
            </w:r>
          </w:p>
        </w:tc>
      </w:tr>
      <w:tr w14:paraId="0A73E3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56834">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133 </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9D08B">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人参片</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8678D">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统货</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F426C">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kg</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45838">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 xml:space="preserve">660 </w:t>
            </w:r>
          </w:p>
        </w:tc>
        <w:tc>
          <w:tcPr>
            <w:tcW w:w="48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1776C">
            <w:pPr>
              <w:keepNext w:val="0"/>
              <w:keepLines w:val="0"/>
              <w:widowControl/>
              <w:suppressLineNumbers w:val="0"/>
              <w:jc w:val="left"/>
              <w:textAlignment w:val="center"/>
              <w:rPr>
                <w:rFonts w:hint="eastAsia" w:ascii="微软雅黑" w:hAnsi="微软雅黑" w:eastAsia="微软雅黑" w:cs="微软雅黑"/>
                <w:i w:val="0"/>
                <w:iCs w:val="0"/>
                <w:color w:val="auto"/>
                <w:sz w:val="21"/>
                <w:szCs w:val="21"/>
                <w:highlight w:val="none"/>
                <w:u w:val="none"/>
              </w:rPr>
            </w:pPr>
            <w:r>
              <w:rPr>
                <w:rFonts w:hint="eastAsia" w:ascii="微软雅黑" w:hAnsi="微软雅黑" w:eastAsia="微软雅黑" w:cs="微软雅黑"/>
                <w:i w:val="0"/>
                <w:iCs w:val="0"/>
                <w:color w:val="auto"/>
                <w:kern w:val="0"/>
                <w:sz w:val="21"/>
                <w:szCs w:val="21"/>
                <w:highlight w:val="none"/>
                <w:u w:val="none"/>
                <w:lang w:val="en-US" w:eastAsia="zh-CN" w:bidi="ar"/>
              </w:rPr>
              <w:t>主根呈纺锤形或圆柱形，长3～15cm，直径1～2cm。表面灰黄色，上部或全体有疏浅断续的粗横纹及明显的纵皱，下部有支根2～3条，并着生多数细长的须根，须根上常有不明显的细小疣状突出。根茎（芦头）长1～4cm，直径0.3～1.5cm，多拘挛而弯曲，具不定根（艼）和稀疏的凹窝状茎痕（芦碗）。质较硬，断面淡黄白色，显粉性，形成层环纹棕黄色，皮部有黄棕色的点状树脂道及放射状裂隙。香气特异，味微苦、甘。</w:t>
            </w:r>
            <w:r>
              <w:rPr>
                <w:rFonts w:hint="eastAsia" w:ascii="微软雅黑" w:hAnsi="微软雅黑" w:eastAsia="微软雅黑" w:cs="微软雅黑"/>
                <w:i w:val="0"/>
                <w:iCs w:val="0"/>
                <w:color w:val="auto"/>
                <w:kern w:val="0"/>
                <w:sz w:val="21"/>
                <w:szCs w:val="21"/>
                <w:highlight w:val="none"/>
                <w:u w:val="none"/>
                <w:lang w:val="en-US" w:eastAsia="zh-CN" w:bidi="ar"/>
              </w:rPr>
              <w:br w:type="textWrapping"/>
            </w:r>
            <w:r>
              <w:rPr>
                <w:rFonts w:hint="eastAsia" w:ascii="微软雅黑" w:hAnsi="微软雅黑" w:eastAsia="微软雅黑" w:cs="微软雅黑"/>
                <w:i w:val="0"/>
                <w:iCs w:val="0"/>
                <w:color w:val="auto"/>
                <w:kern w:val="0"/>
                <w:sz w:val="21"/>
                <w:szCs w:val="21"/>
                <w:highlight w:val="none"/>
                <w:u w:val="none"/>
                <w:lang w:val="en-US" w:eastAsia="zh-CN" w:bidi="ar"/>
              </w:rPr>
              <w:br w:type="textWrapping"/>
            </w:r>
            <w:r>
              <w:rPr>
                <w:rFonts w:hint="eastAsia" w:ascii="微软雅黑" w:hAnsi="微软雅黑" w:eastAsia="微软雅黑" w:cs="微软雅黑"/>
                <w:i w:val="0"/>
                <w:iCs w:val="0"/>
                <w:color w:val="auto"/>
                <w:kern w:val="0"/>
                <w:sz w:val="21"/>
                <w:szCs w:val="21"/>
                <w:highlight w:val="none"/>
                <w:u w:val="none"/>
                <w:lang w:val="en-US" w:eastAsia="zh-CN" w:bidi="ar"/>
              </w:rPr>
              <w:t>或主根多与根茎近等长或较短，呈圆柱形、菱角形或人字形，长1～6cm。表面灰黄色，具纵皱纹，上部或中下部有环纹。支根多为2～3条，须根少而细长，清晰不乱，有较明显的疣状突起。根茎细长，少数粗短，中上部具稀疏或密集而深陷的茎痕。不定根较细，多下垂。</w:t>
            </w:r>
            <w:r>
              <w:rPr>
                <w:rFonts w:hint="eastAsia" w:ascii="微软雅黑" w:hAnsi="微软雅黑" w:eastAsia="微软雅黑" w:cs="微软雅黑"/>
                <w:b/>
                <w:bCs/>
                <w:i w:val="0"/>
                <w:iCs w:val="0"/>
                <w:color w:val="auto"/>
                <w:kern w:val="0"/>
                <w:sz w:val="21"/>
                <w:szCs w:val="21"/>
                <w:highlight w:val="none"/>
                <w:u w:val="none"/>
                <w:lang w:val="en-US" w:eastAsia="zh-CN" w:bidi="ar"/>
              </w:rPr>
              <w:t>（提供样品以及提供第三方机构出具的检测报告）</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D0EAA">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highlight w:val="none"/>
                <w:u w:val="none"/>
              </w:rPr>
            </w:pPr>
          </w:p>
        </w:tc>
      </w:tr>
    </w:tbl>
    <w:p w14:paraId="539643AF">
      <w:pPr>
        <w:numPr>
          <w:ilvl w:val="0"/>
          <w:numId w:val="0"/>
        </w:numPr>
        <w:jc w:val="left"/>
        <w:outlineLvl w:val="9"/>
        <w:rPr>
          <w:rStyle w:val="48"/>
          <w:rFonts w:hint="eastAsia" w:ascii="微软雅黑" w:hAnsi="微软雅黑" w:eastAsia="微软雅黑" w:cs="微软雅黑"/>
          <w:color w:val="auto"/>
          <w:sz w:val="28"/>
          <w:szCs w:val="28"/>
          <w:highlight w:val="none"/>
          <w:lang w:eastAsia="zh-CN"/>
        </w:rPr>
      </w:pPr>
    </w:p>
    <w:p w14:paraId="1C1EE370">
      <w:pPr>
        <w:numPr>
          <w:ilvl w:val="0"/>
          <w:numId w:val="0"/>
        </w:numPr>
        <w:jc w:val="left"/>
        <w:outlineLvl w:val="9"/>
        <w:rPr>
          <w:rStyle w:val="48"/>
          <w:rFonts w:hint="eastAsia" w:ascii="微软雅黑" w:hAnsi="微软雅黑" w:eastAsia="微软雅黑" w:cs="微软雅黑"/>
          <w:color w:val="auto"/>
          <w:sz w:val="28"/>
          <w:szCs w:val="28"/>
          <w:highlight w:val="none"/>
          <w:lang w:eastAsia="zh-CN"/>
        </w:rPr>
      </w:pPr>
    </w:p>
    <w:p w14:paraId="7F0C385C">
      <w:pPr>
        <w:numPr>
          <w:ilvl w:val="0"/>
          <w:numId w:val="0"/>
        </w:numPr>
        <w:jc w:val="left"/>
        <w:outlineLvl w:val="9"/>
        <w:rPr>
          <w:rStyle w:val="48"/>
          <w:rFonts w:hint="eastAsia" w:ascii="微软雅黑" w:hAnsi="微软雅黑" w:eastAsia="微软雅黑" w:cs="微软雅黑"/>
          <w:color w:val="auto"/>
          <w:sz w:val="28"/>
          <w:szCs w:val="28"/>
          <w:highlight w:val="none"/>
          <w:lang w:eastAsia="zh-CN"/>
        </w:rPr>
      </w:pPr>
    </w:p>
    <w:p w14:paraId="4491C0ED">
      <w:pPr>
        <w:rPr>
          <w:rStyle w:val="48"/>
          <w:rFonts w:hint="eastAsia" w:ascii="微软雅黑" w:hAnsi="微软雅黑" w:eastAsia="微软雅黑" w:cs="微软雅黑"/>
          <w:color w:val="auto"/>
          <w:sz w:val="28"/>
          <w:szCs w:val="28"/>
          <w:highlight w:val="none"/>
          <w:lang w:eastAsia="zh-CN"/>
        </w:rPr>
      </w:pPr>
      <w:bookmarkStart w:id="1687" w:name="_Toc6320"/>
      <w:bookmarkStart w:id="1688" w:name="_Toc501"/>
      <w:r>
        <w:rPr>
          <w:rStyle w:val="48"/>
          <w:rFonts w:hint="eastAsia" w:ascii="微软雅黑" w:hAnsi="微软雅黑" w:eastAsia="微软雅黑" w:cs="微软雅黑"/>
          <w:color w:val="auto"/>
          <w:sz w:val="28"/>
          <w:szCs w:val="28"/>
          <w:highlight w:val="none"/>
          <w:lang w:eastAsia="zh-CN"/>
        </w:rPr>
        <w:br w:type="page"/>
      </w:r>
    </w:p>
    <w:p w14:paraId="64DA53C8">
      <w:pPr>
        <w:numPr>
          <w:ilvl w:val="0"/>
          <w:numId w:val="0"/>
        </w:numPr>
        <w:jc w:val="left"/>
        <w:outlineLvl w:val="2"/>
        <w:rPr>
          <w:rFonts w:hint="eastAsia"/>
          <w:lang w:eastAsia="zh-CN"/>
        </w:rPr>
      </w:pPr>
      <w:r>
        <w:rPr>
          <w:rStyle w:val="48"/>
          <w:rFonts w:hint="eastAsia" w:ascii="微软雅黑" w:hAnsi="微软雅黑" w:eastAsia="微软雅黑" w:cs="微软雅黑"/>
          <w:color w:val="auto"/>
          <w:sz w:val="28"/>
          <w:szCs w:val="28"/>
          <w:highlight w:val="none"/>
          <w:lang w:eastAsia="zh-CN"/>
        </w:rPr>
        <w:t>标项四：包装材料</w:t>
      </w:r>
      <w:bookmarkEnd w:id="1687"/>
      <w:bookmarkEnd w:id="1688"/>
    </w:p>
    <w:tbl>
      <w:tblPr>
        <w:tblStyle w:val="32"/>
        <w:tblpPr w:leftFromText="180" w:rightFromText="180" w:vertAnchor="text" w:horzAnchor="page" w:tblpX="1434" w:tblpY="541"/>
        <w:tblOverlap w:val="never"/>
        <w:tblW w:w="938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03"/>
        <w:gridCol w:w="1440"/>
        <w:gridCol w:w="982"/>
        <w:gridCol w:w="1418"/>
        <w:gridCol w:w="4637"/>
      </w:tblGrid>
      <w:tr w14:paraId="12C22E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90" w:hRule="atLeast"/>
        </w:trPr>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F64E5">
            <w:pPr>
              <w:keepNext w:val="0"/>
              <w:keepLines w:val="0"/>
              <w:widowControl/>
              <w:suppressLineNumbers w:val="0"/>
              <w:jc w:val="center"/>
              <w:textAlignment w:val="center"/>
              <w:rPr>
                <w:rFonts w:hint="eastAsia" w:ascii="微软雅黑" w:hAnsi="微软雅黑" w:eastAsia="微软雅黑" w:cs="微软雅黑"/>
                <w:b/>
                <w:bCs/>
                <w:i w:val="0"/>
                <w:iCs w:val="0"/>
                <w:color w:val="auto"/>
                <w:sz w:val="21"/>
                <w:szCs w:val="21"/>
                <w:u w:val="none"/>
              </w:rPr>
            </w:pPr>
            <w:r>
              <w:rPr>
                <w:rFonts w:hint="eastAsia" w:ascii="微软雅黑" w:hAnsi="微软雅黑" w:eastAsia="微软雅黑" w:cs="微软雅黑"/>
                <w:b/>
                <w:bCs/>
                <w:i w:val="0"/>
                <w:iCs w:val="0"/>
                <w:color w:val="auto"/>
                <w:kern w:val="0"/>
                <w:sz w:val="21"/>
                <w:szCs w:val="21"/>
                <w:u w:val="none"/>
                <w:lang w:val="en-US" w:eastAsia="zh-CN" w:bidi="ar"/>
              </w:rPr>
              <w:t>序号</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AB04D">
            <w:pPr>
              <w:keepNext w:val="0"/>
              <w:keepLines w:val="0"/>
              <w:widowControl/>
              <w:suppressLineNumbers w:val="0"/>
              <w:jc w:val="center"/>
              <w:textAlignment w:val="center"/>
              <w:rPr>
                <w:rFonts w:hint="eastAsia" w:ascii="微软雅黑" w:hAnsi="微软雅黑" w:eastAsia="微软雅黑" w:cs="微软雅黑"/>
                <w:b/>
                <w:bCs/>
                <w:i w:val="0"/>
                <w:iCs w:val="0"/>
                <w:color w:val="auto"/>
                <w:sz w:val="21"/>
                <w:szCs w:val="21"/>
                <w:u w:val="none"/>
              </w:rPr>
            </w:pPr>
            <w:r>
              <w:rPr>
                <w:rFonts w:hint="eastAsia" w:ascii="微软雅黑" w:hAnsi="微软雅黑" w:eastAsia="微软雅黑" w:cs="微软雅黑"/>
                <w:b/>
                <w:bCs/>
                <w:i w:val="0"/>
                <w:iCs w:val="0"/>
                <w:color w:val="auto"/>
                <w:kern w:val="0"/>
                <w:sz w:val="21"/>
                <w:szCs w:val="21"/>
                <w:u w:val="none"/>
                <w:lang w:val="en-US" w:eastAsia="zh-CN" w:bidi="ar"/>
              </w:rPr>
              <w:t>名 称</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DDD5B">
            <w:pPr>
              <w:keepNext w:val="0"/>
              <w:keepLines w:val="0"/>
              <w:widowControl/>
              <w:suppressLineNumbers w:val="0"/>
              <w:jc w:val="center"/>
              <w:textAlignment w:val="center"/>
              <w:rPr>
                <w:rFonts w:hint="eastAsia" w:ascii="微软雅黑" w:hAnsi="微软雅黑" w:eastAsia="微软雅黑" w:cs="微软雅黑"/>
                <w:b/>
                <w:bCs/>
                <w:i w:val="0"/>
                <w:iCs w:val="0"/>
                <w:color w:val="auto"/>
                <w:sz w:val="21"/>
                <w:szCs w:val="21"/>
                <w:u w:val="none"/>
              </w:rPr>
            </w:pPr>
            <w:r>
              <w:rPr>
                <w:rFonts w:hint="eastAsia" w:ascii="微软雅黑" w:hAnsi="微软雅黑" w:eastAsia="微软雅黑" w:cs="微软雅黑"/>
                <w:b/>
                <w:bCs/>
                <w:i w:val="0"/>
                <w:iCs w:val="0"/>
                <w:color w:val="auto"/>
                <w:kern w:val="0"/>
                <w:sz w:val="21"/>
                <w:szCs w:val="21"/>
                <w:u w:val="none"/>
                <w:lang w:val="en-US" w:eastAsia="zh-CN" w:bidi="ar"/>
              </w:rPr>
              <w:t>单位</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E7219">
            <w:pPr>
              <w:keepNext w:val="0"/>
              <w:keepLines w:val="0"/>
              <w:widowControl/>
              <w:suppressLineNumbers w:val="0"/>
              <w:jc w:val="center"/>
              <w:textAlignment w:val="center"/>
              <w:rPr>
                <w:rFonts w:hint="eastAsia" w:ascii="微软雅黑" w:hAnsi="微软雅黑" w:eastAsia="微软雅黑" w:cs="微软雅黑"/>
                <w:b/>
                <w:bCs/>
                <w:i w:val="0"/>
                <w:iCs w:val="0"/>
                <w:color w:val="auto"/>
                <w:sz w:val="21"/>
                <w:szCs w:val="21"/>
                <w:u w:val="none"/>
              </w:rPr>
            </w:pPr>
            <w:r>
              <w:rPr>
                <w:rFonts w:hint="eastAsia" w:ascii="微软雅黑" w:hAnsi="微软雅黑" w:eastAsia="微软雅黑" w:cs="微软雅黑"/>
                <w:b/>
                <w:bCs/>
                <w:i w:val="0"/>
                <w:iCs w:val="0"/>
                <w:color w:val="auto"/>
                <w:kern w:val="0"/>
                <w:sz w:val="21"/>
                <w:szCs w:val="21"/>
                <w:highlight w:val="none"/>
                <w:u w:val="none"/>
                <w:lang w:val="en-US" w:eastAsia="zh-CN" w:bidi="ar"/>
              </w:rPr>
              <w:t>预算</w:t>
            </w:r>
            <w:r>
              <w:rPr>
                <w:rFonts w:hint="eastAsia" w:ascii="微软雅黑" w:hAnsi="微软雅黑" w:eastAsia="微软雅黑" w:cs="微软雅黑"/>
                <w:b/>
                <w:bCs/>
                <w:i w:val="0"/>
                <w:iCs w:val="0"/>
                <w:color w:val="auto"/>
                <w:kern w:val="0"/>
                <w:sz w:val="21"/>
                <w:szCs w:val="21"/>
                <w:u w:val="none"/>
                <w:lang w:val="en-US" w:eastAsia="zh-CN" w:bidi="ar"/>
              </w:rPr>
              <w:t>单价（元）</w:t>
            </w:r>
          </w:p>
        </w:tc>
        <w:tc>
          <w:tcPr>
            <w:tcW w:w="46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9CA9E">
            <w:pPr>
              <w:keepNext w:val="0"/>
              <w:keepLines w:val="0"/>
              <w:widowControl/>
              <w:suppressLineNumbers w:val="0"/>
              <w:jc w:val="center"/>
              <w:textAlignment w:val="center"/>
              <w:rPr>
                <w:rFonts w:hint="eastAsia" w:ascii="微软雅黑" w:hAnsi="微软雅黑" w:eastAsia="微软雅黑" w:cs="微软雅黑"/>
                <w:b/>
                <w:bCs/>
                <w:i w:val="0"/>
                <w:iCs w:val="0"/>
                <w:color w:val="auto"/>
                <w:sz w:val="21"/>
                <w:szCs w:val="21"/>
                <w:u w:val="none"/>
              </w:rPr>
            </w:pPr>
            <w:r>
              <w:rPr>
                <w:rFonts w:hint="eastAsia" w:ascii="微软雅黑" w:hAnsi="微软雅黑" w:eastAsia="微软雅黑" w:cs="微软雅黑"/>
                <w:b/>
                <w:bCs/>
                <w:i w:val="0"/>
                <w:iCs w:val="0"/>
                <w:color w:val="auto"/>
                <w:kern w:val="0"/>
                <w:sz w:val="21"/>
                <w:szCs w:val="21"/>
                <w:u w:val="none"/>
                <w:lang w:val="en-US" w:eastAsia="zh-CN" w:bidi="ar"/>
              </w:rPr>
              <w:t>参数要求</w:t>
            </w:r>
          </w:p>
        </w:tc>
      </w:tr>
      <w:tr w14:paraId="79C6BA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27" w:hRule="atLeast"/>
        </w:trPr>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11E7C">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u w:val="none"/>
              </w:rPr>
            </w:pPr>
            <w:r>
              <w:rPr>
                <w:rFonts w:hint="eastAsia" w:ascii="微软雅黑" w:hAnsi="微软雅黑" w:eastAsia="微软雅黑" w:cs="微软雅黑"/>
                <w:i w:val="0"/>
                <w:iCs w:val="0"/>
                <w:color w:val="auto"/>
                <w:kern w:val="0"/>
                <w:sz w:val="21"/>
                <w:szCs w:val="21"/>
                <w:u w:val="none"/>
                <w:lang w:val="en-US" w:eastAsia="zh-CN" w:bidi="ar"/>
              </w:rPr>
              <w:t>1</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5423E">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u w:val="none"/>
              </w:rPr>
            </w:pPr>
            <w:r>
              <w:rPr>
                <w:rFonts w:hint="eastAsia" w:ascii="微软雅黑" w:hAnsi="微软雅黑" w:eastAsia="微软雅黑" w:cs="微软雅黑"/>
                <w:i w:val="0"/>
                <w:iCs w:val="0"/>
                <w:color w:val="auto"/>
                <w:kern w:val="0"/>
                <w:sz w:val="21"/>
                <w:szCs w:val="21"/>
                <w:u w:val="none"/>
                <w:lang w:val="en-US" w:eastAsia="zh-CN" w:bidi="ar"/>
              </w:rPr>
              <w:t>泡脚袋</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45B4E">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u w:val="none"/>
              </w:rPr>
            </w:pPr>
            <w:r>
              <w:rPr>
                <w:rFonts w:hint="eastAsia" w:ascii="微软雅黑" w:hAnsi="微软雅黑" w:eastAsia="微软雅黑" w:cs="微软雅黑"/>
                <w:i w:val="0"/>
                <w:iCs w:val="0"/>
                <w:color w:val="auto"/>
                <w:kern w:val="0"/>
                <w:sz w:val="21"/>
                <w:szCs w:val="21"/>
                <w:u w:val="none"/>
                <w:lang w:val="en-US" w:eastAsia="zh-CN" w:bidi="ar"/>
              </w:rPr>
              <w:t>条</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EC44E">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u w:val="none"/>
              </w:rPr>
            </w:pPr>
            <w:r>
              <w:rPr>
                <w:rFonts w:hint="eastAsia" w:ascii="微软雅黑" w:hAnsi="微软雅黑" w:eastAsia="微软雅黑" w:cs="微软雅黑"/>
                <w:i w:val="0"/>
                <w:iCs w:val="0"/>
                <w:color w:val="auto"/>
                <w:kern w:val="0"/>
                <w:sz w:val="21"/>
                <w:szCs w:val="21"/>
                <w:u w:val="none"/>
                <w:lang w:val="en-US" w:eastAsia="zh-CN" w:bidi="ar"/>
              </w:rPr>
              <w:t>0.68</w:t>
            </w:r>
          </w:p>
        </w:tc>
        <w:tc>
          <w:tcPr>
            <w:tcW w:w="46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9EEAD">
            <w:pPr>
              <w:keepNext w:val="0"/>
              <w:keepLines w:val="0"/>
              <w:widowControl/>
              <w:suppressLineNumbers w:val="0"/>
              <w:jc w:val="left"/>
              <w:textAlignment w:val="center"/>
              <w:rPr>
                <w:rFonts w:hint="eastAsia" w:ascii="微软雅黑" w:hAnsi="微软雅黑" w:eastAsia="微软雅黑" w:cs="微软雅黑"/>
                <w:i w:val="0"/>
                <w:iCs w:val="0"/>
                <w:color w:val="auto"/>
                <w:sz w:val="21"/>
                <w:szCs w:val="21"/>
                <w:u w:val="none"/>
              </w:rPr>
            </w:pPr>
            <w:r>
              <w:rPr>
                <w:rFonts w:hint="eastAsia" w:ascii="微软雅黑" w:hAnsi="微软雅黑" w:eastAsia="微软雅黑" w:cs="微软雅黑"/>
                <w:i w:val="0"/>
                <w:iCs w:val="0"/>
                <w:color w:val="auto"/>
                <w:kern w:val="0"/>
                <w:sz w:val="21"/>
                <w:szCs w:val="21"/>
                <w:u w:val="none"/>
                <w:lang w:val="en-US" w:eastAsia="zh-CN" w:bidi="ar"/>
              </w:rPr>
              <w:t>材质全新料透明低密度聚乙烯60cm*90cm单面厚度0.05mm（毫米），材质食品级，</w:t>
            </w:r>
            <w:r>
              <w:rPr>
                <w:rFonts w:hint="eastAsia" w:ascii="微软雅黑" w:hAnsi="微软雅黑" w:eastAsia="微软雅黑" w:cs="微软雅黑"/>
                <w:b/>
                <w:bCs/>
                <w:i w:val="0"/>
                <w:iCs w:val="0"/>
                <w:color w:val="auto"/>
                <w:kern w:val="0"/>
                <w:sz w:val="21"/>
                <w:szCs w:val="21"/>
                <w:u w:val="none"/>
                <w:lang w:val="en-US" w:eastAsia="zh-CN" w:bidi="ar"/>
              </w:rPr>
              <w:t>产品提供检验报告单</w:t>
            </w:r>
          </w:p>
        </w:tc>
      </w:tr>
      <w:tr w14:paraId="4FA060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27" w:hRule="atLeast"/>
        </w:trPr>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BAFB3">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u w:val="none"/>
              </w:rPr>
            </w:pPr>
            <w:r>
              <w:rPr>
                <w:rFonts w:hint="eastAsia" w:ascii="微软雅黑" w:hAnsi="微软雅黑" w:eastAsia="微软雅黑" w:cs="微软雅黑"/>
                <w:i w:val="0"/>
                <w:iCs w:val="0"/>
                <w:color w:val="auto"/>
                <w:kern w:val="0"/>
                <w:sz w:val="21"/>
                <w:szCs w:val="21"/>
                <w:u w:val="none"/>
                <w:lang w:val="en-US" w:eastAsia="zh-CN" w:bidi="ar"/>
              </w:rPr>
              <w:t>2</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50ABF">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u w:val="none"/>
              </w:rPr>
            </w:pPr>
            <w:r>
              <w:rPr>
                <w:rFonts w:hint="eastAsia" w:ascii="微软雅黑" w:hAnsi="微软雅黑" w:eastAsia="微软雅黑" w:cs="微软雅黑"/>
                <w:i w:val="0"/>
                <w:iCs w:val="0"/>
                <w:color w:val="auto"/>
                <w:kern w:val="0"/>
                <w:sz w:val="21"/>
                <w:szCs w:val="21"/>
                <w:u w:val="none"/>
                <w:lang w:val="en-US" w:eastAsia="zh-CN" w:bidi="ar"/>
              </w:rPr>
              <w:t>100g自封口袋</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33280">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u w:val="none"/>
              </w:rPr>
            </w:pPr>
            <w:r>
              <w:rPr>
                <w:rFonts w:hint="eastAsia" w:ascii="微软雅黑" w:hAnsi="微软雅黑" w:eastAsia="微软雅黑" w:cs="微软雅黑"/>
                <w:i w:val="0"/>
                <w:iCs w:val="0"/>
                <w:color w:val="auto"/>
                <w:kern w:val="0"/>
                <w:sz w:val="21"/>
                <w:szCs w:val="21"/>
                <w:u w:val="none"/>
                <w:lang w:val="en-US" w:eastAsia="zh-CN" w:bidi="ar"/>
              </w:rPr>
              <w:t>条</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CA70B">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u w:val="none"/>
              </w:rPr>
            </w:pPr>
            <w:r>
              <w:rPr>
                <w:rFonts w:hint="eastAsia" w:ascii="微软雅黑" w:hAnsi="微软雅黑" w:eastAsia="微软雅黑" w:cs="微软雅黑"/>
                <w:i w:val="0"/>
                <w:iCs w:val="0"/>
                <w:color w:val="auto"/>
                <w:kern w:val="0"/>
                <w:sz w:val="21"/>
                <w:szCs w:val="21"/>
                <w:u w:val="none"/>
                <w:lang w:val="en-US" w:eastAsia="zh-CN" w:bidi="ar"/>
              </w:rPr>
              <w:t>0.1</w:t>
            </w:r>
          </w:p>
        </w:tc>
        <w:tc>
          <w:tcPr>
            <w:tcW w:w="46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37059">
            <w:pPr>
              <w:keepNext w:val="0"/>
              <w:keepLines w:val="0"/>
              <w:widowControl/>
              <w:suppressLineNumbers w:val="0"/>
              <w:jc w:val="left"/>
              <w:textAlignment w:val="center"/>
              <w:rPr>
                <w:rFonts w:hint="eastAsia" w:ascii="微软雅黑" w:hAnsi="微软雅黑" w:eastAsia="微软雅黑" w:cs="微软雅黑"/>
                <w:i w:val="0"/>
                <w:iCs w:val="0"/>
                <w:color w:val="auto"/>
                <w:sz w:val="21"/>
                <w:szCs w:val="21"/>
                <w:u w:val="none"/>
              </w:rPr>
            </w:pPr>
            <w:r>
              <w:rPr>
                <w:rFonts w:hint="eastAsia" w:ascii="微软雅黑" w:hAnsi="微软雅黑" w:eastAsia="微软雅黑" w:cs="微软雅黑"/>
                <w:i w:val="0"/>
                <w:iCs w:val="0"/>
                <w:color w:val="auto"/>
                <w:kern w:val="0"/>
                <w:sz w:val="21"/>
                <w:szCs w:val="21"/>
                <w:u w:val="none"/>
                <w:lang w:val="en-US" w:eastAsia="zh-CN" w:bidi="ar"/>
              </w:rPr>
              <w:t>材质全新料透明低密度聚乙烯12cm*17cm单面厚度0.10mm（毫米），材质食品级，</w:t>
            </w:r>
            <w:r>
              <w:rPr>
                <w:rFonts w:hint="eastAsia" w:ascii="微软雅黑" w:hAnsi="微软雅黑" w:eastAsia="微软雅黑" w:cs="微软雅黑"/>
                <w:b/>
                <w:bCs/>
                <w:i w:val="0"/>
                <w:iCs w:val="0"/>
                <w:color w:val="auto"/>
                <w:kern w:val="0"/>
                <w:sz w:val="21"/>
                <w:szCs w:val="21"/>
                <w:u w:val="none"/>
                <w:lang w:val="en-US" w:eastAsia="zh-CN" w:bidi="ar"/>
              </w:rPr>
              <w:t>产品提供检验报告单</w:t>
            </w:r>
          </w:p>
        </w:tc>
      </w:tr>
      <w:tr w14:paraId="12D6B4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27" w:hRule="atLeast"/>
        </w:trPr>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02F53">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u w:val="none"/>
              </w:rPr>
            </w:pPr>
            <w:r>
              <w:rPr>
                <w:rFonts w:hint="eastAsia" w:ascii="微软雅黑" w:hAnsi="微软雅黑" w:eastAsia="微软雅黑" w:cs="微软雅黑"/>
                <w:i w:val="0"/>
                <w:iCs w:val="0"/>
                <w:color w:val="auto"/>
                <w:kern w:val="0"/>
                <w:sz w:val="21"/>
                <w:szCs w:val="21"/>
                <w:u w:val="none"/>
                <w:lang w:val="en-US" w:eastAsia="zh-CN" w:bidi="ar"/>
              </w:rPr>
              <w:t>3</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8A245">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u w:val="none"/>
              </w:rPr>
            </w:pPr>
            <w:r>
              <w:rPr>
                <w:rFonts w:hint="eastAsia" w:ascii="微软雅黑" w:hAnsi="微软雅黑" w:eastAsia="微软雅黑" w:cs="微软雅黑"/>
                <w:i w:val="0"/>
                <w:iCs w:val="0"/>
                <w:color w:val="auto"/>
                <w:kern w:val="0"/>
                <w:sz w:val="21"/>
                <w:szCs w:val="21"/>
                <w:u w:val="none"/>
                <w:lang w:val="en-US" w:eastAsia="zh-CN" w:bidi="ar"/>
              </w:rPr>
              <w:t>浴缸袋</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FE66C">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u w:val="none"/>
              </w:rPr>
            </w:pPr>
            <w:r>
              <w:rPr>
                <w:rFonts w:hint="eastAsia" w:ascii="微软雅黑" w:hAnsi="微软雅黑" w:eastAsia="微软雅黑" w:cs="微软雅黑"/>
                <w:i w:val="0"/>
                <w:iCs w:val="0"/>
                <w:color w:val="auto"/>
                <w:kern w:val="0"/>
                <w:sz w:val="21"/>
                <w:szCs w:val="21"/>
                <w:u w:val="none"/>
                <w:lang w:val="en-US" w:eastAsia="zh-CN" w:bidi="ar"/>
              </w:rPr>
              <w:t>条</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ED1AE">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u w:val="none"/>
              </w:rPr>
            </w:pPr>
            <w:r>
              <w:rPr>
                <w:rFonts w:hint="eastAsia" w:ascii="微软雅黑" w:hAnsi="微软雅黑" w:eastAsia="微软雅黑" w:cs="微软雅黑"/>
                <w:i w:val="0"/>
                <w:iCs w:val="0"/>
                <w:color w:val="auto"/>
                <w:kern w:val="0"/>
                <w:sz w:val="21"/>
                <w:szCs w:val="21"/>
                <w:u w:val="none"/>
                <w:lang w:val="en-US" w:eastAsia="zh-CN" w:bidi="ar"/>
              </w:rPr>
              <w:t>1</w:t>
            </w:r>
          </w:p>
        </w:tc>
        <w:tc>
          <w:tcPr>
            <w:tcW w:w="46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45BCE">
            <w:pPr>
              <w:keepNext w:val="0"/>
              <w:keepLines w:val="0"/>
              <w:widowControl/>
              <w:suppressLineNumbers w:val="0"/>
              <w:jc w:val="left"/>
              <w:textAlignment w:val="center"/>
              <w:rPr>
                <w:rFonts w:hint="eastAsia" w:ascii="微软雅黑" w:hAnsi="微软雅黑" w:eastAsia="微软雅黑" w:cs="微软雅黑"/>
                <w:i w:val="0"/>
                <w:iCs w:val="0"/>
                <w:color w:val="auto"/>
                <w:sz w:val="21"/>
                <w:szCs w:val="21"/>
                <w:u w:val="none"/>
              </w:rPr>
            </w:pPr>
            <w:r>
              <w:rPr>
                <w:rFonts w:hint="eastAsia" w:ascii="微软雅黑" w:hAnsi="微软雅黑" w:eastAsia="微软雅黑" w:cs="微软雅黑"/>
                <w:i w:val="0"/>
                <w:iCs w:val="0"/>
                <w:color w:val="auto"/>
                <w:kern w:val="0"/>
                <w:sz w:val="21"/>
                <w:szCs w:val="21"/>
                <w:u w:val="none"/>
                <w:lang w:val="en-US" w:eastAsia="zh-CN" w:bidi="ar"/>
              </w:rPr>
              <w:t>材质全新料透明低密度聚乙烯110cm*215cm单面厚度0.02mm（毫米），材质食品级，</w:t>
            </w:r>
            <w:r>
              <w:rPr>
                <w:rFonts w:hint="eastAsia" w:ascii="微软雅黑" w:hAnsi="微软雅黑" w:eastAsia="微软雅黑" w:cs="微软雅黑"/>
                <w:b/>
                <w:bCs/>
                <w:i w:val="0"/>
                <w:iCs w:val="0"/>
                <w:color w:val="auto"/>
                <w:kern w:val="0"/>
                <w:sz w:val="21"/>
                <w:szCs w:val="21"/>
                <w:u w:val="none"/>
                <w:lang w:val="en-US" w:eastAsia="zh-CN" w:bidi="ar"/>
              </w:rPr>
              <w:t>产品提供检验报告单</w:t>
            </w:r>
          </w:p>
        </w:tc>
      </w:tr>
      <w:tr w14:paraId="1E3DBD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0" w:hRule="atLeast"/>
        </w:trPr>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D414D">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u w:val="none"/>
              </w:rPr>
            </w:pPr>
            <w:r>
              <w:rPr>
                <w:rFonts w:hint="eastAsia" w:ascii="微软雅黑" w:hAnsi="微软雅黑" w:eastAsia="微软雅黑" w:cs="微软雅黑"/>
                <w:i w:val="0"/>
                <w:iCs w:val="0"/>
                <w:color w:val="auto"/>
                <w:kern w:val="0"/>
                <w:sz w:val="21"/>
                <w:szCs w:val="21"/>
                <w:u w:val="none"/>
                <w:lang w:val="en-US" w:eastAsia="zh-CN" w:bidi="ar"/>
              </w:rPr>
              <w:t>4</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F6FC6">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u w:val="none"/>
              </w:rPr>
            </w:pPr>
            <w:r>
              <w:rPr>
                <w:rFonts w:hint="eastAsia" w:ascii="微软雅黑" w:hAnsi="微软雅黑" w:eastAsia="微软雅黑" w:cs="微软雅黑"/>
                <w:i w:val="0"/>
                <w:iCs w:val="0"/>
                <w:color w:val="auto"/>
                <w:kern w:val="0"/>
                <w:sz w:val="21"/>
                <w:szCs w:val="21"/>
                <w:u w:val="none"/>
                <w:lang w:val="en-US" w:eastAsia="zh-CN" w:bidi="ar"/>
              </w:rPr>
              <w:t>大号药袋</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C818A">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u w:val="none"/>
              </w:rPr>
            </w:pPr>
            <w:r>
              <w:rPr>
                <w:rFonts w:hint="eastAsia" w:ascii="微软雅黑" w:hAnsi="微软雅黑" w:eastAsia="微软雅黑" w:cs="微软雅黑"/>
                <w:i w:val="0"/>
                <w:iCs w:val="0"/>
                <w:color w:val="auto"/>
                <w:kern w:val="0"/>
                <w:sz w:val="21"/>
                <w:szCs w:val="21"/>
                <w:u w:val="none"/>
                <w:lang w:val="en-US" w:eastAsia="zh-CN" w:bidi="ar"/>
              </w:rPr>
              <w:t>条</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337A6">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u w:val="none"/>
              </w:rPr>
            </w:pPr>
            <w:r>
              <w:rPr>
                <w:rFonts w:hint="eastAsia" w:ascii="微软雅黑" w:hAnsi="微软雅黑" w:eastAsia="微软雅黑" w:cs="微软雅黑"/>
                <w:i w:val="0"/>
                <w:iCs w:val="0"/>
                <w:color w:val="auto"/>
                <w:kern w:val="0"/>
                <w:sz w:val="21"/>
                <w:szCs w:val="21"/>
                <w:u w:val="none"/>
                <w:lang w:val="en-US" w:eastAsia="zh-CN" w:bidi="ar"/>
              </w:rPr>
              <w:t>0.2</w:t>
            </w:r>
          </w:p>
        </w:tc>
        <w:tc>
          <w:tcPr>
            <w:tcW w:w="46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1DCB5">
            <w:pPr>
              <w:keepNext w:val="0"/>
              <w:keepLines w:val="0"/>
              <w:widowControl/>
              <w:suppressLineNumbers w:val="0"/>
              <w:jc w:val="left"/>
              <w:textAlignment w:val="center"/>
              <w:rPr>
                <w:rFonts w:hint="eastAsia" w:ascii="微软雅黑" w:hAnsi="微软雅黑" w:eastAsia="微软雅黑" w:cs="微软雅黑"/>
                <w:i w:val="0"/>
                <w:iCs w:val="0"/>
                <w:color w:val="auto"/>
                <w:sz w:val="21"/>
                <w:szCs w:val="21"/>
                <w:u w:val="none"/>
              </w:rPr>
            </w:pPr>
            <w:r>
              <w:rPr>
                <w:rFonts w:hint="eastAsia" w:ascii="微软雅黑" w:hAnsi="微软雅黑" w:eastAsia="微软雅黑" w:cs="微软雅黑"/>
                <w:i w:val="0"/>
                <w:iCs w:val="0"/>
                <w:color w:val="auto"/>
                <w:kern w:val="0"/>
                <w:sz w:val="21"/>
                <w:szCs w:val="21"/>
                <w:u w:val="none"/>
                <w:lang w:val="en-US" w:eastAsia="zh-CN" w:bidi="ar"/>
              </w:rPr>
              <w:t>材质全新料高密度聚乙烯42cm*50cm（打开时宽高）、折边8单面厚度0.04mm材质全新料 低密度聚乙烯  双面印字，材质食品级，</w:t>
            </w:r>
            <w:r>
              <w:rPr>
                <w:rFonts w:hint="eastAsia" w:ascii="微软雅黑" w:hAnsi="微软雅黑" w:eastAsia="微软雅黑" w:cs="微软雅黑"/>
                <w:b/>
                <w:bCs/>
                <w:i w:val="0"/>
                <w:iCs w:val="0"/>
                <w:color w:val="auto"/>
                <w:kern w:val="0"/>
                <w:sz w:val="21"/>
                <w:szCs w:val="21"/>
                <w:u w:val="none"/>
                <w:lang w:val="en-US" w:eastAsia="zh-CN" w:bidi="ar"/>
              </w:rPr>
              <w:t>产品提供检验报告单</w:t>
            </w:r>
          </w:p>
        </w:tc>
      </w:tr>
      <w:tr w14:paraId="314360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0" w:hRule="atLeast"/>
        </w:trPr>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F6A6A">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u w:val="none"/>
              </w:rPr>
            </w:pPr>
            <w:r>
              <w:rPr>
                <w:rFonts w:hint="eastAsia" w:ascii="微软雅黑" w:hAnsi="微软雅黑" w:eastAsia="微软雅黑" w:cs="微软雅黑"/>
                <w:i w:val="0"/>
                <w:iCs w:val="0"/>
                <w:color w:val="auto"/>
                <w:kern w:val="0"/>
                <w:sz w:val="21"/>
                <w:szCs w:val="21"/>
                <w:u w:val="none"/>
                <w:lang w:val="en-US" w:eastAsia="zh-CN" w:bidi="ar"/>
              </w:rPr>
              <w:t>5</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9A511">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u w:val="none"/>
              </w:rPr>
            </w:pPr>
            <w:r>
              <w:rPr>
                <w:rFonts w:hint="eastAsia" w:ascii="微软雅黑" w:hAnsi="微软雅黑" w:eastAsia="微软雅黑" w:cs="微软雅黑"/>
                <w:i w:val="0"/>
                <w:iCs w:val="0"/>
                <w:color w:val="auto"/>
                <w:kern w:val="0"/>
                <w:sz w:val="21"/>
                <w:szCs w:val="21"/>
                <w:u w:val="none"/>
                <w:lang w:val="en-US" w:eastAsia="zh-CN" w:bidi="ar"/>
              </w:rPr>
              <w:t>小号药袋</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EB30B">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u w:val="none"/>
              </w:rPr>
            </w:pPr>
            <w:r>
              <w:rPr>
                <w:rFonts w:hint="eastAsia" w:ascii="微软雅黑" w:hAnsi="微软雅黑" w:eastAsia="微软雅黑" w:cs="微软雅黑"/>
                <w:i w:val="0"/>
                <w:iCs w:val="0"/>
                <w:color w:val="auto"/>
                <w:kern w:val="0"/>
                <w:sz w:val="21"/>
                <w:szCs w:val="21"/>
                <w:u w:val="none"/>
                <w:lang w:val="en-US" w:eastAsia="zh-CN" w:bidi="ar"/>
              </w:rPr>
              <w:t>条</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90AFF">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u w:val="none"/>
              </w:rPr>
            </w:pPr>
            <w:r>
              <w:rPr>
                <w:rFonts w:hint="eastAsia" w:ascii="微软雅黑" w:hAnsi="微软雅黑" w:eastAsia="微软雅黑" w:cs="微软雅黑"/>
                <w:i w:val="0"/>
                <w:iCs w:val="0"/>
                <w:color w:val="auto"/>
                <w:kern w:val="0"/>
                <w:sz w:val="21"/>
                <w:szCs w:val="21"/>
                <w:u w:val="none"/>
                <w:lang w:val="en-US" w:eastAsia="zh-CN" w:bidi="ar"/>
              </w:rPr>
              <w:t>0.14</w:t>
            </w:r>
          </w:p>
        </w:tc>
        <w:tc>
          <w:tcPr>
            <w:tcW w:w="46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09FD5">
            <w:pPr>
              <w:keepNext w:val="0"/>
              <w:keepLines w:val="0"/>
              <w:widowControl/>
              <w:suppressLineNumbers w:val="0"/>
              <w:jc w:val="left"/>
              <w:textAlignment w:val="center"/>
              <w:rPr>
                <w:rFonts w:hint="eastAsia" w:ascii="微软雅黑" w:hAnsi="微软雅黑" w:eastAsia="微软雅黑" w:cs="微软雅黑"/>
                <w:i w:val="0"/>
                <w:iCs w:val="0"/>
                <w:color w:val="auto"/>
                <w:sz w:val="21"/>
                <w:szCs w:val="21"/>
                <w:u w:val="none"/>
              </w:rPr>
            </w:pPr>
            <w:r>
              <w:rPr>
                <w:rFonts w:hint="eastAsia" w:ascii="微软雅黑" w:hAnsi="微软雅黑" w:eastAsia="微软雅黑" w:cs="微软雅黑"/>
                <w:i w:val="0"/>
                <w:iCs w:val="0"/>
                <w:color w:val="auto"/>
                <w:kern w:val="0"/>
                <w:sz w:val="21"/>
                <w:szCs w:val="21"/>
                <w:u w:val="none"/>
                <w:lang w:val="en-US" w:eastAsia="zh-CN" w:bidi="ar"/>
              </w:rPr>
              <w:t>材质全新料高密度聚乙烯30cm*35cm（打开时宽高）、折边8单面厚度0.04mm材质全新料 低密度聚乙烯  双面印字，材质食品级，</w:t>
            </w:r>
            <w:r>
              <w:rPr>
                <w:rFonts w:hint="eastAsia" w:ascii="微软雅黑" w:hAnsi="微软雅黑" w:eastAsia="微软雅黑" w:cs="微软雅黑"/>
                <w:b/>
                <w:bCs/>
                <w:i w:val="0"/>
                <w:iCs w:val="0"/>
                <w:color w:val="auto"/>
                <w:kern w:val="0"/>
                <w:sz w:val="21"/>
                <w:szCs w:val="21"/>
                <w:u w:val="none"/>
                <w:lang w:val="en-US" w:eastAsia="zh-CN" w:bidi="ar"/>
              </w:rPr>
              <w:t>产品提供检验报告单</w:t>
            </w:r>
          </w:p>
        </w:tc>
      </w:tr>
      <w:tr w14:paraId="7A9E13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27" w:hRule="atLeast"/>
        </w:trPr>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246EA">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u w:val="none"/>
              </w:rPr>
            </w:pPr>
            <w:r>
              <w:rPr>
                <w:rFonts w:hint="eastAsia" w:ascii="微软雅黑" w:hAnsi="微软雅黑" w:eastAsia="微软雅黑" w:cs="微软雅黑"/>
                <w:i w:val="0"/>
                <w:iCs w:val="0"/>
                <w:color w:val="auto"/>
                <w:kern w:val="0"/>
                <w:sz w:val="21"/>
                <w:szCs w:val="21"/>
                <w:u w:val="none"/>
                <w:lang w:val="en-US" w:eastAsia="zh-CN" w:bidi="ar"/>
              </w:rPr>
              <w:t>6</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D63D6">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u w:val="none"/>
              </w:rPr>
            </w:pPr>
            <w:r>
              <w:rPr>
                <w:rFonts w:hint="eastAsia" w:ascii="微软雅黑" w:hAnsi="微软雅黑" w:eastAsia="微软雅黑" w:cs="微软雅黑"/>
                <w:i w:val="0"/>
                <w:iCs w:val="0"/>
                <w:color w:val="auto"/>
                <w:kern w:val="0"/>
                <w:sz w:val="21"/>
                <w:szCs w:val="21"/>
                <w:u w:val="none"/>
                <w:lang w:val="en-US" w:eastAsia="zh-CN" w:bidi="ar"/>
              </w:rPr>
              <w:t>200g药瓶</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BBA15">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u w:val="none"/>
              </w:rPr>
            </w:pPr>
            <w:r>
              <w:rPr>
                <w:rFonts w:hint="eastAsia" w:ascii="微软雅黑" w:hAnsi="微软雅黑" w:eastAsia="微软雅黑" w:cs="微软雅黑"/>
                <w:i w:val="0"/>
                <w:iCs w:val="0"/>
                <w:color w:val="auto"/>
                <w:kern w:val="0"/>
                <w:sz w:val="21"/>
                <w:szCs w:val="21"/>
                <w:u w:val="none"/>
                <w:lang w:val="en-US" w:eastAsia="zh-CN" w:bidi="ar"/>
              </w:rPr>
              <w:t>个</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1AC22">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u w:val="none"/>
              </w:rPr>
            </w:pPr>
            <w:r>
              <w:rPr>
                <w:rFonts w:hint="eastAsia" w:ascii="微软雅黑" w:hAnsi="微软雅黑" w:eastAsia="微软雅黑" w:cs="微软雅黑"/>
                <w:i w:val="0"/>
                <w:iCs w:val="0"/>
                <w:color w:val="auto"/>
                <w:kern w:val="0"/>
                <w:sz w:val="21"/>
                <w:szCs w:val="21"/>
                <w:u w:val="none"/>
                <w:lang w:val="en-US" w:eastAsia="zh-CN" w:bidi="ar"/>
              </w:rPr>
              <w:t>1.2</w:t>
            </w:r>
          </w:p>
        </w:tc>
        <w:tc>
          <w:tcPr>
            <w:tcW w:w="46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6FD27">
            <w:pPr>
              <w:keepNext w:val="0"/>
              <w:keepLines w:val="0"/>
              <w:widowControl/>
              <w:suppressLineNumbers w:val="0"/>
              <w:jc w:val="left"/>
              <w:textAlignment w:val="center"/>
              <w:rPr>
                <w:rFonts w:hint="eastAsia" w:ascii="微软雅黑" w:hAnsi="微软雅黑" w:eastAsia="微软雅黑" w:cs="微软雅黑"/>
                <w:i w:val="0"/>
                <w:iCs w:val="0"/>
                <w:color w:val="auto"/>
                <w:sz w:val="21"/>
                <w:szCs w:val="21"/>
                <w:u w:val="none"/>
              </w:rPr>
            </w:pPr>
            <w:r>
              <w:rPr>
                <w:rFonts w:hint="eastAsia" w:ascii="微软雅黑" w:hAnsi="微软雅黑" w:eastAsia="微软雅黑" w:cs="微软雅黑"/>
                <w:i w:val="0"/>
                <w:iCs w:val="0"/>
                <w:color w:val="auto"/>
                <w:kern w:val="0"/>
                <w:sz w:val="21"/>
                <w:szCs w:val="21"/>
                <w:u w:val="none"/>
                <w:lang w:val="en-US" w:eastAsia="zh-CN" w:bidi="ar"/>
              </w:rPr>
              <w:t>药茶高度105mm*56mm瓶口直径48mm，材质药品级，</w:t>
            </w:r>
            <w:r>
              <w:rPr>
                <w:rFonts w:hint="eastAsia" w:ascii="微软雅黑" w:hAnsi="微软雅黑" w:eastAsia="微软雅黑" w:cs="微软雅黑"/>
                <w:b/>
                <w:bCs/>
                <w:i w:val="0"/>
                <w:iCs w:val="0"/>
                <w:color w:val="auto"/>
                <w:kern w:val="0"/>
                <w:sz w:val="21"/>
                <w:szCs w:val="21"/>
                <w:u w:val="none"/>
                <w:lang w:val="en-US" w:eastAsia="zh-CN" w:bidi="ar"/>
              </w:rPr>
              <w:t>产品提供检验报告单</w:t>
            </w:r>
          </w:p>
        </w:tc>
      </w:tr>
      <w:tr w14:paraId="1048A2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27" w:hRule="atLeast"/>
        </w:trPr>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C3A98">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u w:val="none"/>
              </w:rPr>
            </w:pPr>
            <w:r>
              <w:rPr>
                <w:rFonts w:hint="eastAsia" w:ascii="微软雅黑" w:hAnsi="微软雅黑" w:eastAsia="微软雅黑" w:cs="微软雅黑"/>
                <w:i w:val="0"/>
                <w:iCs w:val="0"/>
                <w:color w:val="auto"/>
                <w:kern w:val="0"/>
                <w:sz w:val="21"/>
                <w:szCs w:val="21"/>
                <w:u w:val="none"/>
                <w:lang w:val="en-US" w:eastAsia="zh-CN" w:bidi="ar"/>
              </w:rPr>
              <w:t>7</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85553">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u w:val="none"/>
              </w:rPr>
            </w:pPr>
            <w:r>
              <w:rPr>
                <w:rFonts w:hint="eastAsia" w:ascii="微软雅黑" w:hAnsi="微软雅黑" w:eastAsia="微软雅黑" w:cs="微软雅黑"/>
                <w:i w:val="0"/>
                <w:iCs w:val="0"/>
                <w:color w:val="auto"/>
                <w:kern w:val="0"/>
                <w:sz w:val="21"/>
                <w:szCs w:val="21"/>
                <w:u w:val="none"/>
                <w:lang w:val="en-US" w:eastAsia="zh-CN" w:bidi="ar"/>
              </w:rPr>
              <w:t>100g药瓶</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1626C">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u w:val="none"/>
              </w:rPr>
            </w:pPr>
            <w:r>
              <w:rPr>
                <w:rFonts w:hint="eastAsia" w:ascii="微软雅黑" w:hAnsi="微软雅黑" w:eastAsia="微软雅黑" w:cs="微软雅黑"/>
                <w:i w:val="0"/>
                <w:iCs w:val="0"/>
                <w:color w:val="auto"/>
                <w:kern w:val="0"/>
                <w:sz w:val="21"/>
                <w:szCs w:val="21"/>
                <w:u w:val="none"/>
                <w:lang w:val="en-US" w:eastAsia="zh-CN" w:bidi="ar"/>
              </w:rPr>
              <w:t>个</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9B9CC">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u w:val="none"/>
              </w:rPr>
            </w:pPr>
            <w:r>
              <w:rPr>
                <w:rFonts w:hint="eastAsia" w:ascii="微软雅黑" w:hAnsi="微软雅黑" w:eastAsia="微软雅黑" w:cs="微软雅黑"/>
                <w:i w:val="0"/>
                <w:iCs w:val="0"/>
                <w:color w:val="auto"/>
                <w:kern w:val="0"/>
                <w:sz w:val="21"/>
                <w:szCs w:val="21"/>
                <w:u w:val="none"/>
                <w:lang w:val="en-US" w:eastAsia="zh-CN" w:bidi="ar"/>
              </w:rPr>
              <w:t>0.7</w:t>
            </w:r>
          </w:p>
        </w:tc>
        <w:tc>
          <w:tcPr>
            <w:tcW w:w="46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6D0D3">
            <w:pPr>
              <w:keepNext w:val="0"/>
              <w:keepLines w:val="0"/>
              <w:widowControl/>
              <w:suppressLineNumbers w:val="0"/>
              <w:jc w:val="left"/>
              <w:textAlignment w:val="center"/>
              <w:rPr>
                <w:rFonts w:hint="eastAsia" w:ascii="微软雅黑" w:hAnsi="微软雅黑" w:eastAsia="微软雅黑" w:cs="微软雅黑"/>
                <w:i w:val="0"/>
                <w:iCs w:val="0"/>
                <w:color w:val="auto"/>
                <w:sz w:val="21"/>
                <w:szCs w:val="21"/>
                <w:u w:val="none"/>
              </w:rPr>
            </w:pPr>
            <w:r>
              <w:rPr>
                <w:rFonts w:hint="eastAsia" w:ascii="微软雅黑" w:hAnsi="微软雅黑" w:eastAsia="微软雅黑" w:cs="微软雅黑"/>
                <w:i w:val="0"/>
                <w:iCs w:val="0"/>
                <w:color w:val="auto"/>
                <w:kern w:val="0"/>
                <w:sz w:val="21"/>
                <w:szCs w:val="21"/>
                <w:u w:val="none"/>
                <w:lang w:val="en-US" w:eastAsia="zh-CN" w:bidi="ar"/>
              </w:rPr>
              <w:t>高度100mm直径46mm瓶口直径38mm，材质药品级，</w:t>
            </w:r>
            <w:r>
              <w:rPr>
                <w:rFonts w:hint="eastAsia" w:ascii="微软雅黑" w:hAnsi="微软雅黑" w:eastAsia="微软雅黑" w:cs="微软雅黑"/>
                <w:b/>
                <w:bCs/>
                <w:i w:val="0"/>
                <w:iCs w:val="0"/>
                <w:color w:val="auto"/>
                <w:kern w:val="0"/>
                <w:sz w:val="21"/>
                <w:szCs w:val="21"/>
                <w:u w:val="none"/>
                <w:lang w:val="en-US" w:eastAsia="zh-CN" w:bidi="ar"/>
              </w:rPr>
              <w:t>产品提供检验报告单</w:t>
            </w:r>
          </w:p>
        </w:tc>
      </w:tr>
      <w:tr w14:paraId="4522B6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27" w:hRule="atLeast"/>
        </w:trPr>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E3CBC">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u w:val="none"/>
              </w:rPr>
            </w:pPr>
            <w:r>
              <w:rPr>
                <w:rFonts w:hint="eastAsia" w:ascii="微软雅黑" w:hAnsi="微软雅黑" w:eastAsia="微软雅黑" w:cs="微软雅黑"/>
                <w:i w:val="0"/>
                <w:iCs w:val="0"/>
                <w:color w:val="auto"/>
                <w:kern w:val="0"/>
                <w:sz w:val="21"/>
                <w:szCs w:val="21"/>
                <w:u w:val="none"/>
                <w:lang w:val="en-US" w:eastAsia="zh-CN" w:bidi="ar"/>
              </w:rPr>
              <w:t>8</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9883C">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u w:val="none"/>
              </w:rPr>
            </w:pPr>
            <w:r>
              <w:rPr>
                <w:rFonts w:hint="eastAsia" w:ascii="微软雅黑" w:hAnsi="微软雅黑" w:eastAsia="微软雅黑" w:cs="微软雅黑"/>
                <w:i w:val="0"/>
                <w:iCs w:val="0"/>
                <w:color w:val="auto"/>
                <w:kern w:val="0"/>
                <w:sz w:val="21"/>
                <w:szCs w:val="21"/>
                <w:u w:val="none"/>
                <w:lang w:val="en-US" w:eastAsia="zh-CN" w:bidi="ar"/>
              </w:rPr>
              <w:t>50g药瓶</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F28C2">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u w:val="none"/>
              </w:rPr>
            </w:pPr>
            <w:r>
              <w:rPr>
                <w:rFonts w:hint="eastAsia" w:ascii="微软雅黑" w:hAnsi="微软雅黑" w:eastAsia="微软雅黑" w:cs="微软雅黑"/>
                <w:i w:val="0"/>
                <w:iCs w:val="0"/>
                <w:color w:val="auto"/>
                <w:kern w:val="0"/>
                <w:sz w:val="21"/>
                <w:szCs w:val="21"/>
                <w:u w:val="none"/>
                <w:lang w:val="en-US" w:eastAsia="zh-CN" w:bidi="ar"/>
              </w:rPr>
              <w:t>个</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6D64C">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u w:val="none"/>
              </w:rPr>
            </w:pPr>
            <w:r>
              <w:rPr>
                <w:rFonts w:hint="eastAsia" w:ascii="微软雅黑" w:hAnsi="微软雅黑" w:eastAsia="微软雅黑" w:cs="微软雅黑"/>
                <w:i w:val="0"/>
                <w:iCs w:val="0"/>
                <w:color w:val="auto"/>
                <w:kern w:val="0"/>
                <w:sz w:val="21"/>
                <w:szCs w:val="21"/>
                <w:u w:val="none"/>
                <w:lang w:val="en-US" w:eastAsia="zh-CN" w:bidi="ar"/>
              </w:rPr>
              <w:t>1.2</w:t>
            </w:r>
          </w:p>
        </w:tc>
        <w:tc>
          <w:tcPr>
            <w:tcW w:w="46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5F279">
            <w:pPr>
              <w:keepNext w:val="0"/>
              <w:keepLines w:val="0"/>
              <w:widowControl/>
              <w:suppressLineNumbers w:val="0"/>
              <w:jc w:val="left"/>
              <w:textAlignment w:val="center"/>
              <w:rPr>
                <w:rFonts w:hint="eastAsia" w:ascii="微软雅黑" w:hAnsi="微软雅黑" w:eastAsia="微软雅黑" w:cs="微软雅黑"/>
                <w:i w:val="0"/>
                <w:iCs w:val="0"/>
                <w:color w:val="auto"/>
                <w:sz w:val="21"/>
                <w:szCs w:val="21"/>
                <w:u w:val="none"/>
              </w:rPr>
            </w:pPr>
            <w:r>
              <w:rPr>
                <w:rFonts w:hint="eastAsia" w:ascii="微软雅黑" w:hAnsi="微软雅黑" w:eastAsia="微软雅黑" w:cs="微软雅黑"/>
                <w:i w:val="0"/>
                <w:iCs w:val="0"/>
                <w:color w:val="auto"/>
                <w:kern w:val="0"/>
                <w:sz w:val="21"/>
                <w:szCs w:val="21"/>
                <w:u w:val="none"/>
                <w:lang w:val="en-US" w:eastAsia="zh-CN" w:bidi="ar"/>
              </w:rPr>
              <w:t>高度50mm直径45mm瓶口直径3.7mm，材质药品级，</w:t>
            </w:r>
            <w:r>
              <w:rPr>
                <w:rFonts w:hint="eastAsia" w:ascii="微软雅黑" w:hAnsi="微软雅黑" w:eastAsia="微软雅黑" w:cs="微软雅黑"/>
                <w:b/>
                <w:bCs/>
                <w:i w:val="0"/>
                <w:iCs w:val="0"/>
                <w:color w:val="auto"/>
                <w:kern w:val="0"/>
                <w:sz w:val="21"/>
                <w:szCs w:val="21"/>
                <w:u w:val="none"/>
                <w:lang w:val="en-US" w:eastAsia="zh-CN" w:bidi="ar"/>
              </w:rPr>
              <w:t>产品提供检验报告单</w:t>
            </w:r>
          </w:p>
        </w:tc>
      </w:tr>
      <w:tr w14:paraId="6AE9FF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27" w:hRule="atLeast"/>
        </w:trPr>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9D99A">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u w:val="none"/>
              </w:rPr>
            </w:pPr>
            <w:r>
              <w:rPr>
                <w:rFonts w:hint="eastAsia" w:ascii="微软雅黑" w:hAnsi="微软雅黑" w:eastAsia="微软雅黑" w:cs="微软雅黑"/>
                <w:i w:val="0"/>
                <w:iCs w:val="0"/>
                <w:color w:val="auto"/>
                <w:kern w:val="0"/>
                <w:sz w:val="21"/>
                <w:szCs w:val="21"/>
                <w:u w:val="none"/>
                <w:lang w:val="en-US" w:eastAsia="zh-CN" w:bidi="ar"/>
              </w:rPr>
              <w:t>10</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3180A">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u w:val="none"/>
              </w:rPr>
            </w:pPr>
            <w:r>
              <w:rPr>
                <w:rFonts w:hint="eastAsia" w:ascii="微软雅黑" w:hAnsi="微软雅黑" w:eastAsia="微软雅黑" w:cs="微软雅黑"/>
                <w:i w:val="0"/>
                <w:iCs w:val="0"/>
                <w:color w:val="auto"/>
                <w:kern w:val="0"/>
                <w:sz w:val="21"/>
                <w:szCs w:val="21"/>
                <w:u w:val="none"/>
                <w:lang w:val="en-US" w:eastAsia="zh-CN" w:bidi="ar"/>
              </w:rPr>
              <w:t>250ml药瓶</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F621D">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u w:val="none"/>
              </w:rPr>
            </w:pPr>
            <w:r>
              <w:rPr>
                <w:rFonts w:hint="eastAsia" w:ascii="微软雅黑" w:hAnsi="微软雅黑" w:eastAsia="微软雅黑" w:cs="微软雅黑"/>
                <w:i w:val="0"/>
                <w:iCs w:val="0"/>
                <w:color w:val="auto"/>
                <w:kern w:val="0"/>
                <w:sz w:val="21"/>
                <w:szCs w:val="21"/>
                <w:u w:val="none"/>
                <w:lang w:val="en-US" w:eastAsia="zh-CN" w:bidi="ar"/>
              </w:rPr>
              <w:t>个</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2C697">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u w:val="none"/>
              </w:rPr>
            </w:pPr>
            <w:r>
              <w:rPr>
                <w:rFonts w:hint="eastAsia" w:ascii="微软雅黑" w:hAnsi="微软雅黑" w:eastAsia="微软雅黑" w:cs="微软雅黑"/>
                <w:i w:val="0"/>
                <w:iCs w:val="0"/>
                <w:color w:val="auto"/>
                <w:kern w:val="0"/>
                <w:sz w:val="21"/>
                <w:szCs w:val="21"/>
                <w:u w:val="none"/>
                <w:lang w:val="en-US" w:eastAsia="zh-CN" w:bidi="ar"/>
              </w:rPr>
              <w:t>1.7</w:t>
            </w:r>
          </w:p>
        </w:tc>
        <w:tc>
          <w:tcPr>
            <w:tcW w:w="46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CAD56">
            <w:pPr>
              <w:keepNext w:val="0"/>
              <w:keepLines w:val="0"/>
              <w:widowControl/>
              <w:suppressLineNumbers w:val="0"/>
              <w:jc w:val="left"/>
              <w:textAlignment w:val="center"/>
              <w:rPr>
                <w:rFonts w:hint="eastAsia" w:ascii="微软雅黑" w:hAnsi="微软雅黑" w:eastAsia="微软雅黑" w:cs="微软雅黑"/>
                <w:i w:val="0"/>
                <w:iCs w:val="0"/>
                <w:color w:val="auto"/>
                <w:sz w:val="21"/>
                <w:szCs w:val="21"/>
                <w:u w:val="none"/>
              </w:rPr>
            </w:pPr>
            <w:r>
              <w:rPr>
                <w:rFonts w:hint="eastAsia" w:ascii="微软雅黑" w:hAnsi="微软雅黑" w:eastAsia="微软雅黑" w:cs="微软雅黑"/>
                <w:i w:val="0"/>
                <w:iCs w:val="0"/>
                <w:color w:val="auto"/>
                <w:kern w:val="0"/>
                <w:sz w:val="21"/>
                <w:szCs w:val="21"/>
                <w:u w:val="none"/>
                <w:lang w:val="en-US" w:eastAsia="zh-CN" w:bidi="ar"/>
              </w:rPr>
              <w:t>高度14.3cm瓶子直径6cm瓶口直径2.7cm   瓶子耐高温120度</w:t>
            </w:r>
          </w:p>
        </w:tc>
      </w:tr>
      <w:tr w14:paraId="486060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27" w:hRule="atLeast"/>
        </w:trPr>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7A62E">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u w:val="none"/>
              </w:rPr>
            </w:pPr>
            <w:r>
              <w:rPr>
                <w:rFonts w:hint="eastAsia" w:ascii="微软雅黑" w:hAnsi="微软雅黑" w:eastAsia="微软雅黑" w:cs="微软雅黑"/>
                <w:i w:val="0"/>
                <w:iCs w:val="0"/>
                <w:color w:val="auto"/>
                <w:kern w:val="0"/>
                <w:sz w:val="21"/>
                <w:szCs w:val="21"/>
                <w:u w:val="none"/>
                <w:lang w:val="en-US" w:eastAsia="zh-CN" w:bidi="ar"/>
              </w:rPr>
              <w:t>11</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2FFE5">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u w:val="none"/>
              </w:rPr>
            </w:pPr>
            <w:r>
              <w:rPr>
                <w:rFonts w:hint="eastAsia" w:ascii="微软雅黑" w:hAnsi="微软雅黑" w:eastAsia="微软雅黑" w:cs="微软雅黑"/>
                <w:i w:val="0"/>
                <w:iCs w:val="0"/>
                <w:color w:val="auto"/>
                <w:kern w:val="0"/>
                <w:sz w:val="21"/>
                <w:szCs w:val="21"/>
                <w:u w:val="none"/>
                <w:lang w:val="en-US" w:eastAsia="zh-CN" w:bidi="ar"/>
              </w:rPr>
              <w:t>中药液体包装袋</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29865">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u w:val="none"/>
              </w:rPr>
            </w:pPr>
            <w:r>
              <w:rPr>
                <w:rFonts w:hint="eastAsia" w:ascii="微软雅黑" w:hAnsi="微软雅黑" w:eastAsia="微软雅黑" w:cs="微软雅黑"/>
                <w:i w:val="0"/>
                <w:iCs w:val="0"/>
                <w:color w:val="auto"/>
                <w:kern w:val="0"/>
                <w:sz w:val="21"/>
                <w:szCs w:val="21"/>
                <w:u w:val="none"/>
                <w:lang w:val="en-US" w:eastAsia="zh-CN" w:bidi="ar"/>
              </w:rPr>
              <w:t>箱</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E026D">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u w:val="none"/>
              </w:rPr>
            </w:pPr>
            <w:r>
              <w:rPr>
                <w:rFonts w:hint="eastAsia" w:ascii="微软雅黑" w:hAnsi="微软雅黑" w:eastAsia="微软雅黑" w:cs="微软雅黑"/>
                <w:i w:val="0"/>
                <w:iCs w:val="0"/>
                <w:color w:val="auto"/>
                <w:kern w:val="0"/>
                <w:sz w:val="21"/>
                <w:szCs w:val="21"/>
                <w:u w:val="none"/>
                <w:lang w:val="en-US" w:eastAsia="zh-CN" w:bidi="ar"/>
              </w:rPr>
              <w:t>567</w:t>
            </w:r>
          </w:p>
        </w:tc>
        <w:tc>
          <w:tcPr>
            <w:tcW w:w="46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16871">
            <w:pPr>
              <w:keepNext w:val="0"/>
              <w:keepLines w:val="0"/>
              <w:widowControl/>
              <w:suppressLineNumbers w:val="0"/>
              <w:jc w:val="left"/>
              <w:textAlignment w:val="center"/>
              <w:rPr>
                <w:rFonts w:hint="eastAsia" w:ascii="微软雅黑" w:hAnsi="微软雅黑" w:eastAsia="微软雅黑" w:cs="微软雅黑"/>
                <w:i w:val="0"/>
                <w:iCs w:val="0"/>
                <w:color w:val="auto"/>
                <w:sz w:val="21"/>
                <w:szCs w:val="21"/>
                <w:u w:val="none"/>
              </w:rPr>
            </w:pPr>
            <w:r>
              <w:rPr>
                <w:rFonts w:hint="eastAsia" w:ascii="微软雅黑" w:hAnsi="微软雅黑" w:eastAsia="微软雅黑" w:cs="微软雅黑"/>
                <w:i w:val="0"/>
                <w:iCs w:val="0"/>
                <w:color w:val="auto"/>
                <w:kern w:val="0"/>
                <w:sz w:val="21"/>
                <w:szCs w:val="21"/>
                <w:u w:val="none"/>
                <w:lang w:val="en-US" w:eastAsia="zh-CN" w:bidi="ar"/>
              </w:rPr>
              <w:t>材质聚酯/低密度聚乙烯，卷材宽度11cm单面，厚度0.15mm（15丝），PET+PE复合膜100mm  双面印字，材质药品级，</w:t>
            </w:r>
            <w:r>
              <w:rPr>
                <w:rFonts w:hint="eastAsia" w:ascii="微软雅黑" w:hAnsi="微软雅黑" w:eastAsia="微软雅黑" w:cs="微软雅黑"/>
                <w:b/>
                <w:bCs/>
                <w:i w:val="0"/>
                <w:iCs w:val="0"/>
                <w:color w:val="auto"/>
                <w:kern w:val="0"/>
                <w:sz w:val="21"/>
                <w:szCs w:val="21"/>
                <w:u w:val="none"/>
                <w:lang w:val="en-US" w:eastAsia="zh-CN" w:bidi="ar"/>
              </w:rPr>
              <w:t>提供产品检验报告单</w:t>
            </w:r>
          </w:p>
        </w:tc>
      </w:tr>
      <w:tr w14:paraId="0B9B3B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0" w:hRule="atLeast"/>
        </w:trPr>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B3B7A">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u w:val="none"/>
              </w:rPr>
            </w:pPr>
            <w:r>
              <w:rPr>
                <w:rFonts w:hint="eastAsia" w:ascii="微软雅黑" w:hAnsi="微软雅黑" w:eastAsia="微软雅黑" w:cs="微软雅黑"/>
                <w:i w:val="0"/>
                <w:iCs w:val="0"/>
                <w:color w:val="auto"/>
                <w:kern w:val="0"/>
                <w:sz w:val="21"/>
                <w:szCs w:val="21"/>
                <w:u w:val="none"/>
                <w:lang w:val="en-US" w:eastAsia="zh-CN" w:bidi="ar"/>
              </w:rPr>
              <w:t>12</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0BE71">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u w:val="none"/>
              </w:rPr>
            </w:pPr>
            <w:r>
              <w:rPr>
                <w:rFonts w:hint="eastAsia" w:ascii="微软雅黑" w:hAnsi="微软雅黑" w:eastAsia="微软雅黑" w:cs="微软雅黑"/>
                <w:i w:val="0"/>
                <w:iCs w:val="0"/>
                <w:color w:val="auto"/>
                <w:kern w:val="0"/>
                <w:sz w:val="21"/>
                <w:szCs w:val="21"/>
                <w:u w:val="none"/>
                <w:lang w:val="en-US" w:eastAsia="zh-CN" w:bidi="ar"/>
              </w:rPr>
              <w:t>颗粒药袋</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B776A">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u w:val="none"/>
              </w:rPr>
            </w:pPr>
            <w:r>
              <w:rPr>
                <w:rFonts w:hint="eastAsia" w:ascii="微软雅黑" w:hAnsi="微软雅黑" w:eastAsia="微软雅黑" w:cs="微软雅黑"/>
                <w:i w:val="0"/>
                <w:iCs w:val="0"/>
                <w:color w:val="auto"/>
                <w:kern w:val="0"/>
                <w:sz w:val="21"/>
                <w:szCs w:val="21"/>
                <w:u w:val="none"/>
                <w:lang w:val="en-US" w:eastAsia="zh-CN" w:bidi="ar"/>
              </w:rPr>
              <w:t>条</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FE354">
            <w:pPr>
              <w:keepNext w:val="0"/>
              <w:keepLines w:val="0"/>
              <w:widowControl/>
              <w:suppressLineNumbers w:val="0"/>
              <w:jc w:val="center"/>
              <w:textAlignment w:val="center"/>
              <w:rPr>
                <w:rFonts w:hint="eastAsia" w:ascii="微软雅黑" w:hAnsi="微软雅黑" w:eastAsia="微软雅黑" w:cs="微软雅黑"/>
                <w:i w:val="0"/>
                <w:iCs w:val="0"/>
                <w:color w:val="auto"/>
                <w:sz w:val="21"/>
                <w:szCs w:val="21"/>
                <w:u w:val="none"/>
              </w:rPr>
            </w:pPr>
            <w:r>
              <w:rPr>
                <w:rFonts w:hint="eastAsia" w:ascii="微软雅黑" w:hAnsi="微软雅黑" w:eastAsia="微软雅黑" w:cs="微软雅黑"/>
                <w:i w:val="0"/>
                <w:iCs w:val="0"/>
                <w:color w:val="auto"/>
                <w:kern w:val="0"/>
                <w:sz w:val="21"/>
                <w:szCs w:val="21"/>
                <w:u w:val="none"/>
                <w:lang w:val="en-US" w:eastAsia="zh-CN" w:bidi="ar"/>
              </w:rPr>
              <w:t>0.14</w:t>
            </w:r>
          </w:p>
        </w:tc>
        <w:tc>
          <w:tcPr>
            <w:tcW w:w="46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3AAEE">
            <w:pPr>
              <w:keepNext w:val="0"/>
              <w:keepLines w:val="0"/>
              <w:widowControl/>
              <w:suppressLineNumbers w:val="0"/>
              <w:jc w:val="left"/>
              <w:textAlignment w:val="center"/>
              <w:rPr>
                <w:rFonts w:hint="eastAsia" w:ascii="微软雅黑" w:hAnsi="微软雅黑" w:eastAsia="微软雅黑" w:cs="微软雅黑"/>
                <w:i w:val="0"/>
                <w:iCs w:val="0"/>
                <w:color w:val="auto"/>
                <w:sz w:val="21"/>
                <w:szCs w:val="21"/>
                <w:u w:val="none"/>
              </w:rPr>
            </w:pPr>
            <w:r>
              <w:rPr>
                <w:rFonts w:hint="eastAsia" w:ascii="微软雅黑" w:hAnsi="微软雅黑" w:eastAsia="微软雅黑" w:cs="微软雅黑"/>
                <w:i w:val="0"/>
                <w:iCs w:val="0"/>
                <w:color w:val="auto"/>
                <w:kern w:val="0"/>
                <w:sz w:val="21"/>
                <w:szCs w:val="21"/>
                <w:u w:val="none"/>
                <w:lang w:val="en-US" w:eastAsia="zh-CN" w:bidi="ar"/>
              </w:rPr>
              <w:t>材质铝箔复合膜12cm*18cm单面厚度20mm（毫米），材质药品级，</w:t>
            </w:r>
            <w:r>
              <w:rPr>
                <w:rFonts w:hint="eastAsia" w:ascii="微软雅黑" w:hAnsi="微软雅黑" w:eastAsia="微软雅黑" w:cs="微软雅黑"/>
                <w:b/>
                <w:bCs/>
                <w:i w:val="0"/>
                <w:iCs w:val="0"/>
                <w:color w:val="auto"/>
                <w:kern w:val="0"/>
                <w:sz w:val="21"/>
                <w:szCs w:val="21"/>
                <w:u w:val="none"/>
                <w:lang w:val="en-US" w:eastAsia="zh-CN" w:bidi="ar"/>
              </w:rPr>
              <w:t>产品提供检验报告单</w:t>
            </w:r>
            <w:r>
              <w:rPr>
                <w:rFonts w:hint="eastAsia" w:ascii="微软雅黑" w:hAnsi="微软雅黑" w:eastAsia="微软雅黑" w:cs="微软雅黑"/>
                <w:i w:val="0"/>
                <w:iCs w:val="0"/>
                <w:color w:val="auto"/>
                <w:kern w:val="0"/>
                <w:sz w:val="21"/>
                <w:szCs w:val="21"/>
                <w:u w:val="none"/>
                <w:lang w:val="en-US" w:eastAsia="zh-CN" w:bidi="ar"/>
              </w:rPr>
              <w:t>。</w:t>
            </w:r>
          </w:p>
        </w:tc>
      </w:tr>
    </w:tbl>
    <w:p w14:paraId="224B9E3F">
      <w:pPr>
        <w:rPr>
          <w:rFonts w:hint="eastAsia" w:ascii="微软雅黑" w:hAnsi="微软雅黑" w:eastAsia="微软雅黑" w:cs="微软雅黑"/>
          <w:b/>
          <w:bCs/>
          <w:sz w:val="24"/>
          <w:szCs w:val="24"/>
          <w:highlight w:val="none"/>
          <w:lang w:val="en-US" w:eastAsia="zh-CN"/>
        </w:rPr>
      </w:pPr>
      <w:r>
        <w:rPr>
          <w:rStyle w:val="48"/>
          <w:rFonts w:hint="eastAsia" w:ascii="微软雅黑" w:hAnsi="微软雅黑" w:eastAsia="微软雅黑" w:cs="微软雅黑"/>
          <w:color w:val="auto"/>
          <w:sz w:val="28"/>
          <w:szCs w:val="28"/>
          <w:highlight w:val="none"/>
          <w:lang w:val="en-US" w:eastAsia="zh-CN"/>
        </w:rPr>
        <w:t>注：1.</w:t>
      </w:r>
      <w:r>
        <w:rPr>
          <w:rFonts w:hint="eastAsia" w:ascii="微软雅黑" w:hAnsi="微软雅黑" w:eastAsia="微软雅黑" w:cs="微软雅黑"/>
          <w:b/>
          <w:bCs/>
          <w:sz w:val="24"/>
          <w:szCs w:val="24"/>
          <w:highlight w:val="none"/>
          <w:lang w:val="en-US" w:eastAsia="zh-CN"/>
        </w:rPr>
        <w:t>以上四个标段数量都为1，以综合单价招标。</w:t>
      </w:r>
    </w:p>
    <w:p w14:paraId="39BE459A">
      <w:pPr>
        <w:jc w:val="both"/>
        <w:outlineLvl w:val="9"/>
        <w:rPr>
          <w:rFonts w:hint="default" w:ascii="微软雅黑" w:hAnsi="微软雅黑" w:eastAsia="微软雅黑" w:cs="微软雅黑"/>
          <w:b/>
          <w:bCs/>
          <w:kern w:val="2"/>
          <w:sz w:val="24"/>
          <w:szCs w:val="24"/>
          <w:highlight w:val="none"/>
          <w:lang w:val="en-US" w:eastAsia="zh-CN" w:bidi="ar-SA"/>
        </w:rPr>
      </w:pPr>
      <w:r>
        <w:rPr>
          <w:rFonts w:hint="eastAsia" w:ascii="微软雅黑" w:hAnsi="微软雅黑" w:eastAsia="微软雅黑" w:cs="微软雅黑"/>
          <w:b/>
          <w:bCs/>
          <w:kern w:val="2"/>
          <w:sz w:val="28"/>
          <w:szCs w:val="28"/>
          <w:highlight w:val="none"/>
          <w:lang w:val="en-US" w:eastAsia="zh-CN" w:bidi="ar-SA"/>
        </w:rPr>
        <w:t>2.</w:t>
      </w:r>
      <w:r>
        <w:rPr>
          <w:rFonts w:hint="eastAsia" w:ascii="微软雅黑" w:hAnsi="微软雅黑" w:eastAsia="微软雅黑" w:cs="微软雅黑"/>
          <w:b/>
          <w:bCs/>
          <w:kern w:val="2"/>
          <w:sz w:val="24"/>
          <w:szCs w:val="24"/>
          <w:highlight w:val="none"/>
          <w:lang w:val="en-US" w:eastAsia="zh-CN" w:bidi="ar-SA"/>
        </w:rPr>
        <w:t>本项目以实际采购发生额结算，结算总金额不得超出预算。</w:t>
      </w:r>
    </w:p>
    <w:p w14:paraId="3CF8F151">
      <w:pPr>
        <w:rPr>
          <w:rStyle w:val="48"/>
          <w:rFonts w:hint="eastAsia" w:ascii="微软雅黑" w:hAnsi="微软雅黑" w:eastAsia="微软雅黑" w:cs="微软雅黑"/>
          <w:color w:val="auto"/>
          <w:sz w:val="28"/>
          <w:szCs w:val="28"/>
          <w:highlight w:val="none"/>
          <w:lang w:eastAsia="zh-CN"/>
        </w:rPr>
      </w:pPr>
      <w:bookmarkStart w:id="1689" w:name="_Toc5354"/>
      <w:r>
        <w:rPr>
          <w:rStyle w:val="48"/>
          <w:rFonts w:hint="eastAsia" w:ascii="微软雅黑" w:hAnsi="微软雅黑" w:eastAsia="微软雅黑" w:cs="微软雅黑"/>
          <w:color w:val="auto"/>
          <w:sz w:val="28"/>
          <w:szCs w:val="28"/>
          <w:highlight w:val="none"/>
          <w:lang w:eastAsia="zh-CN"/>
        </w:rPr>
        <w:br w:type="page"/>
      </w:r>
    </w:p>
    <w:p w14:paraId="6611AA0A">
      <w:pPr>
        <w:numPr>
          <w:ilvl w:val="0"/>
          <w:numId w:val="0"/>
        </w:numPr>
        <w:jc w:val="left"/>
        <w:outlineLvl w:val="1"/>
        <w:rPr>
          <w:rStyle w:val="48"/>
          <w:rFonts w:hint="eastAsia" w:ascii="微软雅黑" w:hAnsi="微软雅黑" w:eastAsia="微软雅黑" w:cs="微软雅黑"/>
          <w:color w:val="auto"/>
          <w:sz w:val="28"/>
          <w:szCs w:val="28"/>
          <w:highlight w:val="none"/>
          <w:lang w:eastAsia="zh-CN"/>
        </w:rPr>
      </w:pPr>
      <w:r>
        <w:rPr>
          <w:rStyle w:val="48"/>
          <w:rFonts w:hint="eastAsia" w:ascii="微软雅黑" w:hAnsi="微软雅黑" w:eastAsia="微软雅黑" w:cs="微软雅黑"/>
          <w:color w:val="auto"/>
          <w:sz w:val="28"/>
          <w:szCs w:val="28"/>
          <w:highlight w:val="none"/>
          <w:lang w:eastAsia="zh-CN"/>
        </w:rPr>
        <w:t>二、项目要求（标项一至标项四）</w:t>
      </w:r>
      <w:bookmarkEnd w:id="1689"/>
    </w:p>
    <w:p w14:paraId="6271681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outlineLvl w:val="2"/>
        <w:rPr>
          <w:rFonts w:hint="eastAsia" w:ascii="微软雅黑" w:hAnsi="微软雅黑" w:eastAsia="微软雅黑" w:cs="微软雅黑"/>
          <w:b/>
          <w:bCs/>
          <w:sz w:val="24"/>
          <w:szCs w:val="24"/>
          <w:lang w:val="en-US" w:eastAsia="zh-CN"/>
        </w:rPr>
      </w:pPr>
      <w:bookmarkStart w:id="1690" w:name="_Toc18508"/>
      <w:r>
        <w:rPr>
          <w:rFonts w:hint="eastAsia" w:ascii="微软雅黑" w:hAnsi="微软雅黑" w:eastAsia="微软雅黑" w:cs="微软雅黑"/>
          <w:b/>
          <w:bCs/>
          <w:sz w:val="24"/>
          <w:szCs w:val="24"/>
          <w:lang w:val="en-US" w:eastAsia="zh-CN"/>
        </w:rPr>
        <w:t>1、交货期：</w:t>
      </w:r>
      <w:bookmarkEnd w:id="1690"/>
    </w:p>
    <w:p w14:paraId="2B32CD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outlineLvl w:val="9"/>
        <w:rPr>
          <w:rFonts w:hint="default"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本项目为按需按时供应服务，投标单位应按照采购人的采购数量，做到分批分次送货。投标单位在接到采购人计划后须按所列饮片的品种、数量、常用药品48小时内送至采购人指定地点，急需药品在4小时内送达，配送时应提供该批药品发票、清单、检验报告单，必要时可满足一日多次送货。</w:t>
      </w:r>
    </w:p>
    <w:p w14:paraId="349DFBF3">
      <w:pPr>
        <w:keepNext w:val="0"/>
        <w:keepLines w:val="0"/>
        <w:pageBreakBefore w:val="0"/>
        <w:widowControl w:val="0"/>
        <w:numPr>
          <w:ilvl w:val="0"/>
          <w:numId w:val="8"/>
        </w:numPr>
        <w:kinsoku/>
        <w:wordWrap/>
        <w:overflowPunct/>
        <w:topLinePunct w:val="0"/>
        <w:autoSpaceDE/>
        <w:autoSpaceDN/>
        <w:bidi w:val="0"/>
        <w:adjustRightInd/>
        <w:snapToGrid/>
        <w:spacing w:line="360" w:lineRule="auto"/>
        <w:ind w:left="0" w:leftChars="0" w:firstLine="480" w:firstLineChars="200"/>
        <w:textAlignment w:val="auto"/>
        <w:outlineLvl w:val="2"/>
        <w:rPr>
          <w:rFonts w:hint="eastAsia" w:ascii="微软雅黑" w:hAnsi="微软雅黑" w:eastAsia="微软雅黑" w:cs="微软雅黑"/>
          <w:b/>
          <w:bCs/>
          <w:sz w:val="24"/>
          <w:szCs w:val="24"/>
          <w:lang w:val="en-US" w:eastAsia="zh-CN"/>
        </w:rPr>
      </w:pPr>
      <w:bookmarkStart w:id="1691" w:name="_Toc7962"/>
      <w:r>
        <w:rPr>
          <w:rFonts w:hint="eastAsia" w:ascii="微软雅黑" w:hAnsi="微软雅黑" w:eastAsia="微软雅黑" w:cs="微软雅黑"/>
          <w:b/>
          <w:bCs/>
          <w:sz w:val="24"/>
          <w:szCs w:val="24"/>
          <w:lang w:val="en-US" w:eastAsia="zh-CN"/>
        </w:rPr>
        <w:t>付款方式：</w:t>
      </w:r>
      <w:bookmarkEnd w:id="1691"/>
    </w:p>
    <w:p w14:paraId="7A77CFA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本项目以实际采购发生额结算，结算总金额不得超出预算。根据各药品中标单价及实际送货数量，按实际批次提交发票等相关资料到财务科，</w:t>
      </w:r>
      <w:r>
        <w:rPr>
          <w:rFonts w:hint="eastAsia" w:ascii="微软雅黑" w:hAnsi="微软雅黑" w:eastAsia="微软雅黑" w:cs="微软雅黑"/>
          <w:sz w:val="24"/>
          <w:szCs w:val="24"/>
          <w:highlight w:val="none"/>
          <w:lang w:val="en-US" w:eastAsia="zh-CN"/>
        </w:rPr>
        <w:t>在约定付款周期一个季度（3个月）</w:t>
      </w:r>
      <w:r>
        <w:rPr>
          <w:rFonts w:hint="eastAsia" w:ascii="微软雅黑" w:hAnsi="微软雅黑" w:eastAsia="微软雅黑" w:cs="微软雅黑"/>
          <w:sz w:val="24"/>
          <w:szCs w:val="24"/>
          <w:lang w:val="en-US" w:eastAsia="zh-CN"/>
        </w:rPr>
        <w:t>内以银行转账的方式付清相应货款（供应商须向采购人提供供货清单和开具配送货款的正规发票）。</w:t>
      </w:r>
    </w:p>
    <w:p w14:paraId="47CFFBE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outlineLvl w:val="2"/>
        <w:rPr>
          <w:rFonts w:hint="default" w:ascii="微软雅黑" w:hAnsi="微软雅黑" w:eastAsia="微软雅黑" w:cs="微软雅黑"/>
          <w:sz w:val="24"/>
          <w:szCs w:val="24"/>
          <w:lang w:val="en-US" w:eastAsia="zh-CN"/>
        </w:rPr>
      </w:pPr>
      <w:bookmarkStart w:id="1692" w:name="_Toc14788"/>
      <w:r>
        <w:rPr>
          <w:rFonts w:hint="eastAsia" w:ascii="微软雅黑" w:hAnsi="微软雅黑" w:eastAsia="微软雅黑" w:cs="微软雅黑"/>
          <w:sz w:val="24"/>
          <w:szCs w:val="24"/>
          <w:lang w:val="en-US" w:eastAsia="zh-CN"/>
        </w:rPr>
        <w:t>3</w:t>
      </w:r>
      <w:r>
        <w:rPr>
          <w:rFonts w:hint="eastAsia" w:ascii="微软雅黑" w:hAnsi="微软雅黑" w:eastAsia="微软雅黑" w:cs="微软雅黑"/>
          <w:b/>
          <w:bCs/>
          <w:sz w:val="24"/>
          <w:szCs w:val="24"/>
          <w:lang w:val="en-US" w:eastAsia="zh-CN"/>
        </w:rPr>
        <w:t>、质保期</w:t>
      </w:r>
      <w:r>
        <w:rPr>
          <w:rFonts w:hint="eastAsia" w:ascii="微软雅黑" w:hAnsi="微软雅黑" w:eastAsia="微软雅黑" w:cs="微软雅黑"/>
          <w:sz w:val="24"/>
          <w:szCs w:val="24"/>
          <w:lang w:val="en-US" w:eastAsia="zh-CN"/>
        </w:rPr>
        <w:t>：1年。</w:t>
      </w:r>
      <w:bookmarkEnd w:id="1692"/>
    </w:p>
    <w:p w14:paraId="367A468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outlineLvl w:val="2"/>
        <w:rPr>
          <w:rFonts w:hint="eastAsia" w:ascii="微软雅黑" w:hAnsi="微软雅黑" w:eastAsia="微软雅黑" w:cs="微软雅黑"/>
          <w:sz w:val="24"/>
          <w:szCs w:val="24"/>
          <w:lang w:val="en-US" w:eastAsia="zh-CN"/>
        </w:rPr>
      </w:pPr>
      <w:bookmarkStart w:id="1693" w:name="_Toc30392"/>
      <w:r>
        <w:rPr>
          <w:rFonts w:hint="eastAsia" w:ascii="微软雅黑" w:hAnsi="微软雅黑" w:eastAsia="微软雅黑" w:cs="微软雅黑"/>
          <w:sz w:val="24"/>
          <w:szCs w:val="24"/>
          <w:lang w:val="en-US" w:eastAsia="zh-CN"/>
        </w:rPr>
        <w:t>4、</w:t>
      </w:r>
      <w:r>
        <w:rPr>
          <w:rFonts w:hint="eastAsia" w:ascii="微软雅黑" w:hAnsi="微软雅黑" w:eastAsia="微软雅黑" w:cs="微软雅黑"/>
          <w:b/>
          <w:bCs/>
          <w:sz w:val="24"/>
          <w:szCs w:val="24"/>
          <w:lang w:val="en-US" w:eastAsia="zh-CN"/>
        </w:rPr>
        <w:t>资金类型</w:t>
      </w:r>
      <w:r>
        <w:rPr>
          <w:rFonts w:hint="eastAsia" w:ascii="微软雅黑" w:hAnsi="微软雅黑" w:eastAsia="微软雅黑" w:cs="微软雅黑"/>
          <w:sz w:val="24"/>
          <w:szCs w:val="24"/>
          <w:lang w:val="en-US" w:eastAsia="zh-CN"/>
        </w:rPr>
        <w:t>：自筹资金。</w:t>
      </w:r>
      <w:bookmarkEnd w:id="1693"/>
    </w:p>
    <w:p w14:paraId="37F808F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outlineLvl w:val="2"/>
        <w:rPr>
          <w:rFonts w:hint="eastAsia" w:ascii="微软雅黑" w:hAnsi="微软雅黑" w:eastAsia="微软雅黑" w:cs="微软雅黑"/>
          <w:sz w:val="24"/>
          <w:szCs w:val="24"/>
          <w:lang w:val="en-US" w:eastAsia="zh-CN"/>
        </w:rPr>
      </w:pPr>
      <w:bookmarkStart w:id="1694" w:name="_Toc6776"/>
      <w:r>
        <w:rPr>
          <w:rFonts w:hint="eastAsia" w:ascii="微软雅黑" w:hAnsi="微软雅黑" w:eastAsia="微软雅黑" w:cs="微软雅黑"/>
          <w:sz w:val="24"/>
          <w:szCs w:val="24"/>
          <w:lang w:val="en-US" w:eastAsia="zh-CN"/>
        </w:rPr>
        <w:t>5、</w:t>
      </w:r>
      <w:r>
        <w:rPr>
          <w:rFonts w:hint="eastAsia" w:ascii="微软雅黑" w:hAnsi="微软雅黑" w:eastAsia="微软雅黑" w:cs="微软雅黑"/>
          <w:b/>
          <w:bCs/>
          <w:sz w:val="24"/>
          <w:szCs w:val="24"/>
          <w:lang w:val="en-US" w:eastAsia="zh-CN"/>
        </w:rPr>
        <w:t>交货地点</w:t>
      </w:r>
      <w:r>
        <w:rPr>
          <w:rFonts w:hint="eastAsia" w:ascii="微软雅黑" w:hAnsi="微软雅黑" w:eastAsia="微软雅黑" w:cs="微软雅黑"/>
          <w:sz w:val="24"/>
          <w:szCs w:val="24"/>
          <w:lang w:val="en-US" w:eastAsia="zh-CN"/>
        </w:rPr>
        <w:t>：以甲方指定地点为准（具体以签订合同为准）。</w:t>
      </w:r>
      <w:bookmarkEnd w:id="1694"/>
    </w:p>
    <w:p w14:paraId="6BD6B4A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outlineLvl w:val="2"/>
        <w:rPr>
          <w:rFonts w:hint="eastAsia" w:ascii="微软雅黑" w:hAnsi="微软雅黑" w:eastAsia="微软雅黑" w:cs="微软雅黑"/>
          <w:sz w:val="24"/>
          <w:szCs w:val="24"/>
          <w:lang w:val="en-US" w:eastAsia="zh-CN"/>
        </w:rPr>
      </w:pPr>
      <w:bookmarkStart w:id="1695" w:name="_Toc23318"/>
      <w:r>
        <w:rPr>
          <w:rFonts w:hint="eastAsia" w:ascii="微软雅黑" w:hAnsi="微软雅黑" w:eastAsia="微软雅黑" w:cs="微软雅黑"/>
          <w:sz w:val="24"/>
          <w:szCs w:val="24"/>
          <w:lang w:val="en-US" w:eastAsia="zh-CN"/>
        </w:rPr>
        <w:t>6、</w:t>
      </w:r>
      <w:r>
        <w:rPr>
          <w:rFonts w:hint="eastAsia" w:ascii="微软雅黑" w:hAnsi="微软雅黑" w:eastAsia="微软雅黑" w:cs="微软雅黑"/>
          <w:b/>
          <w:bCs/>
          <w:sz w:val="24"/>
          <w:szCs w:val="24"/>
          <w:lang w:val="en-US" w:eastAsia="zh-CN"/>
        </w:rPr>
        <w:t>是否专门面向中小企业</w:t>
      </w:r>
      <w:r>
        <w:rPr>
          <w:rFonts w:hint="eastAsia" w:ascii="微软雅黑" w:hAnsi="微软雅黑" w:eastAsia="微软雅黑" w:cs="微软雅黑"/>
          <w:sz w:val="24"/>
          <w:szCs w:val="24"/>
          <w:lang w:val="en-US" w:eastAsia="zh-CN"/>
        </w:rPr>
        <w:t>：</w:t>
      </w:r>
      <w:bookmarkEnd w:id="1695"/>
      <w:r>
        <w:rPr>
          <w:rFonts w:hint="eastAsia" w:ascii="微软雅黑" w:hAnsi="微软雅黑" w:eastAsia="微软雅黑" w:cs="微软雅黑"/>
          <w:sz w:val="24"/>
          <w:szCs w:val="24"/>
          <w:lang w:val="en-US" w:eastAsia="zh-CN"/>
        </w:rPr>
        <w:t>是</w:t>
      </w:r>
    </w:p>
    <w:p w14:paraId="0687C4A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outlineLvl w:val="2"/>
        <w:rPr>
          <w:rFonts w:hint="eastAsia" w:ascii="微软雅黑" w:hAnsi="微软雅黑" w:eastAsia="微软雅黑" w:cs="微软雅黑"/>
          <w:sz w:val="24"/>
          <w:szCs w:val="24"/>
          <w:lang w:val="en-US" w:eastAsia="zh-CN"/>
        </w:rPr>
      </w:pPr>
      <w:bookmarkStart w:id="1696" w:name="_Toc8847"/>
      <w:r>
        <w:rPr>
          <w:rFonts w:hint="eastAsia" w:ascii="微软雅黑" w:hAnsi="微软雅黑" w:eastAsia="微软雅黑" w:cs="微软雅黑"/>
          <w:sz w:val="24"/>
          <w:szCs w:val="24"/>
          <w:lang w:val="en-US" w:eastAsia="zh-CN"/>
        </w:rPr>
        <w:t>7、</w:t>
      </w:r>
      <w:r>
        <w:rPr>
          <w:rFonts w:hint="eastAsia" w:ascii="微软雅黑" w:hAnsi="微软雅黑" w:eastAsia="微软雅黑" w:cs="微软雅黑"/>
          <w:b/>
          <w:bCs/>
          <w:sz w:val="24"/>
          <w:szCs w:val="24"/>
          <w:lang w:val="en-US" w:eastAsia="zh-CN"/>
        </w:rPr>
        <w:t>质量标准：</w:t>
      </w:r>
      <w:bookmarkEnd w:id="1696"/>
    </w:p>
    <w:p w14:paraId="010BF0D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（1）药材来源可追溯</w:t>
      </w:r>
    </w:p>
    <w:p w14:paraId="776239F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（2）</w:t>
      </w:r>
      <w:r>
        <w:rPr>
          <w:rFonts w:hint="eastAsia" w:ascii="微软雅黑" w:hAnsi="微软雅黑" w:eastAsia="微软雅黑" w:cs="微软雅黑"/>
          <w:sz w:val="24"/>
          <w:szCs w:val="24"/>
          <w:highlight w:val="none"/>
          <w:lang w:val="en-US" w:eastAsia="zh-CN"/>
        </w:rPr>
        <w:t>提供医保编码</w:t>
      </w:r>
      <w:r>
        <w:rPr>
          <w:rFonts w:hint="eastAsia" w:ascii="微软雅黑" w:hAnsi="微软雅黑" w:eastAsia="微软雅黑" w:cs="微软雅黑"/>
          <w:sz w:val="24"/>
          <w:szCs w:val="24"/>
          <w:lang w:val="en-US" w:eastAsia="zh-CN"/>
        </w:rPr>
        <w:t>，炮制工艺符合《中国药典》、《新疆维吾尔自治区维吾尔药材标准》、《新疆维吾尔自治区中药饮片炮制规范》;</w:t>
      </w:r>
    </w:p>
    <w:p w14:paraId="0769094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（3）禁用硫熏、染色等违规加工，杂质、水分、灰分都必须符合中药饮品质量标准；</w:t>
      </w:r>
    </w:p>
    <w:p w14:paraId="5062CCC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（4）每批次提供质检报告(含重金属、农药残留等检测项)。</w:t>
      </w:r>
    </w:p>
    <w:p w14:paraId="6FA7CA2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（5）符合食品级或医用级标准(如GB 4806系列),无毒无害；</w:t>
      </w:r>
    </w:p>
    <w:p w14:paraId="3F76301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（6）优先采用可降解环保材料，减少污染；要求卫生级，提供检验报告书；</w:t>
      </w:r>
    </w:p>
    <w:p w14:paraId="323F776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default" w:ascii="微软雅黑" w:hAnsi="微软雅黑" w:eastAsia="微软雅黑" w:cs="微软雅黑"/>
          <w:sz w:val="24"/>
          <w:szCs w:val="24"/>
          <w:lang w:val="en-US" w:eastAsia="zh-CN"/>
        </w:rPr>
      </w:pPr>
      <w:r>
        <w:rPr>
          <w:rFonts w:hint="eastAsia" w:ascii="微软雅黑" w:hAnsi="微软雅黑" w:eastAsia="微软雅黑" w:cs="微软雅黑"/>
          <w:b/>
          <w:bCs/>
          <w:sz w:val="24"/>
          <w:szCs w:val="24"/>
          <w:lang w:val="en-US" w:eastAsia="zh-CN"/>
        </w:rPr>
        <w:t>（7）所提供的中药饮片（符合2025年版《中华人民共和国药典》、最新版本（新疆中药维吾尔药饮片炮制规范、新疆维吾尔自治区维吾尔药材标准）必须提供相关承诺，否则作无效投标处理</w:t>
      </w:r>
      <w:r>
        <w:rPr>
          <w:rFonts w:hint="eastAsia" w:ascii="微软雅黑" w:hAnsi="微软雅黑" w:eastAsia="微软雅黑" w:cs="微软雅黑"/>
          <w:sz w:val="24"/>
          <w:szCs w:val="24"/>
          <w:lang w:val="en-US" w:eastAsia="zh-CN"/>
        </w:rPr>
        <w:t>。</w:t>
      </w:r>
    </w:p>
    <w:p w14:paraId="0533035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outlineLvl w:val="2"/>
        <w:rPr>
          <w:rFonts w:hint="eastAsia" w:ascii="微软雅黑" w:hAnsi="微软雅黑" w:eastAsia="微软雅黑" w:cs="微软雅黑"/>
          <w:sz w:val="24"/>
          <w:szCs w:val="24"/>
          <w:lang w:val="en-US" w:eastAsia="zh-CN"/>
        </w:rPr>
      </w:pPr>
      <w:bookmarkStart w:id="1697" w:name="_Toc18773"/>
      <w:r>
        <w:rPr>
          <w:rFonts w:hint="eastAsia" w:ascii="微软雅黑" w:hAnsi="微软雅黑" w:eastAsia="微软雅黑" w:cs="微软雅黑"/>
          <w:b/>
          <w:bCs/>
          <w:sz w:val="24"/>
          <w:szCs w:val="24"/>
          <w:lang w:val="en-US" w:eastAsia="zh-CN"/>
        </w:rPr>
        <w:t>8、包装要求：</w:t>
      </w:r>
      <w:r>
        <w:rPr>
          <w:rFonts w:hint="eastAsia" w:ascii="微软雅黑" w:hAnsi="微软雅黑" w:eastAsia="微软雅黑" w:cs="微软雅黑"/>
          <w:sz w:val="24"/>
          <w:szCs w:val="24"/>
          <w:lang w:val="en-US" w:eastAsia="zh-CN"/>
        </w:rPr>
        <w:t>分小包装(50g/100g/200g)及大包装(1kg/5kg),标注品名、规格、产地、生产日期及有效期；防潮、防虫设计，确保储存期≥12个月。</w:t>
      </w:r>
      <w:bookmarkEnd w:id="1697"/>
    </w:p>
    <w:p w14:paraId="2FD8F42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outlineLvl w:val="2"/>
        <w:rPr>
          <w:rFonts w:hint="eastAsia" w:ascii="微软雅黑" w:hAnsi="微软雅黑" w:eastAsia="微软雅黑" w:cs="微软雅黑"/>
          <w:b/>
          <w:bCs/>
          <w:sz w:val="24"/>
          <w:szCs w:val="24"/>
          <w:lang w:val="en-US" w:eastAsia="zh-CN"/>
        </w:rPr>
      </w:pPr>
      <w:bookmarkStart w:id="1698" w:name="_Toc20957"/>
      <w:r>
        <w:rPr>
          <w:rFonts w:hint="eastAsia" w:ascii="微软雅黑" w:hAnsi="微软雅黑" w:eastAsia="微软雅黑" w:cs="微软雅黑"/>
          <w:b/>
          <w:bCs/>
          <w:sz w:val="24"/>
          <w:szCs w:val="24"/>
          <w:lang w:val="en-US" w:eastAsia="zh-CN"/>
        </w:rPr>
        <w:t>9、售后服务及要求：</w:t>
      </w:r>
      <w:bookmarkEnd w:id="1698"/>
    </w:p>
    <w:p w14:paraId="57E2B24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（1）医院根据临床实际需求量下单，中标方须在48小时内响应供货；</w:t>
      </w:r>
    </w:p>
    <w:p w14:paraId="45C19E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（2）临床反馈，设立药品不良反应监测通道，48小时内响应投诉。</w:t>
      </w:r>
    </w:p>
    <w:p w14:paraId="1B3ADEE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3）在供货期间，以签订合同时的药品单价为标准，不得随意调整价格。必须按清单中产品进行供货，如遇清单中产品无法供货需提前告知采购方，同时提供书面说明，同一品种连续三次无法供货或两次验收不合格的，采购人有权取消其供货资格；</w:t>
      </w:r>
    </w:p>
    <w:p w14:paraId="3543FF1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（4）投标企业对于经营品种目录外的中药饮片，采购单位有需求的，中标人不得拒绝供应，应积极组织调拨资源，按时组织到货，市场上确无货源的除外；</w:t>
      </w:r>
    </w:p>
    <w:p w14:paraId="2C7DFFC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（5）</w:t>
      </w:r>
      <w:r>
        <w:rPr>
          <w:rFonts w:hint="eastAsia" w:ascii="微软雅黑" w:hAnsi="微软雅黑" w:eastAsia="微软雅黑" w:cs="微软雅黑"/>
          <w:b/>
          <w:bCs/>
          <w:sz w:val="24"/>
          <w:szCs w:val="24"/>
          <w:lang w:val="en-US" w:eastAsia="zh-CN"/>
        </w:rPr>
        <w:t>投标企业承诺按照医院要求对指定中药饮片进行打粉、包装，并对部分贵重药品进行分包装服务。（投标人提供承诺函）</w:t>
      </w:r>
    </w:p>
    <w:p w14:paraId="6F78BF3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①中标人在收到采购人药品采购计划后，无论计划品种、数量多少，48 小时内将药品完好无损送至采购人指定地点并摆放整理好，提供包装袋(供应商于收到供货通知后立即予以回复采购人是否能够按时供货，紧急药品 2 小时内送达，节假日照常配送)。如遇特殊情况无法按时送达货品时需与采购人沟通，且一年不得超过三次）。供货方承担药品包装与配送费。</w:t>
      </w:r>
    </w:p>
    <w:p w14:paraId="3995916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②采购人发现进货的药品破损、近效期、包装不合格或有质量问题的，中标人应保证及时更换或退货处理。</w:t>
      </w:r>
    </w:p>
    <w:p w14:paraId="7154B9D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③中药饮片在储存，使用过程中出现吸潮，结块，发霉等一切药品质量问题时，应10日内提供退换和承担相应赔偿。</w:t>
      </w:r>
    </w:p>
    <w:p w14:paraId="029D0BC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④投标人应有良好的售后培训体系，可长期驻院对药师及药房管理人员进行 “一对一”或者是“一对多”药品使用进行培训。</w:t>
      </w:r>
    </w:p>
    <w:p w14:paraId="71DAC26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⑤投标人所供中药饮片在临床应用因质量问题引起的不良事件以及可疑不良事件，所产生的一切责任及费用由供方承担。</w:t>
      </w:r>
    </w:p>
    <w:p w14:paraId="1368D7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⑥因质量问题使医院因此蒙受经济及名誉损失，由供货方承担。</w:t>
      </w:r>
    </w:p>
    <w:p w14:paraId="08BD95B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⑦投标人所供中药饮片，因中包装标识、说明书及质量管理等不符合要求，被药监部门判为假、劣药时，所产生的一切费用由供方承担。</w:t>
      </w:r>
    </w:p>
    <w:p w14:paraId="541E65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微软雅黑" w:hAnsi="微软雅黑" w:eastAsia="微软雅黑" w:cs="微软雅黑"/>
          <w:sz w:val="24"/>
          <w:szCs w:val="24"/>
          <w:highlight w:val="yellow"/>
          <w:lang w:val="en-US" w:eastAsia="zh-CN"/>
        </w:rPr>
      </w:pPr>
      <w:r>
        <w:rPr>
          <w:rFonts w:hint="eastAsia" w:ascii="微软雅黑" w:hAnsi="微软雅黑" w:eastAsia="微软雅黑" w:cs="微软雅黑"/>
          <w:sz w:val="24"/>
          <w:szCs w:val="24"/>
          <w:lang w:val="en-US" w:eastAsia="zh-CN"/>
        </w:rPr>
        <w:t>⑧投标人必须保证签订采购合同时，具备履行合同义务所需的法定资质和资格（包括授权许可），并保证该等资质和资格在交货期内持续有效。</w:t>
      </w:r>
      <w:r>
        <w:rPr>
          <w:rFonts w:hint="eastAsia" w:ascii="微软雅黑" w:hAnsi="微软雅黑" w:eastAsia="微软雅黑" w:cs="微软雅黑"/>
          <w:sz w:val="24"/>
          <w:szCs w:val="24"/>
          <w:lang w:val="en-US" w:eastAsia="zh-CN"/>
        </w:rPr>
        <w:br w:type="textWrapping"/>
      </w:r>
      <w:r>
        <w:rPr>
          <w:rFonts w:hint="eastAsia" w:ascii="微软雅黑" w:hAnsi="微软雅黑" w:eastAsia="微软雅黑" w:cs="微软雅黑"/>
          <w:sz w:val="24"/>
          <w:szCs w:val="24"/>
          <w:lang w:val="en-US" w:eastAsia="zh-CN"/>
        </w:rPr>
        <w:t xml:space="preserve">    ⑨</w:t>
      </w:r>
      <w:r>
        <w:rPr>
          <w:rFonts w:hint="eastAsia" w:ascii="微软雅黑" w:hAnsi="微软雅黑" w:eastAsia="微软雅黑" w:cs="微软雅黑"/>
          <w:sz w:val="24"/>
          <w:szCs w:val="24"/>
          <w:highlight w:val="none"/>
          <w:lang w:val="en-US" w:eastAsia="zh-CN"/>
        </w:rPr>
        <w:t>投标人必须保证同一种中药饮片在交货期内提供同一个产地。</w:t>
      </w:r>
      <w:r>
        <w:rPr>
          <w:rFonts w:hint="eastAsia" w:ascii="微软雅黑" w:hAnsi="微软雅黑" w:eastAsia="微软雅黑" w:cs="微软雅黑"/>
          <w:b/>
          <w:bCs/>
          <w:sz w:val="24"/>
          <w:szCs w:val="24"/>
          <w:highlight w:val="none"/>
          <w:lang w:val="en-US" w:eastAsia="zh-CN"/>
        </w:rPr>
        <w:t>（投标人提供承诺函）</w:t>
      </w:r>
    </w:p>
    <w:p w14:paraId="4ABB67F4">
      <w:pPr>
        <w:keepNext w:val="0"/>
        <w:keepLines w:val="0"/>
        <w:pageBreakBefore w:val="0"/>
        <w:widowControl w:val="0"/>
        <w:numPr>
          <w:ilvl w:val="0"/>
          <w:numId w:val="9"/>
        </w:numPr>
        <w:kinsoku/>
        <w:wordWrap/>
        <w:overflowPunct/>
        <w:topLinePunct w:val="0"/>
        <w:autoSpaceDE/>
        <w:autoSpaceDN/>
        <w:bidi w:val="0"/>
        <w:adjustRightInd/>
        <w:snapToGrid/>
        <w:spacing w:line="360" w:lineRule="auto"/>
        <w:ind w:left="0" w:leftChars="0" w:firstLine="480" w:firstLineChars="200"/>
        <w:textAlignment w:val="auto"/>
        <w:outlineLvl w:val="2"/>
        <w:rPr>
          <w:rFonts w:hint="eastAsia" w:ascii="微软雅黑" w:hAnsi="微软雅黑" w:eastAsia="微软雅黑" w:cs="微软雅黑"/>
          <w:b/>
          <w:bCs/>
          <w:sz w:val="24"/>
          <w:szCs w:val="24"/>
          <w:lang w:val="en-US" w:eastAsia="zh-CN"/>
        </w:rPr>
      </w:pPr>
      <w:bookmarkStart w:id="1699" w:name="_Toc9323"/>
      <w:r>
        <w:rPr>
          <w:rFonts w:hint="eastAsia" w:ascii="微软雅黑" w:hAnsi="微软雅黑" w:eastAsia="微软雅黑" w:cs="微软雅黑"/>
          <w:b/>
          <w:bCs/>
          <w:sz w:val="24"/>
          <w:szCs w:val="24"/>
          <w:lang w:val="en-US" w:eastAsia="zh-CN"/>
        </w:rPr>
        <w:t>验收：</w:t>
      </w:r>
      <w:bookmarkEnd w:id="1699"/>
    </w:p>
    <w:p w14:paraId="77C0CF5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入库严检，每批次供货必须随货提供同批号检验报告（盖质检章），随机抽检10%进行复检(建立验收小组)。</w:t>
      </w:r>
    </w:p>
    <w:p w14:paraId="54794DB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①药学部根据《药品管理法》等有关规定，建立健全药品入库验收程序，以防假劣药品进入药品库房，切实保证入库药品质量完好、数量准确；</w:t>
      </w:r>
    </w:p>
    <w:p w14:paraId="086ED99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②货物到达现场后，中标人应在使用单位人员在场情况下当面开箱，共同清点、检查外观，作出开箱记录，双方签字确认。中标人应保证货物到达采购人所在地完好无损，如有缺漏、损坏，由供应商负责调换、补齐或赔偿。药品验收由验收小组人员同时进行，必须由至少两名验收人员和复核人员进行；</w:t>
      </w:r>
    </w:p>
    <w:p w14:paraId="24FDF54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③药品验收应在待验区进行。整件的药品按抽样原则开箱验收，零散品种按批号逐批验收；</w:t>
      </w:r>
    </w:p>
    <w:p w14:paraId="432FADC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④核对包装，并附有质量合格标志。每件包装上，应标明品名、规格、产地、生产企业、生产日期等，已经实行批准文号管理的，需标明批准文号。</w:t>
      </w:r>
    </w:p>
    <w:p w14:paraId="11E1613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⑤货票、实物、货帐所示的药品名称、规格、批准文号、批号、有效期、生产厂家、供货单位、数量及价格是否正确一致。</w:t>
      </w:r>
    </w:p>
    <w:p w14:paraId="4B7A5BB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⑥检查内、外包装是否完整、清洁，无破损、污染、渗漏或封条损坏等包装异常现象；是否有发霉、走油、生虫等变质情形。</w:t>
      </w:r>
    </w:p>
    <w:p w14:paraId="6342113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outlineLvl w:val="2"/>
        <w:rPr>
          <w:rFonts w:hint="eastAsia" w:ascii="微软雅黑" w:hAnsi="微软雅黑" w:eastAsia="微软雅黑" w:cs="微软雅黑"/>
          <w:b/>
          <w:bCs/>
          <w:sz w:val="24"/>
          <w:szCs w:val="24"/>
          <w:lang w:val="en-US" w:eastAsia="zh-CN"/>
        </w:rPr>
      </w:pPr>
      <w:bookmarkStart w:id="1700" w:name="_Toc67"/>
      <w:r>
        <w:rPr>
          <w:rFonts w:hint="eastAsia" w:ascii="微软雅黑" w:hAnsi="微软雅黑" w:eastAsia="微软雅黑" w:cs="微软雅黑"/>
          <w:b/>
          <w:bCs/>
          <w:sz w:val="24"/>
          <w:szCs w:val="24"/>
          <w:lang w:val="en-US" w:eastAsia="zh-CN"/>
        </w:rPr>
        <w:t>11、方案要求：</w:t>
      </w:r>
      <w:bookmarkEnd w:id="1700"/>
    </w:p>
    <w:p w14:paraId="246F333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①投标人根据项目情况，提供售后服务方案、质保承诺、检测报告（由有资质的药品检测机构出具的技术检测检验报告）、供应流程、技术指标、类似业绩、人员安排等内容。</w:t>
      </w:r>
    </w:p>
    <w:p w14:paraId="797E3CE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②如有未尽事宜或收到参数不合要求情况，可双方协商决定，但决定权在购买方，购买方有权利退回所购买产品。</w:t>
      </w:r>
    </w:p>
    <w:p w14:paraId="50616D6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outlineLvl w:val="2"/>
        <w:rPr>
          <w:rFonts w:hint="eastAsia" w:ascii="微软雅黑" w:hAnsi="微软雅黑" w:eastAsia="微软雅黑" w:cs="微软雅黑"/>
          <w:b/>
          <w:bCs/>
          <w:sz w:val="24"/>
          <w:szCs w:val="24"/>
          <w:lang w:val="en-US" w:eastAsia="zh-CN"/>
        </w:rPr>
      </w:pPr>
      <w:bookmarkStart w:id="1701" w:name="_Toc27242"/>
      <w:r>
        <w:rPr>
          <w:rFonts w:hint="eastAsia" w:ascii="微软雅黑" w:hAnsi="微软雅黑" w:eastAsia="微软雅黑" w:cs="微软雅黑"/>
          <w:b/>
          <w:bCs/>
          <w:sz w:val="24"/>
          <w:szCs w:val="24"/>
          <w:lang w:val="en-US" w:eastAsia="zh-CN"/>
        </w:rPr>
        <w:t>12、违约责任：</w:t>
      </w:r>
      <w:bookmarkEnd w:id="1701"/>
    </w:p>
    <w:p w14:paraId="396581A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①质量不达标：无条件退货并赔偿损失，必要时启动法律程序；</w:t>
      </w:r>
    </w:p>
    <w:p w14:paraId="3397CC3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②供货延迟：按延迟天数扣除当批次货款的1%-5%;</w:t>
      </w:r>
    </w:p>
    <w:p w14:paraId="0F977F3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③连续两次违约：医院有权终止合同并列入黑名单。</w:t>
      </w:r>
    </w:p>
    <w:p w14:paraId="793BB0B8">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0" w:leftChars="0" w:firstLine="480" w:firstLineChars="200"/>
        <w:textAlignment w:val="auto"/>
        <w:outlineLvl w:val="2"/>
        <w:rPr>
          <w:rFonts w:hint="eastAsia" w:ascii="微软雅黑" w:hAnsi="微软雅黑" w:eastAsia="微软雅黑" w:cs="微软雅黑"/>
          <w:b/>
          <w:bCs/>
          <w:sz w:val="24"/>
          <w:szCs w:val="24"/>
          <w:highlight w:val="none"/>
          <w:lang w:val="en-US" w:eastAsia="zh-CN"/>
        </w:rPr>
      </w:pPr>
      <w:bookmarkStart w:id="1702" w:name="_Toc2647"/>
      <w:r>
        <w:rPr>
          <w:rFonts w:hint="eastAsia" w:ascii="微软雅黑" w:hAnsi="微软雅黑" w:eastAsia="微软雅黑" w:cs="微软雅黑"/>
          <w:b/>
          <w:bCs/>
          <w:sz w:val="24"/>
          <w:szCs w:val="24"/>
          <w:highlight w:val="none"/>
          <w:lang w:val="en-US" w:eastAsia="zh-CN"/>
        </w:rPr>
        <w:t>样品递交时间、地点及要求</w:t>
      </w:r>
      <w:bookmarkEnd w:id="1702"/>
    </w:p>
    <w:p w14:paraId="1E8B6D0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微软雅黑" w:hAnsi="微软雅黑" w:eastAsia="微软雅黑" w:cs="微软雅黑"/>
          <w:sz w:val="24"/>
          <w:szCs w:val="24"/>
          <w:highlight w:val="none"/>
          <w:lang w:val="en-US" w:eastAsia="zh-CN"/>
        </w:rPr>
      </w:pPr>
      <w:r>
        <w:rPr>
          <w:rFonts w:hint="eastAsia" w:ascii="微软雅黑" w:hAnsi="微软雅黑" w:eastAsia="微软雅黑" w:cs="微软雅黑"/>
          <w:sz w:val="24"/>
          <w:szCs w:val="24"/>
          <w:highlight w:val="none"/>
          <w:lang w:val="en-US" w:eastAsia="zh-CN"/>
        </w:rPr>
        <w:t>Ⅰ.样品递交时间：2026年4月8日10：00（北京时间）</w:t>
      </w:r>
    </w:p>
    <w:p w14:paraId="11EECEA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2160" w:firstLineChars="900"/>
        <w:textAlignment w:val="auto"/>
        <w:rPr>
          <w:rFonts w:hint="eastAsia" w:ascii="微软雅黑" w:hAnsi="微软雅黑" w:eastAsia="微软雅黑" w:cs="微软雅黑"/>
          <w:sz w:val="24"/>
          <w:szCs w:val="24"/>
          <w:highlight w:val="none"/>
          <w:lang w:val="en-US" w:eastAsia="zh-CN"/>
        </w:rPr>
      </w:pPr>
      <w:r>
        <w:rPr>
          <w:rFonts w:hint="eastAsia" w:ascii="微软雅黑" w:hAnsi="微软雅黑" w:eastAsia="微软雅黑" w:cs="微软雅黑"/>
          <w:sz w:val="24"/>
          <w:szCs w:val="24"/>
          <w:highlight w:val="none"/>
          <w:lang w:val="en-US" w:eastAsia="zh-CN"/>
        </w:rPr>
        <w:t>至2026年4月28日19:30（北京时间）</w:t>
      </w:r>
      <w:bookmarkStart w:id="3073" w:name="_GoBack"/>
      <w:bookmarkEnd w:id="3073"/>
    </w:p>
    <w:p w14:paraId="2281B24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微软雅黑" w:hAnsi="微软雅黑" w:eastAsia="微软雅黑" w:cs="微软雅黑"/>
          <w:sz w:val="24"/>
          <w:szCs w:val="24"/>
          <w:highlight w:val="none"/>
          <w:lang w:val="en-US" w:eastAsia="zh-CN"/>
        </w:rPr>
      </w:pPr>
      <w:r>
        <w:rPr>
          <w:rFonts w:hint="eastAsia" w:ascii="微软雅黑" w:hAnsi="微软雅黑" w:eastAsia="微软雅黑" w:cs="微软雅黑"/>
          <w:sz w:val="24"/>
          <w:szCs w:val="24"/>
          <w:highlight w:val="none"/>
          <w:lang w:val="en-US" w:eastAsia="zh-CN"/>
        </w:rPr>
        <w:t>Ⅱ.截止时间：开标前一天19:30（北京时间）之前</w:t>
      </w:r>
    </w:p>
    <w:p w14:paraId="28A22DF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微软雅黑" w:hAnsi="微软雅黑" w:eastAsia="微软雅黑" w:cs="微软雅黑"/>
          <w:sz w:val="24"/>
          <w:szCs w:val="24"/>
          <w:highlight w:val="none"/>
          <w:lang w:val="en-US" w:eastAsia="zh-CN"/>
        </w:rPr>
      </w:pPr>
      <w:r>
        <w:rPr>
          <w:rFonts w:hint="eastAsia" w:ascii="微软雅黑" w:hAnsi="微软雅黑" w:eastAsia="微软雅黑" w:cs="微软雅黑"/>
          <w:sz w:val="24"/>
          <w:szCs w:val="24"/>
          <w:highlight w:val="none"/>
          <w:lang w:val="en-US" w:eastAsia="zh-CN"/>
        </w:rPr>
        <w:t>Ⅲ.样品递交地点：泽普县维吾尔医医院项目管理办公室</w:t>
      </w:r>
    </w:p>
    <w:p w14:paraId="72FDC7E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default" w:ascii="微软雅黑" w:hAnsi="微软雅黑" w:eastAsia="微软雅黑" w:cs="微软雅黑"/>
          <w:sz w:val="24"/>
          <w:szCs w:val="24"/>
          <w:highlight w:val="none"/>
          <w:lang w:val="en-US" w:eastAsia="zh-CN"/>
        </w:rPr>
      </w:pPr>
      <w:r>
        <w:rPr>
          <w:rFonts w:hint="eastAsia" w:ascii="微软雅黑" w:hAnsi="微软雅黑" w:eastAsia="微软雅黑" w:cs="微软雅黑"/>
          <w:sz w:val="24"/>
          <w:szCs w:val="24"/>
          <w:highlight w:val="none"/>
          <w:lang w:val="en-US" w:eastAsia="zh-CN"/>
        </w:rPr>
        <w:t>联系人：努尔阿米娜·麦图地       联系电话：13579075405</w:t>
      </w:r>
    </w:p>
    <w:p w14:paraId="798E93A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微软雅黑" w:hAnsi="微软雅黑" w:eastAsia="微软雅黑" w:cs="微软雅黑"/>
          <w:sz w:val="24"/>
          <w:szCs w:val="24"/>
          <w:highlight w:val="none"/>
          <w:lang w:val="en-US" w:eastAsia="zh-CN"/>
        </w:rPr>
      </w:pPr>
      <w:r>
        <w:rPr>
          <w:rFonts w:hint="eastAsia" w:ascii="微软雅黑" w:hAnsi="微软雅黑" w:eastAsia="微软雅黑" w:cs="微软雅黑"/>
          <w:sz w:val="24"/>
          <w:szCs w:val="24"/>
          <w:highlight w:val="none"/>
          <w:lang w:val="en-US" w:eastAsia="zh-CN"/>
        </w:rPr>
        <w:t>Ⅳ.投标人应提供实物供现场评测：开标前，投标人必须按照招标文件规定的第五章货物要求及项目要求的（一、货物要求）提供样品，各投标人须单独提供所述样品，样品须与投标文件所投产品一致。</w:t>
      </w:r>
    </w:p>
    <w:p w14:paraId="18AECFE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微软雅黑" w:hAnsi="微软雅黑" w:eastAsia="微软雅黑" w:cs="微软雅黑"/>
          <w:sz w:val="24"/>
          <w:szCs w:val="24"/>
          <w:highlight w:val="none"/>
          <w:lang w:val="en-US" w:eastAsia="zh-CN"/>
        </w:rPr>
      </w:pPr>
      <w:r>
        <w:rPr>
          <w:rFonts w:hint="eastAsia" w:ascii="微软雅黑" w:hAnsi="微软雅黑" w:eastAsia="微软雅黑" w:cs="微软雅黑"/>
          <w:sz w:val="24"/>
          <w:szCs w:val="24"/>
          <w:highlight w:val="none"/>
          <w:lang w:val="en-US" w:eastAsia="zh-CN"/>
        </w:rPr>
        <w:t>①投标样品是投标文件的组成部分。投标前，投标人应按招标文件规定准备投标样品。 投标人需按合同包(标段)将该合同包的所有样品打包在一个包装箱内，箱外注明投标单位名称及合同包号(标段)并加盖公章后密封。</w:t>
      </w:r>
    </w:p>
    <w:p w14:paraId="1686CD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微软雅黑" w:hAnsi="微软雅黑" w:eastAsia="微软雅黑" w:cs="微软雅黑"/>
          <w:sz w:val="24"/>
          <w:szCs w:val="24"/>
          <w:highlight w:val="none"/>
          <w:lang w:val="en-US" w:eastAsia="zh-CN"/>
        </w:rPr>
      </w:pPr>
      <w:r>
        <w:rPr>
          <w:rFonts w:hint="eastAsia" w:ascii="微软雅黑" w:hAnsi="微软雅黑" w:eastAsia="微软雅黑" w:cs="微软雅黑"/>
          <w:sz w:val="24"/>
          <w:szCs w:val="24"/>
          <w:highlight w:val="none"/>
          <w:lang w:val="en-US" w:eastAsia="zh-CN"/>
        </w:rPr>
        <w:t>②投标人投标时需提供对应标项采购需求所要求的产品作为样品，每种产品各提供一份 样品，投标时在每种样品外包装上加贴样品标签应符合“中药饮片标签管理规定”，内容包含品名、规格、药材产地、生产企业、生产日期、保质期等信息,所提供样品应与样品清单中所表述的一致。</w:t>
      </w:r>
    </w:p>
    <w:p w14:paraId="56E4907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微软雅黑" w:hAnsi="微软雅黑" w:eastAsia="微软雅黑" w:cs="微软雅黑"/>
          <w:sz w:val="24"/>
          <w:szCs w:val="24"/>
          <w:highlight w:val="none"/>
          <w:lang w:val="en-US" w:eastAsia="zh-CN"/>
        </w:rPr>
      </w:pPr>
      <w:r>
        <w:rPr>
          <w:rFonts w:hint="eastAsia" w:ascii="微软雅黑" w:hAnsi="微软雅黑" w:eastAsia="微软雅黑" w:cs="微软雅黑"/>
          <w:sz w:val="24"/>
          <w:szCs w:val="24"/>
          <w:highlight w:val="none"/>
          <w:lang w:val="en-US" w:eastAsia="zh-CN"/>
        </w:rPr>
        <w:t>③每种样品包装规格需严格按照采购需求进行包装，与送货时一致。</w:t>
      </w:r>
    </w:p>
    <w:p w14:paraId="0B3D2F9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微软雅黑" w:hAnsi="微软雅黑" w:eastAsia="微软雅黑" w:cs="微软雅黑"/>
          <w:sz w:val="24"/>
          <w:szCs w:val="24"/>
          <w:highlight w:val="none"/>
          <w:lang w:val="en-US" w:eastAsia="zh-CN"/>
        </w:rPr>
      </w:pPr>
      <w:r>
        <w:rPr>
          <w:rFonts w:hint="eastAsia" w:ascii="微软雅黑" w:hAnsi="微软雅黑" w:eastAsia="微软雅黑" w:cs="微软雅黑"/>
          <w:sz w:val="24"/>
          <w:szCs w:val="24"/>
          <w:highlight w:val="none"/>
          <w:lang w:val="en-US" w:eastAsia="zh-CN"/>
        </w:rPr>
        <w:t>④中标饮片样品留样备查一年。</w:t>
      </w:r>
    </w:p>
    <w:p w14:paraId="454FA56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微软雅黑" w:hAnsi="微软雅黑" w:eastAsia="微软雅黑" w:cs="微软雅黑"/>
          <w:sz w:val="24"/>
          <w:szCs w:val="24"/>
          <w:highlight w:val="none"/>
          <w:lang w:val="en-US" w:eastAsia="zh-CN"/>
        </w:rPr>
      </w:pPr>
      <w:r>
        <w:rPr>
          <w:rFonts w:hint="eastAsia" w:ascii="微软雅黑" w:hAnsi="微软雅黑" w:eastAsia="微软雅黑" w:cs="微软雅黑"/>
          <w:sz w:val="24"/>
          <w:szCs w:val="24"/>
          <w:highlight w:val="none"/>
          <w:lang w:val="en-US" w:eastAsia="zh-CN"/>
        </w:rPr>
        <w:t>⑤采购代理机构在收取样品时没有对样板外观验收及性能测试，所以对样品的破损或质量概不负责。</w:t>
      </w:r>
    </w:p>
    <w:p w14:paraId="4E0D75F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微软雅黑" w:hAnsi="微软雅黑" w:eastAsia="微软雅黑" w:cs="微软雅黑"/>
          <w:sz w:val="24"/>
          <w:szCs w:val="24"/>
          <w:highlight w:val="none"/>
          <w:lang w:val="en-US" w:eastAsia="zh-CN"/>
        </w:rPr>
      </w:pPr>
      <w:r>
        <w:rPr>
          <w:rFonts w:hint="eastAsia" w:ascii="微软雅黑" w:hAnsi="微软雅黑" w:eastAsia="微软雅黑" w:cs="微软雅黑"/>
          <w:sz w:val="24"/>
          <w:szCs w:val="24"/>
          <w:highlight w:val="none"/>
          <w:lang w:val="en-US" w:eastAsia="zh-CN"/>
        </w:rPr>
        <w:t>⑥中标的样品由采购人保管并封存，作为货物验收依据之一。未中标的投标人在中标结果公告后5个工作日内一次性领回全部样品，逾期未领的，视为投标人放弃投标样品所有权，由招标人或采购代理机构自行处理，在此期间出现的丢失或损坏，采购代理机构、采购人概不负任何责任。</w:t>
      </w:r>
    </w:p>
    <w:p w14:paraId="2591F40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微软雅黑" w:hAnsi="微软雅黑" w:eastAsia="微软雅黑" w:cs="微软雅黑"/>
          <w:sz w:val="24"/>
          <w:szCs w:val="24"/>
          <w:highlight w:val="none"/>
          <w:lang w:val="en-US" w:eastAsia="zh-CN"/>
        </w:rPr>
      </w:pPr>
      <w:r>
        <w:rPr>
          <w:rFonts w:hint="eastAsia" w:ascii="微软雅黑" w:hAnsi="微软雅黑" w:eastAsia="微软雅黑" w:cs="微软雅黑"/>
          <w:sz w:val="24"/>
          <w:szCs w:val="24"/>
          <w:highlight w:val="none"/>
          <w:lang w:val="en-US" w:eastAsia="zh-CN"/>
        </w:rPr>
        <w:t>⑦投标时，投标人应提交样品并送达指定地点；投标文件递交截止时间后提交的样品， 不予接收。</w:t>
      </w:r>
    </w:p>
    <w:p w14:paraId="6B1A7B2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微软雅黑" w:hAnsi="微软雅黑" w:eastAsia="微软雅黑" w:cs="微软雅黑"/>
          <w:sz w:val="24"/>
          <w:szCs w:val="24"/>
          <w:highlight w:val="none"/>
          <w:lang w:val="en-US" w:eastAsia="zh-CN"/>
        </w:rPr>
      </w:pPr>
      <w:r>
        <w:rPr>
          <w:rFonts w:hint="eastAsia" w:ascii="微软雅黑" w:hAnsi="微软雅黑" w:eastAsia="微软雅黑" w:cs="微软雅黑"/>
          <w:sz w:val="24"/>
          <w:szCs w:val="24"/>
          <w:highlight w:val="none"/>
          <w:lang w:val="en-US" w:eastAsia="zh-CN"/>
        </w:rPr>
        <w:t>⑧投标人未提供样品或提供样品不全的：按照评标方法和标准进行扣分。</w:t>
      </w:r>
    </w:p>
    <w:p w14:paraId="772C1AF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微软雅黑" w:hAnsi="微软雅黑" w:eastAsia="微软雅黑" w:cs="微软雅黑"/>
          <w:b/>
          <w:bCs/>
          <w:sz w:val="24"/>
          <w:szCs w:val="24"/>
          <w:highlight w:val="none"/>
          <w:lang w:val="en-US" w:eastAsia="zh-CN"/>
        </w:rPr>
      </w:pPr>
      <w:r>
        <w:rPr>
          <w:rFonts w:hint="eastAsia" w:ascii="微软雅黑" w:hAnsi="微软雅黑" w:eastAsia="微软雅黑" w:cs="微软雅黑"/>
          <w:b/>
          <w:bCs/>
          <w:sz w:val="24"/>
          <w:szCs w:val="24"/>
          <w:highlight w:val="none"/>
          <w:lang w:val="en-US" w:eastAsia="zh-CN"/>
        </w:rPr>
        <w:t>备注：投标人需按货物要求每种30克×1包准备样品，标签标注药品的名称、产地及生产厂家。（1）招标规格以g/kg为单位的药品按照以上要求准备样品。（2）特殊规格药品，例如只、对、毫升、条等规格药品均以30单位数量提供样品；（3）国家特殊管理品种提供10g样品。</w:t>
      </w:r>
    </w:p>
    <w:p w14:paraId="66BA10E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微软雅黑" w:hAnsi="微软雅黑" w:eastAsia="微软雅黑" w:cs="微软雅黑"/>
          <w:sz w:val="24"/>
          <w:szCs w:val="24"/>
          <w:highlight w:val="none"/>
          <w:lang w:val="en-US" w:eastAsia="zh-CN"/>
        </w:rPr>
      </w:pPr>
      <w:r>
        <w:rPr>
          <w:rFonts w:hint="eastAsia" w:ascii="微软雅黑" w:hAnsi="微软雅黑" w:eastAsia="微软雅黑" w:cs="微软雅黑"/>
          <w:b/>
          <w:bCs/>
          <w:sz w:val="24"/>
          <w:szCs w:val="24"/>
          <w:highlight w:val="none"/>
          <w:lang w:val="en-US" w:eastAsia="zh-CN"/>
        </w:rPr>
        <w:t>样品涉及特殊管理的品种，由投标人交由特殊管理品种存放处，并由双人登记保管，待评标结束后由投标人员登记后取回。</w:t>
      </w:r>
    </w:p>
    <w:p w14:paraId="5C4D3DC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default" w:ascii="微软雅黑" w:hAnsi="微软雅黑" w:eastAsia="微软雅黑" w:cs="微软雅黑"/>
          <w:b/>
          <w:bCs/>
          <w:sz w:val="24"/>
          <w:szCs w:val="24"/>
          <w:highlight w:val="none"/>
          <w:lang w:val="en-US" w:eastAsia="zh-CN"/>
        </w:rPr>
      </w:pPr>
      <w:r>
        <w:rPr>
          <w:rFonts w:hint="eastAsia" w:ascii="微软雅黑" w:hAnsi="微软雅黑" w:eastAsia="微软雅黑" w:cs="微软雅黑"/>
          <w:b/>
          <w:bCs/>
          <w:sz w:val="24"/>
          <w:szCs w:val="24"/>
          <w:highlight w:val="none"/>
          <w:lang w:val="en-US" w:eastAsia="zh-CN"/>
        </w:rPr>
        <w:t>此次投标，如不按规定提供样品，则不作为评标依据，对评标结果产生的影响，由投标人自行承担。</w:t>
      </w:r>
    </w:p>
    <w:p w14:paraId="4BB18D33">
      <w:pPr>
        <w:bidi w:val="0"/>
        <w:rPr>
          <w:rStyle w:val="48"/>
          <w:rFonts w:hint="eastAsia" w:ascii="微软雅黑" w:hAnsi="微软雅黑" w:eastAsia="微软雅黑" w:cs="微软雅黑"/>
          <w:color w:val="auto"/>
          <w:sz w:val="28"/>
          <w:szCs w:val="28"/>
          <w:highlight w:val="none"/>
        </w:rPr>
      </w:pPr>
    </w:p>
    <w:p w14:paraId="7D685673">
      <w:pPr>
        <w:rPr>
          <w:rStyle w:val="48"/>
          <w:rFonts w:hint="eastAsia" w:ascii="微软雅黑" w:hAnsi="微软雅黑" w:eastAsia="微软雅黑" w:cs="微软雅黑"/>
          <w:color w:val="auto"/>
          <w:sz w:val="28"/>
          <w:szCs w:val="28"/>
          <w:highlight w:val="none"/>
        </w:rPr>
      </w:pPr>
      <w:r>
        <w:rPr>
          <w:rStyle w:val="48"/>
          <w:rFonts w:hint="eastAsia" w:ascii="微软雅黑" w:hAnsi="微软雅黑" w:eastAsia="微软雅黑" w:cs="微软雅黑"/>
          <w:color w:val="auto"/>
          <w:sz w:val="28"/>
          <w:szCs w:val="28"/>
          <w:highlight w:val="none"/>
        </w:rPr>
        <w:br w:type="page"/>
      </w:r>
    </w:p>
    <w:p w14:paraId="5552F982">
      <w:pPr>
        <w:jc w:val="center"/>
        <w:outlineLvl w:val="0"/>
        <w:rPr>
          <w:rFonts w:hint="eastAsia" w:ascii="微软雅黑" w:hAnsi="微软雅黑" w:eastAsia="微软雅黑" w:cs="微软雅黑"/>
          <w:color w:val="auto"/>
          <w:sz w:val="28"/>
          <w:szCs w:val="28"/>
          <w:highlight w:val="none"/>
        </w:rPr>
      </w:pPr>
      <w:bookmarkStart w:id="1703" w:name="_Toc18710"/>
      <w:r>
        <w:rPr>
          <w:rStyle w:val="48"/>
          <w:rFonts w:hint="eastAsia" w:ascii="微软雅黑" w:hAnsi="微软雅黑" w:eastAsia="微软雅黑" w:cs="微软雅黑"/>
          <w:color w:val="auto"/>
          <w:sz w:val="28"/>
          <w:szCs w:val="28"/>
          <w:highlight w:val="none"/>
        </w:rPr>
        <w:t>第6章  评标方法和标准</w:t>
      </w:r>
      <w:bookmarkEnd w:id="14"/>
      <w:bookmarkEnd w:id="15"/>
      <w:bookmarkEnd w:id="16"/>
      <w:bookmarkEnd w:id="17"/>
      <w:bookmarkEnd w:id="18"/>
      <w:bookmarkEnd w:id="19"/>
      <w:bookmarkEnd w:id="20"/>
      <w:bookmarkEnd w:id="1679"/>
      <w:bookmarkEnd w:id="1680"/>
      <w:bookmarkEnd w:id="1703"/>
    </w:p>
    <w:p w14:paraId="5702BB23">
      <w:pPr>
        <w:pStyle w:val="11"/>
        <w:keepNext w:val="0"/>
        <w:keepLines w:val="0"/>
        <w:pageBreakBefore w:val="0"/>
        <w:tabs>
          <w:tab w:val="clear" w:pos="567"/>
        </w:tabs>
        <w:kinsoku/>
        <w:wordWrap/>
        <w:overflowPunct/>
        <w:topLinePunct w:val="0"/>
        <w:autoSpaceDE/>
        <w:autoSpaceDN/>
        <w:bidi w:val="0"/>
        <w:adjustRightInd/>
        <w:spacing w:before="0" w:line="380" w:lineRule="exact"/>
        <w:ind w:firstLine="495" w:firstLineChars="225"/>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本项目将按照招标文件第一章供应商须知中“五 开标及评标”、“六 确定中标”及本章的规定评标。</w:t>
      </w:r>
    </w:p>
    <w:p w14:paraId="5A7F6E9E">
      <w:pPr>
        <w:keepNext w:val="0"/>
        <w:keepLines w:val="0"/>
        <w:pageBreakBefore w:val="0"/>
        <w:widowControl/>
        <w:kinsoku/>
        <w:wordWrap/>
        <w:overflowPunct/>
        <w:topLinePunct w:val="0"/>
        <w:autoSpaceDE/>
        <w:autoSpaceDN/>
        <w:bidi w:val="0"/>
        <w:adjustRightInd/>
        <w:spacing w:line="380" w:lineRule="exact"/>
        <w:rPr>
          <w:rFonts w:hint="eastAsia" w:ascii="微软雅黑" w:hAnsi="微软雅黑" w:eastAsia="微软雅黑" w:cs="微软雅黑"/>
          <w:b/>
          <w:bCs/>
          <w:color w:val="auto"/>
          <w:sz w:val="22"/>
          <w:szCs w:val="22"/>
          <w:highlight w:val="none"/>
        </w:rPr>
      </w:pPr>
      <w:r>
        <w:rPr>
          <w:rFonts w:hint="eastAsia" w:ascii="微软雅黑" w:hAnsi="微软雅黑" w:eastAsia="微软雅黑" w:cs="微软雅黑"/>
          <w:b/>
          <w:bCs/>
          <w:color w:val="auto"/>
          <w:sz w:val="22"/>
          <w:szCs w:val="22"/>
          <w:highlight w:val="none"/>
        </w:rPr>
        <w:t>1.投标无效的情形：</w:t>
      </w:r>
    </w:p>
    <w:p w14:paraId="34A9FD02">
      <w:pPr>
        <w:keepNext w:val="0"/>
        <w:keepLines w:val="0"/>
        <w:pageBreakBefore w:val="0"/>
        <w:widowControl/>
        <w:kinsoku/>
        <w:wordWrap/>
        <w:overflowPunct/>
        <w:topLinePunct w:val="0"/>
        <w:autoSpaceDE/>
        <w:autoSpaceDN/>
        <w:bidi w:val="0"/>
        <w:adjustRightInd/>
        <w:spacing w:line="380" w:lineRule="exact"/>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（1）单位负责人为同一人或者存在直接控股、管理关系的不同供应商，其相关投标将被认定为投标无效。</w:t>
      </w:r>
    </w:p>
    <w:p w14:paraId="0C8F6788">
      <w:pPr>
        <w:keepNext w:val="0"/>
        <w:keepLines w:val="0"/>
        <w:pageBreakBefore w:val="0"/>
        <w:widowControl/>
        <w:kinsoku/>
        <w:wordWrap/>
        <w:overflowPunct/>
        <w:topLinePunct w:val="0"/>
        <w:autoSpaceDE/>
        <w:autoSpaceDN/>
        <w:bidi w:val="0"/>
        <w:adjustRightInd/>
        <w:spacing w:line="380" w:lineRule="exact"/>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（2）供应商报价超过招标文件规定的预算金额或者分项、分包最高限价的，其投标将被认定为投标无效。</w:t>
      </w:r>
    </w:p>
    <w:p w14:paraId="41315DEF">
      <w:pPr>
        <w:keepNext w:val="0"/>
        <w:keepLines w:val="0"/>
        <w:pageBreakBefore w:val="0"/>
        <w:widowControl/>
        <w:kinsoku/>
        <w:wordWrap/>
        <w:overflowPunct/>
        <w:topLinePunct w:val="0"/>
        <w:autoSpaceDE/>
        <w:autoSpaceDN/>
        <w:bidi w:val="0"/>
        <w:adjustRightInd/>
        <w:spacing w:line="380" w:lineRule="exact"/>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w:t>
      </w:r>
      <w:r>
        <w:rPr>
          <w:rFonts w:hint="eastAsia" w:ascii="微软雅黑" w:hAnsi="微软雅黑" w:eastAsia="微软雅黑" w:cs="微软雅黑"/>
          <w:color w:val="auto"/>
          <w:sz w:val="22"/>
          <w:szCs w:val="22"/>
          <w:highlight w:val="none"/>
          <w:lang w:val="en-US" w:eastAsia="zh-CN"/>
        </w:rPr>
        <w:t>3</w:t>
      </w:r>
      <w:r>
        <w:rPr>
          <w:rFonts w:hint="eastAsia" w:ascii="微软雅黑" w:hAnsi="微软雅黑" w:eastAsia="微软雅黑" w:cs="微软雅黑"/>
          <w:color w:val="auto"/>
          <w:sz w:val="22"/>
          <w:szCs w:val="22"/>
          <w:highlight w:val="none"/>
        </w:rPr>
        <w:t>）供应商应认真阅读招标文件所有的事项、格式、条款和技术规范等。如供应商没有按照招标文件要求提交全部资料，或者投标文件没有对投标文件在各方面都做出实质性响应，可能导致其投标将被认定为投标无效。</w:t>
      </w:r>
    </w:p>
    <w:p w14:paraId="544612FB">
      <w:pPr>
        <w:keepNext w:val="0"/>
        <w:keepLines w:val="0"/>
        <w:pageBreakBefore w:val="0"/>
        <w:widowControl/>
        <w:kinsoku/>
        <w:wordWrap/>
        <w:overflowPunct/>
        <w:topLinePunct w:val="0"/>
        <w:autoSpaceDE/>
        <w:autoSpaceDN/>
        <w:bidi w:val="0"/>
        <w:adjustRightInd/>
        <w:spacing w:line="380" w:lineRule="exact"/>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 xml:space="preserve"> （</w:t>
      </w:r>
      <w:r>
        <w:rPr>
          <w:rFonts w:hint="eastAsia" w:ascii="微软雅黑" w:hAnsi="微软雅黑" w:eastAsia="微软雅黑" w:cs="微软雅黑"/>
          <w:color w:val="auto"/>
          <w:sz w:val="22"/>
          <w:szCs w:val="22"/>
          <w:highlight w:val="none"/>
          <w:lang w:val="en-US" w:eastAsia="zh-CN"/>
        </w:rPr>
        <w:t>4</w:t>
      </w:r>
      <w:r>
        <w:rPr>
          <w:rFonts w:hint="eastAsia" w:ascii="微软雅黑" w:hAnsi="微软雅黑" w:eastAsia="微软雅黑" w:cs="微软雅黑"/>
          <w:color w:val="auto"/>
          <w:sz w:val="22"/>
          <w:szCs w:val="22"/>
          <w:highlight w:val="none"/>
        </w:rPr>
        <w:t>）供应商应当对所投分包投标文件中“</w:t>
      </w:r>
      <w:r>
        <w:rPr>
          <w:rFonts w:hint="eastAsia" w:ascii="微软雅黑" w:hAnsi="微软雅黑" w:eastAsia="微软雅黑" w:cs="微软雅黑"/>
          <w:color w:val="auto"/>
          <w:sz w:val="22"/>
          <w:szCs w:val="22"/>
          <w:highlight w:val="none"/>
          <w:lang w:val="en-US" w:eastAsia="zh-CN"/>
        </w:rPr>
        <w:t>货物</w:t>
      </w:r>
      <w:r>
        <w:rPr>
          <w:rFonts w:hint="eastAsia" w:ascii="微软雅黑" w:hAnsi="微软雅黑" w:eastAsia="微软雅黑" w:cs="微软雅黑"/>
          <w:color w:val="auto"/>
          <w:sz w:val="22"/>
          <w:szCs w:val="22"/>
          <w:highlight w:val="none"/>
        </w:rPr>
        <w:t>内容”所列的所有内容进行投标，如仅响应某一包中的部分内容，其该包投标将被认定为投标无效。</w:t>
      </w:r>
    </w:p>
    <w:p w14:paraId="40038511">
      <w:pPr>
        <w:keepNext w:val="0"/>
        <w:keepLines w:val="0"/>
        <w:pageBreakBefore w:val="0"/>
        <w:widowControl/>
        <w:kinsoku/>
        <w:wordWrap/>
        <w:overflowPunct/>
        <w:topLinePunct w:val="0"/>
        <w:autoSpaceDE/>
        <w:autoSpaceDN/>
        <w:bidi w:val="0"/>
        <w:adjustRightInd/>
        <w:spacing w:line="380" w:lineRule="exact"/>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w:t>
      </w:r>
      <w:r>
        <w:rPr>
          <w:rFonts w:hint="eastAsia" w:ascii="微软雅黑" w:hAnsi="微软雅黑" w:eastAsia="微软雅黑" w:cs="微软雅黑"/>
          <w:color w:val="auto"/>
          <w:sz w:val="22"/>
          <w:szCs w:val="22"/>
          <w:highlight w:val="none"/>
          <w:lang w:val="en-US" w:eastAsia="zh-CN"/>
        </w:rPr>
        <w:t>5</w:t>
      </w:r>
      <w:r>
        <w:rPr>
          <w:rFonts w:hint="eastAsia" w:ascii="微软雅黑" w:hAnsi="微软雅黑" w:eastAsia="微软雅黑" w:cs="微软雅黑"/>
          <w:color w:val="auto"/>
          <w:sz w:val="22"/>
          <w:szCs w:val="22"/>
          <w:highlight w:val="none"/>
        </w:rPr>
        <w:t>）供应商未按本须知第12.1和12.3条规定提交投标保证金的，其投标资格将被认定为投标无效。</w:t>
      </w:r>
    </w:p>
    <w:p w14:paraId="02574469">
      <w:pPr>
        <w:keepNext w:val="0"/>
        <w:keepLines w:val="0"/>
        <w:pageBreakBefore w:val="0"/>
        <w:widowControl/>
        <w:kinsoku/>
        <w:wordWrap/>
        <w:overflowPunct/>
        <w:topLinePunct w:val="0"/>
        <w:autoSpaceDE/>
        <w:autoSpaceDN/>
        <w:bidi w:val="0"/>
        <w:adjustRightInd/>
        <w:spacing w:line="380" w:lineRule="exact"/>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w:t>
      </w:r>
      <w:r>
        <w:rPr>
          <w:rFonts w:hint="eastAsia" w:ascii="微软雅黑" w:hAnsi="微软雅黑" w:eastAsia="微软雅黑" w:cs="微软雅黑"/>
          <w:color w:val="auto"/>
          <w:sz w:val="22"/>
          <w:szCs w:val="22"/>
          <w:highlight w:val="none"/>
          <w:lang w:val="en-US" w:eastAsia="zh-CN"/>
        </w:rPr>
        <w:t>6</w:t>
      </w:r>
      <w:r>
        <w:rPr>
          <w:rFonts w:hint="eastAsia" w:ascii="微软雅黑" w:hAnsi="微软雅黑" w:eastAsia="微软雅黑" w:cs="微软雅黑"/>
          <w:color w:val="auto"/>
          <w:sz w:val="22"/>
          <w:szCs w:val="22"/>
          <w:highlight w:val="none"/>
        </w:rPr>
        <w:t>）所有投标均以人民币报价。供应商的投标报价应遵守《中华人民共和国价格法》。同时，根据《中华人民共和国政府采购法》第二条的规定，为保证公平竞争，如有</w:t>
      </w:r>
      <w:r>
        <w:rPr>
          <w:rFonts w:hint="eastAsia" w:ascii="微软雅黑" w:hAnsi="微软雅黑" w:eastAsia="微软雅黑" w:cs="微软雅黑"/>
          <w:color w:val="auto"/>
          <w:sz w:val="22"/>
          <w:szCs w:val="22"/>
          <w:highlight w:val="none"/>
          <w:lang w:val="en-US" w:eastAsia="zh-CN"/>
        </w:rPr>
        <w:t>货物</w:t>
      </w:r>
      <w:r>
        <w:rPr>
          <w:rFonts w:hint="eastAsia" w:ascii="微软雅黑" w:hAnsi="微软雅黑" w:eastAsia="微软雅黑" w:cs="微软雅黑"/>
          <w:color w:val="auto"/>
          <w:sz w:val="22"/>
          <w:szCs w:val="22"/>
          <w:highlight w:val="none"/>
        </w:rPr>
        <w:t>主体部分的赠与行为，其投标将被认定为投标无效。</w:t>
      </w:r>
    </w:p>
    <w:p w14:paraId="1594D097">
      <w:pPr>
        <w:keepNext w:val="0"/>
        <w:keepLines w:val="0"/>
        <w:pageBreakBefore w:val="0"/>
        <w:widowControl/>
        <w:kinsoku/>
        <w:wordWrap/>
        <w:overflowPunct/>
        <w:topLinePunct w:val="0"/>
        <w:autoSpaceDE/>
        <w:autoSpaceDN/>
        <w:bidi w:val="0"/>
        <w:adjustRightInd/>
        <w:spacing w:line="380" w:lineRule="exact"/>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w:t>
      </w:r>
      <w:r>
        <w:rPr>
          <w:rFonts w:hint="eastAsia" w:ascii="微软雅黑" w:hAnsi="微软雅黑" w:eastAsia="微软雅黑" w:cs="微软雅黑"/>
          <w:color w:val="auto"/>
          <w:sz w:val="22"/>
          <w:szCs w:val="22"/>
          <w:highlight w:val="none"/>
          <w:lang w:val="en-US" w:eastAsia="zh-CN"/>
        </w:rPr>
        <w:t>7</w:t>
      </w:r>
      <w:r>
        <w:rPr>
          <w:rFonts w:hint="eastAsia" w:ascii="微软雅黑" w:hAnsi="微软雅黑" w:eastAsia="微软雅黑" w:cs="微软雅黑"/>
          <w:color w:val="auto"/>
          <w:sz w:val="22"/>
          <w:szCs w:val="22"/>
          <w:highlight w:val="none"/>
        </w:rPr>
        <w:t>）供应商所报的各分项投标单价在合同履行过程中是固定不变的，不得以任何理由予以变更。任何包含价格调整要求的投标，其投标将被认定为投标无效。</w:t>
      </w:r>
    </w:p>
    <w:p w14:paraId="524B9ABB">
      <w:pPr>
        <w:keepNext w:val="0"/>
        <w:keepLines w:val="0"/>
        <w:pageBreakBefore w:val="0"/>
        <w:widowControl/>
        <w:kinsoku/>
        <w:wordWrap/>
        <w:overflowPunct/>
        <w:topLinePunct w:val="0"/>
        <w:autoSpaceDE/>
        <w:autoSpaceDN/>
        <w:bidi w:val="0"/>
        <w:adjustRightInd/>
        <w:spacing w:line="380" w:lineRule="exact"/>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w:t>
      </w:r>
      <w:r>
        <w:rPr>
          <w:rFonts w:hint="eastAsia" w:ascii="微软雅黑" w:hAnsi="微软雅黑" w:eastAsia="微软雅黑" w:cs="微软雅黑"/>
          <w:color w:val="auto"/>
          <w:sz w:val="22"/>
          <w:szCs w:val="22"/>
          <w:highlight w:val="none"/>
          <w:lang w:val="en-US" w:eastAsia="zh-CN"/>
        </w:rPr>
        <w:t>8</w:t>
      </w:r>
      <w:r>
        <w:rPr>
          <w:rFonts w:hint="eastAsia" w:ascii="微软雅黑" w:hAnsi="微软雅黑" w:eastAsia="微软雅黑" w:cs="微软雅黑"/>
          <w:color w:val="auto"/>
          <w:sz w:val="22"/>
          <w:szCs w:val="22"/>
          <w:highlight w:val="none"/>
        </w:rPr>
        <w:t>）投标应在供应商须知资料表中规定时间内保持有效。投标有效期不满足要求的投标，其投标将被认定为投标无效。</w:t>
      </w:r>
    </w:p>
    <w:p w14:paraId="6FC471BF">
      <w:pPr>
        <w:keepNext w:val="0"/>
        <w:keepLines w:val="0"/>
        <w:pageBreakBefore w:val="0"/>
        <w:widowControl/>
        <w:kinsoku/>
        <w:wordWrap/>
        <w:overflowPunct/>
        <w:topLinePunct w:val="0"/>
        <w:autoSpaceDE/>
        <w:autoSpaceDN/>
        <w:bidi w:val="0"/>
        <w:adjustRightInd/>
        <w:spacing w:line="380" w:lineRule="exact"/>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w:t>
      </w:r>
      <w:r>
        <w:rPr>
          <w:rFonts w:hint="eastAsia" w:ascii="微软雅黑" w:hAnsi="微软雅黑" w:eastAsia="微软雅黑" w:cs="微软雅黑"/>
          <w:color w:val="auto"/>
          <w:sz w:val="22"/>
          <w:szCs w:val="22"/>
          <w:highlight w:val="none"/>
          <w:lang w:val="en-US" w:eastAsia="zh-CN"/>
        </w:rPr>
        <w:t>9</w:t>
      </w:r>
      <w:r>
        <w:rPr>
          <w:rFonts w:hint="eastAsia" w:ascii="微软雅黑" w:hAnsi="微软雅黑" w:eastAsia="微软雅黑" w:cs="微软雅黑"/>
          <w:color w:val="auto"/>
          <w:sz w:val="22"/>
          <w:szCs w:val="22"/>
          <w:highlight w:val="none"/>
        </w:rPr>
        <w:t>）总价金额与按单价汇总金额不一致的，以单价金额计算结果为准。同时出现两种以上不一致的，按照前款规定的顺序修正。修正后的报价按照第20.2条的规定经供应商确认后产生约束力，供应商不确认的，其投标将被认定为投标无效。</w:t>
      </w:r>
    </w:p>
    <w:p w14:paraId="2B5BD314">
      <w:pPr>
        <w:keepNext w:val="0"/>
        <w:keepLines w:val="0"/>
        <w:pageBreakBefore w:val="0"/>
        <w:widowControl/>
        <w:kinsoku/>
        <w:wordWrap/>
        <w:overflowPunct/>
        <w:topLinePunct w:val="0"/>
        <w:autoSpaceDE/>
        <w:autoSpaceDN/>
        <w:bidi w:val="0"/>
        <w:adjustRightInd/>
        <w:spacing w:line="380" w:lineRule="exact"/>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w:t>
      </w:r>
      <w:r>
        <w:rPr>
          <w:rFonts w:hint="eastAsia" w:ascii="微软雅黑" w:hAnsi="微软雅黑" w:eastAsia="微软雅黑" w:cs="微软雅黑"/>
          <w:color w:val="auto"/>
          <w:sz w:val="22"/>
          <w:szCs w:val="22"/>
          <w:highlight w:val="none"/>
          <w:lang w:val="en-US" w:eastAsia="zh-CN"/>
        </w:rPr>
        <w:t>10</w:t>
      </w:r>
      <w:r>
        <w:rPr>
          <w:rFonts w:hint="eastAsia" w:ascii="微软雅黑" w:hAnsi="微软雅黑" w:eastAsia="微软雅黑" w:cs="微软雅黑"/>
          <w:color w:val="auto"/>
          <w:sz w:val="22"/>
          <w:szCs w:val="22"/>
          <w:highlight w:val="none"/>
        </w:rPr>
        <w:t>）在比较与评价之前，根据本须知的规定，评标委员会要审查每份投标文件是否实质上响应了投标文件的要求。实质上响应的投标应该是与投标文件要求的全部条款、条件和规格相符，没有重大偏离的投标。</w:t>
      </w:r>
    </w:p>
    <w:p w14:paraId="1A7575AB">
      <w:pPr>
        <w:keepNext w:val="0"/>
        <w:keepLines w:val="0"/>
        <w:pageBreakBefore w:val="0"/>
        <w:widowControl/>
        <w:kinsoku/>
        <w:wordWrap/>
        <w:overflowPunct/>
        <w:topLinePunct w:val="0"/>
        <w:autoSpaceDE/>
        <w:autoSpaceDN/>
        <w:bidi w:val="0"/>
        <w:adjustRightInd/>
        <w:spacing w:line="380" w:lineRule="exact"/>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w:t>
      </w:r>
      <w:r>
        <w:rPr>
          <w:rFonts w:hint="eastAsia" w:ascii="微软雅黑" w:hAnsi="微软雅黑" w:eastAsia="微软雅黑" w:cs="微软雅黑"/>
          <w:color w:val="auto"/>
          <w:sz w:val="22"/>
          <w:szCs w:val="22"/>
          <w:highlight w:val="none"/>
          <w:lang w:val="en-US" w:eastAsia="zh-CN"/>
        </w:rPr>
        <w:t>11</w:t>
      </w:r>
      <w:r>
        <w:rPr>
          <w:rFonts w:hint="eastAsia" w:ascii="微软雅黑" w:hAnsi="微软雅黑" w:eastAsia="微软雅黑" w:cs="微软雅黑"/>
          <w:color w:val="auto"/>
          <w:sz w:val="22"/>
          <w:szCs w:val="22"/>
          <w:highlight w:val="none"/>
        </w:rPr>
        <w:t>）如发现下列情况之一的，其投标将被认定为投标无效：未按招标文件规定的形式和金额提交投标保证金的；未按照招标文件规定要求签署、盖章的；与其他供应商串通投标，或者与</w:t>
      </w:r>
      <w:r>
        <w:rPr>
          <w:rFonts w:hint="eastAsia" w:ascii="微软雅黑" w:hAnsi="微软雅黑" w:eastAsia="微软雅黑" w:cs="微软雅黑"/>
          <w:color w:val="auto"/>
          <w:sz w:val="22"/>
          <w:szCs w:val="22"/>
          <w:highlight w:val="none"/>
          <w:lang w:eastAsia="zh-CN"/>
        </w:rPr>
        <w:t>采购人</w:t>
      </w:r>
      <w:r>
        <w:rPr>
          <w:rFonts w:hint="eastAsia" w:ascii="微软雅黑" w:hAnsi="微软雅黑" w:eastAsia="微软雅黑" w:cs="微软雅黑"/>
          <w:color w:val="auto"/>
          <w:sz w:val="22"/>
          <w:szCs w:val="22"/>
          <w:highlight w:val="none"/>
        </w:rPr>
        <w:t>串通投标；属于招标文件规定的其他投标无效情形；评标委员会认为供应商的报价明显低于其他通过符合性检查供应商的报价，有可能影响履约的，且供应商未按照规定证明其报价合理性的；招标文件含有采购人不能接受的附加条件的；不符合法规和招标文件中规定的其他实质性要求的。</w:t>
      </w:r>
    </w:p>
    <w:p w14:paraId="3724D6A7">
      <w:pPr>
        <w:keepNext w:val="0"/>
        <w:keepLines w:val="0"/>
        <w:pageBreakBefore w:val="0"/>
        <w:widowControl/>
        <w:kinsoku/>
        <w:wordWrap/>
        <w:overflowPunct/>
        <w:topLinePunct w:val="0"/>
        <w:autoSpaceDE/>
        <w:autoSpaceDN/>
        <w:bidi w:val="0"/>
        <w:adjustRightInd/>
        <w:spacing w:line="380" w:lineRule="exact"/>
        <w:jc w:val="left"/>
        <w:rPr>
          <w:rFonts w:hint="eastAsia" w:ascii="微软雅黑" w:hAnsi="微软雅黑" w:eastAsia="微软雅黑" w:cs="微软雅黑"/>
          <w:b/>
          <w:bCs/>
          <w:color w:val="auto"/>
          <w:kern w:val="2"/>
          <w:sz w:val="22"/>
          <w:szCs w:val="22"/>
          <w:highlight w:val="none"/>
          <w:lang w:val="en-US" w:eastAsia="zh-CN" w:bidi="ar-SA"/>
        </w:rPr>
      </w:pPr>
      <w:r>
        <w:rPr>
          <w:rFonts w:hint="eastAsia" w:ascii="微软雅黑" w:hAnsi="微软雅黑" w:eastAsia="微软雅黑" w:cs="微软雅黑"/>
          <w:b/>
          <w:bCs/>
          <w:color w:val="auto"/>
          <w:sz w:val="22"/>
          <w:szCs w:val="22"/>
          <w:highlight w:val="none"/>
        </w:rPr>
        <w:t>2</w:t>
      </w:r>
      <w:r>
        <w:rPr>
          <w:rFonts w:hint="eastAsia" w:ascii="微软雅黑" w:hAnsi="微软雅黑" w:eastAsia="微软雅黑" w:cs="微软雅黑"/>
          <w:b/>
          <w:bCs/>
          <w:color w:val="auto"/>
          <w:sz w:val="22"/>
          <w:szCs w:val="22"/>
          <w:highlight w:val="none"/>
          <w:lang w:eastAsia="zh-CN"/>
        </w:rPr>
        <w:t>、</w:t>
      </w:r>
      <w:r>
        <w:rPr>
          <w:rFonts w:hint="eastAsia" w:ascii="微软雅黑" w:hAnsi="微软雅黑" w:eastAsia="微软雅黑" w:cs="微软雅黑"/>
          <w:b/>
          <w:bCs/>
          <w:color w:val="auto"/>
          <w:kern w:val="2"/>
          <w:sz w:val="22"/>
          <w:szCs w:val="22"/>
          <w:highlight w:val="none"/>
          <w:lang w:val="en-US" w:eastAsia="zh-CN" w:bidi="ar-SA"/>
        </w:rPr>
        <w:t>本项目专门面向中小企业采购。根据《政府采购促进中小企业发展管理办法》（财库[2020]46号）、《财政部司法部关于政府采购支持监狱企业发展有关问 题 的通知》（财库〔2014〕68号）、《三部门联合发布关于促进残疾人就业政府采购政策的通知》（财库〔2017〕141号）和财政部关于进一步加大政府采购支持中小企业力度的通知》财库〔2022〕19号的规定，其中小型、微型及小微企业在投标文件中提交了《中小企业声明函》、《残疾人福利性单位声明函》或省级以上监狱管理局、戒毒管理局（含新疆生产建设兵团）出具的属于监狱企业的证明文件的供应商，其报价</w:t>
      </w:r>
      <w:r>
        <w:rPr>
          <w:rFonts w:hint="eastAsia" w:ascii="微软雅黑" w:hAnsi="微软雅黑" w:eastAsia="微软雅黑" w:cs="微软雅黑"/>
          <w:b/>
          <w:bCs/>
          <w:color w:val="auto"/>
          <w:kern w:val="2"/>
          <w:sz w:val="22"/>
          <w:szCs w:val="22"/>
          <w:highlight w:val="none"/>
          <w:u w:val="single"/>
          <w:lang w:val="en-US" w:eastAsia="zh-CN" w:bidi="ar-SA"/>
        </w:rPr>
        <w:t>不进行扣除</w:t>
      </w:r>
      <w:r>
        <w:rPr>
          <w:rFonts w:hint="eastAsia" w:ascii="微软雅黑" w:hAnsi="微软雅黑" w:eastAsia="微软雅黑" w:cs="微软雅黑"/>
          <w:b/>
          <w:bCs/>
          <w:color w:val="auto"/>
          <w:kern w:val="2"/>
          <w:sz w:val="22"/>
          <w:szCs w:val="22"/>
          <w:highlight w:val="none"/>
          <w:lang w:val="en-US" w:eastAsia="zh-CN" w:bidi="ar-SA"/>
        </w:rPr>
        <w:t>。具体办法详见招标文件第6章。</w:t>
      </w:r>
    </w:p>
    <w:p w14:paraId="0AA411B9">
      <w:pPr>
        <w:keepNext w:val="0"/>
        <w:keepLines w:val="0"/>
        <w:pageBreakBefore w:val="0"/>
        <w:widowControl/>
        <w:kinsoku/>
        <w:wordWrap/>
        <w:overflowPunct/>
        <w:topLinePunct w:val="0"/>
        <w:autoSpaceDE/>
        <w:autoSpaceDN/>
        <w:bidi w:val="0"/>
        <w:adjustRightInd/>
        <w:spacing w:line="380" w:lineRule="exact"/>
        <w:jc w:val="left"/>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b/>
          <w:bCs/>
          <w:color w:val="auto"/>
          <w:sz w:val="22"/>
          <w:szCs w:val="22"/>
          <w:highlight w:val="none"/>
        </w:rPr>
        <w:t>3.联合协议中约定</w:t>
      </w:r>
      <w:r>
        <w:rPr>
          <w:rFonts w:hint="eastAsia" w:ascii="微软雅黑" w:hAnsi="微软雅黑" w:eastAsia="微软雅黑" w:cs="微软雅黑"/>
          <w:color w:val="auto"/>
          <w:sz w:val="22"/>
          <w:szCs w:val="22"/>
          <w:highlight w:val="none"/>
        </w:rPr>
        <w:t>，小型、微型企业和监狱企业的协议合同金额占到联合体协议合同总金额30%以上的，可给予联合体</w:t>
      </w:r>
      <w:r>
        <w:rPr>
          <w:rFonts w:hint="eastAsia" w:ascii="微软雅黑" w:hAnsi="微软雅黑" w:eastAsia="微软雅黑" w:cs="微软雅黑"/>
          <w:color w:val="auto"/>
          <w:sz w:val="22"/>
          <w:szCs w:val="22"/>
          <w:highlight w:val="none"/>
          <w:u w:val="single"/>
        </w:rPr>
        <w:t xml:space="preserve"> 2%-3%</w:t>
      </w:r>
      <w:r>
        <w:rPr>
          <w:rFonts w:hint="eastAsia" w:ascii="微软雅黑" w:hAnsi="微软雅黑" w:eastAsia="微软雅黑" w:cs="微软雅黑"/>
          <w:color w:val="auto"/>
          <w:sz w:val="22"/>
          <w:szCs w:val="22"/>
          <w:highlight w:val="none"/>
        </w:rPr>
        <w:t>的价格扣除。</w:t>
      </w:r>
      <w:r>
        <w:rPr>
          <w:rFonts w:hint="eastAsia" w:ascii="微软雅黑" w:hAnsi="微软雅黑" w:eastAsia="微软雅黑" w:cs="微软雅黑"/>
          <w:b/>
          <w:bCs/>
          <w:color w:val="auto"/>
          <w:sz w:val="22"/>
          <w:szCs w:val="22"/>
          <w:highlight w:val="none"/>
        </w:rPr>
        <w:t>（本项目不适用）</w:t>
      </w:r>
    </w:p>
    <w:p w14:paraId="43246BDB">
      <w:pPr>
        <w:keepNext w:val="0"/>
        <w:keepLines w:val="0"/>
        <w:pageBreakBefore w:val="0"/>
        <w:widowControl/>
        <w:kinsoku/>
        <w:wordWrap/>
        <w:overflowPunct/>
        <w:topLinePunct w:val="0"/>
        <w:autoSpaceDE/>
        <w:autoSpaceDN/>
        <w:bidi w:val="0"/>
        <w:adjustRightInd/>
        <w:spacing w:line="380" w:lineRule="exact"/>
        <w:ind w:firstLine="440" w:firstLineChars="200"/>
        <w:jc w:val="left"/>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联合体各方均为小型、微型企业和监狱企业的，联合体视同为小型、微型企业和监狱企业。</w:t>
      </w:r>
    </w:p>
    <w:p w14:paraId="69ADDE0C">
      <w:pPr>
        <w:pStyle w:val="11"/>
        <w:keepNext w:val="0"/>
        <w:keepLines w:val="0"/>
        <w:pageBreakBefore w:val="0"/>
        <w:tabs>
          <w:tab w:val="clear" w:pos="567"/>
        </w:tabs>
        <w:kinsoku/>
        <w:wordWrap/>
        <w:overflowPunct/>
        <w:topLinePunct w:val="0"/>
        <w:autoSpaceDE/>
        <w:autoSpaceDN/>
        <w:bidi w:val="0"/>
        <w:adjustRightInd/>
        <w:spacing w:before="0" w:line="380" w:lineRule="exact"/>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b/>
          <w:bCs/>
          <w:color w:val="auto"/>
          <w:sz w:val="22"/>
          <w:szCs w:val="22"/>
          <w:highlight w:val="none"/>
        </w:rPr>
        <w:t>4.供应商</w:t>
      </w:r>
      <w:r>
        <w:rPr>
          <w:rFonts w:hint="eastAsia" w:ascii="微软雅黑" w:hAnsi="微软雅黑" w:eastAsia="微软雅黑" w:cs="微软雅黑"/>
          <w:color w:val="auto"/>
          <w:sz w:val="22"/>
          <w:szCs w:val="22"/>
          <w:highlight w:val="none"/>
        </w:rPr>
        <w:t>为提供服务需求在投标中伴随投标的产品如被列入财政部与国家主管部门颁发的节能产品目录或环境标志产品目录或无线局域网产品目录，应提供相关证明，在评标时予以优先采购，具体优惠措施为：</w:t>
      </w:r>
      <w:r>
        <w:rPr>
          <w:rFonts w:hint="eastAsia" w:ascii="微软雅黑" w:hAnsi="微软雅黑" w:eastAsia="微软雅黑" w:cs="微软雅黑"/>
          <w:color w:val="auto"/>
          <w:sz w:val="22"/>
          <w:szCs w:val="22"/>
          <w:highlight w:val="none"/>
          <w:u w:val="single"/>
        </w:rPr>
        <w:t>投标商所投产品应优先选择《财政部 国家发展改革委关于调整公布第二十四期节能产品政府采购清单的通知》（财库〔2018〕73号）、《财政部 环境保护部关于调整公布第二十二期环境标志产品政府采购清单的通知》（财库〔2018〕70号）目录内的产品（须提供节能、环保认证证书复印件加盖公章）</w:t>
      </w:r>
      <w:r>
        <w:rPr>
          <w:rFonts w:hint="eastAsia" w:ascii="微软雅黑" w:hAnsi="微软雅黑" w:eastAsia="微软雅黑" w:cs="微软雅黑"/>
          <w:color w:val="auto"/>
          <w:sz w:val="22"/>
          <w:szCs w:val="22"/>
          <w:highlight w:val="none"/>
        </w:rPr>
        <w:t>。</w:t>
      </w:r>
    </w:p>
    <w:p w14:paraId="6B07E357">
      <w:pPr>
        <w:pStyle w:val="11"/>
        <w:keepNext w:val="0"/>
        <w:keepLines w:val="0"/>
        <w:pageBreakBefore w:val="0"/>
        <w:tabs>
          <w:tab w:val="clear" w:pos="567"/>
        </w:tabs>
        <w:kinsoku/>
        <w:wordWrap/>
        <w:overflowPunct/>
        <w:topLinePunct w:val="0"/>
        <w:autoSpaceDE/>
        <w:autoSpaceDN/>
        <w:bidi w:val="0"/>
        <w:adjustRightInd/>
        <w:spacing w:before="0" w:line="380" w:lineRule="exact"/>
        <w:rPr>
          <w:rFonts w:hint="eastAsia" w:ascii="微软雅黑" w:hAnsi="微软雅黑" w:eastAsia="微软雅黑" w:cs="微软雅黑"/>
          <w:color w:val="auto"/>
          <w:sz w:val="22"/>
          <w:szCs w:val="22"/>
          <w:highlight w:val="none"/>
          <w:u w:val="single"/>
        </w:rPr>
      </w:pPr>
      <w:r>
        <w:rPr>
          <w:rFonts w:hint="eastAsia" w:ascii="微软雅黑" w:hAnsi="微软雅黑" w:eastAsia="微软雅黑" w:cs="微软雅黑"/>
          <w:b/>
          <w:bCs/>
          <w:color w:val="auto"/>
          <w:sz w:val="22"/>
          <w:szCs w:val="22"/>
          <w:highlight w:val="none"/>
        </w:rPr>
        <w:t>5.对创新产</w:t>
      </w:r>
      <w:r>
        <w:rPr>
          <w:rFonts w:hint="eastAsia" w:ascii="微软雅黑" w:hAnsi="微软雅黑" w:eastAsia="微软雅黑" w:cs="微软雅黑"/>
          <w:color w:val="auto"/>
          <w:sz w:val="22"/>
          <w:szCs w:val="22"/>
          <w:highlight w:val="none"/>
        </w:rPr>
        <w:t>品或创新性企业的优惠措施为：</w:t>
      </w:r>
      <w:r>
        <w:rPr>
          <w:rFonts w:hint="eastAsia" w:ascii="微软雅黑" w:hAnsi="微软雅黑" w:eastAsia="微软雅黑" w:cs="微软雅黑"/>
          <w:color w:val="auto"/>
          <w:sz w:val="22"/>
          <w:szCs w:val="22"/>
          <w:highlight w:val="none"/>
          <w:u w:val="single"/>
        </w:rPr>
        <w:t xml:space="preserve">     /      </w:t>
      </w:r>
    </w:p>
    <w:p w14:paraId="370DF0A6">
      <w:pPr>
        <w:keepNext w:val="0"/>
        <w:keepLines w:val="0"/>
        <w:pageBreakBefore w:val="0"/>
        <w:widowControl/>
        <w:numPr>
          <w:ilvl w:val="0"/>
          <w:numId w:val="0"/>
        </w:numPr>
        <w:kinsoku/>
        <w:wordWrap/>
        <w:overflowPunct/>
        <w:topLinePunct w:val="0"/>
        <w:autoSpaceDE/>
        <w:autoSpaceDN/>
        <w:bidi w:val="0"/>
        <w:adjustRightInd/>
        <w:snapToGrid w:val="0"/>
        <w:spacing w:before="0" w:beforeAutospacing="0" w:after="0" w:afterAutospacing="0" w:line="380" w:lineRule="exact"/>
        <w:jc w:val="both"/>
        <w:textAlignment w:val="baseline"/>
        <w:rPr>
          <w:rFonts w:hint="eastAsia" w:ascii="微软雅黑" w:hAnsi="微软雅黑" w:eastAsia="微软雅黑" w:cs="微软雅黑"/>
          <w:b/>
          <w:bCs/>
          <w:color w:val="auto"/>
          <w:kern w:val="2"/>
          <w:sz w:val="22"/>
          <w:szCs w:val="22"/>
          <w:highlight w:val="none"/>
          <w:lang w:val="en-US" w:eastAsia="zh-CN" w:bidi="ar-SA"/>
        </w:rPr>
      </w:pPr>
      <w:r>
        <w:rPr>
          <w:rFonts w:hint="eastAsia" w:ascii="微软雅黑" w:hAnsi="微软雅黑" w:eastAsia="微软雅黑" w:cs="微软雅黑"/>
          <w:b/>
          <w:bCs/>
          <w:color w:val="auto"/>
          <w:kern w:val="2"/>
          <w:sz w:val="22"/>
          <w:szCs w:val="22"/>
          <w:highlight w:val="none"/>
          <w:lang w:val="en-US" w:eastAsia="zh-CN" w:bidi="ar-SA"/>
        </w:rPr>
        <w:t>6.开标：</w:t>
      </w:r>
    </w:p>
    <w:p w14:paraId="046D1009">
      <w:pPr>
        <w:keepNext w:val="0"/>
        <w:keepLines w:val="0"/>
        <w:pageBreakBefore w:val="0"/>
        <w:widowControl/>
        <w:kinsoku/>
        <w:wordWrap/>
        <w:overflowPunct/>
        <w:topLinePunct w:val="0"/>
        <w:autoSpaceDE/>
        <w:autoSpaceDN/>
        <w:bidi w:val="0"/>
        <w:adjustRightInd/>
        <w:snapToGrid w:val="0"/>
        <w:spacing w:line="436" w:lineRule="exact"/>
        <w:textAlignment w:val="baseline"/>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（1）供应商按照须知资料表中规定的开标时间和地点，在规定时间内上传投标文件。</w:t>
      </w:r>
    </w:p>
    <w:p w14:paraId="63F459B7">
      <w:pPr>
        <w:keepNext w:val="0"/>
        <w:keepLines w:val="0"/>
        <w:pageBreakBefore w:val="0"/>
        <w:widowControl/>
        <w:kinsoku/>
        <w:wordWrap/>
        <w:overflowPunct/>
        <w:topLinePunct w:val="0"/>
        <w:autoSpaceDE/>
        <w:autoSpaceDN/>
        <w:bidi w:val="0"/>
        <w:adjustRightInd/>
        <w:snapToGrid w:val="0"/>
        <w:spacing w:line="436" w:lineRule="exact"/>
        <w:textAlignment w:val="baseline"/>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（2）在开标前，工作人员收取所有参会人员的手机，主持人宣读开标纪律。</w:t>
      </w:r>
    </w:p>
    <w:p w14:paraId="73A1693C">
      <w:pPr>
        <w:keepNext w:val="0"/>
        <w:keepLines w:val="0"/>
        <w:pageBreakBefore w:val="0"/>
        <w:widowControl/>
        <w:kinsoku/>
        <w:wordWrap/>
        <w:overflowPunct/>
        <w:topLinePunct w:val="0"/>
        <w:autoSpaceDE/>
        <w:autoSpaceDN/>
        <w:bidi w:val="0"/>
        <w:adjustRightInd/>
        <w:snapToGrid w:val="0"/>
        <w:spacing w:line="436" w:lineRule="exact"/>
        <w:textAlignment w:val="baseline"/>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（3）开标时，由代理机构对供应商的投标文件进行解密，解密时间为30分钟。</w:t>
      </w:r>
    </w:p>
    <w:p w14:paraId="23F689A9">
      <w:pPr>
        <w:keepNext w:val="0"/>
        <w:keepLines w:val="0"/>
        <w:pageBreakBefore w:val="0"/>
        <w:widowControl/>
        <w:kinsoku/>
        <w:wordWrap/>
        <w:overflowPunct/>
        <w:topLinePunct w:val="0"/>
        <w:autoSpaceDE/>
        <w:autoSpaceDN/>
        <w:bidi w:val="0"/>
        <w:adjustRightInd/>
        <w:snapToGrid w:val="0"/>
        <w:spacing w:line="436" w:lineRule="exact"/>
        <w:textAlignment w:val="baseline"/>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rPr>
        <w:t>（4）由代理机构开启报价，所有投标供应商签字确认。</w:t>
      </w:r>
    </w:p>
    <w:p w14:paraId="36000629">
      <w:pPr>
        <w:keepNext w:val="0"/>
        <w:keepLines w:val="0"/>
        <w:pageBreakBefore w:val="0"/>
        <w:widowControl/>
        <w:kinsoku/>
        <w:wordWrap/>
        <w:overflowPunct/>
        <w:topLinePunct w:val="0"/>
        <w:autoSpaceDE/>
        <w:autoSpaceDN/>
        <w:bidi w:val="0"/>
        <w:adjustRightInd/>
        <w:snapToGrid w:val="0"/>
        <w:spacing w:line="436" w:lineRule="exact"/>
        <w:textAlignment w:val="baseline"/>
        <w:rPr>
          <w:rFonts w:hint="eastAsia" w:ascii="微软雅黑" w:hAnsi="微软雅黑" w:eastAsia="微软雅黑" w:cs="微软雅黑"/>
          <w:b w:val="0"/>
          <w:i w:val="0"/>
          <w:caps w:val="0"/>
          <w:color w:val="auto"/>
          <w:spacing w:val="0"/>
          <w:w w:val="100"/>
          <w:sz w:val="22"/>
          <w:szCs w:val="22"/>
          <w:highlight w:val="none"/>
          <w:lang w:val="en-US" w:eastAsia="zh-CN"/>
        </w:rPr>
      </w:pPr>
      <w:r>
        <w:rPr>
          <w:rFonts w:hint="eastAsia" w:ascii="微软雅黑" w:hAnsi="微软雅黑" w:eastAsia="微软雅黑" w:cs="微软雅黑"/>
          <w:color w:val="auto"/>
          <w:sz w:val="22"/>
          <w:szCs w:val="22"/>
          <w:highlight w:val="none"/>
        </w:rPr>
        <w:t>（5）采购人或采购代理机构登录政采云平台对投标供应商的资格证明材料进行审查。</w:t>
      </w:r>
    </w:p>
    <w:p w14:paraId="573BA2E5">
      <w:pPr>
        <w:pStyle w:val="25"/>
        <w:keepNext w:val="0"/>
        <w:keepLines w:val="0"/>
        <w:pageBreakBefore w:val="0"/>
        <w:kinsoku/>
        <w:wordWrap/>
        <w:overflowPunct/>
        <w:topLinePunct w:val="0"/>
        <w:autoSpaceDE/>
        <w:autoSpaceDN/>
        <w:bidi w:val="0"/>
        <w:adjustRightInd/>
        <w:spacing w:line="436" w:lineRule="exact"/>
        <w:rPr>
          <w:rFonts w:hint="eastAsia" w:ascii="微软雅黑" w:hAnsi="微软雅黑" w:eastAsia="微软雅黑" w:cs="微软雅黑"/>
          <w:b/>
          <w:bCs/>
          <w:i w:val="0"/>
          <w:caps w:val="0"/>
          <w:color w:val="auto"/>
          <w:spacing w:val="0"/>
          <w:w w:val="100"/>
          <w:sz w:val="22"/>
          <w:szCs w:val="22"/>
          <w:highlight w:val="none"/>
          <w:lang w:val="en-US" w:eastAsia="zh-CN"/>
        </w:rPr>
      </w:pPr>
      <w:r>
        <w:rPr>
          <w:rFonts w:hint="eastAsia" w:ascii="微软雅黑" w:hAnsi="微软雅黑" w:eastAsia="微软雅黑" w:cs="微软雅黑"/>
          <w:b/>
          <w:bCs/>
          <w:i w:val="0"/>
          <w:caps w:val="0"/>
          <w:color w:val="auto"/>
          <w:spacing w:val="0"/>
          <w:w w:val="100"/>
          <w:sz w:val="22"/>
          <w:szCs w:val="22"/>
          <w:highlight w:val="none"/>
          <w:lang w:val="en-US" w:eastAsia="zh-CN"/>
        </w:rPr>
        <w:t>7.评标：</w:t>
      </w:r>
    </w:p>
    <w:p w14:paraId="00527227">
      <w:pPr>
        <w:pStyle w:val="25"/>
        <w:keepNext w:val="0"/>
        <w:keepLines w:val="0"/>
        <w:pageBreakBefore w:val="0"/>
        <w:numPr>
          <w:ilvl w:val="0"/>
          <w:numId w:val="0"/>
        </w:numPr>
        <w:kinsoku/>
        <w:wordWrap/>
        <w:overflowPunct/>
        <w:topLinePunct w:val="0"/>
        <w:autoSpaceDE/>
        <w:autoSpaceDN/>
        <w:bidi w:val="0"/>
        <w:adjustRightInd/>
        <w:spacing w:line="436" w:lineRule="exact"/>
        <w:ind w:leftChars="0"/>
        <w:rPr>
          <w:rFonts w:hint="eastAsia" w:ascii="微软雅黑" w:hAnsi="微软雅黑" w:eastAsia="微软雅黑" w:cs="微软雅黑"/>
          <w:color w:val="auto"/>
          <w:sz w:val="22"/>
          <w:szCs w:val="22"/>
          <w:highlight w:val="none"/>
        </w:rPr>
      </w:pPr>
      <w:r>
        <w:rPr>
          <w:rFonts w:hint="eastAsia" w:ascii="微软雅黑" w:hAnsi="微软雅黑" w:eastAsia="微软雅黑" w:cs="微软雅黑"/>
          <w:color w:val="auto"/>
          <w:sz w:val="22"/>
          <w:szCs w:val="22"/>
          <w:highlight w:val="none"/>
          <w:lang w:eastAsia="zh-CN"/>
        </w:rPr>
        <w:t>（1）</w:t>
      </w:r>
      <w:r>
        <w:rPr>
          <w:rFonts w:hint="eastAsia" w:ascii="微软雅黑" w:hAnsi="微软雅黑" w:eastAsia="微软雅黑" w:cs="微软雅黑"/>
          <w:color w:val="auto"/>
          <w:sz w:val="22"/>
          <w:szCs w:val="22"/>
          <w:highlight w:val="none"/>
          <w:lang w:val="en-US" w:eastAsia="zh-CN"/>
        </w:rPr>
        <w:t>依法组建</w:t>
      </w:r>
      <w:r>
        <w:rPr>
          <w:rFonts w:hint="eastAsia" w:ascii="微软雅黑" w:hAnsi="微软雅黑" w:eastAsia="微软雅黑" w:cs="微软雅黑"/>
          <w:b/>
          <w:bCs/>
          <w:color w:val="auto"/>
          <w:sz w:val="22"/>
          <w:szCs w:val="22"/>
          <w:highlight w:val="none"/>
          <w:lang w:val="en-US" w:eastAsia="zh-CN"/>
        </w:rPr>
        <w:t>5名</w:t>
      </w:r>
      <w:r>
        <w:rPr>
          <w:rFonts w:hint="eastAsia" w:ascii="微软雅黑" w:hAnsi="微软雅黑" w:eastAsia="微软雅黑" w:cs="微软雅黑"/>
          <w:b/>
          <w:bCs/>
          <w:color w:val="auto"/>
          <w:sz w:val="22"/>
          <w:szCs w:val="22"/>
          <w:highlight w:val="none"/>
        </w:rPr>
        <w:t>评标委员会成员</w:t>
      </w:r>
      <w:r>
        <w:rPr>
          <w:rFonts w:hint="eastAsia" w:ascii="微软雅黑" w:hAnsi="微软雅黑" w:eastAsia="微软雅黑" w:cs="微软雅黑"/>
          <w:color w:val="auto"/>
          <w:sz w:val="22"/>
          <w:szCs w:val="22"/>
          <w:highlight w:val="none"/>
        </w:rPr>
        <w:t>，负责评标工作。</w:t>
      </w:r>
    </w:p>
    <w:p w14:paraId="12C9A98A">
      <w:pPr>
        <w:pStyle w:val="25"/>
        <w:keepNext w:val="0"/>
        <w:keepLines w:val="0"/>
        <w:pageBreakBefore w:val="0"/>
        <w:numPr>
          <w:ilvl w:val="0"/>
          <w:numId w:val="0"/>
        </w:numPr>
        <w:kinsoku/>
        <w:wordWrap/>
        <w:overflowPunct/>
        <w:topLinePunct w:val="0"/>
        <w:autoSpaceDE/>
        <w:autoSpaceDN/>
        <w:bidi w:val="0"/>
        <w:adjustRightInd/>
        <w:spacing w:line="436" w:lineRule="exact"/>
        <w:ind w:leftChars="0"/>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lang w:eastAsia="zh-CN"/>
        </w:rPr>
        <w:t>（2）评标前，工作人员收取所有参会人员的手机，主持人宣读评标纪律。</w:t>
      </w:r>
    </w:p>
    <w:p w14:paraId="7EFC7A43">
      <w:pPr>
        <w:pStyle w:val="25"/>
        <w:keepNext w:val="0"/>
        <w:keepLines w:val="0"/>
        <w:pageBreakBefore w:val="0"/>
        <w:numPr>
          <w:ilvl w:val="0"/>
          <w:numId w:val="0"/>
        </w:numPr>
        <w:kinsoku/>
        <w:wordWrap/>
        <w:overflowPunct/>
        <w:topLinePunct w:val="0"/>
        <w:autoSpaceDE/>
        <w:autoSpaceDN/>
        <w:bidi w:val="0"/>
        <w:adjustRightInd/>
        <w:spacing w:line="436" w:lineRule="exact"/>
        <w:ind w:leftChars="0" w:firstLine="440" w:firstLineChars="200"/>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lang w:val="en-US" w:eastAsia="zh-CN"/>
        </w:rPr>
        <w:t>对采购单位的纪律要求：</w:t>
      </w:r>
      <w:r>
        <w:rPr>
          <w:rFonts w:hint="eastAsia" w:ascii="微软雅黑" w:hAnsi="微软雅黑" w:eastAsia="微软雅黑" w:cs="微软雅黑"/>
          <w:color w:val="auto"/>
          <w:sz w:val="22"/>
          <w:szCs w:val="22"/>
          <w:highlight w:val="none"/>
          <w:lang w:eastAsia="zh-CN"/>
        </w:rPr>
        <w:t>采购单位不得泄露招投标活动中应当保密的情况和资料，不得与供应商串通损害国家利益、社会公共利益或者他人合法权益</w:t>
      </w:r>
    </w:p>
    <w:p w14:paraId="38DAEBC5">
      <w:pPr>
        <w:pStyle w:val="25"/>
        <w:keepNext w:val="0"/>
        <w:keepLines w:val="0"/>
        <w:pageBreakBefore w:val="0"/>
        <w:numPr>
          <w:ilvl w:val="0"/>
          <w:numId w:val="0"/>
        </w:numPr>
        <w:kinsoku/>
        <w:wordWrap/>
        <w:overflowPunct/>
        <w:topLinePunct w:val="0"/>
        <w:autoSpaceDE/>
        <w:autoSpaceDN/>
        <w:bidi w:val="0"/>
        <w:adjustRightInd/>
        <w:spacing w:line="436" w:lineRule="exact"/>
        <w:ind w:leftChars="0" w:firstLine="440" w:firstLineChars="200"/>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lang w:eastAsia="zh-CN"/>
        </w:rPr>
        <w:t>对与开标大会活动有关的工作人员的纪律要求：与开标大会活动有关的工作人员不得收受他人的财物或者其他好处，不得向他人透露对中标候选人的推荐情况以及评标有关的其他情况。</w:t>
      </w:r>
    </w:p>
    <w:p w14:paraId="3C478C23">
      <w:pPr>
        <w:pStyle w:val="25"/>
        <w:keepNext w:val="0"/>
        <w:keepLines w:val="0"/>
        <w:pageBreakBefore w:val="0"/>
        <w:numPr>
          <w:ilvl w:val="0"/>
          <w:numId w:val="0"/>
        </w:numPr>
        <w:kinsoku/>
        <w:wordWrap/>
        <w:overflowPunct/>
        <w:topLinePunct w:val="0"/>
        <w:autoSpaceDE/>
        <w:autoSpaceDN/>
        <w:bidi w:val="0"/>
        <w:adjustRightInd/>
        <w:spacing w:line="436" w:lineRule="exact"/>
        <w:ind w:leftChars="0" w:firstLine="440" w:firstLineChars="200"/>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lang w:eastAsia="zh-CN"/>
        </w:rPr>
        <w:t>对评标专家的评标纪律及注意事项：</w:t>
      </w:r>
    </w:p>
    <w:p w14:paraId="330A8332">
      <w:pPr>
        <w:pStyle w:val="25"/>
        <w:keepNext w:val="0"/>
        <w:keepLines w:val="0"/>
        <w:pageBreakBefore w:val="0"/>
        <w:numPr>
          <w:ilvl w:val="0"/>
          <w:numId w:val="0"/>
        </w:numPr>
        <w:kinsoku/>
        <w:wordWrap/>
        <w:overflowPunct/>
        <w:topLinePunct w:val="0"/>
        <w:autoSpaceDE/>
        <w:autoSpaceDN/>
        <w:bidi w:val="0"/>
        <w:adjustRightInd/>
        <w:spacing w:line="436" w:lineRule="exact"/>
        <w:ind w:leftChars="0" w:firstLine="440" w:firstLineChars="200"/>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lang w:eastAsia="zh-CN"/>
        </w:rPr>
        <w:t>①与本次评标工作无关的人员不得进入评标现场；</w:t>
      </w:r>
    </w:p>
    <w:p w14:paraId="7FB80CA4">
      <w:pPr>
        <w:pStyle w:val="25"/>
        <w:keepNext w:val="0"/>
        <w:keepLines w:val="0"/>
        <w:pageBreakBefore w:val="0"/>
        <w:numPr>
          <w:ilvl w:val="0"/>
          <w:numId w:val="0"/>
        </w:numPr>
        <w:kinsoku/>
        <w:wordWrap/>
        <w:overflowPunct/>
        <w:topLinePunct w:val="0"/>
        <w:autoSpaceDE/>
        <w:autoSpaceDN/>
        <w:bidi w:val="0"/>
        <w:adjustRightInd/>
        <w:spacing w:line="436" w:lineRule="exact"/>
        <w:ind w:leftChars="0" w:firstLine="440" w:firstLineChars="200"/>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lang w:eastAsia="zh-CN"/>
        </w:rPr>
        <w:t>②在评标过程中评标委员会以外人员不得干预或影响正常评标工作，不得明示或暗示其倾向性、引导性言论；</w:t>
      </w:r>
    </w:p>
    <w:p w14:paraId="07A489C9">
      <w:pPr>
        <w:pStyle w:val="25"/>
        <w:keepNext w:val="0"/>
        <w:keepLines w:val="0"/>
        <w:pageBreakBefore w:val="0"/>
        <w:numPr>
          <w:ilvl w:val="0"/>
          <w:numId w:val="0"/>
        </w:numPr>
        <w:kinsoku/>
        <w:wordWrap/>
        <w:overflowPunct/>
        <w:topLinePunct w:val="0"/>
        <w:autoSpaceDE/>
        <w:autoSpaceDN/>
        <w:bidi w:val="0"/>
        <w:adjustRightInd/>
        <w:spacing w:line="436" w:lineRule="exact"/>
        <w:ind w:leftChars="0" w:firstLine="440" w:firstLineChars="200"/>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lang w:eastAsia="zh-CN"/>
        </w:rPr>
        <w:t>③评标委员会成员要严格遵守政府采购法、政府采购法实施条例、政府采购货物和服务招标投标管理办法及评标专家管理办法，要求公正、公平的参与评标工作；</w:t>
      </w:r>
    </w:p>
    <w:p w14:paraId="4F49C0FA">
      <w:pPr>
        <w:pStyle w:val="25"/>
        <w:keepNext w:val="0"/>
        <w:keepLines w:val="0"/>
        <w:pageBreakBefore w:val="0"/>
        <w:numPr>
          <w:ilvl w:val="0"/>
          <w:numId w:val="0"/>
        </w:numPr>
        <w:kinsoku/>
        <w:wordWrap/>
        <w:overflowPunct/>
        <w:topLinePunct w:val="0"/>
        <w:autoSpaceDE/>
        <w:autoSpaceDN/>
        <w:bidi w:val="0"/>
        <w:adjustRightInd/>
        <w:spacing w:line="436" w:lineRule="exact"/>
        <w:ind w:leftChars="0" w:firstLine="440" w:firstLineChars="200"/>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lang w:eastAsia="zh-CN"/>
        </w:rPr>
        <w:t>④评标委员会成员要依法独立评标，并对评标意见承担个人责任。评标委员会成员对需要共同认定的事项存在争议的，按照少数服从多数的原则做出结论。持不同意见的评标委员会成员应当在评标报告上签署不同意见并说明理由，否则视为同意。</w:t>
      </w:r>
    </w:p>
    <w:p w14:paraId="63CF3279">
      <w:pPr>
        <w:pStyle w:val="25"/>
        <w:keepNext w:val="0"/>
        <w:keepLines w:val="0"/>
        <w:pageBreakBefore w:val="0"/>
        <w:numPr>
          <w:ilvl w:val="0"/>
          <w:numId w:val="0"/>
        </w:numPr>
        <w:kinsoku/>
        <w:wordWrap/>
        <w:overflowPunct/>
        <w:topLinePunct w:val="0"/>
        <w:autoSpaceDE/>
        <w:autoSpaceDN/>
        <w:bidi w:val="0"/>
        <w:adjustRightInd/>
        <w:spacing w:line="436" w:lineRule="exact"/>
        <w:ind w:leftChars="0" w:firstLine="440" w:firstLineChars="200"/>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lang w:eastAsia="zh-CN"/>
        </w:rPr>
        <w:t>⑤评标委员会成员要认真阅读招标文件和所有供应商的投标文件，对所有投标文件逐一进行资格性、符合性检查，按招标文件规定的评标方法和标准，进行比较和评价；对需要借助专业知识评判的主观评分项，应当严格按照评分细则公正评分。</w:t>
      </w:r>
    </w:p>
    <w:p w14:paraId="55FF99F0">
      <w:pPr>
        <w:pStyle w:val="25"/>
        <w:keepNext w:val="0"/>
        <w:keepLines w:val="0"/>
        <w:pageBreakBefore w:val="0"/>
        <w:numPr>
          <w:ilvl w:val="0"/>
          <w:numId w:val="0"/>
        </w:numPr>
        <w:kinsoku/>
        <w:wordWrap/>
        <w:overflowPunct/>
        <w:topLinePunct w:val="0"/>
        <w:autoSpaceDE/>
        <w:autoSpaceDN/>
        <w:bidi w:val="0"/>
        <w:adjustRightInd/>
        <w:snapToGrid w:val="0"/>
        <w:spacing w:line="500" w:lineRule="exact"/>
        <w:ind w:leftChars="0" w:firstLine="440" w:firstLineChars="200"/>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lang w:eastAsia="zh-CN"/>
        </w:rPr>
        <w:t>⑥评标委员会成员不得明示或者暗示其倾向性、引导性意见，不得修改或细化投标文件确定的评标程序、评标方法、评标因素和评标标准，不得接受供应商主动提出的澄清和解释，不得征询采购单位代表的倾向性意见，不得协商评分，不得记录、复制或带走任何评标资料。</w:t>
      </w:r>
    </w:p>
    <w:p w14:paraId="0AF56E39">
      <w:pPr>
        <w:pStyle w:val="25"/>
        <w:keepNext w:val="0"/>
        <w:keepLines w:val="0"/>
        <w:pageBreakBefore w:val="0"/>
        <w:numPr>
          <w:ilvl w:val="0"/>
          <w:numId w:val="0"/>
        </w:numPr>
        <w:kinsoku/>
        <w:wordWrap/>
        <w:overflowPunct/>
        <w:topLinePunct w:val="0"/>
        <w:autoSpaceDE/>
        <w:autoSpaceDN/>
        <w:bidi w:val="0"/>
        <w:adjustRightInd/>
        <w:snapToGrid w:val="0"/>
        <w:spacing w:line="500" w:lineRule="exact"/>
        <w:ind w:leftChars="0" w:firstLine="440" w:firstLineChars="200"/>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lang w:eastAsia="zh-CN"/>
        </w:rPr>
        <w:t>⑦评标专家与供应商有下列利害关系之一的人员，应当回避：</w:t>
      </w:r>
    </w:p>
    <w:p w14:paraId="087C04A4">
      <w:pPr>
        <w:pStyle w:val="25"/>
        <w:keepNext w:val="0"/>
        <w:keepLines w:val="0"/>
        <w:pageBreakBefore w:val="0"/>
        <w:numPr>
          <w:ilvl w:val="0"/>
          <w:numId w:val="0"/>
        </w:numPr>
        <w:kinsoku/>
        <w:wordWrap/>
        <w:overflowPunct/>
        <w:topLinePunct w:val="0"/>
        <w:autoSpaceDE/>
        <w:autoSpaceDN/>
        <w:bidi w:val="0"/>
        <w:adjustRightInd/>
        <w:snapToGrid w:val="0"/>
        <w:spacing w:line="500" w:lineRule="exact"/>
        <w:ind w:leftChars="0" w:firstLine="440" w:firstLineChars="200"/>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lang w:eastAsia="zh-CN"/>
        </w:rPr>
        <w:t>参加采购活动前3年内与供应商存在劳动关系；</w:t>
      </w:r>
    </w:p>
    <w:p w14:paraId="7B4487C0">
      <w:pPr>
        <w:pStyle w:val="25"/>
        <w:keepNext w:val="0"/>
        <w:keepLines w:val="0"/>
        <w:pageBreakBefore w:val="0"/>
        <w:numPr>
          <w:ilvl w:val="0"/>
          <w:numId w:val="0"/>
        </w:numPr>
        <w:kinsoku/>
        <w:wordWrap/>
        <w:overflowPunct/>
        <w:topLinePunct w:val="0"/>
        <w:autoSpaceDE/>
        <w:autoSpaceDN/>
        <w:bidi w:val="0"/>
        <w:adjustRightInd/>
        <w:snapToGrid w:val="0"/>
        <w:spacing w:line="500" w:lineRule="exact"/>
        <w:ind w:leftChars="0" w:firstLine="440" w:firstLineChars="200"/>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lang w:eastAsia="zh-CN"/>
        </w:rPr>
        <w:t>参加采购活动前3年内担任供应商的董事、监事；</w:t>
      </w:r>
    </w:p>
    <w:p w14:paraId="215A64D7">
      <w:pPr>
        <w:pStyle w:val="25"/>
        <w:keepNext w:val="0"/>
        <w:keepLines w:val="0"/>
        <w:pageBreakBefore w:val="0"/>
        <w:numPr>
          <w:ilvl w:val="0"/>
          <w:numId w:val="0"/>
        </w:numPr>
        <w:kinsoku/>
        <w:wordWrap/>
        <w:overflowPunct/>
        <w:topLinePunct w:val="0"/>
        <w:autoSpaceDE/>
        <w:autoSpaceDN/>
        <w:bidi w:val="0"/>
        <w:adjustRightInd/>
        <w:snapToGrid w:val="0"/>
        <w:spacing w:line="500" w:lineRule="exact"/>
        <w:ind w:leftChars="0" w:firstLine="440" w:firstLineChars="200"/>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lang w:eastAsia="zh-CN"/>
        </w:rPr>
        <w:t>参加采购活动前3年内是供应商的控股股东或者实际控制人；</w:t>
      </w:r>
    </w:p>
    <w:p w14:paraId="5DB2089C">
      <w:pPr>
        <w:pStyle w:val="25"/>
        <w:keepNext w:val="0"/>
        <w:keepLines w:val="0"/>
        <w:pageBreakBefore w:val="0"/>
        <w:numPr>
          <w:ilvl w:val="0"/>
          <w:numId w:val="0"/>
        </w:numPr>
        <w:kinsoku/>
        <w:wordWrap/>
        <w:overflowPunct/>
        <w:topLinePunct w:val="0"/>
        <w:autoSpaceDE/>
        <w:autoSpaceDN/>
        <w:bidi w:val="0"/>
        <w:adjustRightInd/>
        <w:snapToGrid w:val="0"/>
        <w:spacing w:line="500" w:lineRule="exact"/>
        <w:ind w:leftChars="0" w:firstLine="440" w:firstLineChars="200"/>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lang w:eastAsia="zh-CN"/>
        </w:rPr>
        <w:t>与供应商的法定代表人或者负责人有夫妻、直系血亲、三代以内旁系血亲或者近姻亲关系。</w:t>
      </w:r>
    </w:p>
    <w:p w14:paraId="1D0C0D45">
      <w:pPr>
        <w:pStyle w:val="25"/>
        <w:keepNext w:val="0"/>
        <w:keepLines w:val="0"/>
        <w:pageBreakBefore w:val="0"/>
        <w:numPr>
          <w:ilvl w:val="0"/>
          <w:numId w:val="0"/>
        </w:numPr>
        <w:kinsoku/>
        <w:wordWrap/>
        <w:overflowPunct/>
        <w:topLinePunct w:val="0"/>
        <w:autoSpaceDE/>
        <w:autoSpaceDN/>
        <w:bidi w:val="0"/>
        <w:adjustRightInd/>
        <w:snapToGrid w:val="0"/>
        <w:spacing w:line="500" w:lineRule="exact"/>
        <w:ind w:leftChars="0"/>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lang w:eastAsia="zh-CN"/>
        </w:rPr>
        <w:t>（3）评标委员会应当按照招标文件中规定的评标方法和标准，对所有通过资格审查要求的投标供应商的投标文件，进行符合性审查，以确定是否满足招标文件的实质性要求。</w:t>
      </w:r>
    </w:p>
    <w:p w14:paraId="3A4C6070">
      <w:pPr>
        <w:pStyle w:val="25"/>
        <w:keepNext w:val="0"/>
        <w:keepLines w:val="0"/>
        <w:pageBreakBefore w:val="0"/>
        <w:numPr>
          <w:ilvl w:val="0"/>
          <w:numId w:val="0"/>
        </w:numPr>
        <w:kinsoku/>
        <w:wordWrap/>
        <w:overflowPunct/>
        <w:topLinePunct w:val="0"/>
        <w:autoSpaceDE/>
        <w:autoSpaceDN/>
        <w:bidi w:val="0"/>
        <w:adjustRightInd/>
        <w:snapToGrid w:val="0"/>
        <w:spacing w:line="500" w:lineRule="exact"/>
        <w:ind w:leftChars="0"/>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lang w:eastAsia="zh-CN"/>
        </w:rPr>
        <w:t>（4）若对于投标文件中含义不明确、同类问题表述不一致或者有明显文字和计算错误的内容，评标委员会应当以书面形式要求供应商作出必要的澄清、说明或者补正。供应商的澄清、说明或者补正应当采用书面形式，并加盖公章，或者由法定代表人或其授权的代表签字。供应商的澄清、说明或者补正不得超出投标文件的范围或者改变投标文件的实质性内容。</w:t>
      </w:r>
    </w:p>
    <w:p w14:paraId="7EFCDE97">
      <w:pPr>
        <w:pStyle w:val="25"/>
        <w:keepNext w:val="0"/>
        <w:keepLines w:val="0"/>
        <w:pageBreakBefore w:val="0"/>
        <w:numPr>
          <w:ilvl w:val="0"/>
          <w:numId w:val="0"/>
        </w:numPr>
        <w:kinsoku/>
        <w:wordWrap/>
        <w:overflowPunct/>
        <w:topLinePunct w:val="0"/>
        <w:autoSpaceDE/>
        <w:autoSpaceDN/>
        <w:bidi w:val="0"/>
        <w:adjustRightInd/>
        <w:snapToGrid w:val="0"/>
        <w:spacing w:line="500" w:lineRule="exact"/>
        <w:ind w:leftChars="0"/>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lang w:eastAsia="zh-CN"/>
        </w:rPr>
        <w:t>（5）评标委员会应当按照招标文件中规定的评标方法和标准，对符合性审查合格的投标文件进行商务和技术评估，综合比较与评价。综合评分法，是指投标文件满足招标文件全部实质性要求，且按照评审因素的量化指标评审得分最高的供应商为中标候选人的评标方法。</w:t>
      </w:r>
    </w:p>
    <w:p w14:paraId="17EE3D8C">
      <w:pPr>
        <w:pStyle w:val="25"/>
        <w:keepNext w:val="0"/>
        <w:keepLines w:val="0"/>
        <w:pageBreakBefore w:val="0"/>
        <w:numPr>
          <w:ilvl w:val="0"/>
          <w:numId w:val="0"/>
        </w:numPr>
        <w:kinsoku/>
        <w:wordWrap/>
        <w:overflowPunct/>
        <w:topLinePunct w:val="0"/>
        <w:autoSpaceDE/>
        <w:autoSpaceDN/>
        <w:bidi w:val="0"/>
        <w:adjustRightInd/>
        <w:snapToGrid w:val="0"/>
        <w:spacing w:line="500" w:lineRule="exact"/>
        <w:ind w:leftChars="0"/>
        <w:rPr>
          <w:rFonts w:hint="eastAsia" w:ascii="微软雅黑" w:hAnsi="微软雅黑" w:eastAsia="微软雅黑" w:cs="微软雅黑"/>
          <w:color w:val="auto"/>
          <w:sz w:val="22"/>
          <w:szCs w:val="22"/>
          <w:highlight w:val="none"/>
          <w:lang w:eastAsia="zh-CN"/>
        </w:rPr>
      </w:pPr>
      <w:r>
        <w:rPr>
          <w:rFonts w:hint="eastAsia" w:ascii="微软雅黑" w:hAnsi="微软雅黑" w:eastAsia="微软雅黑" w:cs="微软雅黑"/>
          <w:color w:val="auto"/>
          <w:sz w:val="22"/>
          <w:szCs w:val="22"/>
          <w:highlight w:val="none"/>
          <w:lang w:eastAsia="zh-CN"/>
        </w:rPr>
        <w:t>（6）评标委员会成员对需要共同认定的事项存在争议的，应当按照少数服从多数的原则作出结论。持不同意见的评标委员会成员应当在评标报告上签署不同意见及理由，否则视为同意评标报告。</w:t>
      </w:r>
    </w:p>
    <w:p w14:paraId="45640EEC">
      <w:pPr>
        <w:pStyle w:val="25"/>
        <w:keepNext w:val="0"/>
        <w:keepLines w:val="0"/>
        <w:pageBreakBefore w:val="0"/>
        <w:numPr>
          <w:ilvl w:val="0"/>
          <w:numId w:val="0"/>
        </w:numPr>
        <w:kinsoku/>
        <w:wordWrap/>
        <w:overflowPunct/>
        <w:topLinePunct w:val="0"/>
        <w:autoSpaceDE/>
        <w:autoSpaceDN/>
        <w:bidi w:val="0"/>
        <w:adjustRightInd/>
        <w:snapToGrid w:val="0"/>
        <w:spacing w:line="500" w:lineRule="exact"/>
        <w:ind w:leftChars="0"/>
        <w:rPr>
          <w:rFonts w:hint="eastAsia" w:ascii="微软雅黑" w:hAnsi="微软雅黑" w:eastAsia="微软雅黑" w:cs="微软雅黑"/>
          <w:b/>
          <w:bCs/>
          <w:color w:val="auto"/>
          <w:sz w:val="22"/>
          <w:szCs w:val="22"/>
          <w:highlight w:val="none"/>
          <w:lang w:val="en-US" w:eastAsia="zh-CN"/>
        </w:rPr>
      </w:pPr>
      <w:r>
        <w:rPr>
          <w:rFonts w:hint="eastAsia" w:ascii="微软雅黑" w:hAnsi="微软雅黑" w:eastAsia="微软雅黑" w:cs="微软雅黑"/>
          <w:b/>
          <w:bCs/>
          <w:color w:val="auto"/>
          <w:sz w:val="22"/>
          <w:szCs w:val="22"/>
          <w:highlight w:val="none"/>
          <w:lang w:val="en-US" w:eastAsia="zh-CN"/>
        </w:rPr>
        <w:t>注：现场所有参会人员均要对开标内容进行保密。</w:t>
      </w:r>
    </w:p>
    <w:p w14:paraId="4F0CE509">
      <w:pPr>
        <w:pStyle w:val="25"/>
        <w:keepNext w:val="0"/>
        <w:keepLines w:val="0"/>
        <w:pageBreakBefore w:val="0"/>
        <w:shd w:val="clear" w:color="auto" w:fill="auto"/>
        <w:kinsoku/>
        <w:wordWrap/>
        <w:overflowPunct/>
        <w:topLinePunct w:val="0"/>
        <w:autoSpaceDE/>
        <w:autoSpaceDN/>
        <w:bidi w:val="0"/>
        <w:adjustRightInd/>
        <w:snapToGrid w:val="0"/>
        <w:spacing w:line="500" w:lineRule="exact"/>
        <w:rPr>
          <w:rFonts w:hint="eastAsia" w:ascii="微软雅黑" w:hAnsi="微软雅黑" w:eastAsia="微软雅黑" w:cs="微软雅黑"/>
          <w:b/>
          <w:bCs/>
          <w:color w:val="auto"/>
          <w:sz w:val="22"/>
          <w:szCs w:val="22"/>
          <w:highlight w:val="none"/>
          <w:lang w:val="en-US" w:eastAsia="zh-CN"/>
        </w:rPr>
      </w:pPr>
      <w:r>
        <w:rPr>
          <w:rFonts w:hint="eastAsia" w:ascii="微软雅黑" w:hAnsi="微软雅黑" w:eastAsia="微软雅黑" w:cs="微软雅黑"/>
          <w:b/>
          <w:bCs/>
          <w:color w:val="auto"/>
          <w:sz w:val="22"/>
          <w:szCs w:val="22"/>
          <w:highlight w:val="none"/>
          <w:lang w:val="en-US" w:eastAsia="zh-CN"/>
        </w:rPr>
        <w:t>8.答疑澄清：</w:t>
      </w:r>
    </w:p>
    <w:p w14:paraId="27C8F40A">
      <w:pPr>
        <w:pStyle w:val="25"/>
        <w:keepNext w:val="0"/>
        <w:keepLines w:val="0"/>
        <w:pageBreakBefore w:val="0"/>
        <w:numPr>
          <w:ilvl w:val="0"/>
          <w:numId w:val="0"/>
        </w:numPr>
        <w:kinsoku/>
        <w:wordWrap/>
        <w:overflowPunct/>
        <w:topLinePunct w:val="0"/>
        <w:autoSpaceDE/>
        <w:autoSpaceDN/>
        <w:bidi w:val="0"/>
        <w:adjustRightInd/>
        <w:spacing w:line="436" w:lineRule="exact"/>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lang w:val="en-US" w:eastAsia="zh-CN"/>
        </w:rPr>
        <w:t>（1）评标委员会对于投标文件中含义不明确、同类问题表述不一致或者有明显文字和计算错误的内容，要求投标人以书面形式现场作出必要的澄清、说明或者补正。</w:t>
      </w:r>
    </w:p>
    <w:p w14:paraId="0CBB0E7B">
      <w:pPr>
        <w:pStyle w:val="25"/>
        <w:keepNext w:val="0"/>
        <w:keepLines w:val="0"/>
        <w:pageBreakBefore w:val="0"/>
        <w:numPr>
          <w:ilvl w:val="0"/>
          <w:numId w:val="0"/>
        </w:numPr>
        <w:kinsoku/>
        <w:wordWrap/>
        <w:overflowPunct/>
        <w:topLinePunct w:val="0"/>
        <w:autoSpaceDE/>
        <w:autoSpaceDN/>
        <w:bidi w:val="0"/>
        <w:adjustRightInd/>
        <w:spacing w:line="436" w:lineRule="exact"/>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lang w:val="en-US" w:eastAsia="zh-CN"/>
        </w:rPr>
        <w:t>（2）投标人的澄清、说明或者补正应当采用书面形式，并加盖公章，或者由法定代表人或其授权的代表签字。投标人的澄清、说明或者补正不得超出投标文件的范围或者改变投标文件的实质性内容。</w:t>
      </w:r>
    </w:p>
    <w:p w14:paraId="1814B1FC">
      <w:pPr>
        <w:pStyle w:val="25"/>
        <w:keepNext w:val="0"/>
        <w:keepLines w:val="0"/>
        <w:pageBreakBefore w:val="0"/>
        <w:numPr>
          <w:ilvl w:val="0"/>
          <w:numId w:val="0"/>
        </w:numPr>
        <w:kinsoku/>
        <w:wordWrap/>
        <w:overflowPunct/>
        <w:topLinePunct w:val="0"/>
        <w:autoSpaceDE/>
        <w:autoSpaceDN/>
        <w:bidi w:val="0"/>
        <w:adjustRightInd/>
        <w:snapToGrid w:val="0"/>
        <w:spacing w:line="498" w:lineRule="exact"/>
        <w:rPr>
          <w:rFonts w:hint="eastAsia" w:ascii="微软雅黑" w:hAnsi="微软雅黑" w:eastAsia="微软雅黑" w:cs="微软雅黑"/>
          <w:b/>
          <w:bCs/>
          <w:color w:val="auto"/>
          <w:sz w:val="22"/>
          <w:szCs w:val="22"/>
          <w:highlight w:val="none"/>
          <w:lang w:val="en-US" w:eastAsia="zh-CN"/>
        </w:rPr>
      </w:pPr>
      <w:r>
        <w:rPr>
          <w:rFonts w:hint="eastAsia" w:ascii="微软雅黑" w:hAnsi="微软雅黑" w:eastAsia="微软雅黑" w:cs="微软雅黑"/>
          <w:b/>
          <w:bCs/>
          <w:color w:val="auto"/>
          <w:sz w:val="22"/>
          <w:szCs w:val="22"/>
          <w:highlight w:val="none"/>
          <w:lang w:val="en-US" w:eastAsia="zh-CN"/>
        </w:rPr>
        <w:t>9.定标：</w:t>
      </w:r>
    </w:p>
    <w:p w14:paraId="5EB159AF">
      <w:pPr>
        <w:pStyle w:val="25"/>
        <w:keepNext w:val="0"/>
        <w:keepLines w:val="0"/>
        <w:pageBreakBefore w:val="0"/>
        <w:numPr>
          <w:ilvl w:val="0"/>
          <w:numId w:val="0"/>
        </w:numPr>
        <w:kinsoku/>
        <w:wordWrap/>
        <w:overflowPunct/>
        <w:topLinePunct w:val="0"/>
        <w:autoSpaceDE/>
        <w:autoSpaceDN/>
        <w:bidi w:val="0"/>
        <w:adjustRightInd/>
        <w:snapToGrid w:val="0"/>
        <w:spacing w:line="498" w:lineRule="exact"/>
        <w:ind w:leftChars="0"/>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lang w:val="en-US" w:eastAsia="zh-CN"/>
        </w:rPr>
        <w:t>（1）采购代理机构应当在评标结束后2个工作日内将评标报告送采购人。</w:t>
      </w:r>
    </w:p>
    <w:p w14:paraId="0A0ADECF">
      <w:pPr>
        <w:pStyle w:val="25"/>
        <w:keepNext w:val="0"/>
        <w:keepLines w:val="0"/>
        <w:pageBreakBefore w:val="0"/>
        <w:numPr>
          <w:ilvl w:val="0"/>
          <w:numId w:val="0"/>
        </w:numPr>
        <w:kinsoku/>
        <w:wordWrap/>
        <w:overflowPunct/>
        <w:topLinePunct w:val="0"/>
        <w:autoSpaceDE/>
        <w:autoSpaceDN/>
        <w:bidi w:val="0"/>
        <w:adjustRightInd/>
        <w:snapToGrid w:val="0"/>
        <w:spacing w:line="498" w:lineRule="exact"/>
        <w:ind w:leftChars="0"/>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lang w:val="en-US" w:eastAsia="zh-CN"/>
        </w:rPr>
        <w:t>（2）采购人应当自收到评标报告之日起5个工作日内，在评标报告确定的中标候选人名单中按顺序确定中标人。中标候选人并列的，由采购人按照招标文件规定的方式确定中标人。</w:t>
      </w:r>
    </w:p>
    <w:p w14:paraId="20DD2A8E">
      <w:pPr>
        <w:pStyle w:val="25"/>
        <w:keepNext w:val="0"/>
        <w:keepLines w:val="0"/>
        <w:pageBreakBefore w:val="0"/>
        <w:numPr>
          <w:ilvl w:val="0"/>
          <w:numId w:val="0"/>
        </w:numPr>
        <w:kinsoku/>
        <w:wordWrap/>
        <w:overflowPunct/>
        <w:topLinePunct w:val="0"/>
        <w:autoSpaceDE/>
        <w:autoSpaceDN/>
        <w:bidi w:val="0"/>
        <w:adjustRightInd/>
        <w:snapToGrid w:val="0"/>
        <w:spacing w:line="498" w:lineRule="exact"/>
        <w:ind w:leftChars="0"/>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lang w:val="en-US" w:eastAsia="zh-CN"/>
        </w:rPr>
        <w:t>（3）采购人在收到评标报告5个工作日内未按评标报告推荐的中标候选人顺序确定中标人，又不能说明合法理由的，视同按评标报告推荐的顺序确定排名第一的中标候选人为中标人。</w:t>
      </w:r>
    </w:p>
    <w:p w14:paraId="5D8B6E1D">
      <w:pPr>
        <w:pStyle w:val="25"/>
        <w:keepNext w:val="0"/>
        <w:keepLines w:val="0"/>
        <w:pageBreakBefore w:val="0"/>
        <w:numPr>
          <w:ilvl w:val="0"/>
          <w:numId w:val="0"/>
        </w:numPr>
        <w:kinsoku/>
        <w:wordWrap/>
        <w:overflowPunct/>
        <w:topLinePunct w:val="0"/>
        <w:autoSpaceDE/>
        <w:autoSpaceDN/>
        <w:bidi w:val="0"/>
        <w:adjustRightInd/>
        <w:snapToGrid w:val="0"/>
        <w:spacing w:line="498" w:lineRule="exact"/>
        <w:ind w:leftChars="0"/>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lang w:val="en-US" w:eastAsia="zh-CN"/>
        </w:rPr>
        <w:t>（4）同品牌处理办法：采用综合评标法，则：提供相同品牌产品且通过资格审查、符合性审查的不同供应商参加同一合同项下投标的，按一家供应商计算，评审后得分最高的同品牌供应商获得中标人推荐资格;评审得分相同的，由采购人或者采购人委托评标委员会按照招标文件规定的方式确定一个供应商获得中标人推荐资格，招标文件未规定的采取随机抽取方式确定，其他同品牌供应商不作为中标候选人。</w:t>
      </w:r>
    </w:p>
    <w:p w14:paraId="3B9A2389">
      <w:pPr>
        <w:pStyle w:val="25"/>
        <w:keepNext w:val="0"/>
        <w:keepLines w:val="0"/>
        <w:pageBreakBefore w:val="0"/>
        <w:numPr>
          <w:ilvl w:val="0"/>
          <w:numId w:val="0"/>
        </w:numPr>
        <w:kinsoku/>
        <w:wordWrap/>
        <w:overflowPunct/>
        <w:topLinePunct w:val="0"/>
        <w:autoSpaceDE/>
        <w:autoSpaceDN/>
        <w:bidi w:val="0"/>
        <w:adjustRightInd/>
        <w:snapToGrid w:val="0"/>
        <w:spacing w:line="498" w:lineRule="exact"/>
        <w:ind w:leftChars="0"/>
        <w:rPr>
          <w:rFonts w:hint="eastAsia" w:ascii="微软雅黑" w:hAnsi="微软雅黑" w:eastAsia="微软雅黑" w:cs="微软雅黑"/>
          <w:color w:val="auto"/>
          <w:sz w:val="22"/>
          <w:szCs w:val="22"/>
          <w:highlight w:val="none"/>
          <w:lang w:val="en-US" w:eastAsia="zh-CN"/>
        </w:rPr>
      </w:pPr>
      <w:r>
        <w:rPr>
          <w:rFonts w:hint="eastAsia" w:ascii="微软雅黑" w:hAnsi="微软雅黑" w:eastAsia="微软雅黑" w:cs="微软雅黑"/>
          <w:color w:val="auto"/>
          <w:sz w:val="22"/>
          <w:szCs w:val="22"/>
          <w:highlight w:val="none"/>
          <w:lang w:val="en-US" w:eastAsia="zh-CN"/>
        </w:rPr>
        <w:t>（5）中标候选人并列式时的处理方式：采用综合评标法，则：评标结果按评审后得分由高到低顺序排列。得分相同的，按投标报价由低到高顺序排列。得分且投标报价相同的并列。投标文件满足投标文件全部实质性要求，且按照评审因素的量化指标评审得分最高的供应商为排名第一的中标候选人。</w:t>
      </w:r>
    </w:p>
    <w:p w14:paraId="6B233B91">
      <w:pPr>
        <w:pStyle w:val="25"/>
        <w:rPr>
          <w:rFonts w:hint="eastAsia" w:ascii="微软雅黑" w:hAnsi="微软雅黑" w:eastAsia="微软雅黑" w:cs="微软雅黑"/>
          <w:b w:val="0"/>
          <w:i w:val="0"/>
          <w:caps w:val="0"/>
          <w:color w:val="auto"/>
          <w:spacing w:val="0"/>
          <w:w w:val="100"/>
          <w:kern w:val="2"/>
          <w:sz w:val="22"/>
          <w:szCs w:val="22"/>
          <w:highlight w:val="none"/>
          <w:lang w:val="en-US" w:eastAsia="zh-CN" w:bidi="ar-SA"/>
        </w:rPr>
      </w:pPr>
    </w:p>
    <w:p w14:paraId="26F85A49">
      <w:pPr>
        <w:pStyle w:val="25"/>
        <w:rPr>
          <w:rFonts w:hint="eastAsia" w:ascii="微软雅黑" w:hAnsi="微软雅黑" w:eastAsia="微软雅黑" w:cs="微软雅黑"/>
          <w:b w:val="0"/>
          <w:i w:val="0"/>
          <w:caps w:val="0"/>
          <w:color w:val="auto"/>
          <w:spacing w:val="0"/>
          <w:w w:val="100"/>
          <w:kern w:val="2"/>
          <w:sz w:val="22"/>
          <w:szCs w:val="22"/>
          <w:highlight w:val="none"/>
          <w:lang w:val="en-US" w:eastAsia="zh-CN" w:bidi="ar-SA"/>
        </w:rPr>
      </w:pPr>
    </w:p>
    <w:p w14:paraId="680E755F">
      <w:pPr>
        <w:pStyle w:val="25"/>
        <w:rPr>
          <w:rFonts w:hint="eastAsia" w:ascii="微软雅黑" w:hAnsi="微软雅黑" w:eastAsia="微软雅黑" w:cs="微软雅黑"/>
          <w:b w:val="0"/>
          <w:i w:val="0"/>
          <w:caps w:val="0"/>
          <w:color w:val="auto"/>
          <w:spacing w:val="0"/>
          <w:w w:val="100"/>
          <w:kern w:val="2"/>
          <w:sz w:val="22"/>
          <w:szCs w:val="22"/>
          <w:highlight w:val="none"/>
          <w:lang w:val="en-US" w:eastAsia="zh-CN" w:bidi="ar-SA"/>
        </w:rPr>
      </w:pPr>
    </w:p>
    <w:p w14:paraId="011162FE">
      <w:pPr>
        <w:pStyle w:val="25"/>
        <w:rPr>
          <w:rFonts w:hint="eastAsia" w:ascii="微软雅黑" w:hAnsi="微软雅黑" w:eastAsia="微软雅黑" w:cs="微软雅黑"/>
          <w:b w:val="0"/>
          <w:i w:val="0"/>
          <w:caps w:val="0"/>
          <w:color w:val="auto"/>
          <w:spacing w:val="0"/>
          <w:w w:val="100"/>
          <w:kern w:val="2"/>
          <w:sz w:val="22"/>
          <w:szCs w:val="22"/>
          <w:highlight w:val="none"/>
          <w:lang w:val="en-US" w:eastAsia="zh-CN" w:bidi="ar-SA"/>
        </w:rPr>
      </w:pPr>
    </w:p>
    <w:p w14:paraId="05A7E28C">
      <w:pPr>
        <w:pStyle w:val="25"/>
        <w:rPr>
          <w:rFonts w:hint="eastAsia" w:ascii="微软雅黑" w:hAnsi="微软雅黑" w:eastAsia="微软雅黑" w:cs="微软雅黑"/>
          <w:b w:val="0"/>
          <w:i w:val="0"/>
          <w:caps w:val="0"/>
          <w:color w:val="auto"/>
          <w:spacing w:val="0"/>
          <w:w w:val="100"/>
          <w:kern w:val="2"/>
          <w:sz w:val="22"/>
          <w:szCs w:val="22"/>
          <w:highlight w:val="none"/>
          <w:lang w:val="en-US" w:eastAsia="zh-CN" w:bidi="ar-SA"/>
        </w:rPr>
      </w:pPr>
    </w:p>
    <w:p w14:paraId="25AF4C2C">
      <w:pPr>
        <w:rPr>
          <w:rFonts w:hint="eastAsia" w:ascii="微软雅黑" w:hAnsi="微软雅黑" w:eastAsia="微软雅黑" w:cs="微软雅黑"/>
          <w:color w:val="auto"/>
          <w:sz w:val="20"/>
          <w:szCs w:val="22"/>
          <w:highlight w:val="none"/>
        </w:rPr>
      </w:pPr>
      <w:bookmarkStart w:id="1704" w:name="_Toc5776"/>
      <w:bookmarkStart w:id="1705" w:name="_Toc9116"/>
      <w:bookmarkStart w:id="1706" w:name="_Toc29085"/>
      <w:bookmarkStart w:id="1707" w:name="_Toc7467"/>
      <w:bookmarkStart w:id="1708" w:name="_Toc19412"/>
      <w:bookmarkStart w:id="1709" w:name="_Toc25901"/>
      <w:bookmarkStart w:id="1710" w:name="_Toc28782"/>
      <w:bookmarkStart w:id="1711" w:name="_Toc6128"/>
      <w:bookmarkStart w:id="1712" w:name="_Toc397"/>
      <w:bookmarkStart w:id="1713" w:name="_Toc5986"/>
      <w:bookmarkStart w:id="1714" w:name="_Toc5478"/>
      <w:bookmarkStart w:id="1715" w:name="_Toc21578"/>
      <w:bookmarkStart w:id="1716" w:name="_Toc9835"/>
      <w:bookmarkStart w:id="1717" w:name="_Toc23103"/>
      <w:bookmarkStart w:id="1718" w:name="_Toc10419"/>
      <w:bookmarkStart w:id="1719" w:name="_Toc5578"/>
      <w:bookmarkStart w:id="1720" w:name="_Toc1327"/>
      <w:bookmarkStart w:id="1721" w:name="_Toc21866"/>
      <w:r>
        <w:rPr>
          <w:rFonts w:hint="eastAsia" w:ascii="微软雅黑" w:hAnsi="微软雅黑" w:eastAsia="微软雅黑" w:cs="微软雅黑"/>
          <w:color w:val="auto"/>
          <w:sz w:val="20"/>
          <w:szCs w:val="22"/>
          <w:highlight w:val="none"/>
        </w:rPr>
        <w:br w:type="page"/>
      </w:r>
    </w:p>
    <w:p w14:paraId="4A585243">
      <w:pPr>
        <w:pStyle w:val="3"/>
        <w:jc w:val="center"/>
        <w:rPr>
          <w:rFonts w:hint="eastAsia" w:ascii="微软雅黑" w:hAnsi="微软雅黑" w:eastAsia="微软雅黑" w:cs="微软雅黑"/>
          <w:color w:val="auto"/>
          <w:sz w:val="28"/>
          <w:szCs w:val="18"/>
          <w:highlight w:val="none"/>
        </w:rPr>
      </w:pPr>
      <w:bookmarkStart w:id="1722" w:name="_Toc17457"/>
      <w:r>
        <w:rPr>
          <w:rFonts w:hint="eastAsia" w:ascii="微软雅黑" w:hAnsi="微软雅黑" w:eastAsia="微软雅黑" w:cs="微软雅黑"/>
          <w:color w:val="auto"/>
          <w:sz w:val="28"/>
          <w:szCs w:val="18"/>
          <w:highlight w:val="none"/>
        </w:rPr>
        <w:t>初步评审—资格性审查表</w:t>
      </w:r>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p>
    <w:tbl>
      <w:tblPr>
        <w:tblStyle w:val="32"/>
        <w:tblpPr w:leftFromText="180" w:rightFromText="180" w:vertAnchor="text" w:horzAnchor="page" w:tblpXSpec="center" w:tblpY="234"/>
        <w:tblOverlap w:val="never"/>
        <w:tblW w:w="85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5"/>
        <w:gridCol w:w="5409"/>
        <w:gridCol w:w="890"/>
        <w:gridCol w:w="821"/>
        <w:gridCol w:w="720"/>
      </w:tblGrid>
      <w:tr w14:paraId="383BA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5" w:type="dxa"/>
            <w:vMerge w:val="restart"/>
            <w:vAlign w:val="center"/>
          </w:tcPr>
          <w:p w14:paraId="21E2D55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b/>
                <w:bCs/>
                <w:color w:val="auto"/>
                <w:sz w:val="21"/>
                <w:szCs w:val="21"/>
                <w:highlight w:val="none"/>
              </w:rPr>
            </w:pPr>
            <w:r>
              <w:rPr>
                <w:rFonts w:hint="eastAsia" w:ascii="微软雅黑" w:hAnsi="微软雅黑" w:eastAsia="微软雅黑" w:cs="微软雅黑"/>
                <w:b/>
                <w:bCs/>
                <w:color w:val="auto"/>
                <w:sz w:val="21"/>
                <w:szCs w:val="21"/>
                <w:highlight w:val="none"/>
              </w:rPr>
              <w:t>序号</w:t>
            </w:r>
          </w:p>
        </w:tc>
        <w:tc>
          <w:tcPr>
            <w:tcW w:w="5409" w:type="dxa"/>
            <w:vMerge w:val="restart"/>
            <w:vAlign w:val="center"/>
          </w:tcPr>
          <w:p w14:paraId="7C2A3FB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b/>
                <w:bCs/>
                <w:color w:val="auto"/>
                <w:sz w:val="21"/>
                <w:szCs w:val="21"/>
                <w:highlight w:val="none"/>
              </w:rPr>
            </w:pPr>
            <w:r>
              <w:rPr>
                <w:rFonts w:hint="eastAsia" w:ascii="微软雅黑" w:hAnsi="微软雅黑" w:eastAsia="微软雅黑" w:cs="微软雅黑"/>
                <w:b/>
                <w:bCs/>
                <w:color w:val="auto"/>
                <w:sz w:val="21"/>
                <w:szCs w:val="21"/>
                <w:highlight w:val="none"/>
              </w:rPr>
              <w:t>评审内容</w:t>
            </w:r>
          </w:p>
        </w:tc>
        <w:tc>
          <w:tcPr>
            <w:tcW w:w="890" w:type="dxa"/>
            <w:vAlign w:val="center"/>
          </w:tcPr>
          <w:p w14:paraId="75385C4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b/>
                <w:bCs/>
                <w:color w:val="auto"/>
                <w:sz w:val="21"/>
                <w:szCs w:val="21"/>
                <w:highlight w:val="none"/>
              </w:rPr>
            </w:pPr>
            <w:r>
              <w:rPr>
                <w:rFonts w:hint="eastAsia" w:ascii="微软雅黑" w:hAnsi="微软雅黑" w:eastAsia="微软雅黑" w:cs="微软雅黑"/>
                <w:b/>
                <w:bCs/>
                <w:color w:val="auto"/>
                <w:sz w:val="21"/>
                <w:szCs w:val="21"/>
                <w:highlight w:val="none"/>
              </w:rPr>
              <w:t>供应商</w:t>
            </w:r>
          </w:p>
        </w:tc>
        <w:tc>
          <w:tcPr>
            <w:tcW w:w="821" w:type="dxa"/>
            <w:vAlign w:val="center"/>
          </w:tcPr>
          <w:p w14:paraId="5E1E08A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b/>
                <w:bCs/>
                <w:color w:val="auto"/>
                <w:sz w:val="21"/>
                <w:szCs w:val="21"/>
                <w:highlight w:val="none"/>
              </w:rPr>
            </w:pPr>
            <w:r>
              <w:rPr>
                <w:rFonts w:hint="eastAsia" w:ascii="微软雅黑" w:hAnsi="微软雅黑" w:eastAsia="微软雅黑" w:cs="微软雅黑"/>
                <w:b/>
                <w:bCs/>
                <w:color w:val="auto"/>
                <w:sz w:val="21"/>
                <w:szCs w:val="21"/>
                <w:highlight w:val="none"/>
              </w:rPr>
              <w:t>供应商</w:t>
            </w:r>
          </w:p>
        </w:tc>
        <w:tc>
          <w:tcPr>
            <w:tcW w:w="720" w:type="dxa"/>
            <w:vAlign w:val="center"/>
          </w:tcPr>
          <w:p w14:paraId="7BCE3B6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b/>
                <w:bCs/>
                <w:color w:val="auto"/>
                <w:sz w:val="21"/>
                <w:szCs w:val="21"/>
                <w:highlight w:val="none"/>
              </w:rPr>
            </w:pPr>
            <w:r>
              <w:rPr>
                <w:rFonts w:hint="eastAsia" w:ascii="微软雅黑" w:hAnsi="微软雅黑" w:eastAsia="微软雅黑" w:cs="微软雅黑"/>
                <w:b/>
                <w:bCs/>
                <w:color w:val="auto"/>
                <w:sz w:val="21"/>
                <w:szCs w:val="21"/>
                <w:highlight w:val="none"/>
              </w:rPr>
              <w:t>供应商</w:t>
            </w:r>
          </w:p>
        </w:tc>
      </w:tr>
      <w:tr w14:paraId="1DBB3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5" w:type="dxa"/>
            <w:vMerge w:val="continue"/>
            <w:vAlign w:val="center"/>
          </w:tcPr>
          <w:p w14:paraId="501CDF5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b/>
                <w:bCs/>
                <w:color w:val="auto"/>
                <w:sz w:val="21"/>
                <w:szCs w:val="21"/>
                <w:highlight w:val="none"/>
              </w:rPr>
            </w:pPr>
          </w:p>
        </w:tc>
        <w:tc>
          <w:tcPr>
            <w:tcW w:w="5409" w:type="dxa"/>
            <w:vMerge w:val="continue"/>
            <w:vAlign w:val="center"/>
          </w:tcPr>
          <w:p w14:paraId="1C41FFD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b/>
                <w:bCs/>
                <w:color w:val="auto"/>
                <w:sz w:val="21"/>
                <w:szCs w:val="21"/>
                <w:highlight w:val="none"/>
              </w:rPr>
            </w:pPr>
          </w:p>
        </w:tc>
        <w:tc>
          <w:tcPr>
            <w:tcW w:w="890" w:type="dxa"/>
            <w:vAlign w:val="center"/>
          </w:tcPr>
          <w:p w14:paraId="60036FC1">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b/>
                <w:bCs/>
                <w:color w:val="auto"/>
                <w:sz w:val="21"/>
                <w:szCs w:val="21"/>
                <w:highlight w:val="none"/>
              </w:rPr>
            </w:pPr>
            <w:r>
              <w:rPr>
                <w:rFonts w:hint="eastAsia" w:ascii="微软雅黑" w:hAnsi="微软雅黑" w:eastAsia="微软雅黑" w:cs="微软雅黑"/>
                <w:b/>
                <w:bCs/>
                <w:color w:val="auto"/>
                <w:sz w:val="21"/>
                <w:szCs w:val="21"/>
                <w:highlight w:val="none"/>
              </w:rPr>
              <w:t>是否</w:t>
            </w:r>
          </w:p>
          <w:p w14:paraId="45FE56A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b/>
                <w:bCs/>
                <w:color w:val="auto"/>
                <w:sz w:val="21"/>
                <w:szCs w:val="21"/>
                <w:highlight w:val="none"/>
              </w:rPr>
            </w:pPr>
            <w:r>
              <w:rPr>
                <w:rFonts w:hint="eastAsia" w:ascii="微软雅黑" w:hAnsi="微软雅黑" w:eastAsia="微软雅黑" w:cs="微软雅黑"/>
                <w:b/>
                <w:bCs/>
                <w:color w:val="auto"/>
                <w:sz w:val="21"/>
                <w:szCs w:val="21"/>
                <w:highlight w:val="none"/>
              </w:rPr>
              <w:t>合格</w:t>
            </w:r>
          </w:p>
        </w:tc>
        <w:tc>
          <w:tcPr>
            <w:tcW w:w="821" w:type="dxa"/>
            <w:vAlign w:val="center"/>
          </w:tcPr>
          <w:p w14:paraId="66C4216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b/>
                <w:bCs/>
                <w:color w:val="auto"/>
                <w:sz w:val="21"/>
                <w:szCs w:val="21"/>
                <w:highlight w:val="none"/>
              </w:rPr>
            </w:pPr>
            <w:r>
              <w:rPr>
                <w:rFonts w:hint="eastAsia" w:ascii="微软雅黑" w:hAnsi="微软雅黑" w:eastAsia="微软雅黑" w:cs="微软雅黑"/>
                <w:b/>
                <w:bCs/>
                <w:color w:val="auto"/>
                <w:sz w:val="21"/>
                <w:szCs w:val="21"/>
                <w:highlight w:val="none"/>
              </w:rPr>
              <w:t>是否</w:t>
            </w:r>
          </w:p>
          <w:p w14:paraId="788C7FD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b/>
                <w:bCs/>
                <w:color w:val="auto"/>
                <w:sz w:val="21"/>
                <w:szCs w:val="21"/>
                <w:highlight w:val="none"/>
              </w:rPr>
            </w:pPr>
            <w:r>
              <w:rPr>
                <w:rFonts w:hint="eastAsia" w:ascii="微软雅黑" w:hAnsi="微软雅黑" w:eastAsia="微软雅黑" w:cs="微软雅黑"/>
                <w:b/>
                <w:bCs/>
                <w:color w:val="auto"/>
                <w:sz w:val="21"/>
                <w:szCs w:val="21"/>
                <w:highlight w:val="none"/>
              </w:rPr>
              <w:t>合格</w:t>
            </w:r>
          </w:p>
        </w:tc>
        <w:tc>
          <w:tcPr>
            <w:tcW w:w="720" w:type="dxa"/>
            <w:vAlign w:val="center"/>
          </w:tcPr>
          <w:p w14:paraId="5DE3506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b/>
                <w:bCs/>
                <w:color w:val="auto"/>
                <w:sz w:val="21"/>
                <w:szCs w:val="21"/>
                <w:highlight w:val="none"/>
              </w:rPr>
            </w:pPr>
            <w:r>
              <w:rPr>
                <w:rFonts w:hint="eastAsia" w:ascii="微软雅黑" w:hAnsi="微软雅黑" w:eastAsia="微软雅黑" w:cs="微软雅黑"/>
                <w:b/>
                <w:bCs/>
                <w:color w:val="auto"/>
                <w:sz w:val="21"/>
                <w:szCs w:val="21"/>
                <w:highlight w:val="none"/>
              </w:rPr>
              <w:t>是否</w:t>
            </w:r>
          </w:p>
          <w:p w14:paraId="4841137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b/>
                <w:bCs/>
                <w:color w:val="auto"/>
                <w:sz w:val="21"/>
                <w:szCs w:val="21"/>
                <w:highlight w:val="none"/>
              </w:rPr>
            </w:pPr>
            <w:r>
              <w:rPr>
                <w:rFonts w:hint="eastAsia" w:ascii="微软雅黑" w:hAnsi="微软雅黑" w:eastAsia="微软雅黑" w:cs="微软雅黑"/>
                <w:b/>
                <w:bCs/>
                <w:color w:val="auto"/>
                <w:sz w:val="21"/>
                <w:szCs w:val="21"/>
                <w:highlight w:val="none"/>
              </w:rPr>
              <w:t>合格</w:t>
            </w:r>
          </w:p>
        </w:tc>
      </w:tr>
      <w:tr w14:paraId="2B480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5" w:type="dxa"/>
            <w:vAlign w:val="center"/>
          </w:tcPr>
          <w:p w14:paraId="7AA0521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color w:val="auto"/>
                <w:spacing w:val="-2"/>
                <w:sz w:val="21"/>
                <w:szCs w:val="21"/>
                <w:highlight w:val="none"/>
              </w:rPr>
            </w:pPr>
            <w:r>
              <w:rPr>
                <w:rFonts w:hint="eastAsia" w:ascii="微软雅黑" w:hAnsi="微软雅黑" w:eastAsia="微软雅黑" w:cs="微软雅黑"/>
                <w:color w:val="auto"/>
                <w:spacing w:val="-2"/>
                <w:sz w:val="21"/>
                <w:szCs w:val="21"/>
                <w:highlight w:val="none"/>
              </w:rPr>
              <w:t>1</w:t>
            </w:r>
          </w:p>
        </w:tc>
        <w:tc>
          <w:tcPr>
            <w:tcW w:w="5409" w:type="dxa"/>
            <w:vAlign w:val="center"/>
          </w:tcPr>
          <w:p w14:paraId="6710F78F">
            <w:pPr>
              <w:keepNext w:val="0"/>
              <w:keepLines w:val="0"/>
              <w:pageBreakBefore w:val="0"/>
              <w:widowControl/>
              <w:kinsoku/>
              <w:wordWrap/>
              <w:overflowPunct/>
              <w:topLinePunct w:val="0"/>
              <w:autoSpaceDE/>
              <w:autoSpaceDN/>
              <w:bidi w:val="0"/>
              <w:adjustRightInd/>
              <w:snapToGrid w:val="0"/>
              <w:spacing w:before="0" w:beforeAutospacing="0" w:after="0" w:afterAutospacing="0" w:line="320" w:lineRule="exact"/>
              <w:ind w:left="0" w:leftChars="0"/>
              <w:jc w:val="left"/>
              <w:textAlignment w:val="baseline"/>
              <w:rPr>
                <w:rFonts w:hint="eastAsia" w:ascii="微软雅黑" w:hAnsi="微软雅黑" w:eastAsia="微软雅黑" w:cs="微软雅黑"/>
                <w:b w:val="0"/>
                <w:bCs w:val="0"/>
                <w:i w:val="0"/>
                <w:caps w:val="0"/>
                <w:color w:val="auto"/>
                <w:spacing w:val="0"/>
                <w:w w:val="100"/>
                <w:sz w:val="21"/>
                <w:szCs w:val="21"/>
                <w:highlight w:val="none"/>
                <w:lang w:eastAsia="zh-CN"/>
              </w:rPr>
            </w:pPr>
            <w:r>
              <w:rPr>
                <w:rFonts w:hint="eastAsia" w:ascii="微软雅黑" w:hAnsi="微软雅黑" w:eastAsia="微软雅黑" w:cs="微软雅黑"/>
                <w:b w:val="0"/>
                <w:bCs w:val="0"/>
                <w:i w:val="0"/>
                <w:caps w:val="0"/>
                <w:color w:val="auto"/>
                <w:spacing w:val="0"/>
                <w:w w:val="100"/>
                <w:sz w:val="21"/>
                <w:szCs w:val="21"/>
                <w:highlight w:val="none"/>
                <w:lang w:eastAsia="zh-CN"/>
              </w:rPr>
              <w:t>具有有效的营业执照；</w:t>
            </w:r>
          </w:p>
        </w:tc>
        <w:tc>
          <w:tcPr>
            <w:tcW w:w="890" w:type="dxa"/>
          </w:tcPr>
          <w:p w14:paraId="409E9208">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1"/>
                <w:szCs w:val="21"/>
                <w:highlight w:val="none"/>
              </w:rPr>
            </w:pPr>
          </w:p>
        </w:tc>
        <w:tc>
          <w:tcPr>
            <w:tcW w:w="821" w:type="dxa"/>
          </w:tcPr>
          <w:p w14:paraId="3750958E">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1"/>
                <w:szCs w:val="21"/>
                <w:highlight w:val="none"/>
              </w:rPr>
            </w:pPr>
          </w:p>
        </w:tc>
        <w:tc>
          <w:tcPr>
            <w:tcW w:w="720" w:type="dxa"/>
          </w:tcPr>
          <w:p w14:paraId="4D3CCEF6">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1"/>
                <w:szCs w:val="21"/>
                <w:highlight w:val="none"/>
              </w:rPr>
            </w:pPr>
          </w:p>
        </w:tc>
      </w:tr>
      <w:tr w14:paraId="216E1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5" w:type="dxa"/>
            <w:vAlign w:val="center"/>
          </w:tcPr>
          <w:p w14:paraId="0C999B2C">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color w:val="auto"/>
                <w:spacing w:val="-2"/>
                <w:sz w:val="21"/>
                <w:szCs w:val="21"/>
                <w:highlight w:val="none"/>
              </w:rPr>
            </w:pPr>
            <w:r>
              <w:rPr>
                <w:rFonts w:hint="eastAsia" w:ascii="微软雅黑" w:hAnsi="微软雅黑" w:eastAsia="微软雅黑" w:cs="微软雅黑"/>
                <w:color w:val="auto"/>
                <w:spacing w:val="-2"/>
                <w:sz w:val="21"/>
                <w:szCs w:val="21"/>
                <w:highlight w:val="none"/>
              </w:rPr>
              <w:t>2</w:t>
            </w:r>
          </w:p>
        </w:tc>
        <w:tc>
          <w:tcPr>
            <w:tcW w:w="5409" w:type="dxa"/>
            <w:vAlign w:val="center"/>
          </w:tcPr>
          <w:p w14:paraId="32944053">
            <w:pPr>
              <w:keepNext w:val="0"/>
              <w:keepLines w:val="0"/>
              <w:pageBreakBefore w:val="0"/>
              <w:widowControl/>
              <w:kinsoku/>
              <w:wordWrap/>
              <w:overflowPunct/>
              <w:topLinePunct w:val="0"/>
              <w:autoSpaceDE/>
              <w:autoSpaceDN/>
              <w:bidi w:val="0"/>
              <w:adjustRightInd/>
              <w:snapToGrid w:val="0"/>
              <w:spacing w:before="0" w:beforeAutospacing="0" w:after="0" w:afterAutospacing="0" w:line="320" w:lineRule="exact"/>
              <w:ind w:left="0" w:leftChars="0"/>
              <w:jc w:val="left"/>
              <w:textAlignment w:val="baseline"/>
              <w:rPr>
                <w:rFonts w:hint="eastAsia" w:ascii="微软雅黑" w:hAnsi="微软雅黑" w:eastAsia="微软雅黑" w:cs="微软雅黑"/>
                <w:b w:val="0"/>
                <w:bCs w:val="0"/>
                <w:i w:val="0"/>
                <w:caps w:val="0"/>
                <w:color w:val="auto"/>
                <w:spacing w:val="0"/>
                <w:w w:val="100"/>
                <w:sz w:val="21"/>
                <w:szCs w:val="21"/>
                <w:highlight w:val="none"/>
                <w:lang w:eastAsia="zh-CN"/>
              </w:rPr>
            </w:pPr>
            <w:r>
              <w:rPr>
                <w:rFonts w:hint="eastAsia" w:ascii="微软雅黑" w:hAnsi="微软雅黑" w:eastAsia="微软雅黑" w:cs="微软雅黑"/>
                <w:b w:val="0"/>
                <w:bCs w:val="0"/>
                <w:i w:val="0"/>
                <w:caps w:val="0"/>
                <w:color w:val="auto"/>
                <w:spacing w:val="0"/>
                <w:w w:val="100"/>
                <w:sz w:val="21"/>
                <w:szCs w:val="21"/>
                <w:highlight w:val="none"/>
                <w:lang w:eastAsia="zh-CN"/>
              </w:rPr>
              <w:t>法定代表人本人投标需提供法定代表人身份证及法定代表人资格证明书;授权委托人投标需提供法定代表人授权委托书、法定代表人身份证及被授权委托人身份证；</w:t>
            </w:r>
          </w:p>
        </w:tc>
        <w:tc>
          <w:tcPr>
            <w:tcW w:w="890" w:type="dxa"/>
          </w:tcPr>
          <w:p w14:paraId="708EB193">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1"/>
                <w:szCs w:val="21"/>
                <w:highlight w:val="none"/>
              </w:rPr>
            </w:pPr>
          </w:p>
        </w:tc>
        <w:tc>
          <w:tcPr>
            <w:tcW w:w="821" w:type="dxa"/>
          </w:tcPr>
          <w:p w14:paraId="25A49E9E">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1"/>
                <w:szCs w:val="21"/>
                <w:highlight w:val="none"/>
              </w:rPr>
            </w:pPr>
          </w:p>
        </w:tc>
        <w:tc>
          <w:tcPr>
            <w:tcW w:w="720" w:type="dxa"/>
          </w:tcPr>
          <w:p w14:paraId="789A1294">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1"/>
                <w:szCs w:val="21"/>
                <w:highlight w:val="none"/>
              </w:rPr>
            </w:pPr>
          </w:p>
        </w:tc>
      </w:tr>
      <w:tr w14:paraId="06AD7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5" w:type="dxa"/>
            <w:vAlign w:val="center"/>
          </w:tcPr>
          <w:p w14:paraId="7DB9D4DC">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color w:val="auto"/>
                <w:spacing w:val="-2"/>
                <w:sz w:val="21"/>
                <w:szCs w:val="21"/>
                <w:highlight w:val="none"/>
                <w:lang w:val="en-US" w:eastAsia="zh-CN"/>
              </w:rPr>
            </w:pPr>
            <w:r>
              <w:rPr>
                <w:rFonts w:hint="eastAsia" w:ascii="微软雅黑" w:hAnsi="微软雅黑" w:eastAsia="微软雅黑" w:cs="微软雅黑"/>
                <w:color w:val="auto"/>
                <w:spacing w:val="-2"/>
                <w:sz w:val="21"/>
                <w:szCs w:val="21"/>
                <w:highlight w:val="none"/>
                <w:lang w:val="en-US" w:eastAsia="zh-CN"/>
              </w:rPr>
              <w:t>3</w:t>
            </w:r>
          </w:p>
        </w:tc>
        <w:tc>
          <w:tcPr>
            <w:tcW w:w="5409" w:type="dxa"/>
            <w:vAlign w:val="center"/>
          </w:tcPr>
          <w:p w14:paraId="7C1A7C31">
            <w:pPr>
              <w:keepNext w:val="0"/>
              <w:keepLines w:val="0"/>
              <w:pageBreakBefore w:val="0"/>
              <w:widowControl/>
              <w:kinsoku/>
              <w:wordWrap/>
              <w:overflowPunct/>
              <w:topLinePunct w:val="0"/>
              <w:autoSpaceDE/>
              <w:autoSpaceDN/>
              <w:bidi w:val="0"/>
              <w:adjustRightInd/>
              <w:snapToGrid w:val="0"/>
              <w:spacing w:before="0" w:beforeAutospacing="0" w:after="0" w:afterAutospacing="0" w:line="320" w:lineRule="exact"/>
              <w:jc w:val="left"/>
              <w:textAlignment w:val="baseline"/>
              <w:rPr>
                <w:rFonts w:hint="eastAsia" w:ascii="微软雅黑" w:hAnsi="微软雅黑" w:eastAsia="微软雅黑" w:cs="微软雅黑"/>
                <w:b w:val="0"/>
                <w:bCs w:val="0"/>
                <w:i w:val="0"/>
                <w:caps w:val="0"/>
                <w:color w:val="auto"/>
                <w:spacing w:val="0"/>
                <w:w w:val="100"/>
                <w:sz w:val="21"/>
                <w:szCs w:val="21"/>
                <w:highlight w:val="none"/>
                <w:lang w:val="en-US" w:eastAsia="zh-CN"/>
              </w:rPr>
            </w:pPr>
            <w:r>
              <w:rPr>
                <w:rFonts w:hint="eastAsia" w:ascii="微软雅黑" w:hAnsi="微软雅黑" w:eastAsia="微软雅黑" w:cs="微软雅黑"/>
                <w:b w:val="0"/>
                <w:bCs w:val="0"/>
                <w:i w:val="0"/>
                <w:caps w:val="0"/>
                <w:color w:val="auto"/>
                <w:spacing w:val="0"/>
                <w:w w:val="100"/>
                <w:sz w:val="21"/>
                <w:szCs w:val="21"/>
                <w:highlight w:val="none"/>
                <w:lang w:val="en-US" w:eastAsia="zh-CN"/>
              </w:rPr>
              <w:t>【标项一、二、三】：投标人是生产企业的须具备《药品生产许可证》（中药饮片）、投标人为经营企业或代理公司的须提供《药品经营许可证》（中药饮片）；所有证件均应在有效期内。所投产品中含有毒性饮片的，《药品生产许可证》内须含有医疗用毒性药品（中药饮片）；《药品经营许可证》内须含有医疗用毒性药品（中药饮片）。</w:t>
            </w:r>
          </w:p>
          <w:p w14:paraId="7BBFA60B">
            <w:pPr>
              <w:keepNext w:val="0"/>
              <w:keepLines w:val="0"/>
              <w:pageBreakBefore w:val="0"/>
              <w:widowControl/>
              <w:kinsoku/>
              <w:wordWrap/>
              <w:overflowPunct/>
              <w:topLinePunct w:val="0"/>
              <w:autoSpaceDE/>
              <w:autoSpaceDN/>
              <w:bidi w:val="0"/>
              <w:adjustRightInd/>
              <w:snapToGrid w:val="0"/>
              <w:spacing w:before="0" w:beforeAutospacing="0" w:after="0" w:afterAutospacing="0" w:line="320" w:lineRule="exact"/>
              <w:jc w:val="left"/>
              <w:textAlignment w:val="baseline"/>
              <w:rPr>
                <w:rFonts w:hint="eastAsia" w:ascii="微软雅黑" w:hAnsi="微软雅黑" w:eastAsia="微软雅黑" w:cs="微软雅黑"/>
                <w:b/>
                <w:bCs/>
                <w:i w:val="0"/>
                <w:caps w:val="0"/>
                <w:color w:val="auto"/>
                <w:spacing w:val="0"/>
                <w:w w:val="100"/>
                <w:sz w:val="21"/>
                <w:szCs w:val="21"/>
                <w:highlight w:val="none"/>
                <w:lang w:val="en-US" w:eastAsia="zh-CN"/>
              </w:rPr>
            </w:pPr>
            <w:r>
              <w:rPr>
                <w:rFonts w:hint="eastAsia" w:ascii="微软雅黑" w:hAnsi="微软雅黑" w:eastAsia="微软雅黑" w:cs="微软雅黑"/>
                <w:b w:val="0"/>
                <w:bCs w:val="0"/>
                <w:i w:val="0"/>
                <w:caps w:val="0"/>
                <w:color w:val="auto"/>
                <w:spacing w:val="0"/>
                <w:w w:val="100"/>
                <w:sz w:val="21"/>
                <w:szCs w:val="21"/>
                <w:highlight w:val="none"/>
                <w:lang w:val="en-US" w:eastAsia="zh-CN"/>
              </w:rPr>
              <w:t>所投产品中含麻黄的，还须投标人提供有效的《麻黄草收购许可证》或相关批准文件，所有证件均应在有效期内。</w:t>
            </w:r>
          </w:p>
          <w:p w14:paraId="39B40F44">
            <w:pPr>
              <w:keepNext w:val="0"/>
              <w:keepLines w:val="0"/>
              <w:pageBreakBefore w:val="0"/>
              <w:widowControl/>
              <w:kinsoku/>
              <w:wordWrap/>
              <w:overflowPunct/>
              <w:topLinePunct w:val="0"/>
              <w:autoSpaceDE/>
              <w:autoSpaceDN/>
              <w:bidi w:val="0"/>
              <w:adjustRightInd/>
              <w:snapToGrid w:val="0"/>
              <w:spacing w:before="0" w:beforeAutospacing="0" w:after="0" w:afterAutospacing="0" w:line="320" w:lineRule="exact"/>
              <w:ind w:left="0" w:leftChars="0"/>
              <w:jc w:val="left"/>
              <w:textAlignment w:val="baseline"/>
              <w:rPr>
                <w:rFonts w:hint="eastAsia" w:ascii="微软雅黑" w:hAnsi="微软雅黑" w:eastAsia="微软雅黑" w:cs="微软雅黑"/>
                <w:b w:val="0"/>
                <w:bCs w:val="0"/>
                <w:i w:val="0"/>
                <w:caps w:val="0"/>
                <w:color w:val="auto"/>
                <w:spacing w:val="0"/>
                <w:w w:val="100"/>
                <w:sz w:val="21"/>
                <w:szCs w:val="21"/>
                <w:highlight w:val="none"/>
                <w:lang w:val="en-US" w:eastAsia="zh-CN"/>
              </w:rPr>
            </w:pPr>
            <w:r>
              <w:rPr>
                <w:rFonts w:hint="eastAsia" w:ascii="微软雅黑" w:hAnsi="微软雅黑" w:eastAsia="微软雅黑" w:cs="微软雅黑"/>
                <w:b w:val="0"/>
                <w:bCs w:val="0"/>
                <w:i w:val="0"/>
                <w:caps w:val="0"/>
                <w:color w:val="auto"/>
                <w:spacing w:val="0"/>
                <w:w w:val="100"/>
                <w:sz w:val="21"/>
                <w:szCs w:val="21"/>
                <w:highlight w:val="none"/>
                <w:lang w:val="en-US" w:eastAsia="zh-CN"/>
              </w:rPr>
              <w:t>【标项四】：投标人须提供符合国家药用标准且在国家药品监督管理局药品审评中心备案结果为“A”的药包材或提供《药品包装材料和容器注册证》（所有证件均应在有效期内）</w:t>
            </w:r>
          </w:p>
        </w:tc>
        <w:tc>
          <w:tcPr>
            <w:tcW w:w="890" w:type="dxa"/>
          </w:tcPr>
          <w:p w14:paraId="172A1B0F">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1"/>
                <w:szCs w:val="21"/>
                <w:highlight w:val="none"/>
              </w:rPr>
            </w:pPr>
          </w:p>
        </w:tc>
        <w:tc>
          <w:tcPr>
            <w:tcW w:w="821" w:type="dxa"/>
          </w:tcPr>
          <w:p w14:paraId="28A8B986">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1"/>
                <w:szCs w:val="21"/>
                <w:highlight w:val="none"/>
              </w:rPr>
            </w:pPr>
          </w:p>
        </w:tc>
        <w:tc>
          <w:tcPr>
            <w:tcW w:w="720" w:type="dxa"/>
          </w:tcPr>
          <w:p w14:paraId="15120C10">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1"/>
                <w:szCs w:val="21"/>
                <w:highlight w:val="none"/>
              </w:rPr>
            </w:pPr>
          </w:p>
        </w:tc>
      </w:tr>
      <w:tr w14:paraId="43F2C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5" w:type="dxa"/>
            <w:vAlign w:val="center"/>
          </w:tcPr>
          <w:p w14:paraId="76837AFD">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color w:val="auto"/>
                <w:spacing w:val="-2"/>
                <w:kern w:val="2"/>
                <w:sz w:val="21"/>
                <w:szCs w:val="21"/>
                <w:highlight w:val="none"/>
                <w:lang w:val="en-US" w:eastAsia="zh-CN" w:bidi="ar-SA"/>
              </w:rPr>
            </w:pPr>
            <w:r>
              <w:rPr>
                <w:rFonts w:hint="eastAsia" w:ascii="微软雅黑" w:hAnsi="微软雅黑" w:eastAsia="微软雅黑" w:cs="微软雅黑"/>
                <w:color w:val="auto"/>
                <w:spacing w:val="-2"/>
                <w:sz w:val="21"/>
                <w:szCs w:val="21"/>
                <w:highlight w:val="none"/>
                <w:lang w:val="en-US" w:eastAsia="zh-CN"/>
              </w:rPr>
              <w:t>4</w:t>
            </w:r>
          </w:p>
        </w:tc>
        <w:tc>
          <w:tcPr>
            <w:tcW w:w="5409" w:type="dxa"/>
            <w:vAlign w:val="center"/>
          </w:tcPr>
          <w:p w14:paraId="49014B16">
            <w:pPr>
              <w:keepNext w:val="0"/>
              <w:keepLines w:val="0"/>
              <w:pageBreakBefore w:val="0"/>
              <w:widowControl w:val="0"/>
              <w:shd w:val="clear" w:color="auto" w:fill="auto"/>
              <w:kinsoku/>
              <w:wordWrap/>
              <w:overflowPunct/>
              <w:topLinePunct w:val="0"/>
              <w:autoSpaceDE/>
              <w:autoSpaceDN/>
              <w:bidi w:val="0"/>
              <w:adjustRightInd/>
              <w:snapToGrid w:val="0"/>
              <w:spacing w:beforeAutospacing="0" w:afterAutospacing="0" w:line="320" w:lineRule="exact"/>
              <w:jc w:val="both"/>
              <w:textAlignment w:val="baseline"/>
              <w:rPr>
                <w:rFonts w:hint="eastAsia" w:ascii="微软雅黑" w:hAnsi="微软雅黑" w:eastAsia="微软雅黑" w:cs="微软雅黑"/>
                <w:b w:val="0"/>
                <w:bCs w:val="0"/>
                <w:color w:val="auto"/>
                <w:kern w:val="2"/>
                <w:sz w:val="21"/>
                <w:szCs w:val="21"/>
                <w:highlight w:val="none"/>
                <w:lang w:val="en-US" w:eastAsia="zh-CN" w:bidi="ar-SA"/>
              </w:rPr>
            </w:pPr>
            <w:r>
              <w:rPr>
                <w:rFonts w:hint="eastAsia" w:ascii="微软雅黑" w:hAnsi="微软雅黑" w:eastAsia="微软雅黑" w:cs="微软雅黑"/>
                <w:b w:val="0"/>
                <w:bCs w:val="0"/>
                <w:color w:val="auto"/>
                <w:sz w:val="21"/>
                <w:szCs w:val="21"/>
                <w:highlight w:val="none"/>
                <w:lang w:eastAsia="zh-CN"/>
              </w:rPr>
              <w:t>提供2024年或2025年任意一年的财务审计报告，成立未满12个月的新公司可提供近三个月内任意一个月的银行资信证明；</w:t>
            </w:r>
          </w:p>
        </w:tc>
        <w:tc>
          <w:tcPr>
            <w:tcW w:w="890" w:type="dxa"/>
          </w:tcPr>
          <w:p w14:paraId="243150F9">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1"/>
                <w:szCs w:val="21"/>
                <w:highlight w:val="none"/>
              </w:rPr>
            </w:pPr>
          </w:p>
        </w:tc>
        <w:tc>
          <w:tcPr>
            <w:tcW w:w="821" w:type="dxa"/>
          </w:tcPr>
          <w:p w14:paraId="3CE3AD6A">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1"/>
                <w:szCs w:val="21"/>
                <w:highlight w:val="none"/>
              </w:rPr>
            </w:pPr>
          </w:p>
        </w:tc>
        <w:tc>
          <w:tcPr>
            <w:tcW w:w="720" w:type="dxa"/>
          </w:tcPr>
          <w:p w14:paraId="105B7C90">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1"/>
                <w:szCs w:val="21"/>
                <w:highlight w:val="none"/>
              </w:rPr>
            </w:pPr>
          </w:p>
        </w:tc>
      </w:tr>
      <w:tr w14:paraId="72068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5" w:type="dxa"/>
            <w:vAlign w:val="center"/>
          </w:tcPr>
          <w:p w14:paraId="72A26242">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color w:val="auto"/>
                <w:spacing w:val="-2"/>
                <w:kern w:val="2"/>
                <w:sz w:val="21"/>
                <w:szCs w:val="21"/>
                <w:highlight w:val="none"/>
                <w:lang w:val="en-US" w:eastAsia="zh-CN" w:bidi="ar-SA"/>
              </w:rPr>
            </w:pPr>
            <w:r>
              <w:rPr>
                <w:rFonts w:hint="eastAsia" w:ascii="微软雅黑" w:hAnsi="微软雅黑" w:eastAsia="微软雅黑" w:cs="微软雅黑"/>
                <w:color w:val="auto"/>
                <w:spacing w:val="-2"/>
                <w:sz w:val="21"/>
                <w:szCs w:val="21"/>
                <w:highlight w:val="none"/>
                <w:lang w:val="en-US" w:eastAsia="zh-CN"/>
              </w:rPr>
              <w:t>5</w:t>
            </w:r>
          </w:p>
        </w:tc>
        <w:tc>
          <w:tcPr>
            <w:tcW w:w="5409" w:type="dxa"/>
            <w:vAlign w:val="center"/>
          </w:tcPr>
          <w:p w14:paraId="00D88C47">
            <w:pPr>
              <w:keepNext w:val="0"/>
              <w:keepLines w:val="0"/>
              <w:pageBreakBefore w:val="0"/>
              <w:widowControl w:val="0"/>
              <w:shd w:val="clear" w:color="auto" w:fill="auto"/>
              <w:kinsoku/>
              <w:wordWrap/>
              <w:overflowPunct/>
              <w:topLinePunct w:val="0"/>
              <w:autoSpaceDE/>
              <w:autoSpaceDN/>
              <w:bidi w:val="0"/>
              <w:adjustRightInd/>
              <w:snapToGrid w:val="0"/>
              <w:spacing w:beforeAutospacing="0" w:afterAutospacing="0" w:line="320" w:lineRule="exact"/>
              <w:jc w:val="both"/>
              <w:textAlignment w:val="baseline"/>
              <w:rPr>
                <w:rFonts w:hint="eastAsia" w:ascii="微软雅黑" w:hAnsi="微软雅黑" w:eastAsia="微软雅黑" w:cs="微软雅黑"/>
                <w:b w:val="0"/>
                <w:bCs w:val="0"/>
                <w:color w:val="auto"/>
                <w:spacing w:val="-2"/>
                <w:kern w:val="2"/>
                <w:sz w:val="21"/>
                <w:szCs w:val="21"/>
                <w:highlight w:val="none"/>
                <w:lang w:val="en-US" w:eastAsia="zh-CN" w:bidi="ar-SA"/>
              </w:rPr>
            </w:pPr>
            <w:r>
              <w:rPr>
                <w:rFonts w:hint="eastAsia" w:ascii="微软雅黑" w:hAnsi="微软雅黑" w:eastAsia="微软雅黑" w:cs="微软雅黑"/>
                <w:b w:val="0"/>
                <w:bCs w:val="0"/>
                <w:color w:val="auto"/>
                <w:sz w:val="21"/>
                <w:szCs w:val="21"/>
                <w:highlight w:val="none"/>
                <w:lang w:eastAsia="zh-CN"/>
              </w:rPr>
              <w:t>提供依法缴纳近6个月任意1个月社会保险的证明</w:t>
            </w:r>
            <w:r>
              <w:rPr>
                <w:rFonts w:hint="eastAsia" w:ascii="微软雅黑" w:hAnsi="微软雅黑" w:eastAsia="微软雅黑" w:cs="微软雅黑"/>
                <w:b w:val="0"/>
                <w:bCs w:val="0"/>
                <w:i w:val="0"/>
                <w:caps w:val="0"/>
                <w:color w:val="auto"/>
                <w:spacing w:val="0"/>
                <w:w w:val="100"/>
                <w:sz w:val="21"/>
                <w:szCs w:val="21"/>
                <w:highlight w:val="none"/>
              </w:rPr>
              <w:t>；</w:t>
            </w:r>
          </w:p>
        </w:tc>
        <w:tc>
          <w:tcPr>
            <w:tcW w:w="890" w:type="dxa"/>
          </w:tcPr>
          <w:p w14:paraId="18DAC27D">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1"/>
                <w:szCs w:val="21"/>
                <w:highlight w:val="none"/>
              </w:rPr>
            </w:pPr>
          </w:p>
        </w:tc>
        <w:tc>
          <w:tcPr>
            <w:tcW w:w="821" w:type="dxa"/>
          </w:tcPr>
          <w:p w14:paraId="4CD0722C">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1"/>
                <w:szCs w:val="21"/>
                <w:highlight w:val="none"/>
              </w:rPr>
            </w:pPr>
          </w:p>
        </w:tc>
        <w:tc>
          <w:tcPr>
            <w:tcW w:w="720" w:type="dxa"/>
          </w:tcPr>
          <w:p w14:paraId="378B17CE">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1"/>
                <w:szCs w:val="21"/>
                <w:highlight w:val="none"/>
              </w:rPr>
            </w:pPr>
          </w:p>
        </w:tc>
      </w:tr>
      <w:tr w14:paraId="2BB60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5" w:type="dxa"/>
            <w:vAlign w:val="center"/>
          </w:tcPr>
          <w:p w14:paraId="2BDF7DA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color w:val="auto"/>
                <w:spacing w:val="-2"/>
                <w:kern w:val="2"/>
                <w:sz w:val="21"/>
                <w:szCs w:val="21"/>
                <w:highlight w:val="none"/>
                <w:lang w:val="en-US" w:eastAsia="zh-CN" w:bidi="ar-SA"/>
              </w:rPr>
            </w:pPr>
            <w:r>
              <w:rPr>
                <w:rFonts w:hint="eastAsia" w:ascii="微软雅黑" w:hAnsi="微软雅黑" w:eastAsia="微软雅黑" w:cs="微软雅黑"/>
                <w:color w:val="auto"/>
                <w:spacing w:val="-2"/>
                <w:sz w:val="21"/>
                <w:szCs w:val="21"/>
                <w:highlight w:val="none"/>
                <w:lang w:val="en-US" w:eastAsia="zh-CN"/>
              </w:rPr>
              <w:t>6</w:t>
            </w:r>
          </w:p>
        </w:tc>
        <w:tc>
          <w:tcPr>
            <w:tcW w:w="5409" w:type="dxa"/>
            <w:vAlign w:val="center"/>
          </w:tcPr>
          <w:p w14:paraId="467F5CC9">
            <w:pPr>
              <w:keepNext w:val="0"/>
              <w:keepLines w:val="0"/>
              <w:pageBreakBefore w:val="0"/>
              <w:widowControl/>
              <w:kinsoku/>
              <w:wordWrap/>
              <w:overflowPunct/>
              <w:topLinePunct w:val="0"/>
              <w:autoSpaceDE/>
              <w:autoSpaceDN/>
              <w:bidi w:val="0"/>
              <w:adjustRightInd/>
              <w:snapToGrid w:val="0"/>
              <w:spacing w:before="0" w:beforeAutospacing="0" w:after="0" w:afterAutospacing="0" w:line="320" w:lineRule="exact"/>
              <w:ind w:left="0" w:leftChars="0"/>
              <w:jc w:val="left"/>
              <w:textAlignment w:val="baseline"/>
              <w:rPr>
                <w:rFonts w:hint="eastAsia" w:ascii="微软雅黑" w:hAnsi="微软雅黑" w:eastAsia="微软雅黑" w:cs="微软雅黑"/>
                <w:b w:val="0"/>
                <w:bCs w:val="0"/>
                <w:color w:val="auto"/>
                <w:spacing w:val="-2"/>
                <w:kern w:val="2"/>
                <w:sz w:val="21"/>
                <w:szCs w:val="21"/>
                <w:highlight w:val="none"/>
                <w:lang w:val="en-US" w:eastAsia="zh-CN" w:bidi="ar-SA"/>
              </w:rPr>
            </w:pPr>
            <w:r>
              <w:rPr>
                <w:rFonts w:hint="eastAsia" w:ascii="微软雅黑" w:hAnsi="微软雅黑" w:eastAsia="微软雅黑" w:cs="微软雅黑"/>
                <w:b w:val="0"/>
                <w:bCs w:val="0"/>
                <w:i w:val="0"/>
                <w:caps w:val="0"/>
                <w:color w:val="auto"/>
                <w:spacing w:val="0"/>
                <w:w w:val="100"/>
                <w:sz w:val="21"/>
                <w:szCs w:val="21"/>
                <w:highlight w:val="none"/>
                <w:lang w:eastAsia="zh-CN"/>
              </w:rPr>
              <w:t>提供依法缴纳近6个月任意1个月的税收证明</w:t>
            </w:r>
            <w:r>
              <w:rPr>
                <w:rFonts w:hint="eastAsia" w:ascii="微软雅黑" w:hAnsi="微软雅黑" w:eastAsia="微软雅黑" w:cs="微软雅黑"/>
                <w:b w:val="0"/>
                <w:bCs w:val="0"/>
                <w:i w:val="0"/>
                <w:caps w:val="0"/>
                <w:color w:val="auto"/>
                <w:spacing w:val="0"/>
                <w:w w:val="100"/>
                <w:sz w:val="21"/>
                <w:szCs w:val="21"/>
                <w:highlight w:val="none"/>
              </w:rPr>
              <w:t>；</w:t>
            </w:r>
          </w:p>
        </w:tc>
        <w:tc>
          <w:tcPr>
            <w:tcW w:w="890" w:type="dxa"/>
          </w:tcPr>
          <w:p w14:paraId="5CFA27F0">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1"/>
                <w:szCs w:val="21"/>
                <w:highlight w:val="none"/>
              </w:rPr>
            </w:pPr>
          </w:p>
        </w:tc>
        <w:tc>
          <w:tcPr>
            <w:tcW w:w="821" w:type="dxa"/>
          </w:tcPr>
          <w:p w14:paraId="73350C62">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1"/>
                <w:szCs w:val="21"/>
                <w:highlight w:val="none"/>
              </w:rPr>
            </w:pPr>
          </w:p>
        </w:tc>
        <w:tc>
          <w:tcPr>
            <w:tcW w:w="720" w:type="dxa"/>
          </w:tcPr>
          <w:p w14:paraId="482473BB">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1"/>
                <w:szCs w:val="21"/>
                <w:highlight w:val="none"/>
              </w:rPr>
            </w:pPr>
          </w:p>
        </w:tc>
      </w:tr>
      <w:tr w14:paraId="7DC3C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5" w:type="dxa"/>
            <w:vAlign w:val="center"/>
          </w:tcPr>
          <w:p w14:paraId="2EF0B442">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color w:val="auto"/>
                <w:spacing w:val="-2"/>
                <w:kern w:val="2"/>
                <w:sz w:val="21"/>
                <w:szCs w:val="21"/>
                <w:highlight w:val="none"/>
                <w:lang w:val="en-US" w:eastAsia="zh-CN" w:bidi="ar-SA"/>
              </w:rPr>
            </w:pPr>
            <w:r>
              <w:rPr>
                <w:rFonts w:hint="eastAsia" w:ascii="微软雅黑" w:hAnsi="微软雅黑" w:eastAsia="微软雅黑" w:cs="微软雅黑"/>
                <w:color w:val="auto"/>
                <w:spacing w:val="-2"/>
                <w:sz w:val="21"/>
                <w:szCs w:val="21"/>
                <w:highlight w:val="none"/>
                <w:lang w:val="en-US" w:eastAsia="zh-CN"/>
              </w:rPr>
              <w:t>7</w:t>
            </w:r>
          </w:p>
        </w:tc>
        <w:tc>
          <w:tcPr>
            <w:tcW w:w="5409" w:type="dxa"/>
            <w:vAlign w:val="center"/>
          </w:tcPr>
          <w:p w14:paraId="1A03D92B">
            <w:pPr>
              <w:keepNext w:val="0"/>
              <w:keepLines w:val="0"/>
              <w:pageBreakBefore w:val="0"/>
              <w:widowControl/>
              <w:kinsoku/>
              <w:wordWrap/>
              <w:overflowPunct/>
              <w:topLinePunct w:val="0"/>
              <w:autoSpaceDE/>
              <w:autoSpaceDN/>
              <w:bidi w:val="0"/>
              <w:adjustRightInd/>
              <w:snapToGrid w:val="0"/>
              <w:spacing w:before="0" w:beforeAutospacing="0" w:after="0" w:afterAutospacing="0" w:line="320" w:lineRule="exact"/>
              <w:ind w:left="0" w:leftChars="0"/>
              <w:jc w:val="left"/>
              <w:textAlignment w:val="baseline"/>
              <w:rPr>
                <w:rFonts w:hint="eastAsia" w:ascii="微软雅黑" w:hAnsi="微软雅黑" w:eastAsia="微软雅黑" w:cs="微软雅黑"/>
                <w:b w:val="0"/>
                <w:bCs w:val="0"/>
                <w:color w:val="auto"/>
                <w:spacing w:val="-2"/>
                <w:kern w:val="2"/>
                <w:sz w:val="21"/>
                <w:szCs w:val="21"/>
                <w:highlight w:val="none"/>
                <w:lang w:val="en-US" w:eastAsia="zh-CN" w:bidi="ar-SA"/>
              </w:rPr>
            </w:pPr>
            <w:r>
              <w:rPr>
                <w:rFonts w:hint="eastAsia" w:ascii="微软雅黑" w:hAnsi="微软雅黑" w:eastAsia="微软雅黑" w:cs="微软雅黑"/>
                <w:b w:val="0"/>
                <w:bCs w:val="0"/>
                <w:i w:val="0"/>
                <w:caps w:val="0"/>
                <w:color w:val="auto"/>
                <w:spacing w:val="0"/>
                <w:w w:val="100"/>
                <w:sz w:val="21"/>
                <w:szCs w:val="21"/>
                <w:highlight w:val="none"/>
                <w:lang w:eastAsia="zh-CN"/>
              </w:rPr>
              <w:t>根据《财政部关于在政府采购活动中查询及使用信用记录有关问题的通知》（财库﹝2016﹞125号）的要求，凡拟参加本次招标项目的供应商，如在“信用中国（https://www.creditchina.gov.cn/）”被列入严重失信主体名单、重大税收违法失信主体名单（首页-信用公示-严重失信主体名单查询/重大税收违法失信主体名单-搜索栏输入单位全称）、“中国政府采购网（https://www.ccgp.gov.cn/search/cr/）”严重违法失信行为信息记录名单（尚在处罚期内的）、“国家企业信用信息公示系统（https://www.gsxt.gov.cn/）”列入经营异常名录信息、严重违法失信名单（黑名单）信息的，将拒绝其参加本次招标活动（以代理机构或采购人查询为准）</w:t>
            </w:r>
          </w:p>
        </w:tc>
        <w:tc>
          <w:tcPr>
            <w:tcW w:w="890" w:type="dxa"/>
          </w:tcPr>
          <w:p w14:paraId="4FCF6548">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1"/>
                <w:szCs w:val="21"/>
                <w:highlight w:val="none"/>
              </w:rPr>
            </w:pPr>
          </w:p>
        </w:tc>
        <w:tc>
          <w:tcPr>
            <w:tcW w:w="821" w:type="dxa"/>
          </w:tcPr>
          <w:p w14:paraId="76BEC097">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1"/>
                <w:szCs w:val="21"/>
                <w:highlight w:val="none"/>
              </w:rPr>
            </w:pPr>
          </w:p>
        </w:tc>
        <w:tc>
          <w:tcPr>
            <w:tcW w:w="720" w:type="dxa"/>
          </w:tcPr>
          <w:p w14:paraId="2E3D4234">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1"/>
                <w:szCs w:val="21"/>
                <w:highlight w:val="none"/>
              </w:rPr>
            </w:pPr>
          </w:p>
        </w:tc>
      </w:tr>
      <w:tr w14:paraId="4026C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685" w:type="dxa"/>
            <w:vAlign w:val="center"/>
          </w:tcPr>
          <w:p w14:paraId="7233B25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color w:val="auto"/>
                <w:spacing w:val="-2"/>
                <w:kern w:val="2"/>
                <w:sz w:val="21"/>
                <w:szCs w:val="21"/>
                <w:highlight w:val="none"/>
                <w:lang w:val="en-US" w:eastAsia="zh-CN" w:bidi="ar-SA"/>
              </w:rPr>
            </w:pPr>
            <w:r>
              <w:rPr>
                <w:rFonts w:hint="eastAsia" w:ascii="微软雅黑" w:hAnsi="微软雅黑" w:eastAsia="微软雅黑" w:cs="微软雅黑"/>
                <w:color w:val="auto"/>
                <w:spacing w:val="-2"/>
                <w:sz w:val="21"/>
                <w:szCs w:val="21"/>
                <w:highlight w:val="none"/>
                <w:lang w:val="en-US" w:eastAsia="zh-CN"/>
              </w:rPr>
              <w:t>8</w:t>
            </w:r>
          </w:p>
        </w:tc>
        <w:tc>
          <w:tcPr>
            <w:tcW w:w="5409" w:type="dxa"/>
            <w:vAlign w:val="center"/>
          </w:tcPr>
          <w:p w14:paraId="33308DA4">
            <w:pPr>
              <w:keepNext w:val="0"/>
              <w:keepLines w:val="0"/>
              <w:pageBreakBefore w:val="0"/>
              <w:widowControl/>
              <w:kinsoku/>
              <w:wordWrap/>
              <w:overflowPunct/>
              <w:topLinePunct w:val="0"/>
              <w:autoSpaceDE/>
              <w:autoSpaceDN/>
              <w:bidi w:val="0"/>
              <w:adjustRightInd/>
              <w:snapToGrid w:val="0"/>
              <w:spacing w:before="0" w:beforeAutospacing="0" w:after="0" w:afterAutospacing="0" w:line="320" w:lineRule="exact"/>
              <w:ind w:left="0" w:leftChars="0"/>
              <w:jc w:val="left"/>
              <w:textAlignment w:val="baseline"/>
              <w:rPr>
                <w:rFonts w:hint="eastAsia" w:ascii="微软雅黑" w:hAnsi="微软雅黑" w:eastAsia="微软雅黑" w:cs="微软雅黑"/>
                <w:b w:val="0"/>
                <w:bCs w:val="0"/>
                <w:color w:val="auto"/>
                <w:spacing w:val="-2"/>
                <w:kern w:val="2"/>
                <w:sz w:val="21"/>
                <w:szCs w:val="21"/>
                <w:highlight w:val="none"/>
                <w:lang w:val="en-US" w:eastAsia="zh-CN" w:bidi="ar-SA"/>
              </w:rPr>
            </w:pPr>
            <w:r>
              <w:rPr>
                <w:rFonts w:hint="eastAsia" w:ascii="微软雅黑" w:hAnsi="微软雅黑" w:eastAsia="微软雅黑" w:cs="微软雅黑"/>
                <w:b w:val="0"/>
                <w:bCs w:val="0"/>
                <w:i w:val="0"/>
                <w:caps w:val="0"/>
                <w:color w:val="auto"/>
                <w:spacing w:val="0"/>
                <w:w w:val="100"/>
                <w:sz w:val="21"/>
                <w:szCs w:val="21"/>
                <w:highlight w:val="none"/>
                <w:lang w:eastAsia="zh-CN"/>
              </w:rPr>
              <w:t>提供参加政府采购活动前3年内在经营活动中没有重大违法记录的书面声明函</w:t>
            </w:r>
            <w:r>
              <w:rPr>
                <w:rFonts w:hint="eastAsia" w:ascii="微软雅黑" w:hAnsi="微软雅黑" w:eastAsia="微软雅黑" w:cs="微软雅黑"/>
                <w:b w:val="0"/>
                <w:bCs w:val="0"/>
                <w:i w:val="0"/>
                <w:caps w:val="0"/>
                <w:color w:val="auto"/>
                <w:spacing w:val="0"/>
                <w:w w:val="100"/>
                <w:sz w:val="21"/>
                <w:szCs w:val="21"/>
                <w:highlight w:val="none"/>
              </w:rPr>
              <w:t>；</w:t>
            </w:r>
          </w:p>
        </w:tc>
        <w:tc>
          <w:tcPr>
            <w:tcW w:w="890" w:type="dxa"/>
          </w:tcPr>
          <w:p w14:paraId="7D105EFC">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1"/>
                <w:szCs w:val="21"/>
                <w:highlight w:val="none"/>
              </w:rPr>
            </w:pPr>
          </w:p>
        </w:tc>
        <w:tc>
          <w:tcPr>
            <w:tcW w:w="821" w:type="dxa"/>
          </w:tcPr>
          <w:p w14:paraId="7ECF81AD">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1"/>
                <w:szCs w:val="21"/>
                <w:highlight w:val="none"/>
              </w:rPr>
            </w:pPr>
          </w:p>
        </w:tc>
        <w:tc>
          <w:tcPr>
            <w:tcW w:w="720" w:type="dxa"/>
          </w:tcPr>
          <w:p w14:paraId="0EB8181B">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1"/>
                <w:szCs w:val="21"/>
                <w:highlight w:val="none"/>
              </w:rPr>
            </w:pPr>
          </w:p>
        </w:tc>
      </w:tr>
      <w:tr w14:paraId="13E3A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685" w:type="dxa"/>
            <w:vAlign w:val="center"/>
          </w:tcPr>
          <w:p w14:paraId="0BFDBDFD">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color w:val="auto"/>
                <w:spacing w:val="-2"/>
                <w:kern w:val="2"/>
                <w:sz w:val="21"/>
                <w:szCs w:val="21"/>
                <w:highlight w:val="none"/>
                <w:lang w:val="en-US" w:eastAsia="zh-CN" w:bidi="ar-SA"/>
              </w:rPr>
            </w:pPr>
            <w:r>
              <w:rPr>
                <w:rFonts w:hint="eastAsia" w:ascii="微软雅黑" w:hAnsi="微软雅黑" w:eastAsia="微软雅黑" w:cs="微软雅黑"/>
                <w:color w:val="auto"/>
                <w:spacing w:val="-2"/>
                <w:sz w:val="21"/>
                <w:szCs w:val="21"/>
                <w:highlight w:val="none"/>
                <w:lang w:val="en-US" w:eastAsia="zh-CN"/>
              </w:rPr>
              <w:t>9</w:t>
            </w:r>
          </w:p>
        </w:tc>
        <w:tc>
          <w:tcPr>
            <w:tcW w:w="5409" w:type="dxa"/>
            <w:vAlign w:val="center"/>
          </w:tcPr>
          <w:p w14:paraId="6BF35A14">
            <w:pPr>
              <w:keepNext w:val="0"/>
              <w:keepLines w:val="0"/>
              <w:pageBreakBefore w:val="0"/>
              <w:widowControl/>
              <w:kinsoku/>
              <w:wordWrap/>
              <w:overflowPunct/>
              <w:topLinePunct w:val="0"/>
              <w:autoSpaceDE/>
              <w:autoSpaceDN/>
              <w:bidi w:val="0"/>
              <w:adjustRightInd/>
              <w:snapToGrid w:val="0"/>
              <w:spacing w:before="0" w:beforeAutospacing="0" w:after="0" w:afterAutospacing="0" w:line="320" w:lineRule="exact"/>
              <w:ind w:left="0" w:leftChars="0"/>
              <w:jc w:val="left"/>
              <w:textAlignment w:val="baseline"/>
              <w:rPr>
                <w:rFonts w:hint="eastAsia" w:ascii="微软雅黑" w:hAnsi="微软雅黑" w:eastAsia="微软雅黑" w:cs="微软雅黑"/>
                <w:b w:val="0"/>
                <w:bCs w:val="0"/>
                <w:color w:val="auto"/>
                <w:spacing w:val="-2"/>
                <w:kern w:val="2"/>
                <w:sz w:val="21"/>
                <w:szCs w:val="21"/>
                <w:highlight w:val="none"/>
                <w:lang w:val="en-US" w:eastAsia="zh-CN" w:bidi="ar-SA"/>
              </w:rPr>
            </w:pPr>
            <w:r>
              <w:rPr>
                <w:rFonts w:hint="eastAsia" w:ascii="微软雅黑" w:hAnsi="微软雅黑" w:eastAsia="微软雅黑" w:cs="微软雅黑"/>
                <w:b w:val="0"/>
                <w:bCs w:val="0"/>
                <w:i w:val="0"/>
                <w:caps w:val="0"/>
                <w:color w:val="auto"/>
                <w:spacing w:val="0"/>
                <w:w w:val="100"/>
                <w:kern w:val="2"/>
                <w:sz w:val="21"/>
                <w:szCs w:val="21"/>
                <w:highlight w:val="none"/>
                <w:lang w:val="en-US" w:eastAsia="zh-CN" w:bidi="ar-SA"/>
              </w:rPr>
              <w:t>缴纳投标保证金有效凭证。</w:t>
            </w:r>
          </w:p>
        </w:tc>
        <w:tc>
          <w:tcPr>
            <w:tcW w:w="890" w:type="dxa"/>
          </w:tcPr>
          <w:p w14:paraId="4C85C9FA">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1"/>
                <w:szCs w:val="21"/>
                <w:highlight w:val="none"/>
              </w:rPr>
            </w:pPr>
          </w:p>
        </w:tc>
        <w:tc>
          <w:tcPr>
            <w:tcW w:w="821" w:type="dxa"/>
          </w:tcPr>
          <w:p w14:paraId="69BF84B4">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1"/>
                <w:szCs w:val="21"/>
                <w:highlight w:val="none"/>
              </w:rPr>
            </w:pPr>
          </w:p>
        </w:tc>
        <w:tc>
          <w:tcPr>
            <w:tcW w:w="720" w:type="dxa"/>
          </w:tcPr>
          <w:p w14:paraId="4ACC9389">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1"/>
                <w:szCs w:val="21"/>
                <w:highlight w:val="none"/>
              </w:rPr>
            </w:pPr>
          </w:p>
        </w:tc>
      </w:tr>
      <w:tr w14:paraId="523BF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685" w:type="dxa"/>
            <w:vAlign w:val="center"/>
          </w:tcPr>
          <w:p w14:paraId="19E44D4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微软雅黑" w:hAnsi="微软雅黑" w:eastAsia="微软雅黑" w:cs="微软雅黑"/>
                <w:color w:val="auto"/>
                <w:spacing w:val="-2"/>
                <w:sz w:val="21"/>
                <w:szCs w:val="21"/>
                <w:highlight w:val="none"/>
                <w:lang w:val="en-US" w:eastAsia="zh-CN"/>
              </w:rPr>
            </w:pPr>
            <w:r>
              <w:rPr>
                <w:rFonts w:hint="eastAsia" w:ascii="微软雅黑" w:hAnsi="微软雅黑" w:eastAsia="微软雅黑" w:cs="微软雅黑"/>
                <w:color w:val="auto"/>
                <w:spacing w:val="-2"/>
                <w:sz w:val="21"/>
                <w:szCs w:val="21"/>
                <w:highlight w:val="none"/>
                <w:lang w:val="en-US" w:eastAsia="zh-CN"/>
              </w:rPr>
              <w:t>10</w:t>
            </w:r>
          </w:p>
        </w:tc>
        <w:tc>
          <w:tcPr>
            <w:tcW w:w="5409" w:type="dxa"/>
            <w:vAlign w:val="center"/>
          </w:tcPr>
          <w:p w14:paraId="56088BFE">
            <w:pPr>
              <w:keepNext w:val="0"/>
              <w:keepLines w:val="0"/>
              <w:pageBreakBefore w:val="0"/>
              <w:widowControl/>
              <w:kinsoku/>
              <w:wordWrap/>
              <w:overflowPunct/>
              <w:topLinePunct w:val="0"/>
              <w:autoSpaceDE/>
              <w:autoSpaceDN/>
              <w:bidi w:val="0"/>
              <w:adjustRightInd/>
              <w:snapToGrid w:val="0"/>
              <w:spacing w:before="0" w:beforeAutospacing="0" w:after="0" w:afterAutospacing="0" w:line="320" w:lineRule="exact"/>
              <w:ind w:left="0" w:leftChars="0"/>
              <w:jc w:val="left"/>
              <w:textAlignment w:val="baseline"/>
              <w:rPr>
                <w:rFonts w:hint="default" w:ascii="微软雅黑" w:hAnsi="微软雅黑" w:eastAsia="微软雅黑" w:cs="微软雅黑"/>
                <w:b w:val="0"/>
                <w:bCs w:val="0"/>
                <w:i w:val="0"/>
                <w:caps w:val="0"/>
                <w:color w:val="auto"/>
                <w:spacing w:val="0"/>
                <w:w w:val="100"/>
                <w:kern w:val="2"/>
                <w:sz w:val="21"/>
                <w:szCs w:val="21"/>
                <w:highlight w:val="none"/>
                <w:lang w:val="en-US" w:eastAsia="zh-CN" w:bidi="ar-SA"/>
              </w:rPr>
            </w:pPr>
            <w:r>
              <w:rPr>
                <w:rFonts w:hint="eastAsia" w:ascii="微软雅黑" w:hAnsi="微软雅黑" w:eastAsia="微软雅黑" w:cs="微软雅黑"/>
                <w:b w:val="0"/>
                <w:bCs w:val="0"/>
                <w:i w:val="0"/>
                <w:caps w:val="0"/>
                <w:color w:val="auto"/>
                <w:spacing w:val="0"/>
                <w:w w:val="100"/>
                <w:kern w:val="2"/>
                <w:sz w:val="21"/>
                <w:szCs w:val="21"/>
                <w:highlight w:val="none"/>
                <w:lang w:val="en-US" w:eastAsia="zh-CN" w:bidi="ar-SA"/>
              </w:rPr>
              <w:t>提供中小企业声明函。</w:t>
            </w:r>
          </w:p>
        </w:tc>
        <w:tc>
          <w:tcPr>
            <w:tcW w:w="890" w:type="dxa"/>
          </w:tcPr>
          <w:p w14:paraId="3FA35F97">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1"/>
                <w:szCs w:val="21"/>
                <w:highlight w:val="none"/>
              </w:rPr>
            </w:pPr>
          </w:p>
        </w:tc>
        <w:tc>
          <w:tcPr>
            <w:tcW w:w="821" w:type="dxa"/>
          </w:tcPr>
          <w:p w14:paraId="1F235E30">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1"/>
                <w:szCs w:val="21"/>
                <w:highlight w:val="none"/>
              </w:rPr>
            </w:pPr>
          </w:p>
        </w:tc>
        <w:tc>
          <w:tcPr>
            <w:tcW w:w="720" w:type="dxa"/>
          </w:tcPr>
          <w:p w14:paraId="029E1988">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1"/>
                <w:szCs w:val="21"/>
                <w:highlight w:val="none"/>
              </w:rPr>
            </w:pPr>
          </w:p>
        </w:tc>
      </w:tr>
      <w:tr w14:paraId="1F944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685" w:type="dxa"/>
            <w:vAlign w:val="center"/>
          </w:tcPr>
          <w:p w14:paraId="132D6A8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color w:val="auto"/>
                <w:spacing w:val="-2"/>
                <w:sz w:val="21"/>
                <w:szCs w:val="21"/>
                <w:highlight w:val="none"/>
                <w:lang w:val="en-US" w:eastAsia="zh-CN"/>
              </w:rPr>
            </w:pPr>
          </w:p>
        </w:tc>
        <w:tc>
          <w:tcPr>
            <w:tcW w:w="5409" w:type="dxa"/>
            <w:vAlign w:val="center"/>
          </w:tcPr>
          <w:p w14:paraId="4393A957">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微软雅黑" w:hAnsi="微软雅黑" w:eastAsia="微软雅黑" w:cs="微软雅黑"/>
                <w:color w:val="auto"/>
                <w:spacing w:val="-2"/>
                <w:kern w:val="2"/>
                <w:sz w:val="21"/>
                <w:szCs w:val="21"/>
                <w:highlight w:val="none"/>
                <w:lang w:val="en-US" w:eastAsia="zh-CN" w:bidi="ar-SA"/>
              </w:rPr>
            </w:pPr>
            <w:r>
              <w:rPr>
                <w:rFonts w:hint="eastAsia" w:ascii="微软雅黑" w:hAnsi="微软雅黑" w:eastAsia="微软雅黑" w:cs="微软雅黑"/>
                <w:color w:val="auto"/>
                <w:spacing w:val="-2"/>
                <w:sz w:val="21"/>
                <w:szCs w:val="21"/>
                <w:highlight w:val="none"/>
                <w:lang w:val="en-US" w:eastAsia="zh-CN"/>
              </w:rPr>
              <w:t>结论</w:t>
            </w:r>
          </w:p>
        </w:tc>
        <w:tc>
          <w:tcPr>
            <w:tcW w:w="890" w:type="dxa"/>
          </w:tcPr>
          <w:p w14:paraId="4B349B5B">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1"/>
                <w:szCs w:val="21"/>
                <w:highlight w:val="none"/>
              </w:rPr>
            </w:pPr>
          </w:p>
        </w:tc>
        <w:tc>
          <w:tcPr>
            <w:tcW w:w="821" w:type="dxa"/>
          </w:tcPr>
          <w:p w14:paraId="760F9B66">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1"/>
                <w:szCs w:val="21"/>
                <w:highlight w:val="none"/>
              </w:rPr>
            </w:pPr>
          </w:p>
        </w:tc>
        <w:tc>
          <w:tcPr>
            <w:tcW w:w="720" w:type="dxa"/>
          </w:tcPr>
          <w:p w14:paraId="749E9FCD">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1"/>
                <w:szCs w:val="21"/>
                <w:highlight w:val="none"/>
              </w:rPr>
            </w:pPr>
          </w:p>
        </w:tc>
      </w:tr>
    </w:tbl>
    <w:p w14:paraId="1CB1D188">
      <w:pPr>
        <w:keepNext w:val="0"/>
        <w:keepLines w:val="0"/>
        <w:pageBreakBefore w:val="0"/>
        <w:widowControl w:val="0"/>
        <w:kinsoku/>
        <w:wordWrap/>
        <w:overflowPunct/>
        <w:topLinePunct w:val="0"/>
        <w:autoSpaceDE w:val="0"/>
        <w:autoSpaceDN w:val="0"/>
        <w:bidi w:val="0"/>
        <w:adjustRightInd w:val="0"/>
        <w:snapToGrid/>
        <w:spacing w:line="400" w:lineRule="exact"/>
        <w:ind w:firstLine="0"/>
        <w:jc w:val="both"/>
        <w:textAlignment w:val="auto"/>
        <w:rPr>
          <w:rFonts w:hint="eastAsia" w:ascii="微软雅黑" w:hAnsi="微软雅黑" w:eastAsia="微软雅黑" w:cs="微软雅黑"/>
          <w:b/>
          <w:bCs/>
          <w:color w:val="auto"/>
          <w:sz w:val="20"/>
          <w:szCs w:val="20"/>
          <w:highlight w:val="none"/>
        </w:rPr>
      </w:pPr>
      <w:r>
        <w:rPr>
          <w:rFonts w:hint="eastAsia" w:ascii="微软雅黑" w:hAnsi="微软雅黑" w:eastAsia="微软雅黑" w:cs="微软雅黑"/>
          <w:color w:val="auto"/>
          <w:sz w:val="20"/>
          <w:szCs w:val="20"/>
          <w:highlight w:val="none"/>
        </w:rPr>
        <w:t>说明：</w:t>
      </w:r>
      <w:r>
        <w:rPr>
          <w:rFonts w:hint="eastAsia" w:ascii="微软雅黑" w:hAnsi="微软雅黑" w:eastAsia="微软雅黑" w:cs="微软雅黑"/>
          <w:b/>
          <w:bCs/>
          <w:color w:val="auto"/>
          <w:sz w:val="20"/>
          <w:szCs w:val="20"/>
          <w:highlight w:val="none"/>
        </w:rPr>
        <w:t>供应商必须将上述内容上传至对应关联节点，未通过资格性审查的供应商不进入评标；通过资格性审查的供应商少于三家的，不得评标。</w:t>
      </w:r>
    </w:p>
    <w:p w14:paraId="0F680569">
      <w:pPr>
        <w:keepNext w:val="0"/>
        <w:keepLines w:val="0"/>
        <w:pageBreakBefore w:val="0"/>
        <w:widowControl w:val="0"/>
        <w:kinsoku/>
        <w:wordWrap/>
        <w:overflowPunct/>
        <w:topLinePunct w:val="0"/>
        <w:autoSpaceDE w:val="0"/>
        <w:autoSpaceDN w:val="0"/>
        <w:bidi w:val="0"/>
        <w:adjustRightInd w:val="0"/>
        <w:snapToGrid/>
        <w:spacing w:line="400" w:lineRule="exact"/>
        <w:ind w:firstLine="0"/>
        <w:jc w:val="both"/>
        <w:textAlignment w:val="auto"/>
        <w:rPr>
          <w:rFonts w:hint="eastAsia" w:ascii="微软雅黑" w:hAnsi="微软雅黑" w:eastAsia="微软雅黑" w:cs="微软雅黑"/>
          <w:b/>
          <w:bCs/>
          <w:color w:val="auto"/>
          <w:sz w:val="20"/>
          <w:szCs w:val="20"/>
          <w:highlight w:val="none"/>
        </w:rPr>
      </w:pPr>
    </w:p>
    <w:p w14:paraId="56C11390">
      <w:pPr>
        <w:keepNext w:val="0"/>
        <w:keepLines w:val="0"/>
        <w:pageBreakBefore w:val="0"/>
        <w:widowControl w:val="0"/>
        <w:kinsoku/>
        <w:wordWrap/>
        <w:overflowPunct/>
        <w:topLinePunct w:val="0"/>
        <w:autoSpaceDE w:val="0"/>
        <w:autoSpaceDN w:val="0"/>
        <w:bidi w:val="0"/>
        <w:adjustRightInd w:val="0"/>
        <w:snapToGrid/>
        <w:spacing w:line="400" w:lineRule="exact"/>
        <w:ind w:firstLine="0"/>
        <w:jc w:val="both"/>
        <w:textAlignment w:val="auto"/>
        <w:rPr>
          <w:rFonts w:hint="eastAsia" w:ascii="微软雅黑" w:hAnsi="微软雅黑" w:eastAsia="微软雅黑" w:cs="微软雅黑"/>
          <w:b/>
          <w:bCs/>
          <w:color w:val="auto"/>
          <w:sz w:val="20"/>
          <w:szCs w:val="20"/>
          <w:highlight w:val="none"/>
        </w:rPr>
      </w:pPr>
    </w:p>
    <w:p w14:paraId="50462F4B">
      <w:pPr>
        <w:keepNext w:val="0"/>
        <w:keepLines w:val="0"/>
        <w:pageBreakBefore w:val="0"/>
        <w:widowControl w:val="0"/>
        <w:kinsoku/>
        <w:wordWrap/>
        <w:overflowPunct/>
        <w:topLinePunct w:val="0"/>
        <w:autoSpaceDE w:val="0"/>
        <w:autoSpaceDN w:val="0"/>
        <w:bidi w:val="0"/>
        <w:adjustRightInd w:val="0"/>
        <w:snapToGrid/>
        <w:spacing w:line="400" w:lineRule="exact"/>
        <w:ind w:firstLine="0"/>
        <w:jc w:val="both"/>
        <w:textAlignment w:val="auto"/>
        <w:rPr>
          <w:rFonts w:hint="eastAsia" w:ascii="微软雅黑" w:hAnsi="微软雅黑" w:eastAsia="微软雅黑" w:cs="微软雅黑"/>
          <w:b/>
          <w:bCs/>
          <w:color w:val="auto"/>
          <w:sz w:val="20"/>
          <w:szCs w:val="20"/>
          <w:highlight w:val="none"/>
        </w:rPr>
      </w:pPr>
    </w:p>
    <w:p w14:paraId="451E70A6">
      <w:pPr>
        <w:keepNext w:val="0"/>
        <w:keepLines w:val="0"/>
        <w:pageBreakBefore w:val="0"/>
        <w:widowControl w:val="0"/>
        <w:kinsoku/>
        <w:wordWrap/>
        <w:overflowPunct/>
        <w:topLinePunct w:val="0"/>
        <w:autoSpaceDE w:val="0"/>
        <w:autoSpaceDN w:val="0"/>
        <w:bidi w:val="0"/>
        <w:adjustRightInd w:val="0"/>
        <w:snapToGrid/>
        <w:spacing w:line="400" w:lineRule="exact"/>
        <w:ind w:firstLine="0"/>
        <w:jc w:val="both"/>
        <w:textAlignment w:val="auto"/>
        <w:rPr>
          <w:rFonts w:hint="eastAsia" w:ascii="微软雅黑" w:hAnsi="微软雅黑" w:eastAsia="微软雅黑" w:cs="微软雅黑"/>
          <w:b/>
          <w:bCs/>
          <w:color w:val="auto"/>
          <w:sz w:val="20"/>
          <w:szCs w:val="20"/>
          <w:highlight w:val="none"/>
        </w:rPr>
      </w:pPr>
    </w:p>
    <w:p w14:paraId="66D1EE41">
      <w:pPr>
        <w:keepNext w:val="0"/>
        <w:keepLines w:val="0"/>
        <w:pageBreakBefore w:val="0"/>
        <w:widowControl w:val="0"/>
        <w:kinsoku/>
        <w:wordWrap/>
        <w:overflowPunct/>
        <w:topLinePunct w:val="0"/>
        <w:autoSpaceDE w:val="0"/>
        <w:autoSpaceDN w:val="0"/>
        <w:bidi w:val="0"/>
        <w:adjustRightInd w:val="0"/>
        <w:snapToGrid/>
        <w:spacing w:line="400" w:lineRule="exact"/>
        <w:ind w:firstLine="0"/>
        <w:jc w:val="both"/>
        <w:textAlignment w:val="auto"/>
        <w:rPr>
          <w:rFonts w:hint="eastAsia" w:ascii="微软雅黑" w:hAnsi="微软雅黑" w:eastAsia="微软雅黑" w:cs="微软雅黑"/>
          <w:b/>
          <w:bCs/>
          <w:color w:val="auto"/>
          <w:sz w:val="20"/>
          <w:szCs w:val="20"/>
          <w:highlight w:val="none"/>
        </w:rPr>
      </w:pPr>
    </w:p>
    <w:p w14:paraId="280B3578">
      <w:pPr>
        <w:keepNext w:val="0"/>
        <w:keepLines w:val="0"/>
        <w:pageBreakBefore w:val="0"/>
        <w:widowControl w:val="0"/>
        <w:kinsoku/>
        <w:wordWrap/>
        <w:overflowPunct/>
        <w:topLinePunct w:val="0"/>
        <w:autoSpaceDE w:val="0"/>
        <w:autoSpaceDN w:val="0"/>
        <w:bidi w:val="0"/>
        <w:adjustRightInd w:val="0"/>
        <w:snapToGrid/>
        <w:spacing w:line="400" w:lineRule="exact"/>
        <w:ind w:firstLine="0"/>
        <w:jc w:val="both"/>
        <w:textAlignment w:val="auto"/>
        <w:rPr>
          <w:rFonts w:hint="eastAsia" w:ascii="微软雅黑" w:hAnsi="微软雅黑" w:eastAsia="微软雅黑" w:cs="微软雅黑"/>
          <w:b/>
          <w:bCs/>
          <w:color w:val="auto"/>
          <w:sz w:val="20"/>
          <w:szCs w:val="20"/>
          <w:highlight w:val="none"/>
        </w:rPr>
      </w:pPr>
    </w:p>
    <w:p w14:paraId="1068AB66">
      <w:pPr>
        <w:keepNext w:val="0"/>
        <w:keepLines w:val="0"/>
        <w:pageBreakBefore w:val="0"/>
        <w:widowControl w:val="0"/>
        <w:kinsoku/>
        <w:wordWrap/>
        <w:overflowPunct/>
        <w:topLinePunct w:val="0"/>
        <w:autoSpaceDE w:val="0"/>
        <w:autoSpaceDN w:val="0"/>
        <w:bidi w:val="0"/>
        <w:adjustRightInd w:val="0"/>
        <w:snapToGrid/>
        <w:spacing w:line="400" w:lineRule="exact"/>
        <w:ind w:firstLine="0"/>
        <w:jc w:val="both"/>
        <w:textAlignment w:val="auto"/>
        <w:rPr>
          <w:rFonts w:hint="eastAsia" w:ascii="微软雅黑" w:hAnsi="微软雅黑" w:eastAsia="微软雅黑" w:cs="微软雅黑"/>
          <w:b/>
          <w:bCs/>
          <w:color w:val="auto"/>
          <w:sz w:val="20"/>
          <w:szCs w:val="20"/>
          <w:highlight w:val="none"/>
        </w:rPr>
      </w:pPr>
    </w:p>
    <w:p w14:paraId="71744D48">
      <w:pPr>
        <w:keepNext w:val="0"/>
        <w:keepLines w:val="0"/>
        <w:pageBreakBefore w:val="0"/>
        <w:widowControl w:val="0"/>
        <w:kinsoku/>
        <w:wordWrap/>
        <w:overflowPunct/>
        <w:topLinePunct w:val="0"/>
        <w:autoSpaceDE w:val="0"/>
        <w:autoSpaceDN w:val="0"/>
        <w:bidi w:val="0"/>
        <w:adjustRightInd w:val="0"/>
        <w:snapToGrid/>
        <w:spacing w:line="400" w:lineRule="exact"/>
        <w:ind w:firstLine="0"/>
        <w:jc w:val="both"/>
        <w:textAlignment w:val="auto"/>
        <w:rPr>
          <w:rFonts w:hint="eastAsia" w:ascii="微软雅黑" w:hAnsi="微软雅黑" w:eastAsia="微软雅黑" w:cs="微软雅黑"/>
          <w:b/>
          <w:bCs/>
          <w:color w:val="auto"/>
          <w:sz w:val="20"/>
          <w:szCs w:val="20"/>
          <w:highlight w:val="none"/>
        </w:rPr>
      </w:pPr>
    </w:p>
    <w:p w14:paraId="7CB43AE6">
      <w:pPr>
        <w:keepNext w:val="0"/>
        <w:keepLines w:val="0"/>
        <w:pageBreakBefore w:val="0"/>
        <w:widowControl w:val="0"/>
        <w:kinsoku/>
        <w:wordWrap/>
        <w:overflowPunct/>
        <w:topLinePunct w:val="0"/>
        <w:autoSpaceDE w:val="0"/>
        <w:autoSpaceDN w:val="0"/>
        <w:bidi w:val="0"/>
        <w:adjustRightInd w:val="0"/>
        <w:snapToGrid/>
        <w:spacing w:line="400" w:lineRule="exact"/>
        <w:ind w:firstLine="0"/>
        <w:jc w:val="both"/>
        <w:textAlignment w:val="auto"/>
        <w:rPr>
          <w:rFonts w:hint="eastAsia" w:ascii="微软雅黑" w:hAnsi="微软雅黑" w:eastAsia="微软雅黑" w:cs="微软雅黑"/>
          <w:b/>
          <w:bCs/>
          <w:color w:val="auto"/>
          <w:sz w:val="20"/>
          <w:szCs w:val="20"/>
          <w:highlight w:val="none"/>
        </w:rPr>
      </w:pPr>
    </w:p>
    <w:p w14:paraId="69836078">
      <w:pPr>
        <w:keepNext w:val="0"/>
        <w:keepLines w:val="0"/>
        <w:pageBreakBefore w:val="0"/>
        <w:widowControl w:val="0"/>
        <w:kinsoku/>
        <w:wordWrap/>
        <w:overflowPunct/>
        <w:topLinePunct w:val="0"/>
        <w:autoSpaceDE w:val="0"/>
        <w:autoSpaceDN w:val="0"/>
        <w:bidi w:val="0"/>
        <w:adjustRightInd w:val="0"/>
        <w:snapToGrid/>
        <w:spacing w:line="400" w:lineRule="exact"/>
        <w:ind w:firstLine="0"/>
        <w:jc w:val="both"/>
        <w:textAlignment w:val="auto"/>
        <w:rPr>
          <w:rFonts w:hint="eastAsia" w:ascii="微软雅黑" w:hAnsi="微软雅黑" w:eastAsia="微软雅黑" w:cs="微软雅黑"/>
          <w:b/>
          <w:bCs/>
          <w:color w:val="auto"/>
          <w:sz w:val="20"/>
          <w:szCs w:val="20"/>
          <w:highlight w:val="none"/>
        </w:rPr>
      </w:pPr>
    </w:p>
    <w:p w14:paraId="5E59460F">
      <w:pPr>
        <w:keepNext w:val="0"/>
        <w:keepLines w:val="0"/>
        <w:pageBreakBefore w:val="0"/>
        <w:widowControl w:val="0"/>
        <w:kinsoku/>
        <w:wordWrap/>
        <w:overflowPunct/>
        <w:topLinePunct w:val="0"/>
        <w:autoSpaceDE w:val="0"/>
        <w:autoSpaceDN w:val="0"/>
        <w:bidi w:val="0"/>
        <w:adjustRightInd w:val="0"/>
        <w:snapToGrid/>
        <w:spacing w:line="400" w:lineRule="exact"/>
        <w:ind w:firstLine="0"/>
        <w:jc w:val="both"/>
        <w:textAlignment w:val="auto"/>
        <w:rPr>
          <w:rFonts w:hint="eastAsia" w:ascii="微软雅黑" w:hAnsi="微软雅黑" w:eastAsia="微软雅黑" w:cs="微软雅黑"/>
          <w:b/>
          <w:bCs/>
          <w:color w:val="auto"/>
          <w:sz w:val="20"/>
          <w:szCs w:val="20"/>
          <w:highlight w:val="none"/>
        </w:rPr>
      </w:pPr>
    </w:p>
    <w:p w14:paraId="088F3E4C">
      <w:pPr>
        <w:keepNext w:val="0"/>
        <w:keepLines w:val="0"/>
        <w:pageBreakBefore w:val="0"/>
        <w:widowControl w:val="0"/>
        <w:kinsoku/>
        <w:wordWrap/>
        <w:overflowPunct/>
        <w:topLinePunct w:val="0"/>
        <w:autoSpaceDE w:val="0"/>
        <w:autoSpaceDN w:val="0"/>
        <w:bidi w:val="0"/>
        <w:adjustRightInd w:val="0"/>
        <w:snapToGrid/>
        <w:spacing w:line="400" w:lineRule="exact"/>
        <w:ind w:firstLine="0"/>
        <w:jc w:val="both"/>
        <w:textAlignment w:val="auto"/>
        <w:rPr>
          <w:rFonts w:hint="eastAsia" w:ascii="微软雅黑" w:hAnsi="微软雅黑" w:eastAsia="微软雅黑" w:cs="微软雅黑"/>
          <w:b/>
          <w:bCs/>
          <w:color w:val="auto"/>
          <w:sz w:val="20"/>
          <w:szCs w:val="20"/>
          <w:highlight w:val="none"/>
        </w:rPr>
      </w:pPr>
    </w:p>
    <w:p w14:paraId="4FCED33D">
      <w:pPr>
        <w:keepNext w:val="0"/>
        <w:keepLines w:val="0"/>
        <w:pageBreakBefore w:val="0"/>
        <w:widowControl w:val="0"/>
        <w:kinsoku/>
        <w:wordWrap/>
        <w:overflowPunct/>
        <w:topLinePunct w:val="0"/>
        <w:autoSpaceDE w:val="0"/>
        <w:autoSpaceDN w:val="0"/>
        <w:bidi w:val="0"/>
        <w:adjustRightInd w:val="0"/>
        <w:snapToGrid/>
        <w:spacing w:line="400" w:lineRule="exact"/>
        <w:ind w:firstLine="0"/>
        <w:jc w:val="both"/>
        <w:textAlignment w:val="auto"/>
        <w:rPr>
          <w:rFonts w:hint="eastAsia" w:ascii="微软雅黑" w:hAnsi="微软雅黑" w:eastAsia="微软雅黑" w:cs="微软雅黑"/>
          <w:b/>
          <w:bCs/>
          <w:color w:val="auto"/>
          <w:sz w:val="20"/>
          <w:szCs w:val="20"/>
          <w:highlight w:val="none"/>
        </w:rPr>
      </w:pPr>
    </w:p>
    <w:p w14:paraId="5D925363">
      <w:pPr>
        <w:keepNext w:val="0"/>
        <w:keepLines w:val="0"/>
        <w:pageBreakBefore w:val="0"/>
        <w:widowControl w:val="0"/>
        <w:kinsoku/>
        <w:wordWrap/>
        <w:overflowPunct/>
        <w:topLinePunct w:val="0"/>
        <w:autoSpaceDE w:val="0"/>
        <w:autoSpaceDN w:val="0"/>
        <w:bidi w:val="0"/>
        <w:adjustRightInd w:val="0"/>
        <w:snapToGrid/>
        <w:spacing w:line="400" w:lineRule="exact"/>
        <w:ind w:firstLine="0"/>
        <w:jc w:val="both"/>
        <w:textAlignment w:val="auto"/>
        <w:rPr>
          <w:rFonts w:hint="eastAsia" w:ascii="微软雅黑" w:hAnsi="微软雅黑" w:eastAsia="微软雅黑" w:cs="微软雅黑"/>
          <w:b/>
          <w:bCs/>
          <w:color w:val="auto"/>
          <w:sz w:val="20"/>
          <w:szCs w:val="20"/>
          <w:highlight w:val="none"/>
        </w:rPr>
      </w:pPr>
    </w:p>
    <w:p w14:paraId="71A84BD1">
      <w:pPr>
        <w:keepNext w:val="0"/>
        <w:keepLines w:val="0"/>
        <w:pageBreakBefore w:val="0"/>
        <w:widowControl w:val="0"/>
        <w:kinsoku/>
        <w:wordWrap/>
        <w:overflowPunct/>
        <w:topLinePunct w:val="0"/>
        <w:autoSpaceDE w:val="0"/>
        <w:autoSpaceDN w:val="0"/>
        <w:bidi w:val="0"/>
        <w:adjustRightInd w:val="0"/>
        <w:snapToGrid/>
        <w:spacing w:line="400" w:lineRule="exact"/>
        <w:ind w:firstLine="0"/>
        <w:jc w:val="both"/>
        <w:textAlignment w:val="auto"/>
        <w:rPr>
          <w:rFonts w:hint="eastAsia" w:ascii="微软雅黑" w:hAnsi="微软雅黑" w:eastAsia="微软雅黑" w:cs="微软雅黑"/>
          <w:b/>
          <w:bCs/>
          <w:color w:val="auto"/>
          <w:sz w:val="20"/>
          <w:szCs w:val="20"/>
          <w:highlight w:val="none"/>
        </w:rPr>
      </w:pPr>
    </w:p>
    <w:p w14:paraId="77909344">
      <w:pPr>
        <w:keepNext w:val="0"/>
        <w:keepLines w:val="0"/>
        <w:pageBreakBefore w:val="0"/>
        <w:widowControl w:val="0"/>
        <w:kinsoku/>
        <w:wordWrap/>
        <w:overflowPunct/>
        <w:topLinePunct w:val="0"/>
        <w:autoSpaceDE w:val="0"/>
        <w:autoSpaceDN w:val="0"/>
        <w:bidi w:val="0"/>
        <w:adjustRightInd w:val="0"/>
        <w:snapToGrid/>
        <w:spacing w:line="400" w:lineRule="exact"/>
        <w:ind w:firstLine="0"/>
        <w:jc w:val="both"/>
        <w:textAlignment w:val="auto"/>
        <w:rPr>
          <w:rFonts w:hint="eastAsia" w:ascii="微软雅黑" w:hAnsi="微软雅黑" w:eastAsia="微软雅黑" w:cs="微软雅黑"/>
          <w:b/>
          <w:bCs/>
          <w:color w:val="auto"/>
          <w:sz w:val="20"/>
          <w:szCs w:val="20"/>
          <w:highlight w:val="none"/>
        </w:rPr>
      </w:pPr>
    </w:p>
    <w:p w14:paraId="2982825D">
      <w:pPr>
        <w:keepNext w:val="0"/>
        <w:keepLines w:val="0"/>
        <w:pageBreakBefore w:val="0"/>
        <w:widowControl w:val="0"/>
        <w:kinsoku/>
        <w:wordWrap/>
        <w:overflowPunct/>
        <w:topLinePunct w:val="0"/>
        <w:autoSpaceDE w:val="0"/>
        <w:autoSpaceDN w:val="0"/>
        <w:bidi w:val="0"/>
        <w:adjustRightInd w:val="0"/>
        <w:snapToGrid/>
        <w:spacing w:line="400" w:lineRule="exact"/>
        <w:ind w:firstLine="0"/>
        <w:jc w:val="both"/>
        <w:textAlignment w:val="auto"/>
        <w:rPr>
          <w:rFonts w:hint="eastAsia" w:ascii="微软雅黑" w:hAnsi="微软雅黑" w:eastAsia="微软雅黑" w:cs="微软雅黑"/>
          <w:b/>
          <w:bCs/>
          <w:color w:val="auto"/>
          <w:sz w:val="20"/>
          <w:szCs w:val="20"/>
          <w:highlight w:val="none"/>
        </w:rPr>
      </w:pPr>
    </w:p>
    <w:p w14:paraId="7043F255">
      <w:pPr>
        <w:keepNext w:val="0"/>
        <w:keepLines w:val="0"/>
        <w:pageBreakBefore w:val="0"/>
        <w:widowControl w:val="0"/>
        <w:kinsoku/>
        <w:wordWrap/>
        <w:overflowPunct/>
        <w:topLinePunct w:val="0"/>
        <w:autoSpaceDE w:val="0"/>
        <w:autoSpaceDN w:val="0"/>
        <w:bidi w:val="0"/>
        <w:adjustRightInd w:val="0"/>
        <w:snapToGrid/>
        <w:spacing w:line="400" w:lineRule="exact"/>
        <w:ind w:firstLine="0"/>
        <w:jc w:val="both"/>
        <w:textAlignment w:val="auto"/>
        <w:rPr>
          <w:rFonts w:hint="eastAsia" w:ascii="微软雅黑" w:hAnsi="微软雅黑" w:eastAsia="微软雅黑" w:cs="微软雅黑"/>
          <w:b/>
          <w:bCs/>
          <w:color w:val="auto"/>
          <w:sz w:val="20"/>
          <w:szCs w:val="20"/>
          <w:highlight w:val="none"/>
        </w:rPr>
      </w:pPr>
    </w:p>
    <w:p w14:paraId="09B70293">
      <w:pPr>
        <w:keepNext w:val="0"/>
        <w:keepLines w:val="0"/>
        <w:pageBreakBefore w:val="0"/>
        <w:widowControl w:val="0"/>
        <w:kinsoku/>
        <w:wordWrap/>
        <w:overflowPunct/>
        <w:topLinePunct w:val="0"/>
        <w:autoSpaceDE w:val="0"/>
        <w:autoSpaceDN w:val="0"/>
        <w:bidi w:val="0"/>
        <w:adjustRightInd w:val="0"/>
        <w:snapToGrid/>
        <w:spacing w:line="400" w:lineRule="exact"/>
        <w:ind w:firstLine="0"/>
        <w:jc w:val="both"/>
        <w:textAlignment w:val="auto"/>
        <w:rPr>
          <w:rFonts w:hint="eastAsia" w:ascii="微软雅黑" w:hAnsi="微软雅黑" w:eastAsia="微软雅黑" w:cs="微软雅黑"/>
          <w:b/>
          <w:bCs/>
          <w:color w:val="auto"/>
          <w:sz w:val="20"/>
          <w:szCs w:val="20"/>
          <w:highlight w:val="none"/>
        </w:rPr>
      </w:pPr>
    </w:p>
    <w:p w14:paraId="594A8EED">
      <w:pPr>
        <w:keepNext w:val="0"/>
        <w:keepLines w:val="0"/>
        <w:pageBreakBefore w:val="0"/>
        <w:widowControl w:val="0"/>
        <w:kinsoku/>
        <w:wordWrap/>
        <w:overflowPunct/>
        <w:topLinePunct w:val="0"/>
        <w:autoSpaceDE w:val="0"/>
        <w:autoSpaceDN w:val="0"/>
        <w:bidi w:val="0"/>
        <w:adjustRightInd w:val="0"/>
        <w:snapToGrid/>
        <w:spacing w:line="400" w:lineRule="exact"/>
        <w:ind w:firstLine="0"/>
        <w:jc w:val="both"/>
        <w:textAlignment w:val="auto"/>
        <w:rPr>
          <w:rFonts w:hint="eastAsia" w:ascii="微软雅黑" w:hAnsi="微软雅黑" w:eastAsia="微软雅黑" w:cs="微软雅黑"/>
          <w:b/>
          <w:bCs/>
          <w:color w:val="auto"/>
          <w:sz w:val="20"/>
          <w:szCs w:val="20"/>
          <w:highlight w:val="none"/>
        </w:rPr>
      </w:pPr>
    </w:p>
    <w:p w14:paraId="4B795FB8">
      <w:pPr>
        <w:keepNext w:val="0"/>
        <w:keepLines w:val="0"/>
        <w:pageBreakBefore w:val="0"/>
        <w:widowControl w:val="0"/>
        <w:kinsoku/>
        <w:wordWrap/>
        <w:overflowPunct/>
        <w:topLinePunct w:val="0"/>
        <w:autoSpaceDE w:val="0"/>
        <w:autoSpaceDN w:val="0"/>
        <w:bidi w:val="0"/>
        <w:adjustRightInd w:val="0"/>
        <w:snapToGrid/>
        <w:spacing w:line="400" w:lineRule="exact"/>
        <w:ind w:firstLine="0"/>
        <w:jc w:val="both"/>
        <w:textAlignment w:val="auto"/>
        <w:rPr>
          <w:rFonts w:hint="eastAsia" w:ascii="微软雅黑" w:hAnsi="微软雅黑" w:eastAsia="微软雅黑" w:cs="微软雅黑"/>
          <w:b/>
          <w:bCs/>
          <w:color w:val="auto"/>
          <w:sz w:val="20"/>
          <w:szCs w:val="20"/>
          <w:highlight w:val="none"/>
        </w:rPr>
      </w:pPr>
    </w:p>
    <w:p w14:paraId="1217CE19">
      <w:pPr>
        <w:keepNext w:val="0"/>
        <w:keepLines w:val="0"/>
        <w:pageBreakBefore w:val="0"/>
        <w:widowControl w:val="0"/>
        <w:kinsoku/>
        <w:wordWrap/>
        <w:overflowPunct/>
        <w:topLinePunct w:val="0"/>
        <w:autoSpaceDE w:val="0"/>
        <w:autoSpaceDN w:val="0"/>
        <w:bidi w:val="0"/>
        <w:adjustRightInd w:val="0"/>
        <w:snapToGrid/>
        <w:spacing w:line="400" w:lineRule="exact"/>
        <w:ind w:firstLine="0"/>
        <w:jc w:val="both"/>
        <w:textAlignment w:val="auto"/>
        <w:rPr>
          <w:rFonts w:hint="eastAsia" w:ascii="微软雅黑" w:hAnsi="微软雅黑" w:eastAsia="微软雅黑" w:cs="微软雅黑"/>
          <w:b/>
          <w:bCs/>
          <w:color w:val="auto"/>
          <w:sz w:val="20"/>
          <w:szCs w:val="20"/>
          <w:highlight w:val="none"/>
        </w:rPr>
      </w:pPr>
    </w:p>
    <w:p w14:paraId="3115F478">
      <w:pPr>
        <w:keepNext w:val="0"/>
        <w:keepLines w:val="0"/>
        <w:pageBreakBefore w:val="0"/>
        <w:widowControl w:val="0"/>
        <w:kinsoku/>
        <w:wordWrap/>
        <w:overflowPunct/>
        <w:topLinePunct w:val="0"/>
        <w:autoSpaceDE w:val="0"/>
        <w:autoSpaceDN w:val="0"/>
        <w:bidi w:val="0"/>
        <w:adjustRightInd w:val="0"/>
        <w:snapToGrid/>
        <w:spacing w:line="400" w:lineRule="exact"/>
        <w:ind w:firstLine="0"/>
        <w:jc w:val="both"/>
        <w:textAlignment w:val="auto"/>
        <w:rPr>
          <w:rFonts w:hint="eastAsia" w:ascii="微软雅黑" w:hAnsi="微软雅黑" w:eastAsia="微软雅黑" w:cs="微软雅黑"/>
          <w:b/>
          <w:bCs/>
          <w:color w:val="auto"/>
          <w:sz w:val="20"/>
          <w:szCs w:val="20"/>
          <w:highlight w:val="none"/>
        </w:rPr>
      </w:pPr>
    </w:p>
    <w:p w14:paraId="0D0BA66B">
      <w:pPr>
        <w:keepNext w:val="0"/>
        <w:keepLines w:val="0"/>
        <w:pageBreakBefore w:val="0"/>
        <w:widowControl w:val="0"/>
        <w:kinsoku/>
        <w:wordWrap/>
        <w:overflowPunct/>
        <w:topLinePunct w:val="0"/>
        <w:autoSpaceDE w:val="0"/>
        <w:autoSpaceDN w:val="0"/>
        <w:bidi w:val="0"/>
        <w:adjustRightInd w:val="0"/>
        <w:snapToGrid/>
        <w:spacing w:line="400" w:lineRule="exact"/>
        <w:ind w:firstLine="0"/>
        <w:jc w:val="both"/>
        <w:textAlignment w:val="auto"/>
        <w:rPr>
          <w:rFonts w:hint="eastAsia" w:ascii="微软雅黑" w:hAnsi="微软雅黑" w:eastAsia="微软雅黑" w:cs="微软雅黑"/>
          <w:b/>
          <w:bCs/>
          <w:color w:val="auto"/>
          <w:sz w:val="20"/>
          <w:szCs w:val="20"/>
          <w:highlight w:val="none"/>
        </w:rPr>
      </w:pPr>
    </w:p>
    <w:p w14:paraId="1B397731">
      <w:pPr>
        <w:keepNext w:val="0"/>
        <w:keepLines w:val="0"/>
        <w:pageBreakBefore w:val="0"/>
        <w:widowControl w:val="0"/>
        <w:kinsoku/>
        <w:wordWrap/>
        <w:overflowPunct/>
        <w:topLinePunct w:val="0"/>
        <w:autoSpaceDE w:val="0"/>
        <w:autoSpaceDN w:val="0"/>
        <w:bidi w:val="0"/>
        <w:adjustRightInd w:val="0"/>
        <w:snapToGrid/>
        <w:spacing w:line="400" w:lineRule="exact"/>
        <w:ind w:firstLine="0"/>
        <w:jc w:val="both"/>
        <w:textAlignment w:val="auto"/>
        <w:rPr>
          <w:rFonts w:hint="eastAsia" w:ascii="微软雅黑" w:hAnsi="微软雅黑" w:eastAsia="微软雅黑" w:cs="微软雅黑"/>
          <w:b/>
          <w:bCs/>
          <w:color w:val="auto"/>
          <w:sz w:val="20"/>
          <w:szCs w:val="20"/>
          <w:highlight w:val="none"/>
        </w:rPr>
      </w:pPr>
    </w:p>
    <w:p w14:paraId="25348256">
      <w:pPr>
        <w:keepNext w:val="0"/>
        <w:keepLines w:val="0"/>
        <w:pageBreakBefore w:val="0"/>
        <w:widowControl w:val="0"/>
        <w:kinsoku/>
        <w:wordWrap/>
        <w:overflowPunct/>
        <w:topLinePunct w:val="0"/>
        <w:autoSpaceDE w:val="0"/>
        <w:autoSpaceDN w:val="0"/>
        <w:bidi w:val="0"/>
        <w:adjustRightInd w:val="0"/>
        <w:snapToGrid/>
        <w:spacing w:line="400" w:lineRule="exact"/>
        <w:ind w:firstLine="0"/>
        <w:jc w:val="both"/>
        <w:textAlignment w:val="auto"/>
        <w:rPr>
          <w:rFonts w:hint="eastAsia" w:ascii="微软雅黑" w:hAnsi="微软雅黑" w:eastAsia="微软雅黑" w:cs="微软雅黑"/>
          <w:b/>
          <w:bCs/>
          <w:color w:val="auto"/>
          <w:sz w:val="20"/>
          <w:szCs w:val="20"/>
          <w:highlight w:val="none"/>
        </w:rPr>
      </w:pPr>
    </w:p>
    <w:p w14:paraId="1940FE19">
      <w:pPr>
        <w:pStyle w:val="3"/>
        <w:rPr>
          <w:rFonts w:hint="eastAsia" w:ascii="微软雅黑" w:hAnsi="微软雅黑" w:eastAsia="微软雅黑" w:cs="微软雅黑"/>
          <w:color w:val="auto"/>
          <w:sz w:val="28"/>
          <w:szCs w:val="18"/>
          <w:highlight w:val="none"/>
        </w:rPr>
      </w:pPr>
      <w:bookmarkStart w:id="1723" w:name="_Toc18094"/>
      <w:bookmarkStart w:id="1724" w:name="_Toc21850"/>
      <w:bookmarkStart w:id="1725" w:name="_Toc16022"/>
      <w:bookmarkStart w:id="1726" w:name="_Toc13320"/>
      <w:bookmarkStart w:id="1727" w:name="_Toc27246"/>
      <w:bookmarkStart w:id="1728" w:name="_Toc13854"/>
      <w:bookmarkStart w:id="1729" w:name="_Toc3062"/>
      <w:bookmarkStart w:id="1730" w:name="_Toc14007"/>
      <w:bookmarkStart w:id="1731" w:name="_Toc10492"/>
      <w:bookmarkStart w:id="1732" w:name="_Toc1474"/>
      <w:bookmarkStart w:id="1733" w:name="_Toc31983"/>
      <w:bookmarkStart w:id="1734" w:name="_Toc26642"/>
      <w:bookmarkStart w:id="1735" w:name="_Toc30395"/>
      <w:bookmarkStart w:id="1736" w:name="_Toc8382"/>
      <w:bookmarkStart w:id="1737" w:name="_Toc28858"/>
      <w:bookmarkStart w:id="1738" w:name="_Toc8255"/>
      <w:bookmarkStart w:id="1739" w:name="_Toc12108"/>
      <w:bookmarkStart w:id="1740" w:name="_Toc3927"/>
      <w:bookmarkStart w:id="1741" w:name="_Toc273"/>
      <w:r>
        <w:rPr>
          <w:rFonts w:hint="eastAsia" w:ascii="微软雅黑" w:hAnsi="微软雅黑" w:eastAsia="微软雅黑" w:cs="微软雅黑"/>
          <w:color w:val="auto"/>
          <w:sz w:val="28"/>
          <w:szCs w:val="18"/>
          <w:highlight w:val="none"/>
        </w:rPr>
        <w:t>初步评审—符合性审查表</w:t>
      </w:r>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p>
    <w:tbl>
      <w:tblPr>
        <w:tblStyle w:val="32"/>
        <w:tblpPr w:leftFromText="180" w:rightFromText="180" w:vertAnchor="text" w:horzAnchor="page" w:tblpXSpec="center" w:tblpY="262"/>
        <w:tblOverlap w:val="never"/>
        <w:tblW w:w="102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6545"/>
        <w:gridCol w:w="828"/>
        <w:gridCol w:w="1053"/>
        <w:gridCol w:w="1080"/>
      </w:tblGrid>
      <w:tr w14:paraId="419EB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7266" w:type="dxa"/>
            <w:gridSpan w:val="2"/>
            <w:vAlign w:val="center"/>
          </w:tcPr>
          <w:p w14:paraId="30E52D15">
            <w:pPr>
              <w:spacing w:line="400" w:lineRule="exact"/>
              <w:jc w:val="center"/>
              <w:rPr>
                <w:rFonts w:hint="eastAsia" w:ascii="微软雅黑" w:hAnsi="微软雅黑" w:eastAsia="微软雅黑" w:cs="微软雅黑"/>
                <w:color w:val="auto"/>
                <w:spacing w:val="-2"/>
                <w:sz w:val="20"/>
                <w:szCs w:val="20"/>
                <w:highlight w:val="none"/>
              </w:rPr>
            </w:pPr>
            <w:r>
              <w:rPr>
                <w:rFonts w:hint="eastAsia" w:ascii="微软雅黑" w:hAnsi="微软雅黑" w:eastAsia="微软雅黑" w:cs="微软雅黑"/>
                <w:color w:val="auto"/>
                <w:spacing w:val="-2"/>
                <w:sz w:val="20"/>
                <w:szCs w:val="20"/>
                <w:highlight w:val="none"/>
              </w:rPr>
              <w:t>评审内容</w:t>
            </w:r>
          </w:p>
        </w:tc>
        <w:tc>
          <w:tcPr>
            <w:tcW w:w="828" w:type="dxa"/>
            <w:vAlign w:val="center"/>
          </w:tcPr>
          <w:p w14:paraId="5942CB57">
            <w:pPr>
              <w:spacing w:line="400" w:lineRule="exact"/>
              <w:jc w:val="center"/>
              <w:rPr>
                <w:rFonts w:hint="eastAsia" w:ascii="微软雅黑" w:hAnsi="微软雅黑" w:eastAsia="微软雅黑" w:cs="微软雅黑"/>
                <w:color w:val="auto"/>
                <w:spacing w:val="-2"/>
                <w:sz w:val="20"/>
                <w:szCs w:val="20"/>
                <w:highlight w:val="none"/>
              </w:rPr>
            </w:pPr>
            <w:r>
              <w:rPr>
                <w:rFonts w:hint="eastAsia" w:ascii="微软雅黑" w:hAnsi="微软雅黑" w:eastAsia="微软雅黑" w:cs="微软雅黑"/>
                <w:b/>
                <w:color w:val="auto"/>
                <w:sz w:val="20"/>
                <w:szCs w:val="20"/>
                <w:highlight w:val="none"/>
              </w:rPr>
              <w:t>评审意见</w:t>
            </w:r>
          </w:p>
        </w:tc>
        <w:tc>
          <w:tcPr>
            <w:tcW w:w="1053" w:type="dxa"/>
            <w:vAlign w:val="center"/>
          </w:tcPr>
          <w:p w14:paraId="28ABEE5B">
            <w:pPr>
              <w:spacing w:line="400" w:lineRule="exact"/>
              <w:jc w:val="center"/>
              <w:rPr>
                <w:rFonts w:hint="eastAsia" w:ascii="微软雅黑" w:hAnsi="微软雅黑" w:eastAsia="微软雅黑" w:cs="微软雅黑"/>
                <w:b/>
                <w:color w:val="auto"/>
                <w:sz w:val="20"/>
                <w:szCs w:val="20"/>
                <w:highlight w:val="none"/>
              </w:rPr>
            </w:pPr>
            <w:r>
              <w:rPr>
                <w:rFonts w:hint="eastAsia" w:ascii="微软雅黑" w:hAnsi="微软雅黑" w:eastAsia="微软雅黑" w:cs="微软雅黑"/>
                <w:b/>
                <w:color w:val="auto"/>
                <w:sz w:val="20"/>
                <w:szCs w:val="20"/>
                <w:highlight w:val="none"/>
              </w:rPr>
              <w:t>评审意见</w:t>
            </w:r>
          </w:p>
        </w:tc>
        <w:tc>
          <w:tcPr>
            <w:tcW w:w="1080" w:type="dxa"/>
            <w:vAlign w:val="center"/>
          </w:tcPr>
          <w:p w14:paraId="6207C821">
            <w:pPr>
              <w:spacing w:line="400" w:lineRule="exact"/>
              <w:jc w:val="center"/>
              <w:rPr>
                <w:rFonts w:hint="eastAsia" w:ascii="微软雅黑" w:hAnsi="微软雅黑" w:eastAsia="微软雅黑" w:cs="微软雅黑"/>
                <w:b/>
                <w:color w:val="auto"/>
                <w:sz w:val="20"/>
                <w:szCs w:val="20"/>
                <w:highlight w:val="none"/>
              </w:rPr>
            </w:pPr>
            <w:r>
              <w:rPr>
                <w:rFonts w:hint="eastAsia" w:ascii="微软雅黑" w:hAnsi="微软雅黑" w:eastAsia="微软雅黑" w:cs="微软雅黑"/>
                <w:b/>
                <w:color w:val="auto"/>
                <w:sz w:val="20"/>
                <w:szCs w:val="20"/>
                <w:highlight w:val="none"/>
              </w:rPr>
              <w:t>评审意见</w:t>
            </w:r>
          </w:p>
        </w:tc>
      </w:tr>
      <w:tr w14:paraId="1F065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721" w:type="dxa"/>
            <w:vAlign w:val="center"/>
          </w:tcPr>
          <w:p w14:paraId="193B3D02">
            <w:pPr>
              <w:spacing w:line="400" w:lineRule="exact"/>
              <w:jc w:val="center"/>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序号</w:t>
            </w:r>
          </w:p>
        </w:tc>
        <w:tc>
          <w:tcPr>
            <w:tcW w:w="6545" w:type="dxa"/>
            <w:vAlign w:val="center"/>
          </w:tcPr>
          <w:p w14:paraId="3C6F19A5">
            <w:pPr>
              <w:spacing w:line="400" w:lineRule="exact"/>
              <w:rPr>
                <w:rFonts w:hint="eastAsia" w:ascii="微软雅黑" w:hAnsi="微软雅黑" w:eastAsia="微软雅黑" w:cs="微软雅黑"/>
                <w:color w:val="auto"/>
                <w:spacing w:val="-2"/>
                <w:sz w:val="20"/>
                <w:szCs w:val="20"/>
                <w:highlight w:val="none"/>
              </w:rPr>
            </w:pPr>
          </w:p>
        </w:tc>
        <w:tc>
          <w:tcPr>
            <w:tcW w:w="828" w:type="dxa"/>
            <w:vAlign w:val="center"/>
          </w:tcPr>
          <w:p w14:paraId="4D77DB0B">
            <w:pPr>
              <w:spacing w:line="400" w:lineRule="exact"/>
              <w:jc w:val="center"/>
              <w:rPr>
                <w:rFonts w:hint="eastAsia" w:ascii="微软雅黑" w:hAnsi="微软雅黑" w:eastAsia="微软雅黑" w:cs="微软雅黑"/>
                <w:color w:val="auto"/>
                <w:spacing w:val="-2"/>
                <w:sz w:val="20"/>
                <w:szCs w:val="20"/>
                <w:highlight w:val="none"/>
              </w:rPr>
            </w:pPr>
            <w:r>
              <w:rPr>
                <w:rFonts w:hint="eastAsia" w:ascii="微软雅黑" w:hAnsi="微软雅黑" w:eastAsia="微软雅黑" w:cs="微软雅黑"/>
                <w:color w:val="auto"/>
                <w:spacing w:val="-2"/>
                <w:sz w:val="20"/>
                <w:szCs w:val="20"/>
                <w:highlight w:val="none"/>
              </w:rPr>
              <w:t>是否合格</w:t>
            </w:r>
          </w:p>
        </w:tc>
        <w:tc>
          <w:tcPr>
            <w:tcW w:w="1053" w:type="dxa"/>
            <w:vAlign w:val="center"/>
          </w:tcPr>
          <w:p w14:paraId="10C952F0">
            <w:pPr>
              <w:spacing w:line="400" w:lineRule="exact"/>
              <w:jc w:val="center"/>
              <w:rPr>
                <w:rFonts w:hint="eastAsia" w:ascii="微软雅黑" w:hAnsi="微软雅黑" w:eastAsia="微软雅黑" w:cs="微软雅黑"/>
                <w:color w:val="auto"/>
                <w:spacing w:val="-2"/>
                <w:sz w:val="20"/>
                <w:szCs w:val="20"/>
                <w:highlight w:val="none"/>
              </w:rPr>
            </w:pPr>
            <w:r>
              <w:rPr>
                <w:rFonts w:hint="eastAsia" w:ascii="微软雅黑" w:hAnsi="微软雅黑" w:eastAsia="微软雅黑" w:cs="微软雅黑"/>
                <w:color w:val="auto"/>
                <w:spacing w:val="-2"/>
                <w:sz w:val="20"/>
                <w:szCs w:val="20"/>
                <w:highlight w:val="none"/>
              </w:rPr>
              <w:t>是否合格</w:t>
            </w:r>
          </w:p>
        </w:tc>
        <w:tc>
          <w:tcPr>
            <w:tcW w:w="1080" w:type="dxa"/>
            <w:vAlign w:val="center"/>
          </w:tcPr>
          <w:p w14:paraId="4C450590">
            <w:pPr>
              <w:spacing w:line="400" w:lineRule="exact"/>
              <w:jc w:val="center"/>
              <w:rPr>
                <w:rFonts w:hint="eastAsia" w:ascii="微软雅黑" w:hAnsi="微软雅黑" w:eastAsia="微软雅黑" w:cs="微软雅黑"/>
                <w:color w:val="auto"/>
                <w:spacing w:val="-2"/>
                <w:sz w:val="20"/>
                <w:szCs w:val="20"/>
                <w:highlight w:val="none"/>
              </w:rPr>
            </w:pPr>
            <w:r>
              <w:rPr>
                <w:rFonts w:hint="eastAsia" w:ascii="微软雅黑" w:hAnsi="微软雅黑" w:eastAsia="微软雅黑" w:cs="微软雅黑"/>
                <w:color w:val="auto"/>
                <w:spacing w:val="-2"/>
                <w:sz w:val="20"/>
                <w:szCs w:val="20"/>
                <w:highlight w:val="none"/>
              </w:rPr>
              <w:t>是否合格</w:t>
            </w:r>
          </w:p>
        </w:tc>
      </w:tr>
      <w:tr w14:paraId="3166D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721" w:type="dxa"/>
            <w:vAlign w:val="center"/>
          </w:tcPr>
          <w:p w14:paraId="4AF4F36D">
            <w:pPr>
              <w:spacing w:line="400" w:lineRule="exact"/>
              <w:jc w:val="center"/>
              <w:rPr>
                <w:rFonts w:hint="eastAsia" w:ascii="微软雅黑" w:hAnsi="微软雅黑" w:eastAsia="微软雅黑" w:cs="微软雅黑"/>
                <w:color w:val="auto"/>
                <w:spacing w:val="-2"/>
                <w:sz w:val="20"/>
                <w:szCs w:val="20"/>
                <w:highlight w:val="none"/>
              </w:rPr>
            </w:pPr>
            <w:r>
              <w:rPr>
                <w:rFonts w:hint="eastAsia" w:ascii="微软雅黑" w:hAnsi="微软雅黑" w:eastAsia="微软雅黑" w:cs="微软雅黑"/>
                <w:color w:val="auto"/>
                <w:spacing w:val="-2"/>
                <w:sz w:val="20"/>
                <w:szCs w:val="20"/>
                <w:highlight w:val="none"/>
              </w:rPr>
              <w:t>1</w:t>
            </w:r>
          </w:p>
        </w:tc>
        <w:tc>
          <w:tcPr>
            <w:tcW w:w="6545" w:type="dxa"/>
            <w:vAlign w:val="center"/>
          </w:tcPr>
          <w:p w14:paraId="38664568">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微软雅黑" w:hAnsi="微软雅黑" w:eastAsia="微软雅黑" w:cs="微软雅黑"/>
                <w:color w:val="auto"/>
                <w:spacing w:val="-2"/>
                <w:sz w:val="20"/>
                <w:szCs w:val="20"/>
                <w:highlight w:val="none"/>
              </w:rPr>
            </w:pPr>
            <w:r>
              <w:rPr>
                <w:rFonts w:hint="eastAsia" w:ascii="微软雅黑" w:hAnsi="微软雅黑" w:eastAsia="微软雅黑" w:cs="微软雅黑"/>
                <w:color w:val="auto"/>
                <w:spacing w:val="-2"/>
                <w:sz w:val="20"/>
                <w:szCs w:val="20"/>
                <w:highlight w:val="none"/>
              </w:rPr>
              <w:t>各供应商投标报价未高于预算</w:t>
            </w:r>
            <w:r>
              <w:rPr>
                <w:rFonts w:hint="eastAsia" w:ascii="微软雅黑" w:hAnsi="微软雅黑" w:eastAsia="微软雅黑" w:cs="微软雅黑"/>
                <w:color w:val="auto"/>
                <w:spacing w:val="-2"/>
                <w:sz w:val="20"/>
                <w:szCs w:val="20"/>
                <w:highlight w:val="none"/>
                <w:lang w:eastAsia="zh-CN"/>
              </w:rPr>
              <w:t>单价</w:t>
            </w:r>
            <w:r>
              <w:rPr>
                <w:rFonts w:hint="eastAsia" w:ascii="微软雅黑" w:hAnsi="微软雅黑" w:eastAsia="微软雅黑" w:cs="微软雅黑"/>
                <w:color w:val="auto"/>
                <w:spacing w:val="-2"/>
                <w:sz w:val="20"/>
                <w:szCs w:val="20"/>
                <w:highlight w:val="none"/>
              </w:rPr>
              <w:t>；</w:t>
            </w:r>
          </w:p>
        </w:tc>
        <w:tc>
          <w:tcPr>
            <w:tcW w:w="828" w:type="dxa"/>
            <w:vAlign w:val="center"/>
          </w:tcPr>
          <w:p w14:paraId="47083E62">
            <w:pPr>
              <w:spacing w:line="400" w:lineRule="exact"/>
              <w:rPr>
                <w:rFonts w:hint="eastAsia" w:ascii="微软雅黑" w:hAnsi="微软雅黑" w:eastAsia="微软雅黑" w:cs="微软雅黑"/>
                <w:color w:val="auto"/>
                <w:spacing w:val="-2"/>
                <w:sz w:val="20"/>
                <w:szCs w:val="20"/>
                <w:highlight w:val="none"/>
              </w:rPr>
            </w:pPr>
          </w:p>
        </w:tc>
        <w:tc>
          <w:tcPr>
            <w:tcW w:w="1053" w:type="dxa"/>
            <w:vAlign w:val="center"/>
          </w:tcPr>
          <w:p w14:paraId="154B97F6">
            <w:pPr>
              <w:spacing w:line="400" w:lineRule="exact"/>
              <w:rPr>
                <w:rFonts w:hint="eastAsia" w:ascii="微软雅黑" w:hAnsi="微软雅黑" w:eastAsia="微软雅黑" w:cs="微软雅黑"/>
                <w:color w:val="auto"/>
                <w:spacing w:val="-2"/>
                <w:sz w:val="20"/>
                <w:szCs w:val="20"/>
                <w:highlight w:val="none"/>
              </w:rPr>
            </w:pPr>
          </w:p>
        </w:tc>
        <w:tc>
          <w:tcPr>
            <w:tcW w:w="1080" w:type="dxa"/>
            <w:vAlign w:val="center"/>
          </w:tcPr>
          <w:p w14:paraId="33D2EF6D">
            <w:pPr>
              <w:spacing w:line="400" w:lineRule="exact"/>
              <w:rPr>
                <w:rFonts w:hint="eastAsia" w:ascii="微软雅黑" w:hAnsi="微软雅黑" w:eastAsia="微软雅黑" w:cs="微软雅黑"/>
                <w:color w:val="auto"/>
                <w:spacing w:val="-2"/>
                <w:sz w:val="20"/>
                <w:szCs w:val="20"/>
                <w:highlight w:val="none"/>
              </w:rPr>
            </w:pPr>
          </w:p>
        </w:tc>
      </w:tr>
      <w:tr w14:paraId="52DAC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jc w:val="center"/>
        </w:trPr>
        <w:tc>
          <w:tcPr>
            <w:tcW w:w="721" w:type="dxa"/>
            <w:vAlign w:val="center"/>
          </w:tcPr>
          <w:p w14:paraId="4BDC9BAC">
            <w:pPr>
              <w:spacing w:line="400" w:lineRule="exact"/>
              <w:jc w:val="center"/>
              <w:rPr>
                <w:rFonts w:hint="eastAsia" w:ascii="微软雅黑" w:hAnsi="微软雅黑" w:eastAsia="微软雅黑" w:cs="微软雅黑"/>
                <w:color w:val="auto"/>
                <w:spacing w:val="-2"/>
                <w:sz w:val="20"/>
                <w:szCs w:val="20"/>
                <w:highlight w:val="none"/>
              </w:rPr>
            </w:pPr>
            <w:r>
              <w:rPr>
                <w:rFonts w:hint="eastAsia" w:ascii="微软雅黑" w:hAnsi="微软雅黑" w:eastAsia="微软雅黑" w:cs="微软雅黑"/>
                <w:color w:val="auto"/>
                <w:spacing w:val="-2"/>
                <w:sz w:val="20"/>
                <w:szCs w:val="20"/>
                <w:highlight w:val="none"/>
              </w:rPr>
              <w:t>2</w:t>
            </w:r>
          </w:p>
        </w:tc>
        <w:tc>
          <w:tcPr>
            <w:tcW w:w="6545" w:type="dxa"/>
            <w:vAlign w:val="center"/>
          </w:tcPr>
          <w:p w14:paraId="3F79F7F8">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微软雅黑" w:hAnsi="微软雅黑" w:eastAsia="微软雅黑" w:cs="微软雅黑"/>
                <w:color w:val="auto"/>
                <w:spacing w:val="-2"/>
                <w:sz w:val="20"/>
                <w:szCs w:val="20"/>
                <w:highlight w:val="none"/>
              </w:rPr>
            </w:pPr>
            <w:r>
              <w:rPr>
                <w:rFonts w:hint="eastAsia" w:ascii="微软雅黑" w:hAnsi="微软雅黑" w:eastAsia="微软雅黑" w:cs="微软雅黑"/>
                <w:color w:val="auto"/>
                <w:spacing w:val="-2"/>
                <w:sz w:val="20"/>
                <w:szCs w:val="20"/>
                <w:highlight w:val="none"/>
              </w:rPr>
              <w:t>评标委员会认为供应商的报价无明显低于其他通过</w:t>
            </w:r>
            <w:r>
              <w:rPr>
                <w:rFonts w:hint="eastAsia" w:ascii="微软雅黑" w:hAnsi="微软雅黑" w:eastAsia="微软雅黑" w:cs="微软雅黑"/>
                <w:color w:val="auto"/>
                <w:spacing w:val="-2"/>
                <w:sz w:val="20"/>
                <w:szCs w:val="20"/>
                <w:highlight w:val="none"/>
                <w:lang w:val="en-US" w:eastAsia="zh-CN"/>
              </w:rPr>
              <w:t>符合</w:t>
            </w:r>
            <w:r>
              <w:rPr>
                <w:rFonts w:hint="eastAsia" w:ascii="微软雅黑" w:hAnsi="微软雅黑" w:eastAsia="微软雅黑" w:cs="微软雅黑"/>
                <w:color w:val="auto"/>
                <w:spacing w:val="-2"/>
                <w:sz w:val="20"/>
                <w:szCs w:val="20"/>
                <w:highlight w:val="none"/>
              </w:rPr>
              <w:t>性审查供应商的报价的，供应商的报价不存在异常一致并成规律性的，其报价合理；</w:t>
            </w:r>
          </w:p>
        </w:tc>
        <w:tc>
          <w:tcPr>
            <w:tcW w:w="828" w:type="dxa"/>
            <w:vAlign w:val="center"/>
          </w:tcPr>
          <w:p w14:paraId="7D9C33D8">
            <w:pPr>
              <w:spacing w:line="400" w:lineRule="exact"/>
              <w:rPr>
                <w:rFonts w:hint="eastAsia" w:ascii="微软雅黑" w:hAnsi="微软雅黑" w:eastAsia="微软雅黑" w:cs="微软雅黑"/>
                <w:color w:val="auto"/>
                <w:spacing w:val="-2"/>
                <w:sz w:val="20"/>
                <w:szCs w:val="20"/>
                <w:highlight w:val="none"/>
              </w:rPr>
            </w:pPr>
          </w:p>
        </w:tc>
        <w:tc>
          <w:tcPr>
            <w:tcW w:w="1053" w:type="dxa"/>
            <w:vAlign w:val="center"/>
          </w:tcPr>
          <w:p w14:paraId="07E2980E">
            <w:pPr>
              <w:spacing w:line="400" w:lineRule="exact"/>
              <w:rPr>
                <w:rFonts w:hint="eastAsia" w:ascii="微软雅黑" w:hAnsi="微软雅黑" w:eastAsia="微软雅黑" w:cs="微软雅黑"/>
                <w:color w:val="auto"/>
                <w:spacing w:val="-2"/>
                <w:sz w:val="20"/>
                <w:szCs w:val="20"/>
                <w:highlight w:val="none"/>
              </w:rPr>
            </w:pPr>
          </w:p>
        </w:tc>
        <w:tc>
          <w:tcPr>
            <w:tcW w:w="1080" w:type="dxa"/>
            <w:vAlign w:val="center"/>
          </w:tcPr>
          <w:p w14:paraId="4908C6E3">
            <w:pPr>
              <w:spacing w:line="400" w:lineRule="exact"/>
              <w:rPr>
                <w:rFonts w:hint="eastAsia" w:ascii="微软雅黑" w:hAnsi="微软雅黑" w:eastAsia="微软雅黑" w:cs="微软雅黑"/>
                <w:color w:val="auto"/>
                <w:spacing w:val="-2"/>
                <w:sz w:val="20"/>
                <w:szCs w:val="20"/>
                <w:highlight w:val="none"/>
              </w:rPr>
            </w:pPr>
          </w:p>
        </w:tc>
      </w:tr>
      <w:tr w14:paraId="7884B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721" w:type="dxa"/>
            <w:vAlign w:val="center"/>
          </w:tcPr>
          <w:p w14:paraId="518E6683">
            <w:pPr>
              <w:spacing w:line="400" w:lineRule="exact"/>
              <w:jc w:val="center"/>
              <w:rPr>
                <w:rFonts w:hint="eastAsia" w:ascii="微软雅黑" w:hAnsi="微软雅黑" w:eastAsia="微软雅黑" w:cs="微软雅黑"/>
                <w:color w:val="auto"/>
                <w:spacing w:val="-2"/>
                <w:sz w:val="20"/>
                <w:szCs w:val="20"/>
                <w:highlight w:val="none"/>
              </w:rPr>
            </w:pPr>
            <w:r>
              <w:rPr>
                <w:rFonts w:hint="eastAsia" w:ascii="微软雅黑" w:hAnsi="微软雅黑" w:eastAsia="微软雅黑" w:cs="微软雅黑"/>
                <w:color w:val="auto"/>
                <w:spacing w:val="-2"/>
                <w:sz w:val="20"/>
                <w:szCs w:val="20"/>
                <w:highlight w:val="none"/>
              </w:rPr>
              <w:t>3</w:t>
            </w:r>
          </w:p>
        </w:tc>
        <w:tc>
          <w:tcPr>
            <w:tcW w:w="6545" w:type="dxa"/>
            <w:vAlign w:val="center"/>
          </w:tcPr>
          <w:p w14:paraId="04521F63">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微软雅黑" w:hAnsi="微软雅黑" w:eastAsia="微软雅黑" w:cs="微软雅黑"/>
                <w:color w:val="auto"/>
                <w:spacing w:val="-2"/>
                <w:sz w:val="20"/>
                <w:szCs w:val="20"/>
                <w:highlight w:val="none"/>
              </w:rPr>
            </w:pPr>
            <w:r>
              <w:rPr>
                <w:rFonts w:hint="eastAsia" w:ascii="微软雅黑" w:hAnsi="微软雅黑" w:eastAsia="微软雅黑" w:cs="微软雅黑"/>
                <w:color w:val="auto"/>
                <w:spacing w:val="-2"/>
                <w:sz w:val="20"/>
                <w:szCs w:val="20"/>
                <w:highlight w:val="none"/>
              </w:rPr>
              <w:t>投标文件按照招标文件的规定编制、标记及签署盖章的，法定代表人或委托代理人</w:t>
            </w:r>
            <w:r>
              <w:rPr>
                <w:rFonts w:hint="eastAsia" w:ascii="微软雅黑" w:hAnsi="微软雅黑" w:eastAsia="微软雅黑" w:cs="微软雅黑"/>
                <w:color w:val="auto"/>
                <w:spacing w:val="-2"/>
                <w:sz w:val="20"/>
                <w:szCs w:val="20"/>
                <w:highlight w:val="none"/>
                <w:lang w:val="en-US" w:eastAsia="zh-CN"/>
              </w:rPr>
              <w:t>签/</w:t>
            </w:r>
            <w:r>
              <w:rPr>
                <w:rFonts w:hint="eastAsia" w:ascii="微软雅黑" w:hAnsi="微软雅黑" w:eastAsia="微软雅黑" w:cs="微软雅黑"/>
                <w:color w:val="auto"/>
                <w:spacing w:val="-2"/>
                <w:sz w:val="20"/>
                <w:szCs w:val="20"/>
                <w:highlight w:val="none"/>
              </w:rPr>
              <w:t>章</w:t>
            </w:r>
            <w:r>
              <w:rPr>
                <w:rFonts w:hint="eastAsia" w:ascii="微软雅黑" w:hAnsi="微软雅黑" w:eastAsia="微软雅黑" w:cs="微软雅黑"/>
                <w:color w:val="auto"/>
                <w:spacing w:val="-2"/>
                <w:sz w:val="20"/>
                <w:szCs w:val="20"/>
                <w:highlight w:val="none"/>
                <w:lang w:eastAsia="zh-CN"/>
              </w:rPr>
              <w:t>；</w:t>
            </w:r>
          </w:p>
        </w:tc>
        <w:tc>
          <w:tcPr>
            <w:tcW w:w="828" w:type="dxa"/>
            <w:vAlign w:val="center"/>
          </w:tcPr>
          <w:p w14:paraId="2B93FA98">
            <w:pPr>
              <w:spacing w:line="400" w:lineRule="exact"/>
              <w:rPr>
                <w:rFonts w:hint="eastAsia" w:ascii="微软雅黑" w:hAnsi="微软雅黑" w:eastAsia="微软雅黑" w:cs="微软雅黑"/>
                <w:color w:val="auto"/>
                <w:sz w:val="20"/>
                <w:szCs w:val="20"/>
                <w:highlight w:val="none"/>
              </w:rPr>
            </w:pPr>
          </w:p>
        </w:tc>
        <w:tc>
          <w:tcPr>
            <w:tcW w:w="1053" w:type="dxa"/>
            <w:vAlign w:val="center"/>
          </w:tcPr>
          <w:p w14:paraId="5F6AA9FB">
            <w:pPr>
              <w:spacing w:line="400" w:lineRule="exact"/>
              <w:rPr>
                <w:rFonts w:hint="eastAsia" w:ascii="微软雅黑" w:hAnsi="微软雅黑" w:eastAsia="微软雅黑" w:cs="微软雅黑"/>
                <w:color w:val="auto"/>
                <w:sz w:val="20"/>
                <w:szCs w:val="20"/>
                <w:highlight w:val="none"/>
              </w:rPr>
            </w:pPr>
          </w:p>
        </w:tc>
        <w:tc>
          <w:tcPr>
            <w:tcW w:w="1080" w:type="dxa"/>
            <w:vAlign w:val="center"/>
          </w:tcPr>
          <w:p w14:paraId="348848B0">
            <w:pPr>
              <w:spacing w:line="400" w:lineRule="exact"/>
              <w:rPr>
                <w:rFonts w:hint="eastAsia" w:ascii="微软雅黑" w:hAnsi="微软雅黑" w:eastAsia="微软雅黑" w:cs="微软雅黑"/>
                <w:color w:val="auto"/>
                <w:sz w:val="20"/>
                <w:szCs w:val="20"/>
                <w:highlight w:val="none"/>
              </w:rPr>
            </w:pPr>
          </w:p>
        </w:tc>
      </w:tr>
      <w:tr w14:paraId="2A53E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721" w:type="dxa"/>
            <w:vAlign w:val="center"/>
          </w:tcPr>
          <w:p w14:paraId="6CA1EB4D">
            <w:pPr>
              <w:spacing w:line="400" w:lineRule="exact"/>
              <w:jc w:val="center"/>
              <w:rPr>
                <w:rFonts w:hint="eastAsia" w:ascii="微软雅黑" w:hAnsi="微软雅黑" w:eastAsia="微软雅黑" w:cs="微软雅黑"/>
                <w:color w:val="auto"/>
                <w:spacing w:val="-2"/>
                <w:kern w:val="2"/>
                <w:sz w:val="20"/>
                <w:szCs w:val="20"/>
                <w:highlight w:val="none"/>
                <w:lang w:val="en-US" w:eastAsia="zh-CN" w:bidi="ar-SA"/>
              </w:rPr>
            </w:pPr>
            <w:r>
              <w:rPr>
                <w:rFonts w:hint="eastAsia" w:ascii="微软雅黑" w:hAnsi="微软雅黑" w:eastAsia="微软雅黑" w:cs="微软雅黑"/>
                <w:color w:val="auto"/>
                <w:spacing w:val="-2"/>
                <w:sz w:val="20"/>
                <w:szCs w:val="20"/>
                <w:highlight w:val="none"/>
              </w:rPr>
              <w:t>4</w:t>
            </w:r>
          </w:p>
        </w:tc>
        <w:tc>
          <w:tcPr>
            <w:tcW w:w="6545" w:type="dxa"/>
            <w:vAlign w:val="center"/>
          </w:tcPr>
          <w:p w14:paraId="6F5A99CE">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微软雅黑" w:hAnsi="微软雅黑" w:eastAsia="微软雅黑" w:cs="微软雅黑"/>
                <w:color w:val="auto"/>
                <w:spacing w:val="-2"/>
                <w:kern w:val="2"/>
                <w:sz w:val="20"/>
                <w:szCs w:val="20"/>
                <w:highlight w:val="none"/>
                <w:lang w:val="en-US" w:eastAsia="zh-CN" w:bidi="ar-SA"/>
              </w:rPr>
            </w:pPr>
            <w:r>
              <w:rPr>
                <w:rFonts w:hint="eastAsia" w:ascii="微软雅黑" w:hAnsi="微软雅黑" w:eastAsia="微软雅黑" w:cs="微软雅黑"/>
                <w:color w:val="auto"/>
                <w:spacing w:val="-2"/>
                <w:sz w:val="20"/>
                <w:szCs w:val="20"/>
                <w:highlight w:val="none"/>
              </w:rPr>
              <w:t>所投产品的设备及数量满足招标文件要求的；</w:t>
            </w:r>
          </w:p>
        </w:tc>
        <w:tc>
          <w:tcPr>
            <w:tcW w:w="828" w:type="dxa"/>
            <w:vAlign w:val="center"/>
          </w:tcPr>
          <w:p w14:paraId="06114C78">
            <w:pPr>
              <w:spacing w:line="400" w:lineRule="exact"/>
              <w:rPr>
                <w:rFonts w:hint="eastAsia" w:ascii="微软雅黑" w:hAnsi="微软雅黑" w:eastAsia="微软雅黑" w:cs="微软雅黑"/>
                <w:color w:val="auto"/>
                <w:spacing w:val="-2"/>
                <w:sz w:val="20"/>
                <w:szCs w:val="20"/>
                <w:highlight w:val="none"/>
              </w:rPr>
            </w:pPr>
          </w:p>
        </w:tc>
        <w:tc>
          <w:tcPr>
            <w:tcW w:w="1053" w:type="dxa"/>
            <w:vAlign w:val="center"/>
          </w:tcPr>
          <w:p w14:paraId="433C747B">
            <w:pPr>
              <w:spacing w:line="400" w:lineRule="exact"/>
              <w:rPr>
                <w:rFonts w:hint="eastAsia" w:ascii="微软雅黑" w:hAnsi="微软雅黑" w:eastAsia="微软雅黑" w:cs="微软雅黑"/>
                <w:color w:val="auto"/>
                <w:spacing w:val="-2"/>
                <w:sz w:val="20"/>
                <w:szCs w:val="20"/>
                <w:highlight w:val="none"/>
              </w:rPr>
            </w:pPr>
          </w:p>
        </w:tc>
        <w:tc>
          <w:tcPr>
            <w:tcW w:w="1080" w:type="dxa"/>
            <w:vAlign w:val="center"/>
          </w:tcPr>
          <w:p w14:paraId="74B7D52F">
            <w:pPr>
              <w:spacing w:line="400" w:lineRule="exact"/>
              <w:rPr>
                <w:rFonts w:hint="eastAsia" w:ascii="微软雅黑" w:hAnsi="微软雅黑" w:eastAsia="微软雅黑" w:cs="微软雅黑"/>
                <w:color w:val="auto"/>
                <w:spacing w:val="-2"/>
                <w:sz w:val="20"/>
                <w:szCs w:val="20"/>
                <w:highlight w:val="none"/>
              </w:rPr>
            </w:pPr>
          </w:p>
        </w:tc>
      </w:tr>
      <w:tr w14:paraId="5B7FB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721" w:type="dxa"/>
            <w:vAlign w:val="center"/>
          </w:tcPr>
          <w:p w14:paraId="048B07F8">
            <w:pPr>
              <w:spacing w:line="400" w:lineRule="exact"/>
              <w:jc w:val="center"/>
              <w:rPr>
                <w:rFonts w:hint="eastAsia" w:ascii="微软雅黑" w:hAnsi="微软雅黑" w:eastAsia="微软雅黑" w:cs="微软雅黑"/>
                <w:color w:val="auto"/>
                <w:spacing w:val="-2"/>
                <w:kern w:val="2"/>
                <w:sz w:val="20"/>
                <w:szCs w:val="20"/>
                <w:highlight w:val="none"/>
                <w:lang w:val="en-US" w:eastAsia="zh-CN" w:bidi="ar-SA"/>
              </w:rPr>
            </w:pPr>
            <w:r>
              <w:rPr>
                <w:rFonts w:hint="eastAsia" w:ascii="微软雅黑" w:hAnsi="微软雅黑" w:eastAsia="微软雅黑" w:cs="微软雅黑"/>
                <w:color w:val="auto"/>
                <w:spacing w:val="-2"/>
                <w:sz w:val="20"/>
                <w:szCs w:val="20"/>
                <w:highlight w:val="none"/>
              </w:rPr>
              <w:t>5</w:t>
            </w:r>
          </w:p>
        </w:tc>
        <w:tc>
          <w:tcPr>
            <w:tcW w:w="6545" w:type="dxa"/>
            <w:vAlign w:val="center"/>
          </w:tcPr>
          <w:p w14:paraId="19219688">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微软雅黑" w:hAnsi="微软雅黑" w:eastAsia="微软雅黑" w:cs="微软雅黑"/>
                <w:color w:val="auto"/>
                <w:spacing w:val="-2"/>
                <w:kern w:val="2"/>
                <w:sz w:val="20"/>
                <w:szCs w:val="20"/>
                <w:highlight w:val="none"/>
                <w:lang w:val="en-US" w:eastAsia="zh-CN" w:bidi="ar-SA"/>
              </w:rPr>
            </w:pPr>
            <w:r>
              <w:rPr>
                <w:rFonts w:hint="eastAsia" w:ascii="微软雅黑" w:hAnsi="微软雅黑" w:eastAsia="微软雅黑" w:cs="微软雅黑"/>
                <w:color w:val="auto"/>
                <w:spacing w:val="-2"/>
                <w:sz w:val="20"/>
                <w:szCs w:val="20"/>
                <w:highlight w:val="none"/>
              </w:rPr>
              <w:t>按招标文件规定的格式填写，内容</w:t>
            </w:r>
            <w:r>
              <w:rPr>
                <w:rFonts w:hint="eastAsia" w:ascii="微软雅黑" w:hAnsi="微软雅黑" w:eastAsia="微软雅黑" w:cs="微软雅黑"/>
                <w:color w:val="auto"/>
                <w:spacing w:val="-2"/>
                <w:sz w:val="20"/>
                <w:szCs w:val="20"/>
                <w:highlight w:val="none"/>
                <w:lang w:val="en-US" w:eastAsia="zh-CN"/>
              </w:rPr>
              <w:t>全面</w:t>
            </w:r>
            <w:r>
              <w:rPr>
                <w:rFonts w:hint="eastAsia" w:ascii="微软雅黑" w:hAnsi="微软雅黑" w:eastAsia="微软雅黑" w:cs="微软雅黑"/>
                <w:color w:val="auto"/>
                <w:spacing w:val="-2"/>
                <w:sz w:val="20"/>
                <w:szCs w:val="20"/>
                <w:highlight w:val="none"/>
              </w:rPr>
              <w:t>；</w:t>
            </w:r>
          </w:p>
        </w:tc>
        <w:tc>
          <w:tcPr>
            <w:tcW w:w="828" w:type="dxa"/>
            <w:vAlign w:val="center"/>
          </w:tcPr>
          <w:p w14:paraId="7B584C80">
            <w:pPr>
              <w:spacing w:line="400" w:lineRule="exact"/>
              <w:rPr>
                <w:rFonts w:hint="eastAsia" w:ascii="微软雅黑" w:hAnsi="微软雅黑" w:eastAsia="微软雅黑" w:cs="微软雅黑"/>
                <w:color w:val="auto"/>
                <w:spacing w:val="-2"/>
                <w:sz w:val="20"/>
                <w:szCs w:val="20"/>
                <w:highlight w:val="none"/>
              </w:rPr>
            </w:pPr>
          </w:p>
        </w:tc>
        <w:tc>
          <w:tcPr>
            <w:tcW w:w="1053" w:type="dxa"/>
            <w:vAlign w:val="center"/>
          </w:tcPr>
          <w:p w14:paraId="4DA273FA">
            <w:pPr>
              <w:spacing w:line="400" w:lineRule="exact"/>
              <w:rPr>
                <w:rFonts w:hint="eastAsia" w:ascii="微软雅黑" w:hAnsi="微软雅黑" w:eastAsia="微软雅黑" w:cs="微软雅黑"/>
                <w:color w:val="auto"/>
                <w:spacing w:val="-2"/>
                <w:sz w:val="20"/>
                <w:szCs w:val="20"/>
                <w:highlight w:val="none"/>
              </w:rPr>
            </w:pPr>
          </w:p>
        </w:tc>
        <w:tc>
          <w:tcPr>
            <w:tcW w:w="1080" w:type="dxa"/>
            <w:vAlign w:val="center"/>
          </w:tcPr>
          <w:p w14:paraId="72A79785">
            <w:pPr>
              <w:spacing w:line="400" w:lineRule="exact"/>
              <w:rPr>
                <w:rFonts w:hint="eastAsia" w:ascii="微软雅黑" w:hAnsi="微软雅黑" w:eastAsia="微软雅黑" w:cs="微软雅黑"/>
                <w:color w:val="auto"/>
                <w:spacing w:val="-2"/>
                <w:sz w:val="20"/>
                <w:szCs w:val="20"/>
                <w:highlight w:val="none"/>
              </w:rPr>
            </w:pPr>
          </w:p>
        </w:tc>
      </w:tr>
      <w:tr w14:paraId="1FFFA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721" w:type="dxa"/>
            <w:vAlign w:val="center"/>
          </w:tcPr>
          <w:p w14:paraId="24E7560F">
            <w:pPr>
              <w:spacing w:line="400" w:lineRule="exact"/>
              <w:jc w:val="center"/>
              <w:rPr>
                <w:rFonts w:hint="eastAsia" w:ascii="微软雅黑" w:hAnsi="微软雅黑" w:eastAsia="微软雅黑" w:cs="微软雅黑"/>
                <w:color w:val="auto"/>
                <w:spacing w:val="-2"/>
                <w:kern w:val="2"/>
                <w:sz w:val="20"/>
                <w:szCs w:val="20"/>
                <w:highlight w:val="none"/>
                <w:lang w:val="en-US" w:eastAsia="zh-CN" w:bidi="ar-SA"/>
              </w:rPr>
            </w:pPr>
            <w:r>
              <w:rPr>
                <w:rFonts w:hint="eastAsia" w:ascii="微软雅黑" w:hAnsi="微软雅黑" w:eastAsia="微软雅黑" w:cs="微软雅黑"/>
                <w:color w:val="auto"/>
                <w:spacing w:val="-2"/>
                <w:sz w:val="20"/>
                <w:szCs w:val="20"/>
                <w:highlight w:val="none"/>
              </w:rPr>
              <w:t>6</w:t>
            </w:r>
          </w:p>
        </w:tc>
        <w:tc>
          <w:tcPr>
            <w:tcW w:w="6545" w:type="dxa"/>
            <w:vAlign w:val="center"/>
          </w:tcPr>
          <w:p w14:paraId="71642D85">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微软雅黑" w:hAnsi="微软雅黑" w:eastAsia="微软雅黑" w:cs="微软雅黑"/>
                <w:color w:val="auto"/>
                <w:spacing w:val="-2"/>
                <w:kern w:val="2"/>
                <w:sz w:val="20"/>
                <w:szCs w:val="20"/>
                <w:highlight w:val="none"/>
                <w:lang w:val="en-US" w:eastAsia="zh-CN" w:bidi="ar-SA"/>
              </w:rPr>
            </w:pPr>
            <w:r>
              <w:rPr>
                <w:rFonts w:hint="eastAsia" w:ascii="微软雅黑" w:hAnsi="微软雅黑" w:eastAsia="微软雅黑" w:cs="微软雅黑"/>
                <w:color w:val="auto"/>
                <w:spacing w:val="-2"/>
                <w:sz w:val="20"/>
                <w:szCs w:val="20"/>
                <w:highlight w:val="none"/>
                <w:lang w:val="en-US" w:eastAsia="zh-CN"/>
              </w:rPr>
              <w:t>符合招标文件中规定的要求（交货期、质保期、交货地点等）；</w:t>
            </w:r>
          </w:p>
        </w:tc>
        <w:tc>
          <w:tcPr>
            <w:tcW w:w="828" w:type="dxa"/>
            <w:vAlign w:val="center"/>
          </w:tcPr>
          <w:p w14:paraId="1EC96FC8">
            <w:pPr>
              <w:spacing w:line="400" w:lineRule="exact"/>
              <w:rPr>
                <w:rFonts w:hint="eastAsia" w:ascii="微软雅黑" w:hAnsi="微软雅黑" w:eastAsia="微软雅黑" w:cs="微软雅黑"/>
                <w:color w:val="auto"/>
                <w:spacing w:val="-2"/>
                <w:sz w:val="20"/>
                <w:szCs w:val="20"/>
                <w:highlight w:val="none"/>
              </w:rPr>
            </w:pPr>
          </w:p>
        </w:tc>
        <w:tc>
          <w:tcPr>
            <w:tcW w:w="1053" w:type="dxa"/>
            <w:vAlign w:val="center"/>
          </w:tcPr>
          <w:p w14:paraId="7C344FBB">
            <w:pPr>
              <w:spacing w:line="400" w:lineRule="exact"/>
              <w:rPr>
                <w:rFonts w:hint="eastAsia" w:ascii="微软雅黑" w:hAnsi="微软雅黑" w:eastAsia="微软雅黑" w:cs="微软雅黑"/>
                <w:color w:val="auto"/>
                <w:spacing w:val="-2"/>
                <w:sz w:val="20"/>
                <w:szCs w:val="20"/>
                <w:highlight w:val="none"/>
              </w:rPr>
            </w:pPr>
          </w:p>
        </w:tc>
        <w:tc>
          <w:tcPr>
            <w:tcW w:w="1080" w:type="dxa"/>
            <w:vAlign w:val="center"/>
          </w:tcPr>
          <w:p w14:paraId="2C8F8A28">
            <w:pPr>
              <w:spacing w:line="400" w:lineRule="exact"/>
              <w:rPr>
                <w:rFonts w:hint="eastAsia" w:ascii="微软雅黑" w:hAnsi="微软雅黑" w:eastAsia="微软雅黑" w:cs="微软雅黑"/>
                <w:color w:val="auto"/>
                <w:spacing w:val="-2"/>
                <w:sz w:val="20"/>
                <w:szCs w:val="20"/>
                <w:highlight w:val="none"/>
              </w:rPr>
            </w:pPr>
          </w:p>
        </w:tc>
      </w:tr>
      <w:tr w14:paraId="00D0D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721" w:type="dxa"/>
            <w:vAlign w:val="center"/>
          </w:tcPr>
          <w:p w14:paraId="6BF788FE">
            <w:pPr>
              <w:spacing w:line="400" w:lineRule="exact"/>
              <w:jc w:val="center"/>
              <w:rPr>
                <w:rFonts w:hint="eastAsia" w:ascii="微软雅黑" w:hAnsi="微软雅黑" w:eastAsia="微软雅黑" w:cs="微软雅黑"/>
                <w:color w:val="auto"/>
                <w:spacing w:val="-2"/>
                <w:kern w:val="2"/>
                <w:sz w:val="20"/>
                <w:szCs w:val="20"/>
                <w:highlight w:val="none"/>
                <w:lang w:val="en-US" w:eastAsia="zh-CN" w:bidi="ar-SA"/>
              </w:rPr>
            </w:pPr>
            <w:r>
              <w:rPr>
                <w:rFonts w:hint="eastAsia" w:ascii="微软雅黑" w:hAnsi="微软雅黑" w:eastAsia="微软雅黑" w:cs="微软雅黑"/>
                <w:color w:val="auto"/>
                <w:spacing w:val="-2"/>
                <w:sz w:val="20"/>
                <w:szCs w:val="20"/>
                <w:highlight w:val="none"/>
              </w:rPr>
              <w:t>7</w:t>
            </w:r>
          </w:p>
        </w:tc>
        <w:tc>
          <w:tcPr>
            <w:tcW w:w="6545" w:type="dxa"/>
            <w:vAlign w:val="center"/>
          </w:tcPr>
          <w:p w14:paraId="0A100932">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微软雅黑" w:hAnsi="微软雅黑" w:eastAsia="微软雅黑" w:cs="微软雅黑"/>
                <w:color w:val="auto"/>
                <w:spacing w:val="-2"/>
                <w:kern w:val="2"/>
                <w:sz w:val="20"/>
                <w:szCs w:val="20"/>
                <w:highlight w:val="none"/>
                <w:lang w:val="en-US" w:eastAsia="zh-CN" w:bidi="ar-SA"/>
              </w:rPr>
            </w:pPr>
            <w:r>
              <w:rPr>
                <w:rFonts w:hint="eastAsia" w:ascii="微软雅黑" w:hAnsi="微软雅黑" w:eastAsia="微软雅黑" w:cs="微软雅黑"/>
                <w:color w:val="auto"/>
                <w:spacing w:val="-2"/>
                <w:sz w:val="20"/>
                <w:szCs w:val="20"/>
                <w:highlight w:val="none"/>
              </w:rPr>
              <w:t>没有采购人不能接受的附加条件的；</w:t>
            </w:r>
          </w:p>
        </w:tc>
        <w:tc>
          <w:tcPr>
            <w:tcW w:w="828" w:type="dxa"/>
            <w:vAlign w:val="center"/>
          </w:tcPr>
          <w:p w14:paraId="4B71AC56">
            <w:pPr>
              <w:spacing w:line="400" w:lineRule="exact"/>
              <w:rPr>
                <w:rFonts w:hint="eastAsia" w:ascii="微软雅黑" w:hAnsi="微软雅黑" w:eastAsia="微软雅黑" w:cs="微软雅黑"/>
                <w:color w:val="auto"/>
                <w:spacing w:val="-2"/>
                <w:sz w:val="20"/>
                <w:szCs w:val="20"/>
                <w:highlight w:val="none"/>
              </w:rPr>
            </w:pPr>
          </w:p>
        </w:tc>
        <w:tc>
          <w:tcPr>
            <w:tcW w:w="1053" w:type="dxa"/>
            <w:vAlign w:val="center"/>
          </w:tcPr>
          <w:p w14:paraId="496A0FEC">
            <w:pPr>
              <w:spacing w:line="400" w:lineRule="exact"/>
              <w:rPr>
                <w:rFonts w:hint="eastAsia" w:ascii="微软雅黑" w:hAnsi="微软雅黑" w:eastAsia="微软雅黑" w:cs="微软雅黑"/>
                <w:color w:val="auto"/>
                <w:spacing w:val="-2"/>
                <w:sz w:val="20"/>
                <w:szCs w:val="20"/>
                <w:highlight w:val="none"/>
              </w:rPr>
            </w:pPr>
          </w:p>
        </w:tc>
        <w:tc>
          <w:tcPr>
            <w:tcW w:w="1080" w:type="dxa"/>
            <w:vAlign w:val="center"/>
          </w:tcPr>
          <w:p w14:paraId="2E9B7085">
            <w:pPr>
              <w:spacing w:line="400" w:lineRule="exact"/>
              <w:rPr>
                <w:rFonts w:hint="eastAsia" w:ascii="微软雅黑" w:hAnsi="微软雅黑" w:eastAsia="微软雅黑" w:cs="微软雅黑"/>
                <w:color w:val="auto"/>
                <w:spacing w:val="-2"/>
                <w:sz w:val="20"/>
                <w:szCs w:val="20"/>
                <w:highlight w:val="none"/>
              </w:rPr>
            </w:pPr>
          </w:p>
        </w:tc>
      </w:tr>
      <w:tr w14:paraId="03D71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721" w:type="dxa"/>
            <w:vAlign w:val="center"/>
          </w:tcPr>
          <w:p w14:paraId="12C6DB96">
            <w:pPr>
              <w:spacing w:line="400" w:lineRule="exact"/>
              <w:jc w:val="center"/>
              <w:rPr>
                <w:rFonts w:hint="eastAsia" w:ascii="微软雅黑" w:hAnsi="微软雅黑" w:eastAsia="微软雅黑" w:cs="微软雅黑"/>
                <w:color w:val="auto"/>
                <w:spacing w:val="-2"/>
                <w:kern w:val="2"/>
                <w:sz w:val="20"/>
                <w:szCs w:val="20"/>
                <w:highlight w:val="none"/>
                <w:lang w:val="en-US" w:eastAsia="zh-CN" w:bidi="ar-SA"/>
              </w:rPr>
            </w:pPr>
            <w:r>
              <w:rPr>
                <w:rFonts w:hint="eastAsia" w:ascii="微软雅黑" w:hAnsi="微软雅黑" w:eastAsia="微软雅黑" w:cs="微软雅黑"/>
                <w:color w:val="auto"/>
                <w:spacing w:val="-2"/>
                <w:sz w:val="20"/>
                <w:szCs w:val="20"/>
                <w:highlight w:val="none"/>
              </w:rPr>
              <w:t>8</w:t>
            </w:r>
          </w:p>
        </w:tc>
        <w:tc>
          <w:tcPr>
            <w:tcW w:w="6545" w:type="dxa"/>
            <w:vAlign w:val="center"/>
          </w:tcPr>
          <w:p w14:paraId="21060B25">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微软雅黑" w:hAnsi="微软雅黑" w:eastAsia="微软雅黑" w:cs="微软雅黑"/>
                <w:color w:val="auto"/>
                <w:spacing w:val="-2"/>
                <w:kern w:val="2"/>
                <w:sz w:val="20"/>
                <w:szCs w:val="20"/>
                <w:highlight w:val="none"/>
                <w:lang w:val="en-US" w:eastAsia="zh-CN" w:bidi="ar-SA"/>
              </w:rPr>
            </w:pPr>
            <w:r>
              <w:rPr>
                <w:rFonts w:hint="eastAsia" w:ascii="微软雅黑" w:hAnsi="微软雅黑" w:eastAsia="微软雅黑" w:cs="微软雅黑"/>
                <w:color w:val="auto"/>
                <w:spacing w:val="-2"/>
                <w:sz w:val="20"/>
                <w:szCs w:val="20"/>
                <w:highlight w:val="none"/>
              </w:rPr>
              <w:t>不同供应商的投标文件没有错漏一致的情况；</w:t>
            </w:r>
          </w:p>
        </w:tc>
        <w:tc>
          <w:tcPr>
            <w:tcW w:w="828" w:type="dxa"/>
            <w:vAlign w:val="center"/>
          </w:tcPr>
          <w:p w14:paraId="27C11055">
            <w:pPr>
              <w:spacing w:line="400" w:lineRule="exact"/>
              <w:rPr>
                <w:rFonts w:hint="eastAsia" w:ascii="微软雅黑" w:hAnsi="微软雅黑" w:eastAsia="微软雅黑" w:cs="微软雅黑"/>
                <w:color w:val="auto"/>
                <w:spacing w:val="-2"/>
                <w:sz w:val="20"/>
                <w:szCs w:val="20"/>
                <w:highlight w:val="none"/>
              </w:rPr>
            </w:pPr>
          </w:p>
        </w:tc>
        <w:tc>
          <w:tcPr>
            <w:tcW w:w="1053" w:type="dxa"/>
            <w:vAlign w:val="center"/>
          </w:tcPr>
          <w:p w14:paraId="0BB99F8B">
            <w:pPr>
              <w:spacing w:line="400" w:lineRule="exact"/>
              <w:rPr>
                <w:rFonts w:hint="eastAsia" w:ascii="微软雅黑" w:hAnsi="微软雅黑" w:eastAsia="微软雅黑" w:cs="微软雅黑"/>
                <w:color w:val="auto"/>
                <w:spacing w:val="-2"/>
                <w:sz w:val="20"/>
                <w:szCs w:val="20"/>
                <w:highlight w:val="none"/>
              </w:rPr>
            </w:pPr>
          </w:p>
        </w:tc>
        <w:tc>
          <w:tcPr>
            <w:tcW w:w="1080" w:type="dxa"/>
            <w:vAlign w:val="center"/>
          </w:tcPr>
          <w:p w14:paraId="306BE011">
            <w:pPr>
              <w:spacing w:line="400" w:lineRule="exact"/>
              <w:rPr>
                <w:rFonts w:hint="eastAsia" w:ascii="微软雅黑" w:hAnsi="微软雅黑" w:eastAsia="微软雅黑" w:cs="微软雅黑"/>
                <w:color w:val="auto"/>
                <w:spacing w:val="-2"/>
                <w:sz w:val="20"/>
                <w:szCs w:val="20"/>
                <w:highlight w:val="none"/>
              </w:rPr>
            </w:pPr>
          </w:p>
        </w:tc>
      </w:tr>
      <w:tr w14:paraId="7892D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721" w:type="dxa"/>
            <w:vAlign w:val="center"/>
          </w:tcPr>
          <w:p w14:paraId="2795D4D3">
            <w:pPr>
              <w:spacing w:line="400" w:lineRule="exact"/>
              <w:jc w:val="center"/>
              <w:rPr>
                <w:rFonts w:hint="eastAsia" w:ascii="微软雅黑" w:hAnsi="微软雅黑" w:eastAsia="微软雅黑" w:cs="微软雅黑"/>
                <w:color w:val="auto"/>
                <w:spacing w:val="-2"/>
                <w:kern w:val="2"/>
                <w:sz w:val="20"/>
                <w:szCs w:val="20"/>
                <w:highlight w:val="none"/>
                <w:lang w:val="en-US" w:eastAsia="zh-CN" w:bidi="ar-SA"/>
              </w:rPr>
            </w:pPr>
            <w:r>
              <w:rPr>
                <w:rFonts w:hint="eastAsia" w:ascii="微软雅黑" w:hAnsi="微软雅黑" w:eastAsia="微软雅黑" w:cs="微软雅黑"/>
                <w:color w:val="auto"/>
                <w:spacing w:val="-2"/>
                <w:sz w:val="20"/>
                <w:szCs w:val="20"/>
                <w:highlight w:val="none"/>
              </w:rPr>
              <w:t>9</w:t>
            </w:r>
          </w:p>
        </w:tc>
        <w:tc>
          <w:tcPr>
            <w:tcW w:w="6545" w:type="dxa"/>
            <w:vAlign w:val="center"/>
          </w:tcPr>
          <w:p w14:paraId="34F67498">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微软雅黑" w:hAnsi="微软雅黑" w:eastAsia="微软雅黑" w:cs="微软雅黑"/>
                <w:color w:val="auto"/>
                <w:spacing w:val="-2"/>
                <w:kern w:val="2"/>
                <w:sz w:val="20"/>
                <w:szCs w:val="20"/>
                <w:highlight w:val="none"/>
                <w:lang w:val="en-US" w:eastAsia="zh-CN" w:bidi="ar-SA"/>
              </w:rPr>
            </w:pPr>
            <w:r>
              <w:rPr>
                <w:rFonts w:hint="eastAsia" w:ascii="微软雅黑" w:hAnsi="微软雅黑" w:eastAsia="微软雅黑" w:cs="微软雅黑"/>
                <w:color w:val="auto"/>
                <w:spacing w:val="-2"/>
                <w:sz w:val="20"/>
                <w:szCs w:val="20"/>
                <w:highlight w:val="none"/>
              </w:rPr>
              <w:t>供应商附有详细地址、联系人、电话标明的</w:t>
            </w:r>
            <w:r>
              <w:rPr>
                <w:rFonts w:hint="eastAsia" w:ascii="微软雅黑" w:hAnsi="微软雅黑" w:eastAsia="微软雅黑" w:cs="微软雅黑"/>
                <w:color w:val="auto"/>
                <w:spacing w:val="-2"/>
                <w:sz w:val="20"/>
                <w:szCs w:val="20"/>
                <w:highlight w:val="none"/>
                <w:lang w:eastAsia="zh-CN"/>
              </w:rPr>
              <w:t>；</w:t>
            </w:r>
          </w:p>
        </w:tc>
        <w:tc>
          <w:tcPr>
            <w:tcW w:w="828" w:type="dxa"/>
            <w:vAlign w:val="center"/>
          </w:tcPr>
          <w:p w14:paraId="5384AE20">
            <w:pPr>
              <w:spacing w:line="400" w:lineRule="exact"/>
              <w:rPr>
                <w:rFonts w:hint="eastAsia" w:ascii="微软雅黑" w:hAnsi="微软雅黑" w:eastAsia="微软雅黑" w:cs="微软雅黑"/>
                <w:color w:val="auto"/>
                <w:spacing w:val="-2"/>
                <w:sz w:val="20"/>
                <w:szCs w:val="20"/>
                <w:highlight w:val="none"/>
              </w:rPr>
            </w:pPr>
          </w:p>
        </w:tc>
        <w:tc>
          <w:tcPr>
            <w:tcW w:w="1053" w:type="dxa"/>
            <w:vAlign w:val="center"/>
          </w:tcPr>
          <w:p w14:paraId="17CD4F2B">
            <w:pPr>
              <w:spacing w:line="400" w:lineRule="exact"/>
              <w:rPr>
                <w:rFonts w:hint="eastAsia" w:ascii="微软雅黑" w:hAnsi="微软雅黑" w:eastAsia="微软雅黑" w:cs="微软雅黑"/>
                <w:color w:val="auto"/>
                <w:spacing w:val="-2"/>
                <w:sz w:val="20"/>
                <w:szCs w:val="20"/>
                <w:highlight w:val="none"/>
              </w:rPr>
            </w:pPr>
          </w:p>
        </w:tc>
        <w:tc>
          <w:tcPr>
            <w:tcW w:w="1080" w:type="dxa"/>
            <w:vAlign w:val="center"/>
          </w:tcPr>
          <w:p w14:paraId="1850C536">
            <w:pPr>
              <w:spacing w:line="400" w:lineRule="exact"/>
              <w:rPr>
                <w:rFonts w:hint="eastAsia" w:ascii="微软雅黑" w:hAnsi="微软雅黑" w:eastAsia="微软雅黑" w:cs="微软雅黑"/>
                <w:color w:val="auto"/>
                <w:spacing w:val="-2"/>
                <w:sz w:val="20"/>
                <w:szCs w:val="20"/>
                <w:highlight w:val="none"/>
              </w:rPr>
            </w:pPr>
          </w:p>
        </w:tc>
      </w:tr>
      <w:tr w14:paraId="49239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721" w:type="dxa"/>
            <w:vAlign w:val="center"/>
          </w:tcPr>
          <w:p w14:paraId="012C678D">
            <w:pPr>
              <w:spacing w:line="400" w:lineRule="exact"/>
              <w:jc w:val="center"/>
              <w:rPr>
                <w:rFonts w:hint="eastAsia" w:ascii="微软雅黑" w:hAnsi="微软雅黑" w:eastAsia="微软雅黑" w:cs="微软雅黑"/>
                <w:color w:val="auto"/>
                <w:spacing w:val="-2"/>
                <w:sz w:val="20"/>
                <w:szCs w:val="20"/>
                <w:highlight w:val="none"/>
                <w:lang w:val="en-US" w:eastAsia="zh-CN"/>
              </w:rPr>
            </w:pPr>
            <w:r>
              <w:rPr>
                <w:rFonts w:hint="eastAsia" w:ascii="微软雅黑" w:hAnsi="微软雅黑" w:eastAsia="微软雅黑" w:cs="微软雅黑"/>
                <w:color w:val="auto"/>
                <w:spacing w:val="-2"/>
                <w:sz w:val="20"/>
                <w:szCs w:val="20"/>
                <w:highlight w:val="none"/>
                <w:lang w:val="en-US" w:eastAsia="zh-CN"/>
              </w:rPr>
              <w:t>10</w:t>
            </w:r>
          </w:p>
        </w:tc>
        <w:tc>
          <w:tcPr>
            <w:tcW w:w="6545" w:type="dxa"/>
            <w:vAlign w:val="center"/>
          </w:tcPr>
          <w:p w14:paraId="56C5E916">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微软雅黑" w:hAnsi="微软雅黑" w:eastAsia="微软雅黑" w:cs="微软雅黑"/>
                <w:color w:val="auto"/>
                <w:spacing w:val="-2"/>
                <w:sz w:val="20"/>
                <w:szCs w:val="20"/>
                <w:highlight w:val="none"/>
                <w:lang w:val="en-US" w:eastAsia="zh-CN"/>
              </w:rPr>
            </w:pPr>
            <w:r>
              <w:rPr>
                <w:rFonts w:hint="eastAsia" w:ascii="微软雅黑" w:hAnsi="微软雅黑" w:eastAsia="微软雅黑" w:cs="微软雅黑"/>
                <w:color w:val="auto"/>
                <w:spacing w:val="-2"/>
                <w:sz w:val="20"/>
                <w:szCs w:val="20"/>
                <w:highlight w:val="none"/>
                <w:lang w:val="en-US" w:eastAsia="zh-CN"/>
              </w:rPr>
              <w:t>未出现法律，法规规定的其它无效情形。</w:t>
            </w:r>
          </w:p>
        </w:tc>
        <w:tc>
          <w:tcPr>
            <w:tcW w:w="828" w:type="dxa"/>
            <w:vAlign w:val="center"/>
          </w:tcPr>
          <w:p w14:paraId="12964B2A">
            <w:pPr>
              <w:spacing w:line="400" w:lineRule="exact"/>
              <w:rPr>
                <w:rFonts w:hint="eastAsia" w:ascii="微软雅黑" w:hAnsi="微软雅黑" w:eastAsia="微软雅黑" w:cs="微软雅黑"/>
                <w:color w:val="auto"/>
                <w:spacing w:val="-2"/>
                <w:sz w:val="20"/>
                <w:szCs w:val="20"/>
                <w:highlight w:val="none"/>
              </w:rPr>
            </w:pPr>
          </w:p>
        </w:tc>
        <w:tc>
          <w:tcPr>
            <w:tcW w:w="1053" w:type="dxa"/>
            <w:vAlign w:val="center"/>
          </w:tcPr>
          <w:p w14:paraId="6F9095AF">
            <w:pPr>
              <w:spacing w:line="400" w:lineRule="exact"/>
              <w:rPr>
                <w:rFonts w:hint="eastAsia" w:ascii="微软雅黑" w:hAnsi="微软雅黑" w:eastAsia="微软雅黑" w:cs="微软雅黑"/>
                <w:color w:val="auto"/>
                <w:spacing w:val="-2"/>
                <w:sz w:val="20"/>
                <w:szCs w:val="20"/>
                <w:highlight w:val="none"/>
              </w:rPr>
            </w:pPr>
          </w:p>
        </w:tc>
        <w:tc>
          <w:tcPr>
            <w:tcW w:w="1080" w:type="dxa"/>
            <w:vAlign w:val="center"/>
          </w:tcPr>
          <w:p w14:paraId="24CE82F7">
            <w:pPr>
              <w:spacing w:line="400" w:lineRule="exact"/>
              <w:rPr>
                <w:rFonts w:hint="eastAsia" w:ascii="微软雅黑" w:hAnsi="微软雅黑" w:eastAsia="微软雅黑" w:cs="微软雅黑"/>
                <w:color w:val="auto"/>
                <w:spacing w:val="-2"/>
                <w:sz w:val="20"/>
                <w:szCs w:val="20"/>
                <w:highlight w:val="none"/>
              </w:rPr>
            </w:pPr>
          </w:p>
        </w:tc>
      </w:tr>
      <w:tr w14:paraId="2CDC2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7266" w:type="dxa"/>
            <w:gridSpan w:val="2"/>
            <w:vAlign w:val="center"/>
          </w:tcPr>
          <w:p w14:paraId="014E1027">
            <w:pPr>
              <w:spacing w:line="400" w:lineRule="exact"/>
              <w:ind w:firstLine="352" w:firstLineChars="180"/>
              <w:rPr>
                <w:rFonts w:hint="eastAsia" w:ascii="微软雅黑" w:hAnsi="微软雅黑" w:eastAsia="微软雅黑" w:cs="微软雅黑"/>
                <w:color w:val="auto"/>
                <w:spacing w:val="-2"/>
                <w:sz w:val="22"/>
                <w:szCs w:val="22"/>
                <w:highlight w:val="none"/>
              </w:rPr>
            </w:pPr>
            <w:r>
              <w:rPr>
                <w:rFonts w:hint="eastAsia" w:ascii="微软雅黑" w:hAnsi="微软雅黑" w:eastAsia="微软雅黑" w:cs="微软雅黑"/>
                <w:color w:val="auto"/>
                <w:spacing w:val="-2"/>
                <w:sz w:val="20"/>
                <w:szCs w:val="20"/>
                <w:highlight w:val="none"/>
              </w:rPr>
              <w:t>结论：通过评审打“√”，未通过评审打“×”</w:t>
            </w:r>
          </w:p>
        </w:tc>
        <w:tc>
          <w:tcPr>
            <w:tcW w:w="828" w:type="dxa"/>
            <w:vAlign w:val="center"/>
          </w:tcPr>
          <w:p w14:paraId="4AD6C0D5">
            <w:pPr>
              <w:spacing w:line="400" w:lineRule="exact"/>
              <w:ind w:firstLine="352" w:firstLineChars="180"/>
              <w:rPr>
                <w:rFonts w:hint="eastAsia" w:ascii="微软雅黑" w:hAnsi="微软雅黑" w:eastAsia="微软雅黑" w:cs="微软雅黑"/>
                <w:color w:val="auto"/>
                <w:spacing w:val="-2"/>
                <w:sz w:val="20"/>
                <w:szCs w:val="20"/>
                <w:highlight w:val="none"/>
              </w:rPr>
            </w:pPr>
          </w:p>
        </w:tc>
        <w:tc>
          <w:tcPr>
            <w:tcW w:w="1053" w:type="dxa"/>
            <w:vAlign w:val="center"/>
          </w:tcPr>
          <w:p w14:paraId="310A6D9E">
            <w:pPr>
              <w:spacing w:line="400" w:lineRule="exact"/>
              <w:ind w:firstLine="352" w:firstLineChars="180"/>
              <w:rPr>
                <w:rFonts w:hint="eastAsia" w:ascii="微软雅黑" w:hAnsi="微软雅黑" w:eastAsia="微软雅黑" w:cs="微软雅黑"/>
                <w:color w:val="auto"/>
                <w:spacing w:val="-2"/>
                <w:sz w:val="20"/>
                <w:szCs w:val="20"/>
                <w:highlight w:val="none"/>
              </w:rPr>
            </w:pPr>
          </w:p>
        </w:tc>
        <w:tc>
          <w:tcPr>
            <w:tcW w:w="1080" w:type="dxa"/>
            <w:vAlign w:val="center"/>
          </w:tcPr>
          <w:p w14:paraId="303943C3">
            <w:pPr>
              <w:spacing w:line="400" w:lineRule="exact"/>
              <w:ind w:firstLine="352" w:firstLineChars="180"/>
              <w:rPr>
                <w:rFonts w:hint="eastAsia" w:ascii="微软雅黑" w:hAnsi="微软雅黑" w:eastAsia="微软雅黑" w:cs="微软雅黑"/>
                <w:color w:val="auto"/>
                <w:spacing w:val="-2"/>
                <w:sz w:val="20"/>
                <w:szCs w:val="20"/>
                <w:highlight w:val="none"/>
              </w:rPr>
            </w:pPr>
          </w:p>
        </w:tc>
      </w:tr>
    </w:tbl>
    <w:p w14:paraId="4AC21055">
      <w:pPr>
        <w:keepNext w:val="0"/>
        <w:keepLines w:val="0"/>
        <w:pageBreakBefore w:val="0"/>
        <w:widowControl w:val="0"/>
        <w:kinsoku/>
        <w:wordWrap/>
        <w:overflowPunct/>
        <w:topLinePunct w:val="0"/>
        <w:bidi w:val="0"/>
        <w:snapToGrid/>
        <w:spacing w:line="400" w:lineRule="exact"/>
        <w:ind w:left="60"/>
        <w:textAlignment w:val="auto"/>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说明：</w:t>
      </w:r>
    </w:p>
    <w:p w14:paraId="62108EE3">
      <w:pPr>
        <w:keepNext w:val="0"/>
        <w:keepLines w:val="0"/>
        <w:pageBreakBefore w:val="0"/>
        <w:widowControl w:val="0"/>
        <w:kinsoku/>
        <w:wordWrap/>
        <w:overflowPunct/>
        <w:topLinePunct w:val="0"/>
        <w:bidi w:val="0"/>
        <w:snapToGrid/>
        <w:spacing w:line="400" w:lineRule="exact"/>
        <w:ind w:left="60"/>
        <w:textAlignment w:val="auto"/>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（1）上述各项中用“√”表示合格，“×”表示不合格；</w:t>
      </w:r>
    </w:p>
    <w:p w14:paraId="12066787">
      <w:pPr>
        <w:keepNext w:val="0"/>
        <w:keepLines w:val="0"/>
        <w:pageBreakBefore w:val="0"/>
        <w:widowControl w:val="0"/>
        <w:kinsoku/>
        <w:wordWrap/>
        <w:overflowPunct/>
        <w:topLinePunct w:val="0"/>
        <w:bidi w:val="0"/>
        <w:snapToGrid/>
        <w:spacing w:line="400" w:lineRule="exact"/>
        <w:ind w:left="659" w:leftChars="28" w:hanging="600" w:hangingChars="300"/>
        <w:textAlignment w:val="auto"/>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（2）上述各项中如有一项为“×”，则结论为“×”，表示该投标文件中存在重大偏差，不能通过初步评审；评委对某一分项评审认为不合格时，必须要写明原因。</w:t>
      </w:r>
    </w:p>
    <w:p w14:paraId="3AA1CF24">
      <w:pPr>
        <w:keepNext w:val="0"/>
        <w:keepLines w:val="0"/>
        <w:pageBreakBefore w:val="0"/>
        <w:widowControl w:val="0"/>
        <w:kinsoku/>
        <w:wordWrap/>
        <w:overflowPunct/>
        <w:topLinePunct w:val="0"/>
        <w:autoSpaceDE w:val="0"/>
        <w:autoSpaceDN w:val="0"/>
        <w:bidi w:val="0"/>
        <w:adjustRightInd w:val="0"/>
        <w:snapToGrid/>
        <w:spacing w:line="400" w:lineRule="exact"/>
        <w:ind w:firstLine="0"/>
        <w:jc w:val="both"/>
        <w:textAlignment w:val="auto"/>
        <w:rPr>
          <w:rFonts w:hint="eastAsia" w:ascii="微软雅黑" w:hAnsi="微软雅黑" w:eastAsia="微软雅黑" w:cs="微软雅黑"/>
          <w:color w:val="auto"/>
          <w:kern w:val="0"/>
          <w:sz w:val="20"/>
          <w:szCs w:val="20"/>
          <w:highlight w:val="none"/>
          <w:lang w:val="en-US" w:eastAsia="zh-CN" w:bidi="ar-SA"/>
        </w:rPr>
      </w:pPr>
      <w:r>
        <w:rPr>
          <w:rFonts w:hint="eastAsia" w:ascii="微软雅黑" w:hAnsi="微软雅黑" w:eastAsia="微软雅黑" w:cs="微软雅黑"/>
          <w:color w:val="auto"/>
          <w:kern w:val="0"/>
          <w:sz w:val="20"/>
          <w:szCs w:val="20"/>
          <w:highlight w:val="none"/>
          <w:lang w:val="en-US" w:eastAsia="zh-CN" w:bidi="ar-SA"/>
        </w:rPr>
        <w:t>（3）投标文件最终合格与否，以所有评委的评审意见中少数服从多数为原则定论。</w:t>
      </w:r>
    </w:p>
    <w:p w14:paraId="34ACCB2F">
      <w:pPr>
        <w:keepNext w:val="0"/>
        <w:keepLines w:val="0"/>
        <w:pageBreakBefore w:val="0"/>
        <w:widowControl w:val="0"/>
        <w:kinsoku/>
        <w:wordWrap/>
        <w:overflowPunct/>
        <w:topLinePunct w:val="0"/>
        <w:bidi w:val="0"/>
        <w:snapToGrid/>
        <w:spacing w:line="400" w:lineRule="exact"/>
        <w:textAlignment w:val="auto"/>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b/>
          <w:bCs/>
          <w:color w:val="auto"/>
          <w:sz w:val="20"/>
          <w:szCs w:val="20"/>
          <w:highlight w:val="none"/>
        </w:rPr>
        <w:t>供应商必须将上述内容上传至对应关联节点，未通过符合性审查的供应商不进入评标；通过符合性审查的供应商少于三家的，不得评标。</w:t>
      </w:r>
    </w:p>
    <w:p w14:paraId="77780D4B">
      <w:pPr>
        <w:pStyle w:val="6"/>
        <w:ind w:left="0" w:leftChars="0" w:firstLine="0" w:firstLineChars="0"/>
        <w:outlineLvl w:val="9"/>
        <w:rPr>
          <w:rFonts w:hint="eastAsia" w:ascii="微软雅黑" w:hAnsi="微软雅黑" w:eastAsia="微软雅黑" w:cs="微软雅黑"/>
          <w:color w:val="auto"/>
          <w:sz w:val="20"/>
          <w:szCs w:val="22"/>
          <w:highlight w:val="none"/>
        </w:rPr>
      </w:pPr>
    </w:p>
    <w:p w14:paraId="54C361B1">
      <w:pPr>
        <w:outlineLvl w:val="9"/>
        <w:rPr>
          <w:rFonts w:hint="eastAsia" w:ascii="微软雅黑" w:hAnsi="微软雅黑" w:eastAsia="微软雅黑" w:cs="微软雅黑"/>
          <w:color w:val="auto"/>
          <w:sz w:val="20"/>
          <w:szCs w:val="22"/>
          <w:highlight w:val="none"/>
        </w:rPr>
      </w:pPr>
    </w:p>
    <w:p w14:paraId="457F2CEF">
      <w:pPr>
        <w:outlineLvl w:val="9"/>
        <w:rPr>
          <w:rFonts w:hint="eastAsia" w:ascii="微软雅黑" w:hAnsi="微软雅黑" w:eastAsia="微软雅黑" w:cs="微软雅黑"/>
          <w:color w:val="auto"/>
          <w:sz w:val="20"/>
          <w:szCs w:val="22"/>
          <w:highlight w:val="none"/>
        </w:rPr>
      </w:pPr>
    </w:p>
    <w:p w14:paraId="5ACED2E8">
      <w:pPr>
        <w:rPr>
          <w:rFonts w:hint="eastAsia" w:ascii="微软雅黑" w:hAnsi="微软雅黑" w:eastAsia="微软雅黑" w:cs="微软雅黑"/>
          <w:color w:val="auto"/>
          <w:sz w:val="20"/>
          <w:szCs w:val="22"/>
          <w:highlight w:val="none"/>
        </w:rPr>
      </w:pPr>
    </w:p>
    <w:p w14:paraId="08D54969">
      <w:pPr>
        <w:spacing w:line="300" w:lineRule="auto"/>
        <w:jc w:val="center"/>
        <w:outlineLvl w:val="1"/>
        <w:rPr>
          <w:rFonts w:hint="eastAsia" w:ascii="微软雅黑" w:hAnsi="微软雅黑" w:eastAsia="微软雅黑" w:cs="微软雅黑"/>
          <w:b/>
          <w:bCs/>
          <w:color w:val="auto"/>
          <w:sz w:val="24"/>
          <w:szCs w:val="24"/>
          <w:highlight w:val="none"/>
          <w:lang w:eastAsia="zh-CN"/>
        </w:rPr>
      </w:pPr>
      <w:bookmarkStart w:id="1742" w:name="_Toc26618"/>
      <w:bookmarkStart w:id="1743" w:name="_Toc6940"/>
      <w:bookmarkStart w:id="1744" w:name="_Toc7381"/>
      <w:bookmarkStart w:id="1745" w:name="_Toc21350"/>
      <w:bookmarkStart w:id="1746" w:name="_Toc359"/>
      <w:bookmarkStart w:id="1747" w:name="_Toc4748"/>
      <w:bookmarkStart w:id="1748" w:name="_Toc3812"/>
      <w:bookmarkStart w:id="1749" w:name="_Toc4034"/>
      <w:bookmarkStart w:id="1750" w:name="_Toc27516"/>
      <w:bookmarkStart w:id="1751" w:name="_Toc21392"/>
      <w:bookmarkStart w:id="1752" w:name="_Toc20505"/>
      <w:bookmarkStart w:id="1753" w:name="_Toc31737"/>
      <w:bookmarkStart w:id="1754" w:name="_Toc29006"/>
      <w:bookmarkStart w:id="1755" w:name="_Toc26924"/>
      <w:bookmarkStart w:id="1756" w:name="_Toc5375"/>
      <w:bookmarkStart w:id="1757" w:name="_Toc12524"/>
      <w:bookmarkStart w:id="1758" w:name="_Toc17586"/>
      <w:bookmarkStart w:id="1759" w:name="_Toc19967"/>
      <w:bookmarkStart w:id="1760" w:name="_Toc31042"/>
      <w:bookmarkStart w:id="1761" w:name="_Toc11449"/>
      <w:bookmarkStart w:id="1762" w:name="_Toc507399904"/>
      <w:r>
        <w:rPr>
          <w:rFonts w:hint="eastAsia" w:ascii="微软雅黑" w:hAnsi="微软雅黑" w:eastAsia="微软雅黑" w:cs="微软雅黑"/>
          <w:b/>
          <w:bCs/>
          <w:color w:val="auto"/>
          <w:sz w:val="24"/>
          <w:szCs w:val="24"/>
          <w:highlight w:val="none"/>
        </w:rPr>
        <w:t>综合评分表</w:t>
      </w:r>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r>
        <w:rPr>
          <w:rFonts w:hint="eastAsia" w:ascii="微软雅黑" w:hAnsi="微软雅黑" w:eastAsia="微软雅黑" w:cs="微软雅黑"/>
          <w:b/>
          <w:bCs/>
          <w:color w:val="auto"/>
          <w:sz w:val="24"/>
          <w:szCs w:val="24"/>
          <w:highlight w:val="none"/>
          <w:lang w:eastAsia="zh-CN"/>
        </w:rPr>
        <w:t>（</w:t>
      </w:r>
      <w:r>
        <w:rPr>
          <w:rFonts w:hint="eastAsia" w:ascii="微软雅黑" w:hAnsi="微软雅黑" w:eastAsia="微软雅黑" w:cs="微软雅黑"/>
          <w:b/>
          <w:bCs/>
          <w:color w:val="auto"/>
          <w:sz w:val="24"/>
          <w:szCs w:val="24"/>
          <w:highlight w:val="none"/>
          <w:lang w:val="en-US" w:eastAsia="zh-CN"/>
        </w:rPr>
        <w:t>标项一</w:t>
      </w:r>
      <w:r>
        <w:rPr>
          <w:rFonts w:hint="eastAsia" w:ascii="微软雅黑" w:hAnsi="微软雅黑" w:eastAsia="微软雅黑" w:cs="微软雅黑"/>
          <w:b/>
          <w:bCs/>
          <w:color w:val="auto"/>
          <w:sz w:val="24"/>
          <w:szCs w:val="24"/>
          <w:highlight w:val="none"/>
          <w:lang w:eastAsia="zh-CN"/>
        </w:rPr>
        <w:t>）</w:t>
      </w:r>
    </w:p>
    <w:tbl>
      <w:tblPr>
        <w:tblStyle w:val="32"/>
        <w:tblW w:w="101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3"/>
        <w:gridCol w:w="638"/>
        <w:gridCol w:w="7244"/>
        <w:gridCol w:w="1350"/>
      </w:tblGrid>
      <w:tr w14:paraId="7AF84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943" w:type="dxa"/>
            <w:vAlign w:val="center"/>
          </w:tcPr>
          <w:p w14:paraId="374D23C2">
            <w:pPr>
              <w:keepNext w:val="0"/>
              <w:keepLines w:val="0"/>
              <w:pageBreakBefore w:val="0"/>
              <w:widowControl w:val="0"/>
              <w:kinsoku/>
              <w:wordWrap/>
              <w:overflowPunct/>
              <w:topLinePunct w:val="0"/>
              <w:autoSpaceDE/>
              <w:autoSpaceDN/>
              <w:bidi w:val="0"/>
              <w:adjustRightInd/>
              <w:snapToGrid/>
              <w:spacing w:line="320" w:lineRule="exact"/>
              <w:ind w:firstLine="28"/>
              <w:jc w:val="both"/>
              <w:textAlignment w:val="auto"/>
              <w:rPr>
                <w:rFonts w:hint="eastAsia" w:ascii="微软雅黑" w:hAnsi="微软雅黑" w:eastAsia="微软雅黑" w:cs="微软雅黑"/>
                <w:b/>
                <w:color w:val="auto"/>
                <w:sz w:val="20"/>
                <w:szCs w:val="20"/>
                <w:highlight w:val="none"/>
                <w:lang w:val="en-US" w:eastAsia="zh-CN"/>
              </w:rPr>
            </w:pPr>
            <w:r>
              <w:rPr>
                <w:rFonts w:hint="eastAsia" w:ascii="微软雅黑" w:hAnsi="微软雅黑" w:eastAsia="微软雅黑" w:cs="微软雅黑"/>
                <w:b/>
                <w:color w:val="auto"/>
                <w:sz w:val="20"/>
                <w:szCs w:val="20"/>
                <w:highlight w:val="none"/>
                <w:lang w:val="en-US" w:eastAsia="zh-CN"/>
              </w:rPr>
              <w:t>类型</w:t>
            </w:r>
          </w:p>
        </w:tc>
        <w:tc>
          <w:tcPr>
            <w:tcW w:w="638" w:type="dxa"/>
            <w:vAlign w:val="center"/>
          </w:tcPr>
          <w:p w14:paraId="04693094">
            <w:pPr>
              <w:keepNext w:val="0"/>
              <w:keepLines w:val="0"/>
              <w:pageBreakBefore w:val="0"/>
              <w:widowControl w:val="0"/>
              <w:kinsoku/>
              <w:wordWrap/>
              <w:overflowPunct/>
              <w:topLinePunct w:val="0"/>
              <w:autoSpaceDE/>
              <w:autoSpaceDN/>
              <w:bidi w:val="0"/>
              <w:adjustRightInd/>
              <w:snapToGrid/>
              <w:spacing w:line="320" w:lineRule="exact"/>
              <w:ind w:firstLine="28"/>
              <w:jc w:val="center"/>
              <w:textAlignment w:val="auto"/>
              <w:rPr>
                <w:rFonts w:hint="eastAsia" w:ascii="微软雅黑" w:hAnsi="微软雅黑" w:eastAsia="微软雅黑" w:cs="微软雅黑"/>
                <w:b/>
                <w:color w:val="auto"/>
                <w:sz w:val="20"/>
                <w:szCs w:val="20"/>
                <w:highlight w:val="none"/>
              </w:rPr>
            </w:pPr>
            <w:r>
              <w:rPr>
                <w:rFonts w:hint="eastAsia" w:ascii="微软雅黑" w:hAnsi="微软雅黑" w:eastAsia="微软雅黑" w:cs="微软雅黑"/>
                <w:b/>
                <w:color w:val="auto"/>
                <w:sz w:val="20"/>
                <w:szCs w:val="20"/>
                <w:highlight w:val="none"/>
              </w:rPr>
              <w:t>分值</w:t>
            </w:r>
          </w:p>
        </w:tc>
        <w:tc>
          <w:tcPr>
            <w:tcW w:w="7244" w:type="dxa"/>
            <w:vAlign w:val="center"/>
          </w:tcPr>
          <w:p w14:paraId="0E36ADE6">
            <w:pPr>
              <w:keepNext w:val="0"/>
              <w:keepLines w:val="0"/>
              <w:pageBreakBefore w:val="0"/>
              <w:widowControl w:val="0"/>
              <w:kinsoku/>
              <w:wordWrap/>
              <w:overflowPunct/>
              <w:topLinePunct w:val="0"/>
              <w:autoSpaceDE/>
              <w:autoSpaceDN/>
              <w:bidi w:val="0"/>
              <w:adjustRightInd/>
              <w:snapToGrid/>
              <w:spacing w:line="320" w:lineRule="exact"/>
              <w:ind w:firstLine="28"/>
              <w:jc w:val="center"/>
              <w:textAlignment w:val="auto"/>
              <w:rPr>
                <w:rFonts w:hint="eastAsia" w:ascii="微软雅黑" w:hAnsi="微软雅黑" w:eastAsia="微软雅黑" w:cs="微软雅黑"/>
                <w:b/>
                <w:bCs w:val="0"/>
                <w:color w:val="auto"/>
                <w:sz w:val="20"/>
                <w:szCs w:val="20"/>
                <w:highlight w:val="none"/>
              </w:rPr>
            </w:pPr>
            <w:r>
              <w:rPr>
                <w:rFonts w:hint="eastAsia" w:ascii="微软雅黑" w:hAnsi="微软雅黑" w:eastAsia="微软雅黑" w:cs="微软雅黑"/>
                <w:b/>
                <w:bCs w:val="0"/>
                <w:color w:val="auto"/>
                <w:sz w:val="20"/>
                <w:szCs w:val="20"/>
                <w:highlight w:val="none"/>
              </w:rPr>
              <w:t>评分标准</w:t>
            </w:r>
          </w:p>
          <w:p w14:paraId="1B8C3D03">
            <w:pPr>
              <w:keepNext w:val="0"/>
              <w:keepLines w:val="0"/>
              <w:pageBreakBefore w:val="0"/>
              <w:widowControl w:val="0"/>
              <w:kinsoku/>
              <w:wordWrap/>
              <w:overflowPunct/>
              <w:topLinePunct w:val="0"/>
              <w:autoSpaceDE/>
              <w:autoSpaceDN/>
              <w:bidi w:val="0"/>
              <w:adjustRightInd/>
              <w:snapToGrid/>
              <w:spacing w:line="320" w:lineRule="exact"/>
              <w:ind w:firstLine="28"/>
              <w:jc w:val="center"/>
              <w:textAlignment w:val="auto"/>
              <w:rPr>
                <w:rFonts w:hint="eastAsia" w:ascii="微软雅黑" w:hAnsi="微软雅黑" w:eastAsia="微软雅黑" w:cs="微软雅黑"/>
                <w:b/>
                <w:bCs w:val="0"/>
                <w:color w:val="auto"/>
                <w:sz w:val="20"/>
                <w:szCs w:val="20"/>
                <w:highlight w:val="none"/>
              </w:rPr>
            </w:pPr>
            <w:r>
              <w:rPr>
                <w:rFonts w:hint="eastAsia" w:ascii="微软雅黑" w:hAnsi="微软雅黑" w:eastAsia="微软雅黑" w:cs="微软雅黑"/>
                <w:b/>
                <w:bCs w:val="0"/>
                <w:color w:val="auto"/>
                <w:sz w:val="20"/>
                <w:szCs w:val="20"/>
                <w:highlight w:val="none"/>
              </w:rPr>
              <w:t xml:space="preserve">价格：30分 </w:t>
            </w:r>
            <w:r>
              <w:rPr>
                <w:rFonts w:hint="eastAsia" w:ascii="微软雅黑" w:hAnsi="微软雅黑" w:eastAsia="微软雅黑" w:cs="微软雅黑"/>
                <w:b/>
                <w:bCs w:val="0"/>
                <w:color w:val="auto"/>
                <w:sz w:val="20"/>
                <w:szCs w:val="20"/>
                <w:highlight w:val="none"/>
                <w:lang w:val="en-US" w:eastAsia="zh-CN"/>
              </w:rPr>
              <w:t xml:space="preserve"> </w:t>
            </w:r>
            <w:r>
              <w:rPr>
                <w:rFonts w:hint="eastAsia" w:ascii="微软雅黑" w:hAnsi="微软雅黑" w:eastAsia="微软雅黑" w:cs="微软雅黑"/>
                <w:b/>
                <w:bCs w:val="0"/>
                <w:color w:val="auto"/>
                <w:sz w:val="20"/>
                <w:szCs w:val="20"/>
                <w:highlight w:val="none"/>
              </w:rPr>
              <w:t xml:space="preserve">  商务：</w:t>
            </w:r>
            <w:r>
              <w:rPr>
                <w:rFonts w:hint="eastAsia" w:ascii="微软雅黑" w:hAnsi="微软雅黑" w:eastAsia="微软雅黑" w:cs="微软雅黑"/>
                <w:b/>
                <w:bCs w:val="0"/>
                <w:color w:val="auto"/>
                <w:sz w:val="20"/>
                <w:szCs w:val="20"/>
                <w:highlight w:val="none"/>
                <w:lang w:val="en-US" w:eastAsia="zh-CN"/>
              </w:rPr>
              <w:t>15</w:t>
            </w:r>
            <w:r>
              <w:rPr>
                <w:rFonts w:hint="eastAsia" w:ascii="微软雅黑" w:hAnsi="微软雅黑" w:eastAsia="微软雅黑" w:cs="微软雅黑"/>
                <w:b/>
                <w:bCs w:val="0"/>
                <w:color w:val="auto"/>
                <w:sz w:val="20"/>
                <w:szCs w:val="20"/>
                <w:highlight w:val="none"/>
              </w:rPr>
              <w:t xml:space="preserve">分 </w:t>
            </w:r>
            <w:r>
              <w:rPr>
                <w:rFonts w:hint="eastAsia" w:ascii="微软雅黑" w:hAnsi="微软雅黑" w:eastAsia="微软雅黑" w:cs="微软雅黑"/>
                <w:b/>
                <w:bCs w:val="0"/>
                <w:color w:val="auto"/>
                <w:sz w:val="20"/>
                <w:szCs w:val="20"/>
                <w:highlight w:val="none"/>
                <w:lang w:val="en-US" w:eastAsia="zh-CN"/>
              </w:rPr>
              <w:t xml:space="preserve"> </w:t>
            </w:r>
            <w:r>
              <w:rPr>
                <w:rFonts w:hint="eastAsia" w:ascii="微软雅黑" w:hAnsi="微软雅黑" w:eastAsia="微软雅黑" w:cs="微软雅黑"/>
                <w:b/>
                <w:bCs w:val="0"/>
                <w:color w:val="auto"/>
                <w:sz w:val="20"/>
                <w:szCs w:val="20"/>
                <w:highlight w:val="none"/>
              </w:rPr>
              <w:t xml:space="preserve">  技术：</w:t>
            </w:r>
            <w:r>
              <w:rPr>
                <w:rFonts w:hint="eastAsia" w:ascii="微软雅黑" w:hAnsi="微软雅黑" w:eastAsia="微软雅黑" w:cs="微软雅黑"/>
                <w:b/>
                <w:bCs w:val="0"/>
                <w:color w:val="auto"/>
                <w:sz w:val="20"/>
                <w:szCs w:val="20"/>
                <w:highlight w:val="none"/>
                <w:lang w:val="en-US" w:eastAsia="zh-CN"/>
              </w:rPr>
              <w:t>55</w:t>
            </w:r>
            <w:r>
              <w:rPr>
                <w:rFonts w:hint="eastAsia" w:ascii="微软雅黑" w:hAnsi="微软雅黑" w:eastAsia="微软雅黑" w:cs="微软雅黑"/>
                <w:b/>
                <w:bCs w:val="0"/>
                <w:color w:val="auto"/>
                <w:sz w:val="20"/>
                <w:szCs w:val="20"/>
                <w:highlight w:val="none"/>
              </w:rPr>
              <w:t xml:space="preserve">分              </w:t>
            </w:r>
          </w:p>
        </w:tc>
        <w:tc>
          <w:tcPr>
            <w:tcW w:w="1350" w:type="dxa"/>
            <w:vAlign w:val="center"/>
          </w:tcPr>
          <w:p w14:paraId="5843C61C">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微软雅黑" w:hAnsi="微软雅黑" w:eastAsia="微软雅黑" w:cs="微软雅黑"/>
                <w:b/>
                <w:color w:val="auto"/>
                <w:kern w:val="2"/>
                <w:sz w:val="20"/>
                <w:szCs w:val="20"/>
                <w:highlight w:val="none"/>
                <w:lang w:val="en-US" w:eastAsia="zh-CN" w:bidi="ar-SA"/>
              </w:rPr>
            </w:pPr>
            <w:r>
              <w:rPr>
                <w:rFonts w:hint="eastAsia" w:ascii="微软雅黑" w:hAnsi="微软雅黑" w:eastAsia="微软雅黑" w:cs="微软雅黑"/>
                <w:b/>
                <w:color w:val="auto"/>
                <w:kern w:val="2"/>
                <w:sz w:val="20"/>
                <w:szCs w:val="20"/>
                <w:highlight w:val="none"/>
                <w:lang w:val="en-US" w:eastAsia="zh-CN" w:bidi="ar-SA"/>
              </w:rPr>
              <w:t>说明</w:t>
            </w:r>
          </w:p>
        </w:tc>
      </w:tr>
      <w:tr w14:paraId="493BE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3" w:hRule="atLeast"/>
          <w:jc w:val="center"/>
        </w:trPr>
        <w:tc>
          <w:tcPr>
            <w:tcW w:w="943" w:type="dxa"/>
            <w:vAlign w:val="center"/>
          </w:tcPr>
          <w:p w14:paraId="27CC44B5">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价格评分标准</w:t>
            </w:r>
          </w:p>
        </w:tc>
        <w:tc>
          <w:tcPr>
            <w:tcW w:w="638" w:type="dxa"/>
            <w:vAlign w:val="center"/>
          </w:tcPr>
          <w:p w14:paraId="3BB7A6B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30</w:t>
            </w:r>
          </w:p>
        </w:tc>
        <w:tc>
          <w:tcPr>
            <w:tcW w:w="7244" w:type="dxa"/>
            <w:vAlign w:val="center"/>
          </w:tcPr>
          <w:p w14:paraId="20D73E4C">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b/>
                <w:bCs/>
                <w:color w:val="auto"/>
                <w:sz w:val="20"/>
                <w:szCs w:val="20"/>
                <w:highlight w:val="none"/>
              </w:rPr>
              <w:t>投标报价</w:t>
            </w:r>
            <w:r>
              <w:rPr>
                <w:rFonts w:hint="eastAsia" w:ascii="微软雅黑" w:hAnsi="微软雅黑" w:eastAsia="微软雅黑" w:cs="微软雅黑"/>
                <w:b/>
                <w:bCs/>
                <w:color w:val="auto"/>
                <w:sz w:val="20"/>
                <w:szCs w:val="20"/>
                <w:highlight w:val="none"/>
                <w:lang w:eastAsia="zh-CN"/>
              </w:rPr>
              <w:t>：</w:t>
            </w:r>
            <w:r>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t>完全满足招标文件参数的投标报价中的最低价为评标基准价，按照下列公式计算每个供应商的投标价格得分。投标报价得分＝（基准价/投标报价）×价格权重×100。</w:t>
            </w:r>
          </w:p>
        </w:tc>
        <w:tc>
          <w:tcPr>
            <w:tcW w:w="1350" w:type="dxa"/>
            <w:vAlign w:val="center"/>
          </w:tcPr>
          <w:p w14:paraId="7FDA0FA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b/>
                <w:bCs/>
                <w:color w:val="auto"/>
                <w:sz w:val="20"/>
                <w:szCs w:val="20"/>
                <w:highlight w:val="none"/>
              </w:rPr>
            </w:pPr>
            <w:r>
              <w:rPr>
                <w:rFonts w:hint="eastAsia" w:ascii="微软雅黑" w:hAnsi="微软雅黑" w:eastAsia="微软雅黑" w:cs="微软雅黑"/>
                <w:b/>
                <w:bCs/>
                <w:color w:val="auto"/>
                <w:sz w:val="20"/>
                <w:szCs w:val="20"/>
                <w:highlight w:val="none"/>
              </w:rPr>
              <w:t>投标报价超过采购预算</w:t>
            </w:r>
            <w:r>
              <w:rPr>
                <w:rFonts w:hint="eastAsia" w:ascii="微软雅黑" w:hAnsi="微软雅黑" w:eastAsia="微软雅黑" w:cs="微软雅黑"/>
                <w:b/>
                <w:bCs/>
                <w:color w:val="auto"/>
                <w:sz w:val="20"/>
                <w:szCs w:val="20"/>
                <w:highlight w:val="none"/>
                <w:lang w:eastAsia="zh-CN"/>
              </w:rPr>
              <w:t>单价</w:t>
            </w:r>
            <w:r>
              <w:rPr>
                <w:rFonts w:hint="eastAsia" w:ascii="微软雅黑" w:hAnsi="微软雅黑" w:eastAsia="微软雅黑" w:cs="微软雅黑"/>
                <w:b/>
                <w:bCs/>
                <w:color w:val="auto"/>
                <w:sz w:val="20"/>
                <w:szCs w:val="20"/>
                <w:highlight w:val="none"/>
              </w:rPr>
              <w:t>的按废标处理</w:t>
            </w:r>
          </w:p>
        </w:tc>
      </w:tr>
      <w:tr w14:paraId="3474A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06" w:hRule="atLeast"/>
          <w:jc w:val="center"/>
        </w:trPr>
        <w:tc>
          <w:tcPr>
            <w:tcW w:w="943" w:type="dxa"/>
            <w:vMerge w:val="restart"/>
            <w:vAlign w:val="center"/>
          </w:tcPr>
          <w:p w14:paraId="56E988C7">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商务评分标准</w:t>
            </w:r>
          </w:p>
        </w:tc>
        <w:tc>
          <w:tcPr>
            <w:tcW w:w="638" w:type="dxa"/>
            <w:vAlign w:val="center"/>
          </w:tcPr>
          <w:p w14:paraId="51E0A55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微软雅黑" w:hAnsi="微软雅黑" w:eastAsia="微软雅黑" w:cs="微软雅黑"/>
                <w:color w:val="auto"/>
                <w:sz w:val="20"/>
                <w:szCs w:val="20"/>
                <w:highlight w:val="none"/>
                <w:lang w:val="en-US" w:eastAsia="zh-CN"/>
              </w:rPr>
            </w:pPr>
            <w:r>
              <w:rPr>
                <w:rFonts w:hint="eastAsia" w:ascii="微软雅黑" w:hAnsi="微软雅黑" w:eastAsia="微软雅黑" w:cs="微软雅黑"/>
                <w:color w:val="auto"/>
                <w:sz w:val="20"/>
                <w:szCs w:val="20"/>
                <w:highlight w:val="none"/>
                <w:lang w:val="en-US" w:eastAsia="zh-CN"/>
              </w:rPr>
              <w:t>2</w:t>
            </w:r>
          </w:p>
        </w:tc>
        <w:tc>
          <w:tcPr>
            <w:tcW w:w="7244" w:type="dxa"/>
            <w:vAlign w:val="center"/>
          </w:tcPr>
          <w:p w14:paraId="1FA46CB8">
            <w:pPr>
              <w:spacing w:line="400" w:lineRule="exact"/>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pPr>
            <w:r>
              <w:rPr>
                <w:rFonts w:hint="eastAsia" w:ascii="微软雅黑" w:hAnsi="微软雅黑" w:eastAsia="微软雅黑" w:cs="微软雅黑"/>
                <w:b/>
                <w:bCs/>
                <w:color w:val="000000" w:themeColor="text1"/>
                <w:sz w:val="21"/>
                <w:szCs w:val="21"/>
                <w:highlight w:val="none"/>
                <w:lang w:val="en-US" w:eastAsia="zh-CN"/>
                <w14:textFill>
                  <w14:solidFill>
                    <w14:schemeClr w14:val="tx1"/>
                  </w14:solidFill>
                </w14:textFill>
              </w:rPr>
              <w:t>业绩：</w:t>
            </w:r>
            <w:r>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t>投标供应商提供近三年内</w:t>
            </w:r>
            <w:r>
              <w:rPr>
                <w:rFonts w:hint="eastAsia" w:ascii="微软雅黑" w:hAnsi="微软雅黑" w:eastAsia="微软雅黑" w:cs="微软雅黑"/>
                <w:szCs w:val="21"/>
                <w:lang w:eastAsia="zh-CN"/>
              </w:rPr>
              <w:t>（2023年</w:t>
            </w:r>
            <w:r>
              <w:rPr>
                <w:rFonts w:hint="eastAsia" w:ascii="微软雅黑" w:hAnsi="微软雅黑" w:eastAsia="微软雅黑" w:cs="微软雅黑"/>
                <w:szCs w:val="21"/>
                <w:lang w:val="en-US" w:eastAsia="zh-CN"/>
              </w:rPr>
              <w:t>4</w:t>
            </w:r>
            <w:r>
              <w:rPr>
                <w:rFonts w:hint="eastAsia" w:ascii="微软雅黑" w:hAnsi="微软雅黑" w:eastAsia="微软雅黑" w:cs="微软雅黑"/>
                <w:szCs w:val="21"/>
                <w:lang w:eastAsia="zh-CN"/>
              </w:rPr>
              <w:t>月</w:t>
            </w:r>
            <w:r>
              <w:rPr>
                <w:rFonts w:hint="eastAsia" w:ascii="微软雅黑" w:hAnsi="微软雅黑" w:eastAsia="微软雅黑" w:cs="微软雅黑"/>
                <w:szCs w:val="21"/>
                <w:lang w:val="en-US" w:eastAsia="zh-CN"/>
              </w:rPr>
              <w:t>1日</w:t>
            </w:r>
            <w:r>
              <w:rPr>
                <w:rFonts w:hint="eastAsia" w:ascii="微软雅黑" w:hAnsi="微软雅黑" w:eastAsia="微软雅黑" w:cs="微软雅黑"/>
                <w:szCs w:val="21"/>
                <w:lang w:eastAsia="zh-CN"/>
              </w:rPr>
              <w:t>至今）类似</w:t>
            </w:r>
            <w:r>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t>业绩证明材料（投标文件内附中标/成交通知书及合同扫描件），每提供一个得1分，最高得2分，未提供或提供不全的不得分。</w:t>
            </w:r>
          </w:p>
          <w:p w14:paraId="7AC04E33">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b/>
                <w:bCs/>
                <w:color w:val="auto"/>
                <w:sz w:val="20"/>
                <w:szCs w:val="20"/>
                <w:highlight w:val="none"/>
                <w:lang w:val="en-US" w:eastAsia="zh-CN"/>
              </w:rPr>
            </w:pPr>
            <w:r>
              <w:rPr>
                <w:rFonts w:hint="eastAsia" w:ascii="微软雅黑" w:hAnsi="微软雅黑" w:eastAsia="微软雅黑" w:cs="微软雅黑"/>
                <w:b/>
                <w:bCs/>
                <w:szCs w:val="21"/>
              </w:rPr>
              <w:t>注：</w:t>
            </w:r>
            <w:r>
              <w:rPr>
                <w:rFonts w:hint="eastAsia" w:ascii="微软雅黑" w:hAnsi="微软雅黑" w:eastAsia="微软雅黑" w:cs="微软雅黑"/>
                <w:b/>
                <w:bCs/>
                <w:szCs w:val="21"/>
                <w:highlight w:val="none"/>
              </w:rPr>
              <w:t>①业绩证明材料模糊，无法辨识的，视为无效业绩</w:t>
            </w:r>
            <w:r>
              <w:rPr>
                <w:rFonts w:hint="eastAsia" w:ascii="微软雅黑" w:hAnsi="微软雅黑" w:eastAsia="微软雅黑" w:cs="微软雅黑"/>
                <w:b/>
                <w:bCs/>
                <w:szCs w:val="21"/>
                <w:highlight w:val="none"/>
                <w:lang w:eastAsia="zh-CN"/>
              </w:rPr>
              <w:t>。②</w:t>
            </w:r>
            <w:r>
              <w:rPr>
                <w:rFonts w:hint="eastAsia" w:ascii="微软雅黑" w:hAnsi="微软雅黑" w:eastAsia="微软雅黑" w:cs="微软雅黑"/>
                <w:b/>
                <w:bCs/>
                <w:szCs w:val="21"/>
                <w:highlight w:val="none"/>
              </w:rPr>
              <w:t>投标提供虚假</w:t>
            </w:r>
            <w:r>
              <w:rPr>
                <w:rFonts w:hint="eastAsia" w:ascii="微软雅黑" w:hAnsi="微软雅黑" w:eastAsia="微软雅黑" w:cs="微软雅黑"/>
                <w:b/>
                <w:bCs/>
                <w:szCs w:val="21"/>
                <w:highlight w:val="none"/>
                <w:lang w:val="en-US" w:eastAsia="zh-CN"/>
              </w:rPr>
              <w:t>资料</w:t>
            </w:r>
            <w:r>
              <w:rPr>
                <w:rFonts w:hint="eastAsia" w:ascii="微软雅黑" w:hAnsi="微软雅黑" w:eastAsia="微软雅黑" w:cs="微软雅黑"/>
                <w:b/>
                <w:bCs/>
                <w:szCs w:val="21"/>
                <w:highlight w:val="none"/>
              </w:rPr>
              <w:t>的，按</w:t>
            </w:r>
            <w:r>
              <w:rPr>
                <w:rFonts w:hint="eastAsia" w:ascii="微软雅黑" w:hAnsi="微软雅黑" w:eastAsia="微软雅黑" w:cs="微软雅黑"/>
                <w:b/>
                <w:bCs/>
                <w:szCs w:val="21"/>
                <w:highlight w:val="none"/>
                <w:lang w:val="en-US" w:eastAsia="zh-CN"/>
              </w:rPr>
              <w:t>投标</w:t>
            </w:r>
            <w:r>
              <w:rPr>
                <w:rFonts w:hint="eastAsia" w:ascii="微软雅黑" w:hAnsi="微软雅黑" w:eastAsia="微软雅黑" w:cs="微软雅黑"/>
                <w:b/>
                <w:bCs/>
                <w:szCs w:val="21"/>
                <w:highlight w:val="none"/>
              </w:rPr>
              <w:t>无效处理。③</w:t>
            </w:r>
            <w:r>
              <w:rPr>
                <w:rFonts w:hint="eastAsia" w:ascii="微软雅黑" w:hAnsi="微软雅黑" w:eastAsia="微软雅黑" w:cs="微软雅黑"/>
                <w:b/>
                <w:bCs/>
                <w:szCs w:val="21"/>
                <w:highlight w:val="none"/>
                <w:lang w:val="en-US" w:eastAsia="zh-CN"/>
              </w:rPr>
              <w:t>合同内容：项目名称、</w:t>
            </w:r>
            <w:r>
              <w:rPr>
                <w:rFonts w:hint="eastAsia" w:ascii="微软雅黑" w:hAnsi="微软雅黑" w:eastAsia="微软雅黑" w:cs="微软雅黑"/>
                <w:b/>
                <w:bCs/>
                <w:szCs w:val="21"/>
                <w:highlight w:val="none"/>
              </w:rPr>
              <w:t>货物内容信息、合同金额、</w:t>
            </w:r>
            <w:r>
              <w:rPr>
                <w:rFonts w:hint="eastAsia" w:ascii="微软雅黑" w:hAnsi="微软雅黑" w:eastAsia="微软雅黑" w:cs="微软雅黑"/>
                <w:b/>
                <w:bCs/>
                <w:szCs w:val="21"/>
                <w:highlight w:val="none"/>
                <w:lang w:val="en-US" w:eastAsia="zh-CN"/>
              </w:rPr>
              <w:t>甲乙双方</w:t>
            </w:r>
            <w:r>
              <w:rPr>
                <w:rFonts w:hint="eastAsia" w:ascii="微软雅黑" w:hAnsi="微软雅黑" w:eastAsia="微软雅黑" w:cs="微软雅黑"/>
                <w:b/>
                <w:bCs/>
                <w:szCs w:val="21"/>
                <w:highlight w:val="none"/>
              </w:rPr>
              <w:t>签字盖章</w:t>
            </w:r>
            <w:r>
              <w:rPr>
                <w:rFonts w:hint="eastAsia" w:ascii="微软雅黑" w:hAnsi="微软雅黑" w:eastAsia="微软雅黑" w:cs="微软雅黑"/>
                <w:b/>
                <w:bCs/>
                <w:szCs w:val="21"/>
                <w:highlight w:val="none"/>
                <w:lang w:eastAsia="zh-CN"/>
              </w:rPr>
              <w:t>、</w:t>
            </w:r>
            <w:r>
              <w:rPr>
                <w:rFonts w:hint="eastAsia" w:ascii="微软雅黑" w:hAnsi="微软雅黑" w:eastAsia="微软雅黑" w:cs="微软雅黑"/>
                <w:b/>
                <w:bCs/>
                <w:szCs w:val="21"/>
                <w:highlight w:val="none"/>
                <w:lang w:val="en-US" w:eastAsia="zh-CN"/>
              </w:rPr>
              <w:t>合同签订时间，若无以上内容，视为无效业绩</w:t>
            </w:r>
            <w:r>
              <w:rPr>
                <w:rFonts w:hint="eastAsia" w:ascii="微软雅黑" w:hAnsi="微软雅黑" w:eastAsia="微软雅黑" w:cs="微软雅黑"/>
                <w:b/>
                <w:bCs/>
                <w:szCs w:val="21"/>
                <w:highlight w:val="none"/>
              </w:rPr>
              <w:t>。</w:t>
            </w:r>
          </w:p>
        </w:tc>
        <w:tc>
          <w:tcPr>
            <w:tcW w:w="1350" w:type="dxa"/>
            <w:vMerge w:val="restart"/>
            <w:vAlign w:val="center"/>
          </w:tcPr>
          <w:p w14:paraId="068921F5">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b/>
                <w:bCs/>
                <w:color w:val="auto"/>
                <w:sz w:val="20"/>
                <w:szCs w:val="20"/>
                <w:highlight w:val="none"/>
              </w:rPr>
              <w:t>根据需求提供必要的证明资料</w:t>
            </w:r>
          </w:p>
        </w:tc>
      </w:tr>
      <w:tr w14:paraId="569E5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06" w:hRule="atLeast"/>
          <w:jc w:val="center"/>
        </w:trPr>
        <w:tc>
          <w:tcPr>
            <w:tcW w:w="943" w:type="dxa"/>
            <w:vMerge w:val="continue"/>
            <w:vAlign w:val="center"/>
          </w:tcPr>
          <w:p w14:paraId="5A2A2DE7">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0"/>
                <w:szCs w:val="20"/>
                <w:highlight w:val="none"/>
              </w:rPr>
            </w:pPr>
          </w:p>
        </w:tc>
        <w:tc>
          <w:tcPr>
            <w:tcW w:w="638" w:type="dxa"/>
            <w:vAlign w:val="center"/>
          </w:tcPr>
          <w:p w14:paraId="5651C29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color w:val="auto"/>
                <w:sz w:val="20"/>
                <w:szCs w:val="20"/>
                <w:highlight w:val="none"/>
                <w:lang w:val="en-US" w:eastAsia="zh-CN"/>
              </w:rPr>
            </w:pPr>
            <w:r>
              <w:rPr>
                <w:rFonts w:hint="eastAsia" w:ascii="微软雅黑" w:hAnsi="微软雅黑" w:eastAsia="微软雅黑" w:cs="微软雅黑"/>
                <w:color w:val="auto"/>
                <w:sz w:val="20"/>
                <w:szCs w:val="20"/>
                <w:highlight w:val="none"/>
                <w:lang w:val="en-US" w:eastAsia="zh-CN"/>
              </w:rPr>
              <w:t>2</w:t>
            </w:r>
          </w:p>
        </w:tc>
        <w:tc>
          <w:tcPr>
            <w:tcW w:w="7244" w:type="dxa"/>
            <w:vAlign w:val="center"/>
          </w:tcPr>
          <w:p w14:paraId="75DD56EA">
            <w:pPr>
              <w:spacing w:line="400" w:lineRule="exact"/>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pPr>
            <w:r>
              <w:rPr>
                <w:rFonts w:hint="eastAsia" w:ascii="微软雅黑" w:hAnsi="微软雅黑" w:eastAsia="微软雅黑" w:cs="微软雅黑"/>
                <w:b/>
                <w:bCs/>
                <w:color w:val="auto"/>
                <w:sz w:val="20"/>
                <w:szCs w:val="20"/>
                <w:highlight w:val="none"/>
                <w:lang w:val="en-US" w:eastAsia="zh-CN"/>
              </w:rPr>
              <w:t>质量保证承诺：</w:t>
            </w:r>
            <w:r>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t>根据各投标供应商提供的质量保证承诺进行打分：</w:t>
            </w:r>
          </w:p>
          <w:p w14:paraId="16DA354C">
            <w:pPr>
              <w:spacing w:line="400" w:lineRule="exact"/>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t>①保证所投产品质量符合国家标准、行业标准的承诺；</w:t>
            </w:r>
          </w:p>
          <w:p w14:paraId="49E83215">
            <w:pPr>
              <w:spacing w:line="400" w:lineRule="exact"/>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t>②因中标人原因导致合同终止，无条件承担违约责任的承诺。</w:t>
            </w:r>
          </w:p>
          <w:p w14:paraId="359571A1">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b/>
                <w:bCs/>
                <w:color w:val="auto"/>
                <w:sz w:val="20"/>
                <w:szCs w:val="20"/>
                <w:highlight w:val="none"/>
                <w:lang w:val="en-US" w:eastAsia="zh-CN"/>
              </w:rPr>
            </w:pPr>
            <w:r>
              <w:rPr>
                <w:rFonts w:hint="eastAsia" w:ascii="微软雅黑" w:hAnsi="微软雅黑" w:eastAsia="微软雅黑" w:cs="微软雅黑"/>
                <w:b/>
                <w:bCs/>
                <w:color w:val="auto"/>
                <w:sz w:val="20"/>
                <w:szCs w:val="20"/>
                <w:highlight w:val="none"/>
                <w:lang w:val="en-US" w:eastAsia="zh-CN"/>
              </w:rPr>
              <w:t>注</w:t>
            </w:r>
            <w:r>
              <w:rPr>
                <w:rFonts w:hint="eastAsia" w:ascii="微软雅黑" w:hAnsi="微软雅黑" w:eastAsia="微软雅黑" w:cs="微软雅黑"/>
                <w:b/>
                <w:bCs/>
                <w:color w:val="000000" w:themeColor="text1"/>
                <w:sz w:val="21"/>
                <w:szCs w:val="21"/>
                <w:highlight w:val="none"/>
                <w:lang w:val="en-US" w:eastAsia="zh-CN"/>
                <w14:textFill>
                  <w14:solidFill>
                    <w14:schemeClr w14:val="tx1"/>
                  </w14:solidFill>
                </w14:textFill>
              </w:rPr>
              <w:t>：以上承诺函格式自拟，须加盖投标供应商公章，每提供一个得1分，本项最高得2分，未提供的不得分。</w:t>
            </w:r>
          </w:p>
        </w:tc>
        <w:tc>
          <w:tcPr>
            <w:tcW w:w="1350" w:type="dxa"/>
            <w:vMerge w:val="continue"/>
            <w:vAlign w:val="center"/>
          </w:tcPr>
          <w:p w14:paraId="48D30D4B">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b/>
                <w:bCs/>
                <w:color w:val="auto"/>
                <w:sz w:val="20"/>
                <w:szCs w:val="20"/>
                <w:highlight w:val="none"/>
              </w:rPr>
            </w:pPr>
          </w:p>
        </w:tc>
      </w:tr>
      <w:tr w14:paraId="45F7C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06" w:hRule="atLeast"/>
          <w:jc w:val="center"/>
        </w:trPr>
        <w:tc>
          <w:tcPr>
            <w:tcW w:w="943" w:type="dxa"/>
            <w:vMerge w:val="continue"/>
            <w:vAlign w:val="center"/>
          </w:tcPr>
          <w:p w14:paraId="116F69A6">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0"/>
                <w:szCs w:val="20"/>
                <w:highlight w:val="none"/>
              </w:rPr>
            </w:pPr>
          </w:p>
        </w:tc>
        <w:tc>
          <w:tcPr>
            <w:tcW w:w="638" w:type="dxa"/>
            <w:vAlign w:val="center"/>
          </w:tcPr>
          <w:p w14:paraId="09D0FC5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微软雅黑" w:hAnsi="微软雅黑" w:eastAsia="微软雅黑" w:cs="微软雅黑"/>
                <w:color w:val="auto"/>
                <w:sz w:val="20"/>
                <w:szCs w:val="20"/>
                <w:highlight w:val="none"/>
                <w:lang w:val="en-US" w:eastAsia="zh-CN"/>
              </w:rPr>
            </w:pPr>
            <w:r>
              <w:rPr>
                <w:rFonts w:hint="eastAsia" w:ascii="微软雅黑" w:hAnsi="微软雅黑" w:eastAsia="微软雅黑" w:cs="微软雅黑"/>
                <w:color w:val="auto"/>
                <w:sz w:val="20"/>
                <w:szCs w:val="20"/>
                <w:highlight w:val="none"/>
                <w:lang w:val="en-US" w:eastAsia="zh-CN"/>
              </w:rPr>
              <w:t>7</w:t>
            </w:r>
          </w:p>
        </w:tc>
        <w:tc>
          <w:tcPr>
            <w:tcW w:w="7244" w:type="dxa"/>
            <w:vAlign w:val="center"/>
          </w:tcPr>
          <w:p w14:paraId="336BCDFE">
            <w:pPr>
              <w:widowControl/>
              <w:jc w:val="left"/>
              <w:rPr>
                <w:rFonts w:hint="eastAsia" w:ascii="微软雅黑" w:hAnsi="微软雅黑" w:eastAsia="微软雅黑" w:cs="微软雅黑"/>
                <w:b/>
                <w:bCs/>
                <w:color w:val="auto"/>
                <w:kern w:val="0"/>
                <w:sz w:val="20"/>
                <w:szCs w:val="20"/>
                <w:highlight w:val="none"/>
                <w:lang w:val="en-US" w:eastAsia="zh-CN"/>
              </w:rPr>
            </w:pPr>
            <w:r>
              <w:rPr>
                <w:rFonts w:hint="eastAsia" w:ascii="微软雅黑" w:hAnsi="微软雅黑" w:eastAsia="微软雅黑" w:cs="微软雅黑"/>
                <w:b/>
                <w:bCs/>
                <w:color w:val="auto"/>
                <w:kern w:val="0"/>
                <w:sz w:val="20"/>
                <w:szCs w:val="20"/>
                <w:highlight w:val="none"/>
                <w:lang w:val="en-US" w:eastAsia="zh-CN"/>
              </w:rPr>
              <w:t>拟投入本项目服务团队人员：</w:t>
            </w:r>
          </w:p>
          <w:p w14:paraId="67ABD0E4">
            <w:pPr>
              <w:spacing w:line="400" w:lineRule="exact"/>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t>（1）</w:t>
            </w:r>
            <w:r>
              <w:rPr>
                <w:rFonts w:hint="eastAsia" w:ascii="微软雅黑" w:hAnsi="微软雅黑" w:eastAsia="微软雅黑" w:cs="微软雅黑"/>
                <w:b/>
                <w:bCs/>
                <w:color w:val="000000" w:themeColor="text1"/>
                <w:sz w:val="21"/>
                <w:szCs w:val="21"/>
                <w:highlight w:val="none"/>
                <w:lang w:val="en-US" w:eastAsia="zh-CN"/>
                <w14:textFill>
                  <w14:solidFill>
                    <w14:schemeClr w14:val="tx1"/>
                  </w14:solidFill>
                </w14:textFill>
              </w:rPr>
              <w:t>项目负责人</w:t>
            </w:r>
            <w:r>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t>：具有中药学中级及以上专业技术职称或执业中药师资格，提供任意1项得1分。</w:t>
            </w:r>
          </w:p>
          <w:p w14:paraId="1CFF78DA">
            <w:pPr>
              <w:spacing w:line="400" w:lineRule="exact"/>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t>（2）</w:t>
            </w:r>
            <w:r>
              <w:rPr>
                <w:rFonts w:hint="eastAsia" w:ascii="微软雅黑" w:hAnsi="微软雅黑" w:eastAsia="微软雅黑" w:cs="微软雅黑"/>
                <w:b/>
                <w:bCs/>
                <w:color w:val="000000" w:themeColor="text1"/>
                <w:sz w:val="21"/>
                <w:szCs w:val="21"/>
                <w:highlight w:val="none"/>
                <w:lang w:val="en-US" w:eastAsia="zh-CN"/>
                <w14:textFill>
                  <w14:solidFill>
                    <w14:schemeClr w14:val="tx1"/>
                  </w14:solidFill>
                </w14:textFill>
              </w:rPr>
              <w:t>质量负责人</w:t>
            </w:r>
            <w:r>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t>：具有中药学中级及以上专业技术职称或执业中药师资格，提供任意1项得1分。</w:t>
            </w:r>
          </w:p>
          <w:p w14:paraId="0B0007EE">
            <w:pPr>
              <w:spacing w:line="400" w:lineRule="exact"/>
              <w:rPr>
                <w:rFonts w:hint="default"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t>（3）</w:t>
            </w:r>
            <w:r>
              <w:rPr>
                <w:rFonts w:hint="eastAsia" w:ascii="微软雅黑" w:hAnsi="微软雅黑" w:eastAsia="微软雅黑" w:cs="微软雅黑"/>
                <w:b/>
                <w:bCs/>
                <w:color w:val="000000" w:themeColor="text1"/>
                <w:sz w:val="21"/>
                <w:szCs w:val="21"/>
                <w:highlight w:val="none"/>
                <w:lang w:val="en-US" w:eastAsia="zh-CN"/>
                <w14:textFill>
                  <w14:solidFill>
                    <w14:schemeClr w14:val="tx1"/>
                  </w14:solidFill>
                </w14:textFill>
              </w:rPr>
              <w:t>验收人员</w:t>
            </w:r>
            <w:r>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t>：不少于2 名，均具有中药学初级及以上专业技术职称；其中至少1名具有中药学中级及以上职称或执业中药师资格，并具备中药饮片真伪鉴别能力，每提供1项得1分，最高得2分。</w:t>
            </w:r>
          </w:p>
          <w:p w14:paraId="5BC72B9E">
            <w:pPr>
              <w:spacing w:line="400" w:lineRule="exact"/>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t>（4）</w:t>
            </w:r>
            <w:r>
              <w:rPr>
                <w:rFonts w:hint="eastAsia" w:ascii="微软雅黑" w:hAnsi="微软雅黑" w:eastAsia="微软雅黑" w:cs="微软雅黑"/>
                <w:b/>
                <w:bCs/>
                <w:color w:val="000000" w:themeColor="text1"/>
                <w:sz w:val="21"/>
                <w:szCs w:val="21"/>
                <w:highlight w:val="none"/>
                <w:lang w:val="en-US" w:eastAsia="zh-CN"/>
                <w14:textFill>
                  <w14:solidFill>
                    <w14:schemeClr w14:val="tx1"/>
                  </w14:solidFill>
                </w14:textFill>
              </w:rPr>
              <w:t>采购人员</w:t>
            </w:r>
            <w:r>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t>：具有中药学初级及以上专业技术职称的得1分。</w:t>
            </w:r>
          </w:p>
          <w:p w14:paraId="345812A6">
            <w:pPr>
              <w:spacing w:line="400" w:lineRule="exact"/>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t>（5）</w:t>
            </w:r>
            <w:r>
              <w:rPr>
                <w:rFonts w:hint="eastAsia" w:ascii="微软雅黑" w:hAnsi="微软雅黑" w:eastAsia="微软雅黑" w:cs="微软雅黑"/>
                <w:b/>
                <w:bCs/>
                <w:color w:val="000000" w:themeColor="text1"/>
                <w:sz w:val="21"/>
                <w:szCs w:val="21"/>
                <w:highlight w:val="none"/>
                <w:lang w:val="en-US" w:eastAsia="zh-CN"/>
                <w14:textFill>
                  <w14:solidFill>
                    <w14:schemeClr w14:val="tx1"/>
                  </w14:solidFill>
                </w14:textFill>
              </w:rPr>
              <w:t>养护人员</w:t>
            </w:r>
            <w:r>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t>：具有中药学初级及以上专业技术职称的得1分。</w:t>
            </w:r>
          </w:p>
          <w:p w14:paraId="18307EE1">
            <w:pPr>
              <w:spacing w:line="400" w:lineRule="exact"/>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t>（6）专职配送人员每提供1人得0.5分，最高可得1分；</w:t>
            </w:r>
          </w:p>
          <w:p w14:paraId="5A4EC62B">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b/>
                <w:bCs/>
                <w:color w:val="000000" w:themeColor="text1"/>
                <w:sz w:val="21"/>
                <w:szCs w:val="21"/>
                <w:highlight w:val="none"/>
                <w:lang w:val="en-US" w:eastAsia="zh-CN"/>
                <w14:textFill>
                  <w14:solidFill>
                    <w14:schemeClr w14:val="tx1"/>
                  </w14:solidFill>
                </w14:textFill>
              </w:rPr>
            </w:pPr>
            <w:r>
              <w:rPr>
                <w:rFonts w:hint="eastAsia" w:ascii="微软雅黑" w:hAnsi="微软雅黑" w:eastAsia="微软雅黑" w:cs="微软雅黑"/>
                <w:b/>
                <w:bCs/>
                <w:color w:val="000000" w:themeColor="text1"/>
                <w:sz w:val="21"/>
                <w:szCs w:val="21"/>
                <w:highlight w:val="none"/>
                <w:lang w:val="en-US" w:eastAsia="zh-CN"/>
                <w14:textFill>
                  <w14:solidFill>
                    <w14:schemeClr w14:val="tx1"/>
                  </w14:solidFill>
                </w14:textFill>
              </w:rPr>
              <w:t>注：①以上人员不重复计分，须提供拟投入本项目人员的人员身份证复印件、在本单位缴纳的近6个月任意1个月的社保（退休人员提供退休证明）、相关职业证书，专职配送人员需提供健康证且证件在有效期内。</w:t>
            </w:r>
          </w:p>
          <w:p w14:paraId="59BCB1E5">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b/>
                <w:bCs/>
                <w:color w:val="000000" w:themeColor="text1"/>
                <w:sz w:val="21"/>
                <w:szCs w:val="21"/>
                <w:highlight w:val="none"/>
                <w:lang w:val="en-US" w:eastAsia="zh-CN"/>
                <w14:textFill>
                  <w14:solidFill>
                    <w14:schemeClr w14:val="tx1"/>
                  </w14:solidFill>
                </w14:textFill>
              </w:rPr>
            </w:pPr>
            <w:r>
              <w:rPr>
                <w:rFonts w:hint="eastAsia" w:ascii="微软雅黑" w:hAnsi="微软雅黑" w:eastAsia="微软雅黑" w:cs="微软雅黑"/>
                <w:b/>
                <w:bCs/>
                <w:color w:val="000000" w:themeColor="text1"/>
                <w:sz w:val="21"/>
                <w:szCs w:val="21"/>
                <w:highlight w:val="none"/>
                <w:lang w:val="en-US" w:eastAsia="zh-CN"/>
                <w14:textFill>
                  <w14:solidFill>
                    <w14:schemeClr w14:val="tx1"/>
                  </w14:solidFill>
                </w14:textFill>
              </w:rPr>
              <w:t>②以上证明材料提供不全或不提供不得分。</w:t>
            </w:r>
          </w:p>
        </w:tc>
        <w:tc>
          <w:tcPr>
            <w:tcW w:w="1350" w:type="dxa"/>
            <w:vMerge w:val="continue"/>
            <w:vAlign w:val="center"/>
          </w:tcPr>
          <w:p w14:paraId="75933BD1">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b/>
                <w:bCs/>
                <w:color w:val="auto"/>
                <w:sz w:val="20"/>
                <w:szCs w:val="20"/>
                <w:highlight w:val="none"/>
              </w:rPr>
            </w:pPr>
          </w:p>
        </w:tc>
      </w:tr>
      <w:tr w14:paraId="4FBBF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06" w:hRule="atLeast"/>
          <w:jc w:val="center"/>
        </w:trPr>
        <w:tc>
          <w:tcPr>
            <w:tcW w:w="943" w:type="dxa"/>
            <w:vMerge w:val="continue"/>
            <w:vAlign w:val="center"/>
          </w:tcPr>
          <w:p w14:paraId="325E84D8">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0"/>
                <w:szCs w:val="20"/>
                <w:highlight w:val="none"/>
              </w:rPr>
            </w:pPr>
          </w:p>
        </w:tc>
        <w:tc>
          <w:tcPr>
            <w:tcW w:w="638" w:type="dxa"/>
            <w:vAlign w:val="center"/>
          </w:tcPr>
          <w:p w14:paraId="6153EA3C">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color w:val="auto"/>
                <w:sz w:val="20"/>
                <w:szCs w:val="20"/>
                <w:highlight w:val="none"/>
                <w:lang w:val="en-US" w:eastAsia="zh-CN"/>
              </w:rPr>
            </w:pPr>
            <w:r>
              <w:rPr>
                <w:rFonts w:hint="eastAsia" w:ascii="微软雅黑" w:hAnsi="微软雅黑" w:eastAsia="微软雅黑" w:cs="微软雅黑"/>
                <w:color w:val="auto"/>
                <w:sz w:val="20"/>
                <w:szCs w:val="20"/>
                <w:highlight w:val="none"/>
                <w:lang w:val="en-US" w:eastAsia="zh-CN"/>
              </w:rPr>
              <w:t>4</w:t>
            </w:r>
          </w:p>
        </w:tc>
        <w:tc>
          <w:tcPr>
            <w:tcW w:w="7244" w:type="dxa"/>
            <w:vAlign w:val="center"/>
          </w:tcPr>
          <w:p w14:paraId="365D2F65">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b w:val="0"/>
                <w:bCs w:val="0"/>
                <w:color w:val="auto"/>
                <w:kern w:val="0"/>
                <w:sz w:val="20"/>
                <w:szCs w:val="20"/>
                <w:highlight w:val="none"/>
                <w:lang w:val="en-US" w:eastAsia="zh-CN"/>
              </w:rPr>
            </w:pPr>
            <w:r>
              <w:rPr>
                <w:rFonts w:hint="eastAsia" w:ascii="微软雅黑" w:hAnsi="微软雅黑" w:eastAsia="微软雅黑" w:cs="微软雅黑"/>
                <w:b/>
                <w:bCs/>
                <w:color w:val="auto"/>
                <w:kern w:val="0"/>
                <w:sz w:val="20"/>
                <w:szCs w:val="20"/>
                <w:highlight w:val="none"/>
                <w:lang w:val="en-US" w:eastAsia="zh-CN"/>
              </w:rPr>
              <w:t>配送能力：</w:t>
            </w:r>
            <w:r>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t>提供满足项目所需的专业配送车辆或冷链运送车，每提供1辆得1分，最高可得4分。</w:t>
            </w:r>
          </w:p>
          <w:p w14:paraId="6AB78BDD">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b/>
                <w:bCs/>
                <w:color w:val="000000" w:themeColor="text1"/>
                <w:sz w:val="21"/>
                <w:szCs w:val="21"/>
                <w:highlight w:val="none"/>
                <w:lang w:val="en-US" w:eastAsia="zh-CN"/>
                <w14:textFill>
                  <w14:solidFill>
                    <w14:schemeClr w14:val="tx1"/>
                  </w14:solidFill>
                </w14:textFill>
              </w:rPr>
            </w:pPr>
            <w:r>
              <w:rPr>
                <w:rFonts w:hint="eastAsia" w:ascii="微软雅黑" w:hAnsi="微软雅黑" w:eastAsia="微软雅黑" w:cs="微软雅黑"/>
                <w:b/>
                <w:bCs/>
                <w:color w:val="auto"/>
                <w:kern w:val="0"/>
                <w:sz w:val="20"/>
                <w:szCs w:val="20"/>
                <w:highlight w:val="none"/>
                <w:lang w:val="en-US" w:eastAsia="zh-CN"/>
              </w:rPr>
              <w:t>注：①</w:t>
            </w:r>
            <w:r>
              <w:rPr>
                <w:rFonts w:hint="eastAsia" w:ascii="微软雅黑" w:hAnsi="微软雅黑" w:eastAsia="微软雅黑" w:cs="微软雅黑"/>
                <w:b/>
                <w:bCs/>
                <w:color w:val="000000" w:themeColor="text1"/>
                <w:sz w:val="21"/>
                <w:szCs w:val="21"/>
                <w:highlight w:val="none"/>
                <w:lang w:val="en-US" w:eastAsia="zh-CN"/>
                <w14:textFill>
                  <w14:solidFill>
                    <w14:schemeClr w14:val="tx1"/>
                  </w14:solidFill>
                </w14:textFill>
              </w:rPr>
              <w:t>车辆是投标人自有车辆的须提供有效机动车行驶证的扫描件和照片并加盖单位公章，车辆是投标人租赁车辆的须提供租赁合同、车辆的行驶证扫描件和照片并加盖单位公章。</w:t>
            </w:r>
          </w:p>
          <w:p w14:paraId="149BAE13">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b w:val="0"/>
                <w:bCs w:val="0"/>
                <w:color w:val="auto"/>
                <w:sz w:val="20"/>
                <w:szCs w:val="20"/>
                <w:highlight w:val="none"/>
                <w:lang w:val="en-US" w:eastAsia="zh-CN"/>
              </w:rPr>
            </w:pPr>
            <w:r>
              <w:rPr>
                <w:rFonts w:hint="eastAsia" w:ascii="微软雅黑" w:hAnsi="微软雅黑" w:eastAsia="微软雅黑" w:cs="微软雅黑"/>
                <w:b/>
                <w:bCs/>
                <w:color w:val="000000" w:themeColor="text1"/>
                <w:sz w:val="21"/>
                <w:szCs w:val="21"/>
                <w:highlight w:val="none"/>
                <w:lang w:val="en-US" w:eastAsia="zh-CN"/>
                <w14:textFill>
                  <w14:solidFill>
                    <w14:schemeClr w14:val="tx1"/>
                  </w14:solidFill>
                </w14:textFill>
              </w:rPr>
              <w:t>②以上证明材料提供不全或不提供不得分。</w:t>
            </w:r>
          </w:p>
        </w:tc>
        <w:tc>
          <w:tcPr>
            <w:tcW w:w="1350" w:type="dxa"/>
            <w:vMerge w:val="continue"/>
            <w:vAlign w:val="center"/>
          </w:tcPr>
          <w:p w14:paraId="0A775E57">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b/>
                <w:bCs/>
                <w:color w:val="auto"/>
                <w:sz w:val="20"/>
                <w:szCs w:val="20"/>
                <w:highlight w:val="none"/>
              </w:rPr>
            </w:pPr>
          </w:p>
        </w:tc>
      </w:tr>
      <w:tr w14:paraId="4E9EA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3" w:hRule="atLeast"/>
          <w:jc w:val="center"/>
        </w:trPr>
        <w:tc>
          <w:tcPr>
            <w:tcW w:w="943" w:type="dxa"/>
            <w:vMerge w:val="restart"/>
            <w:vAlign w:val="center"/>
          </w:tcPr>
          <w:p w14:paraId="78B89A79">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0"/>
                <w:szCs w:val="20"/>
                <w:highlight w:val="none"/>
              </w:rPr>
            </w:pPr>
          </w:p>
          <w:p w14:paraId="4DE92163">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技术评分标准</w:t>
            </w:r>
          </w:p>
        </w:tc>
        <w:tc>
          <w:tcPr>
            <w:tcW w:w="638" w:type="dxa"/>
            <w:vAlign w:val="center"/>
          </w:tcPr>
          <w:p w14:paraId="5A157DFC">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微软雅黑" w:hAnsi="微软雅黑" w:eastAsia="微软雅黑" w:cs="微软雅黑"/>
                <w:color w:val="auto"/>
                <w:sz w:val="20"/>
                <w:szCs w:val="20"/>
                <w:highlight w:val="none"/>
                <w:lang w:val="en-US" w:eastAsia="zh-CN"/>
              </w:rPr>
            </w:pPr>
            <w:r>
              <w:rPr>
                <w:rFonts w:hint="eastAsia" w:ascii="微软雅黑" w:hAnsi="微软雅黑" w:eastAsia="微软雅黑" w:cs="微软雅黑"/>
                <w:color w:val="auto"/>
                <w:sz w:val="20"/>
                <w:szCs w:val="20"/>
                <w:highlight w:val="none"/>
                <w:lang w:val="en-US" w:eastAsia="zh-CN"/>
              </w:rPr>
              <w:t>20</w:t>
            </w:r>
          </w:p>
        </w:tc>
        <w:tc>
          <w:tcPr>
            <w:tcW w:w="7244" w:type="dxa"/>
            <w:vAlign w:val="center"/>
          </w:tcPr>
          <w:p w14:paraId="4D8DDC78">
            <w:pPr>
              <w:pageBreakBefore w:val="0"/>
              <w:kinsoku/>
              <w:wordWrap w:val="0"/>
              <w:overflowPunct/>
              <w:topLinePunct w:val="0"/>
              <w:bidi w:val="0"/>
              <w:spacing w:line="400" w:lineRule="exact"/>
              <w:rPr>
                <w:rFonts w:hint="eastAsia" w:ascii="微软雅黑" w:hAnsi="微软雅黑" w:eastAsia="微软雅黑" w:cs="微软雅黑"/>
                <w:kern w:val="0"/>
                <w:szCs w:val="21"/>
                <w:highlight w:val="none"/>
              </w:rPr>
            </w:pPr>
            <w:r>
              <w:rPr>
                <w:rFonts w:hint="eastAsia" w:ascii="微软雅黑" w:hAnsi="微软雅黑" w:eastAsia="微软雅黑" w:cs="微软雅黑"/>
                <w:b/>
                <w:bCs/>
                <w:kern w:val="0"/>
                <w:szCs w:val="21"/>
                <w:highlight w:val="none"/>
              </w:rPr>
              <w:t>技术参数：</w:t>
            </w:r>
            <w:r>
              <w:rPr>
                <w:rFonts w:hint="eastAsia" w:ascii="微软雅黑" w:hAnsi="微软雅黑" w:eastAsia="微软雅黑" w:cs="微软雅黑"/>
                <w:kern w:val="0"/>
                <w:szCs w:val="21"/>
                <w:highlight w:val="none"/>
              </w:rPr>
              <w:t>根据所投产品的配置与性能技术指标及配置参数响应程度打分。</w:t>
            </w:r>
          </w:p>
          <w:p w14:paraId="564FC75A">
            <w:pPr>
              <w:pageBreakBefore w:val="0"/>
              <w:kinsoku/>
              <w:wordWrap w:val="0"/>
              <w:overflowPunct/>
              <w:topLinePunct w:val="0"/>
              <w:bidi w:val="0"/>
              <w:spacing w:line="400" w:lineRule="exact"/>
              <w:outlineLvl w:val="1"/>
              <w:rPr>
                <w:rFonts w:hint="eastAsia" w:ascii="微软雅黑" w:hAnsi="微软雅黑" w:eastAsia="微软雅黑" w:cs="微软雅黑"/>
                <w:kern w:val="0"/>
                <w:szCs w:val="21"/>
                <w:highlight w:val="none"/>
              </w:rPr>
            </w:pPr>
            <w:bookmarkStart w:id="1763" w:name="_Toc18670"/>
            <w:bookmarkStart w:id="1764" w:name="_Toc10125"/>
            <w:r>
              <w:rPr>
                <w:rFonts w:hint="eastAsia" w:ascii="微软雅黑" w:hAnsi="微软雅黑" w:eastAsia="微软雅黑" w:cs="微软雅黑"/>
                <w:kern w:val="0"/>
                <w:szCs w:val="21"/>
                <w:highlight w:val="none"/>
              </w:rPr>
              <w:t>完全满足招标要求的得</w:t>
            </w:r>
            <w:r>
              <w:rPr>
                <w:rFonts w:hint="eastAsia" w:ascii="微软雅黑" w:hAnsi="微软雅黑" w:eastAsia="微软雅黑" w:cs="微软雅黑"/>
                <w:kern w:val="0"/>
                <w:szCs w:val="21"/>
                <w:highlight w:val="none"/>
                <w:lang w:val="en-US" w:eastAsia="zh-CN"/>
              </w:rPr>
              <w:t>20</w:t>
            </w:r>
            <w:r>
              <w:rPr>
                <w:rFonts w:hint="eastAsia" w:ascii="微软雅黑" w:hAnsi="微软雅黑" w:eastAsia="微软雅黑" w:cs="微软雅黑"/>
                <w:kern w:val="0"/>
                <w:szCs w:val="21"/>
                <w:highlight w:val="none"/>
              </w:rPr>
              <w:t>分。技术参数</w:t>
            </w:r>
            <w:r>
              <w:rPr>
                <w:rFonts w:hint="eastAsia" w:ascii="微软雅黑" w:hAnsi="微软雅黑" w:eastAsia="微软雅黑" w:cs="微软雅黑"/>
                <w:szCs w:val="21"/>
                <w:highlight w:val="none"/>
              </w:rPr>
              <w:t>每有一项负偏离扣</w:t>
            </w:r>
            <w:r>
              <w:rPr>
                <w:rFonts w:hint="eastAsia" w:ascii="微软雅黑" w:hAnsi="微软雅黑" w:eastAsia="微软雅黑" w:cs="微软雅黑"/>
                <w:szCs w:val="21"/>
                <w:highlight w:val="none"/>
                <w:lang w:val="en-US" w:eastAsia="zh-CN"/>
              </w:rPr>
              <w:t>0.25</w:t>
            </w:r>
            <w:r>
              <w:rPr>
                <w:rFonts w:hint="eastAsia" w:ascii="微软雅黑" w:hAnsi="微软雅黑" w:eastAsia="微软雅黑" w:cs="微软雅黑"/>
                <w:szCs w:val="21"/>
                <w:highlight w:val="none"/>
              </w:rPr>
              <w:t>分</w:t>
            </w:r>
            <w:r>
              <w:rPr>
                <w:rFonts w:hint="eastAsia" w:ascii="微软雅黑" w:hAnsi="微软雅黑" w:eastAsia="微软雅黑" w:cs="微软雅黑"/>
                <w:szCs w:val="21"/>
                <w:highlight w:val="none"/>
                <w:lang w:eastAsia="zh-CN"/>
              </w:rPr>
              <w:t>，</w:t>
            </w:r>
            <w:r>
              <w:rPr>
                <w:rFonts w:hint="eastAsia" w:ascii="微软雅黑" w:hAnsi="微软雅黑" w:eastAsia="微软雅黑" w:cs="微软雅黑"/>
                <w:kern w:val="0"/>
                <w:szCs w:val="21"/>
                <w:highlight w:val="none"/>
              </w:rPr>
              <w:t>直至扣完为止。</w:t>
            </w:r>
            <w:bookmarkEnd w:id="1763"/>
            <w:bookmarkEnd w:id="1764"/>
          </w:p>
          <w:p w14:paraId="5F2A3410">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b/>
                <w:bCs/>
                <w:color w:val="auto"/>
                <w:kern w:val="0"/>
                <w:sz w:val="20"/>
                <w:szCs w:val="20"/>
                <w:highlight w:val="yellow"/>
                <w:lang w:val="en-US" w:eastAsia="zh-CN"/>
              </w:rPr>
            </w:pPr>
            <w:r>
              <w:rPr>
                <w:rFonts w:hint="eastAsia" w:ascii="微软雅黑" w:hAnsi="微软雅黑" w:eastAsia="微软雅黑" w:cs="微软雅黑"/>
                <w:b/>
                <w:bCs/>
                <w:szCs w:val="21"/>
                <w:highlight w:val="none"/>
              </w:rPr>
              <w:t>注：</w:t>
            </w:r>
            <w:r>
              <w:rPr>
                <w:rFonts w:hint="eastAsia" w:ascii="微软雅黑" w:hAnsi="微软雅黑" w:eastAsia="微软雅黑" w:cs="微软雅黑"/>
                <w:b/>
                <w:bCs/>
                <w:szCs w:val="21"/>
                <w:highlight w:val="none"/>
                <w:lang w:val="en-US" w:eastAsia="zh-CN"/>
              </w:rPr>
              <w:t>①</w:t>
            </w:r>
            <w:r>
              <w:rPr>
                <w:rFonts w:hint="eastAsia" w:ascii="微软雅黑" w:hAnsi="微软雅黑" w:eastAsia="微软雅黑" w:cs="微软雅黑"/>
                <w:b/>
                <w:bCs/>
                <w:kern w:val="0"/>
                <w:szCs w:val="21"/>
                <w:highlight w:val="none"/>
                <w:lang w:val="en-US" w:eastAsia="zh-CN"/>
              </w:rPr>
              <w:t>需对应提供产品参数中要求的</w:t>
            </w:r>
            <w:r>
              <w:rPr>
                <w:rFonts w:hint="eastAsia" w:ascii="微软雅黑" w:hAnsi="微软雅黑" w:eastAsia="微软雅黑" w:cs="微软雅黑"/>
                <w:b/>
                <w:bCs/>
                <w:kern w:val="0"/>
                <w:szCs w:val="21"/>
                <w:highlight w:val="none"/>
              </w:rPr>
              <w:t>证明材料</w:t>
            </w:r>
            <w:r>
              <w:rPr>
                <w:rFonts w:hint="eastAsia" w:ascii="微软雅黑" w:hAnsi="微软雅黑" w:eastAsia="微软雅黑" w:cs="微软雅黑"/>
                <w:b/>
                <w:bCs/>
                <w:kern w:val="0"/>
                <w:szCs w:val="21"/>
                <w:highlight w:val="none"/>
                <w:lang w:eastAsia="zh-CN"/>
              </w:rPr>
              <w:t>。</w:t>
            </w:r>
            <w:r>
              <w:rPr>
                <w:rFonts w:hint="eastAsia" w:ascii="微软雅黑" w:hAnsi="微软雅黑" w:eastAsia="微软雅黑" w:cs="微软雅黑"/>
                <w:b/>
                <w:bCs/>
                <w:kern w:val="0"/>
                <w:szCs w:val="21"/>
                <w:highlight w:val="none"/>
                <w:lang w:val="en-US" w:eastAsia="zh-CN"/>
              </w:rPr>
              <w:t>②</w:t>
            </w:r>
            <w:r>
              <w:rPr>
                <w:rFonts w:hint="eastAsia" w:ascii="微软雅黑" w:hAnsi="微软雅黑" w:eastAsia="微软雅黑" w:cs="微软雅黑"/>
                <w:b/>
                <w:bCs/>
                <w:szCs w:val="21"/>
                <w:highlight w:val="none"/>
              </w:rPr>
              <w:t>证明材料模糊，无法辨识的，视为无效</w:t>
            </w:r>
            <w:r>
              <w:rPr>
                <w:rFonts w:hint="eastAsia" w:ascii="微软雅黑" w:hAnsi="微软雅黑" w:eastAsia="微软雅黑" w:cs="微软雅黑"/>
                <w:b/>
                <w:bCs/>
                <w:szCs w:val="21"/>
                <w:highlight w:val="none"/>
                <w:lang w:val="en-US" w:eastAsia="zh-CN"/>
              </w:rPr>
              <w:t>资料。</w:t>
            </w:r>
            <w:r>
              <w:rPr>
                <w:rFonts w:hint="eastAsia" w:ascii="微软雅黑" w:hAnsi="微软雅黑" w:eastAsia="微软雅黑" w:cs="微软雅黑"/>
                <w:b/>
                <w:bCs/>
                <w:kern w:val="0"/>
                <w:szCs w:val="21"/>
                <w:highlight w:val="none"/>
                <w:lang w:val="en-US" w:eastAsia="zh-CN"/>
              </w:rPr>
              <w:t>③</w:t>
            </w:r>
            <w:r>
              <w:rPr>
                <w:rFonts w:hint="eastAsia" w:ascii="微软雅黑" w:hAnsi="微软雅黑" w:eastAsia="微软雅黑" w:cs="微软雅黑"/>
                <w:b/>
                <w:bCs/>
                <w:kern w:val="0"/>
                <w:szCs w:val="21"/>
                <w:highlight w:val="none"/>
              </w:rPr>
              <w:t>若未提供有效证明材料则该参数将被视为负偏离。</w:t>
            </w:r>
          </w:p>
        </w:tc>
        <w:tc>
          <w:tcPr>
            <w:tcW w:w="1350" w:type="dxa"/>
            <w:vMerge w:val="restart"/>
            <w:vAlign w:val="center"/>
          </w:tcPr>
          <w:p w14:paraId="54C480EE">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b/>
                <w:bCs/>
                <w:color w:val="auto"/>
                <w:sz w:val="20"/>
                <w:szCs w:val="20"/>
                <w:highlight w:val="none"/>
              </w:rPr>
              <w:t>根据需求提供必要的证明资料</w:t>
            </w:r>
          </w:p>
        </w:tc>
      </w:tr>
      <w:tr w14:paraId="09FFA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3" w:hRule="atLeast"/>
          <w:jc w:val="center"/>
        </w:trPr>
        <w:tc>
          <w:tcPr>
            <w:tcW w:w="943" w:type="dxa"/>
            <w:vMerge w:val="continue"/>
            <w:vAlign w:val="center"/>
          </w:tcPr>
          <w:p w14:paraId="10DC4CE7">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0"/>
                <w:szCs w:val="20"/>
                <w:highlight w:val="none"/>
              </w:rPr>
            </w:pPr>
          </w:p>
        </w:tc>
        <w:tc>
          <w:tcPr>
            <w:tcW w:w="638" w:type="dxa"/>
            <w:vAlign w:val="center"/>
          </w:tcPr>
          <w:p w14:paraId="619607D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微软雅黑" w:hAnsi="微软雅黑" w:eastAsia="微软雅黑" w:cs="微软雅黑"/>
                <w:color w:val="auto"/>
                <w:sz w:val="20"/>
                <w:szCs w:val="20"/>
                <w:highlight w:val="none"/>
                <w:lang w:val="en-US" w:eastAsia="zh-CN"/>
              </w:rPr>
            </w:pPr>
            <w:r>
              <w:rPr>
                <w:rFonts w:hint="eastAsia" w:ascii="微软雅黑" w:hAnsi="微软雅黑" w:eastAsia="微软雅黑" w:cs="微软雅黑"/>
                <w:color w:val="auto"/>
                <w:sz w:val="20"/>
                <w:szCs w:val="20"/>
                <w:highlight w:val="none"/>
                <w:lang w:val="en-US" w:eastAsia="zh-CN"/>
              </w:rPr>
              <w:t>10</w:t>
            </w:r>
          </w:p>
        </w:tc>
        <w:tc>
          <w:tcPr>
            <w:tcW w:w="7244" w:type="dxa"/>
            <w:vAlign w:val="center"/>
          </w:tcPr>
          <w:p w14:paraId="48A450C4">
            <w:pPr>
              <w:spacing w:line="400" w:lineRule="exact"/>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pPr>
            <w:r>
              <w:rPr>
                <w:rFonts w:hint="eastAsia" w:ascii="微软雅黑" w:hAnsi="微软雅黑" w:eastAsia="微软雅黑" w:cs="微软雅黑"/>
                <w:b/>
                <w:bCs/>
                <w:color w:val="000000" w:themeColor="text1"/>
                <w:sz w:val="21"/>
                <w:szCs w:val="21"/>
                <w:highlight w:val="none"/>
                <w:lang w:val="en-US" w:eastAsia="zh-CN"/>
                <w14:textFill>
                  <w14:solidFill>
                    <w14:schemeClr w14:val="tx1"/>
                  </w14:solidFill>
                </w14:textFill>
              </w:rPr>
              <w:t>样品：根据所提供样品种类的完整性以及样品品质(包括但不限于外观、色泽、 气味、触觉、味觉，以及表面及切面纹理等)进行评分：</w:t>
            </w:r>
          </w:p>
          <w:p w14:paraId="2BDDA8BA">
            <w:pPr>
              <w:spacing w:line="400" w:lineRule="exact"/>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t>①样品完整且样品形状、大小、长短、薄厚适宜，色泽自然，气味醇正，无异味，表面及切面纹理及质感清晰自然，无杂质，得10分；</w:t>
            </w:r>
          </w:p>
          <w:p w14:paraId="6DDA68F2">
            <w:pPr>
              <w:spacing w:line="400" w:lineRule="exact"/>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t>②样品完整或基本完整，且样品形状、大小、长短、薄厚较为适宜，色泽 自然，气味较醇正，表面及切面纹理及质感较为清晰自然，无明显杂质， 得8分 ；</w:t>
            </w:r>
          </w:p>
          <w:p w14:paraId="3669CD4A">
            <w:pPr>
              <w:spacing w:line="400" w:lineRule="exact"/>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t>③样品完整或基本完整，且样品形状、大小、长短、薄厚适宜性一般， 色泽较为自然，气味较醇正，表面及切面纹理及质感略有欠缺，无明显杂质，得6分；</w:t>
            </w:r>
          </w:p>
          <w:p w14:paraId="173D85A7">
            <w:pPr>
              <w:spacing w:line="400" w:lineRule="exact"/>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t>④样品有较多缺漏，或样品形状、大小、长短、薄厚不十分均匀，色泽基本正常，气味基本无异味，表面及切面纹理及质感不佳，或有明显杂质的，得3分；</w:t>
            </w:r>
          </w:p>
          <w:p w14:paraId="71F8C451">
            <w:pPr>
              <w:spacing w:line="400" w:lineRule="exact"/>
              <w:rPr>
                <w:rFonts w:hint="eastAsia" w:ascii="微软雅黑" w:hAnsi="微软雅黑" w:eastAsia="微软雅黑" w:cs="微软雅黑"/>
                <w:b/>
                <w:bCs/>
                <w:color w:val="000000" w:themeColor="text1"/>
                <w:sz w:val="21"/>
                <w:szCs w:val="21"/>
                <w:highlight w:val="none"/>
                <w:lang w:val="en-US" w:eastAsia="zh-CN"/>
                <w14:textFill>
                  <w14:solidFill>
                    <w14:schemeClr w14:val="tx1"/>
                  </w14:solidFill>
                </w14:textFill>
              </w:rPr>
            </w:pPr>
            <w:r>
              <w:rPr>
                <w:rFonts w:hint="eastAsia" w:ascii="微软雅黑" w:hAnsi="微软雅黑" w:eastAsia="微软雅黑" w:cs="微软雅黑"/>
                <w:b/>
                <w:bCs/>
                <w:color w:val="000000" w:themeColor="text1"/>
                <w:sz w:val="21"/>
                <w:szCs w:val="21"/>
                <w:highlight w:val="none"/>
                <w:lang w:val="en-US" w:eastAsia="zh-CN"/>
                <w14:textFill>
                  <w14:solidFill>
                    <w14:schemeClr w14:val="tx1"/>
                  </w14:solidFill>
                </w14:textFill>
              </w:rPr>
              <w:t>注：未提供样品、样品不全、未提供样品检测报告、检测报告不全不得分</w:t>
            </w:r>
            <w:r>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t>。</w:t>
            </w:r>
          </w:p>
        </w:tc>
        <w:tc>
          <w:tcPr>
            <w:tcW w:w="1350" w:type="dxa"/>
            <w:vMerge w:val="continue"/>
            <w:vAlign w:val="center"/>
          </w:tcPr>
          <w:p w14:paraId="16856E99">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0"/>
                <w:szCs w:val="20"/>
                <w:highlight w:val="none"/>
              </w:rPr>
            </w:pPr>
          </w:p>
        </w:tc>
      </w:tr>
      <w:tr w14:paraId="085D2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3" w:hRule="atLeast"/>
          <w:jc w:val="center"/>
        </w:trPr>
        <w:tc>
          <w:tcPr>
            <w:tcW w:w="943" w:type="dxa"/>
            <w:vMerge w:val="continue"/>
            <w:vAlign w:val="center"/>
          </w:tcPr>
          <w:p w14:paraId="75541CA7">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0"/>
                <w:szCs w:val="20"/>
                <w:highlight w:val="none"/>
              </w:rPr>
            </w:pPr>
          </w:p>
        </w:tc>
        <w:tc>
          <w:tcPr>
            <w:tcW w:w="638" w:type="dxa"/>
            <w:vAlign w:val="center"/>
          </w:tcPr>
          <w:p w14:paraId="3F8BA861">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微软雅黑" w:hAnsi="微软雅黑" w:eastAsia="微软雅黑" w:cs="微软雅黑"/>
                <w:color w:val="auto"/>
                <w:sz w:val="20"/>
                <w:szCs w:val="20"/>
                <w:highlight w:val="none"/>
                <w:lang w:val="en-US" w:eastAsia="zh-CN"/>
              </w:rPr>
            </w:pPr>
            <w:r>
              <w:rPr>
                <w:rFonts w:hint="eastAsia" w:ascii="微软雅黑" w:hAnsi="微软雅黑" w:eastAsia="微软雅黑" w:cs="微软雅黑"/>
                <w:color w:val="auto"/>
                <w:sz w:val="20"/>
                <w:szCs w:val="20"/>
                <w:highlight w:val="none"/>
                <w:lang w:val="en-US" w:eastAsia="zh-CN"/>
              </w:rPr>
              <w:t>6</w:t>
            </w:r>
          </w:p>
        </w:tc>
        <w:tc>
          <w:tcPr>
            <w:tcW w:w="7244" w:type="dxa"/>
            <w:vAlign w:val="center"/>
          </w:tcPr>
          <w:p w14:paraId="77D8246F">
            <w:pPr>
              <w:spacing w:line="400" w:lineRule="exact"/>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pPr>
            <w:r>
              <w:rPr>
                <w:rFonts w:hint="eastAsia" w:ascii="微软雅黑" w:hAnsi="微软雅黑" w:eastAsia="微软雅黑" w:cs="微软雅黑"/>
                <w:b/>
                <w:bCs/>
                <w:color w:val="auto"/>
                <w:kern w:val="0"/>
                <w:sz w:val="21"/>
                <w:szCs w:val="21"/>
                <w:highlight w:val="none"/>
                <w:lang w:val="en-US" w:eastAsia="zh-CN"/>
              </w:rPr>
              <w:t>仓储能力：</w:t>
            </w:r>
            <w:r>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t xml:space="preserve">（1）具有仓储场地的： ①场地面积＞2000㎡，得3分； </w:t>
            </w:r>
          </w:p>
          <w:p w14:paraId="0B1DBE06">
            <w:pPr>
              <w:spacing w:line="400" w:lineRule="exact"/>
              <w:rPr>
                <w:rFonts w:hint="default"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t>②2000㎡≥场地面积＞1500㎡，得2分； ③1500㎡≥场地面积＞1000㎡，得1分；</w:t>
            </w:r>
          </w:p>
          <w:p w14:paraId="1DBC723E">
            <w:pPr>
              <w:spacing w:line="400" w:lineRule="exact"/>
              <w:rPr>
                <w:rFonts w:hint="default"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t>（2）具有冷库场地： ①场地面积＞100㎡，得3分； ②100㎡≥场地面积＞50㎡，得2分； ③50㎡≥场地面积＞10㎡，得1分；</w:t>
            </w:r>
          </w:p>
          <w:p w14:paraId="21C76DAD">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b/>
                <w:bCs/>
                <w:color w:val="auto"/>
                <w:kern w:val="0"/>
                <w:sz w:val="21"/>
                <w:szCs w:val="21"/>
                <w:highlight w:val="none"/>
                <w:lang w:val="en-US" w:eastAsia="zh-CN"/>
              </w:rPr>
            </w:pPr>
            <w:r>
              <w:rPr>
                <w:rFonts w:hint="eastAsia" w:ascii="微软雅黑" w:hAnsi="微软雅黑" w:eastAsia="微软雅黑" w:cs="微软雅黑"/>
                <w:b/>
                <w:bCs/>
                <w:color w:val="000000" w:themeColor="text1"/>
                <w:sz w:val="21"/>
                <w:szCs w:val="21"/>
                <w:highlight w:val="none"/>
                <w:lang w:val="en-US" w:eastAsia="zh-CN"/>
                <w14:textFill>
                  <w14:solidFill>
                    <w14:schemeClr w14:val="tx1"/>
                  </w14:solidFill>
                </w14:textFill>
              </w:rPr>
              <w:t>注：①自有场地的须提供场地图片、产权证明；租赁场地的须提供场地图片、租赁合同。②以上证明材料提供不全或不提供不得分。</w:t>
            </w:r>
          </w:p>
        </w:tc>
        <w:tc>
          <w:tcPr>
            <w:tcW w:w="1350" w:type="dxa"/>
            <w:vMerge w:val="continue"/>
            <w:vAlign w:val="center"/>
          </w:tcPr>
          <w:p w14:paraId="789407F9">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0"/>
                <w:szCs w:val="20"/>
                <w:highlight w:val="none"/>
              </w:rPr>
            </w:pPr>
          </w:p>
        </w:tc>
      </w:tr>
      <w:tr w14:paraId="49DB2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3" w:hRule="atLeast"/>
          <w:jc w:val="center"/>
        </w:trPr>
        <w:tc>
          <w:tcPr>
            <w:tcW w:w="943" w:type="dxa"/>
            <w:vMerge w:val="continue"/>
            <w:vAlign w:val="center"/>
          </w:tcPr>
          <w:p w14:paraId="6AAFA701">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0"/>
                <w:szCs w:val="20"/>
                <w:highlight w:val="none"/>
              </w:rPr>
            </w:pPr>
          </w:p>
        </w:tc>
        <w:tc>
          <w:tcPr>
            <w:tcW w:w="638" w:type="dxa"/>
            <w:vAlign w:val="center"/>
          </w:tcPr>
          <w:p w14:paraId="65F3315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微软雅黑" w:hAnsi="微软雅黑" w:eastAsia="微软雅黑" w:cs="微软雅黑"/>
                <w:color w:val="auto"/>
                <w:sz w:val="20"/>
                <w:szCs w:val="20"/>
                <w:highlight w:val="none"/>
                <w:lang w:val="en-US" w:eastAsia="zh-CN"/>
              </w:rPr>
            </w:pPr>
            <w:r>
              <w:rPr>
                <w:rFonts w:hint="eastAsia" w:ascii="微软雅黑" w:hAnsi="微软雅黑" w:eastAsia="微软雅黑" w:cs="微软雅黑"/>
                <w:color w:val="auto"/>
                <w:sz w:val="20"/>
                <w:szCs w:val="20"/>
                <w:highlight w:val="none"/>
                <w:lang w:val="en-US" w:eastAsia="zh-CN"/>
              </w:rPr>
              <w:t>5</w:t>
            </w:r>
          </w:p>
        </w:tc>
        <w:tc>
          <w:tcPr>
            <w:tcW w:w="7244" w:type="dxa"/>
            <w:vAlign w:val="center"/>
          </w:tcPr>
          <w:p w14:paraId="04255D68">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kern w:val="0"/>
                <w:sz w:val="21"/>
                <w:szCs w:val="21"/>
                <w:highlight w:val="none"/>
                <w:lang w:val="en-US" w:eastAsia="zh-CN"/>
              </w:rPr>
            </w:pPr>
            <w:r>
              <w:rPr>
                <w:rFonts w:hint="eastAsia" w:ascii="微软雅黑" w:hAnsi="微软雅黑" w:eastAsia="微软雅黑" w:cs="微软雅黑"/>
                <w:b/>
                <w:bCs/>
                <w:color w:val="auto"/>
                <w:kern w:val="0"/>
                <w:sz w:val="20"/>
                <w:szCs w:val="20"/>
                <w:highlight w:val="none"/>
                <w:lang w:val="en-US" w:eastAsia="zh-CN"/>
              </w:rPr>
              <w:t>实施方案：</w:t>
            </w:r>
            <w:r>
              <w:rPr>
                <w:rFonts w:hint="eastAsia" w:ascii="微软雅黑" w:hAnsi="微软雅黑" w:eastAsia="微软雅黑" w:cs="微软雅黑"/>
                <w:color w:val="auto"/>
                <w:kern w:val="0"/>
                <w:sz w:val="21"/>
                <w:szCs w:val="21"/>
                <w:highlight w:val="none"/>
                <w:lang w:val="en-US" w:eastAsia="zh-CN"/>
              </w:rPr>
              <w:t>根据投标供应商针对本项目提供的实施方案进行评审，主要根据是否制定紧凑、科学、可行的工作计划和时间安排表，投入的人力物力财力保证进度计划的实现，拟投入工作量等进行评分，方案包含但不限于：</w:t>
            </w:r>
          </w:p>
          <w:p w14:paraId="353EC441">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kern w:val="0"/>
                <w:sz w:val="21"/>
                <w:szCs w:val="21"/>
                <w:highlight w:val="none"/>
                <w:lang w:val="en-US" w:eastAsia="zh-CN"/>
              </w:rPr>
            </w:pPr>
            <w:r>
              <w:rPr>
                <w:rFonts w:hint="eastAsia" w:ascii="微软雅黑" w:hAnsi="微软雅黑" w:eastAsia="微软雅黑" w:cs="微软雅黑"/>
                <w:color w:val="auto"/>
                <w:kern w:val="0"/>
                <w:sz w:val="21"/>
                <w:szCs w:val="21"/>
                <w:highlight w:val="none"/>
                <w:lang w:val="en-US" w:eastAsia="zh-CN"/>
              </w:rPr>
              <w:t>①药品采购方案；②药品验收方案；③仓储日常管理方案；④全流程质量控制方案；⑤配送供应方案；</w:t>
            </w:r>
          </w:p>
          <w:p w14:paraId="07A8A33A">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t>以上5项内容均提供，方案完全符合项目要求得5分；其中每有一项内容未提供的扣1分；每有一项内容不符合项目要求或内容存在缺陷的扣0.5分，直至扣完为止。</w:t>
            </w:r>
          </w:p>
          <w:p w14:paraId="4B20CFB8">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0"/>
                <w:szCs w:val="20"/>
                <w:highlight w:val="none"/>
                <w:lang w:eastAsia="zh-CN"/>
              </w:rPr>
            </w:pPr>
            <w:r>
              <w:rPr>
                <w:rFonts w:hint="eastAsia" w:ascii="微软雅黑" w:hAnsi="微软雅黑" w:eastAsia="微软雅黑" w:cs="微软雅黑"/>
                <w:b/>
                <w:bCs/>
                <w:color w:val="000000" w:themeColor="text1"/>
                <w:sz w:val="21"/>
                <w:szCs w:val="21"/>
                <w:highlight w:val="none"/>
                <w:lang w:val="en-US" w:eastAsia="zh-CN"/>
                <w14:textFill>
                  <w14:solidFill>
                    <w14:schemeClr w14:val="tx1"/>
                  </w14:solidFill>
                </w14:textFill>
              </w:rPr>
              <w:t>注：内容存在缺陷是指：①该项内容描述前后不一致；②该项内容所阐述的项目信息与本项目实际信息不一致；③该项内容引用的规定、规范错误；④该项内容描述不符合国家相关法律法规、政策文件、规范标准要求；⑤该项内容阐述的方式方法明显不符合本项目实际情况。</w:t>
            </w:r>
          </w:p>
        </w:tc>
        <w:tc>
          <w:tcPr>
            <w:tcW w:w="1350" w:type="dxa"/>
            <w:vMerge w:val="continue"/>
            <w:vAlign w:val="center"/>
          </w:tcPr>
          <w:p w14:paraId="077D932B">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0"/>
                <w:szCs w:val="20"/>
                <w:highlight w:val="none"/>
              </w:rPr>
            </w:pPr>
          </w:p>
        </w:tc>
      </w:tr>
      <w:tr w14:paraId="0B654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60" w:hRule="atLeast"/>
          <w:jc w:val="center"/>
        </w:trPr>
        <w:tc>
          <w:tcPr>
            <w:tcW w:w="943" w:type="dxa"/>
            <w:vMerge w:val="continue"/>
            <w:vAlign w:val="center"/>
          </w:tcPr>
          <w:p w14:paraId="2A5D24E5">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0"/>
                <w:szCs w:val="20"/>
                <w:highlight w:val="none"/>
              </w:rPr>
            </w:pPr>
          </w:p>
        </w:tc>
        <w:tc>
          <w:tcPr>
            <w:tcW w:w="638" w:type="dxa"/>
            <w:vAlign w:val="center"/>
          </w:tcPr>
          <w:p w14:paraId="486A0B2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微软雅黑" w:hAnsi="微软雅黑" w:eastAsia="微软雅黑" w:cs="微软雅黑"/>
                <w:color w:val="auto"/>
                <w:sz w:val="20"/>
                <w:szCs w:val="20"/>
                <w:highlight w:val="none"/>
                <w:lang w:val="en-US" w:eastAsia="zh-CN"/>
              </w:rPr>
            </w:pPr>
            <w:r>
              <w:rPr>
                <w:rFonts w:hint="eastAsia" w:ascii="微软雅黑" w:hAnsi="微软雅黑" w:eastAsia="微软雅黑" w:cs="微软雅黑"/>
                <w:color w:val="auto"/>
                <w:sz w:val="20"/>
                <w:szCs w:val="20"/>
                <w:highlight w:val="none"/>
                <w:lang w:val="en-US" w:eastAsia="zh-CN"/>
              </w:rPr>
              <w:t>4</w:t>
            </w:r>
          </w:p>
        </w:tc>
        <w:tc>
          <w:tcPr>
            <w:tcW w:w="7244" w:type="dxa"/>
            <w:vAlign w:val="center"/>
          </w:tcPr>
          <w:p w14:paraId="632D408D">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kern w:val="0"/>
                <w:sz w:val="21"/>
                <w:szCs w:val="21"/>
                <w:highlight w:val="none"/>
                <w:lang w:val="en-US" w:eastAsia="zh-CN"/>
              </w:rPr>
            </w:pPr>
            <w:r>
              <w:rPr>
                <w:rFonts w:hint="eastAsia" w:ascii="微软雅黑" w:hAnsi="微软雅黑" w:eastAsia="微软雅黑" w:cs="微软雅黑"/>
                <w:b/>
                <w:bCs/>
                <w:color w:val="auto"/>
                <w:kern w:val="0"/>
                <w:sz w:val="21"/>
                <w:szCs w:val="21"/>
                <w:highlight w:val="none"/>
                <w:lang w:val="en-US" w:eastAsia="zh-CN"/>
              </w:rPr>
              <w:t>应急预案：</w:t>
            </w:r>
            <w:r>
              <w:rPr>
                <w:rFonts w:hint="eastAsia" w:ascii="微软雅黑" w:hAnsi="微软雅黑" w:eastAsia="微软雅黑" w:cs="微软雅黑"/>
                <w:color w:val="auto"/>
                <w:kern w:val="0"/>
                <w:sz w:val="21"/>
                <w:szCs w:val="21"/>
                <w:highlight w:val="none"/>
                <w:lang w:val="en-US" w:eastAsia="zh-CN"/>
              </w:rPr>
              <w:t xml:space="preserve">投标供应商结合本项目及采购人实际需要，提供应急措施方案内容，包括：①运输中的突发应急措施（对运输途中突发状况的描述及对发生突发状况的处理方案） </w:t>
            </w:r>
          </w:p>
          <w:p w14:paraId="04998142">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kern w:val="0"/>
                <w:sz w:val="21"/>
                <w:szCs w:val="21"/>
                <w:highlight w:val="none"/>
                <w:lang w:val="en-US" w:eastAsia="zh-CN"/>
              </w:rPr>
            </w:pPr>
            <w:r>
              <w:rPr>
                <w:rFonts w:hint="eastAsia" w:ascii="微软雅黑" w:hAnsi="微软雅黑" w:eastAsia="微软雅黑" w:cs="微软雅黑"/>
                <w:color w:val="auto"/>
                <w:kern w:val="0"/>
                <w:sz w:val="21"/>
                <w:szCs w:val="21"/>
                <w:highlight w:val="none"/>
                <w:lang w:val="en-US" w:eastAsia="zh-CN"/>
              </w:rPr>
              <w:t xml:space="preserve">②因产品质量问题引发的医疗事故应急措施（因问题产品引发的医疗事故的处理方案及保障措施） </w:t>
            </w:r>
          </w:p>
          <w:p w14:paraId="69E09BA5">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kern w:val="0"/>
                <w:sz w:val="21"/>
                <w:szCs w:val="21"/>
                <w:highlight w:val="none"/>
                <w:lang w:val="en-US" w:eastAsia="zh-CN"/>
              </w:rPr>
            </w:pPr>
            <w:r>
              <w:rPr>
                <w:rFonts w:hint="eastAsia" w:ascii="微软雅黑" w:hAnsi="微软雅黑" w:eastAsia="微软雅黑" w:cs="微软雅黑"/>
                <w:color w:val="auto"/>
                <w:kern w:val="0"/>
                <w:sz w:val="21"/>
                <w:szCs w:val="21"/>
                <w:highlight w:val="none"/>
                <w:lang w:val="en-US" w:eastAsia="zh-CN"/>
              </w:rPr>
              <w:t xml:space="preserve">③临时配送的应急措施（如何保证采购人临时配送要求的应急方案） </w:t>
            </w:r>
          </w:p>
          <w:p w14:paraId="70028692">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kern w:val="0"/>
                <w:sz w:val="21"/>
                <w:szCs w:val="21"/>
                <w:highlight w:val="none"/>
                <w:lang w:val="en-US" w:eastAsia="zh-CN"/>
              </w:rPr>
            </w:pPr>
            <w:r>
              <w:rPr>
                <w:rFonts w:hint="eastAsia" w:ascii="微软雅黑" w:hAnsi="微软雅黑" w:eastAsia="微软雅黑" w:cs="微软雅黑"/>
                <w:color w:val="auto"/>
                <w:kern w:val="0"/>
                <w:sz w:val="21"/>
                <w:szCs w:val="21"/>
                <w:highlight w:val="none"/>
                <w:lang w:val="en-US" w:eastAsia="zh-CN"/>
              </w:rPr>
              <w:t>④其他应急措施（投标人提出其他具有前瞻性的应急措施），</w:t>
            </w:r>
          </w:p>
          <w:p w14:paraId="00925509">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t>以上4项内容均提供，方案完全符合项目要求得4分；其中每有一项内容未提供的扣1分；每有一项内容不符合项目要求或内容存在缺陷的扣0.5分，直至扣完为止。</w:t>
            </w:r>
          </w:p>
          <w:p w14:paraId="43E5B0B3">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b/>
                <w:bCs/>
                <w:color w:val="000000" w:themeColor="text1"/>
                <w:sz w:val="21"/>
                <w:szCs w:val="21"/>
                <w:highlight w:val="none"/>
                <w:lang w:val="en-US" w:eastAsia="zh-CN"/>
                <w14:textFill>
                  <w14:solidFill>
                    <w14:schemeClr w14:val="tx1"/>
                  </w14:solidFill>
                </w14:textFill>
              </w:rPr>
              <w:t>注：内容存在缺陷是指：①该项内容描述前后不一致；②该项内容所阐述的项目信息与本项目实际信息不一致；③该项内容引用的规定、规范错误；④该项内容描述不符合国家相关法律法规、政策文件、规范标准要求；⑤该项内容阐述的方式方法明显不符合本项目实际情况。</w:t>
            </w:r>
          </w:p>
        </w:tc>
        <w:tc>
          <w:tcPr>
            <w:tcW w:w="1350" w:type="dxa"/>
            <w:vMerge w:val="continue"/>
            <w:vAlign w:val="center"/>
          </w:tcPr>
          <w:p w14:paraId="46B218EC">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0"/>
                <w:szCs w:val="20"/>
                <w:highlight w:val="none"/>
              </w:rPr>
            </w:pPr>
          </w:p>
        </w:tc>
      </w:tr>
      <w:tr w14:paraId="32D21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16" w:hRule="atLeast"/>
          <w:jc w:val="center"/>
        </w:trPr>
        <w:tc>
          <w:tcPr>
            <w:tcW w:w="943" w:type="dxa"/>
            <w:vMerge w:val="continue"/>
            <w:vAlign w:val="center"/>
          </w:tcPr>
          <w:p w14:paraId="5D39E2A0">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0"/>
                <w:szCs w:val="20"/>
                <w:highlight w:val="none"/>
              </w:rPr>
            </w:pPr>
          </w:p>
        </w:tc>
        <w:tc>
          <w:tcPr>
            <w:tcW w:w="638" w:type="dxa"/>
            <w:vAlign w:val="center"/>
          </w:tcPr>
          <w:p w14:paraId="5499BAF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微软雅黑" w:hAnsi="微软雅黑" w:eastAsia="微软雅黑" w:cs="微软雅黑"/>
                <w:color w:val="auto"/>
                <w:sz w:val="20"/>
                <w:szCs w:val="20"/>
                <w:highlight w:val="none"/>
                <w:lang w:val="en-US" w:eastAsia="zh-CN"/>
              </w:rPr>
            </w:pPr>
            <w:r>
              <w:rPr>
                <w:rFonts w:hint="eastAsia" w:ascii="微软雅黑" w:hAnsi="微软雅黑" w:eastAsia="微软雅黑" w:cs="微软雅黑"/>
                <w:color w:val="auto"/>
                <w:sz w:val="20"/>
                <w:szCs w:val="20"/>
                <w:highlight w:val="none"/>
                <w:lang w:val="en-US" w:eastAsia="zh-CN"/>
              </w:rPr>
              <w:t>10</w:t>
            </w:r>
          </w:p>
        </w:tc>
        <w:tc>
          <w:tcPr>
            <w:tcW w:w="7244" w:type="dxa"/>
            <w:vAlign w:val="center"/>
          </w:tcPr>
          <w:p w14:paraId="5E646D8D">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kern w:val="0"/>
                <w:sz w:val="21"/>
                <w:szCs w:val="21"/>
                <w:highlight w:val="none"/>
                <w:lang w:val="en-US" w:eastAsia="zh-CN"/>
              </w:rPr>
            </w:pPr>
            <w:r>
              <w:rPr>
                <w:rFonts w:hint="eastAsia" w:ascii="微软雅黑" w:hAnsi="微软雅黑" w:eastAsia="微软雅黑" w:cs="微软雅黑"/>
                <w:b/>
                <w:bCs/>
                <w:sz w:val="20"/>
                <w:szCs w:val="20"/>
                <w:highlight w:val="none"/>
                <w:lang w:val="en-US"/>
              </w:rPr>
              <w:t>售后服务:</w:t>
            </w:r>
            <w:r>
              <w:rPr>
                <w:rFonts w:hint="eastAsia" w:ascii="微软雅黑" w:hAnsi="微软雅黑" w:eastAsia="微软雅黑" w:cs="微软雅黑"/>
                <w:b/>
                <w:bCs/>
                <w:sz w:val="20"/>
                <w:szCs w:val="20"/>
                <w:highlight w:val="none"/>
                <w:lang w:val="en-US" w:eastAsia="zh-CN"/>
              </w:rPr>
              <w:t>根据供应商提供的售后服务方案进行评审，</w:t>
            </w:r>
            <w:r>
              <w:rPr>
                <w:rFonts w:hint="eastAsia" w:ascii="微软雅黑" w:hAnsi="微软雅黑" w:eastAsia="微软雅黑" w:cs="微软雅黑"/>
                <w:color w:val="auto"/>
                <w:kern w:val="0"/>
                <w:sz w:val="21"/>
                <w:szCs w:val="21"/>
                <w:highlight w:val="none"/>
                <w:lang w:val="en-US" w:eastAsia="zh-CN"/>
              </w:rPr>
              <w:t>包括但不限于：①售后服务计划、内容及方式；②人员组成；③后续保障措施、退换货措施；④针对医疗纠纷、售后服务保障措施、附带服务、药检质量问题、不良反应等特殊情况的应对措施；⑤服务承诺（包括但不限于配合采购人价格调整、应急供货、质量保证、退货换货等的承诺）等。</w:t>
            </w:r>
          </w:p>
          <w:p w14:paraId="439ACD61">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t>以上5项内容均提供，方案完全符合项目要求得10分；其中每有一项内容未提供的扣2分；每有一项内容不符合项目要求或内容存在缺陷的扣1分，直至扣完为止。</w:t>
            </w:r>
          </w:p>
          <w:p w14:paraId="37FDD713">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sz w:val="20"/>
                <w:szCs w:val="20"/>
                <w:highlight w:val="none"/>
                <w:lang w:val="en-US"/>
              </w:rPr>
            </w:pPr>
            <w:r>
              <w:rPr>
                <w:rFonts w:hint="eastAsia" w:ascii="微软雅黑" w:hAnsi="微软雅黑" w:eastAsia="微软雅黑" w:cs="微软雅黑"/>
                <w:b/>
                <w:bCs/>
                <w:color w:val="000000" w:themeColor="text1"/>
                <w:sz w:val="21"/>
                <w:szCs w:val="21"/>
                <w:highlight w:val="none"/>
                <w:lang w:val="en-US" w:eastAsia="zh-CN"/>
                <w14:textFill>
                  <w14:solidFill>
                    <w14:schemeClr w14:val="tx1"/>
                  </w14:solidFill>
                </w14:textFill>
              </w:rPr>
              <w:t>注：内容存在缺陷是指：①该项内容描述前后不一致；②该项内容所阐述的项目信息与本项目实际信息不一致；③该项内容引用的规定、规范错误；④该项内容描述不符合国家相关法律法规、政策文件、规范标准要求；⑤该项内容阐述的方式方法明显不符合本项目实际情况。</w:t>
            </w:r>
          </w:p>
        </w:tc>
        <w:tc>
          <w:tcPr>
            <w:tcW w:w="1350" w:type="dxa"/>
            <w:vMerge w:val="continue"/>
            <w:vAlign w:val="center"/>
          </w:tcPr>
          <w:p w14:paraId="7E4741D2">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0"/>
                <w:szCs w:val="20"/>
                <w:highlight w:val="none"/>
              </w:rPr>
            </w:pPr>
          </w:p>
        </w:tc>
      </w:tr>
    </w:tbl>
    <w:p w14:paraId="0B8F9596">
      <w:pPr>
        <w:rPr>
          <w:rFonts w:hint="eastAsia" w:ascii="微软雅黑" w:hAnsi="微软雅黑" w:eastAsia="微软雅黑" w:cs="微软雅黑"/>
          <w:b/>
          <w:bCs/>
          <w:color w:val="auto"/>
          <w:sz w:val="24"/>
          <w:szCs w:val="24"/>
          <w:highlight w:val="none"/>
        </w:rPr>
      </w:pPr>
      <w:r>
        <w:rPr>
          <w:rFonts w:hint="eastAsia" w:ascii="微软雅黑" w:hAnsi="微软雅黑" w:eastAsia="微软雅黑" w:cs="微软雅黑"/>
          <w:b/>
          <w:bCs/>
          <w:color w:val="auto"/>
          <w:sz w:val="24"/>
          <w:szCs w:val="24"/>
          <w:highlight w:val="none"/>
        </w:rPr>
        <w:br w:type="page"/>
      </w:r>
    </w:p>
    <w:p w14:paraId="2BE77FA4">
      <w:pPr>
        <w:spacing w:line="300" w:lineRule="auto"/>
        <w:jc w:val="center"/>
        <w:outlineLvl w:val="1"/>
        <w:rPr>
          <w:rFonts w:hint="eastAsia" w:ascii="微软雅黑" w:hAnsi="微软雅黑" w:eastAsia="微软雅黑" w:cs="微软雅黑"/>
          <w:b/>
          <w:bCs/>
          <w:color w:val="auto"/>
          <w:sz w:val="24"/>
          <w:szCs w:val="24"/>
          <w:highlight w:val="none"/>
          <w:lang w:eastAsia="zh-CN"/>
        </w:rPr>
      </w:pPr>
      <w:r>
        <w:rPr>
          <w:rFonts w:hint="eastAsia" w:ascii="微软雅黑" w:hAnsi="微软雅黑" w:eastAsia="微软雅黑" w:cs="微软雅黑"/>
          <w:b/>
          <w:bCs/>
          <w:color w:val="auto"/>
          <w:sz w:val="24"/>
          <w:szCs w:val="24"/>
          <w:highlight w:val="none"/>
        </w:rPr>
        <w:t>综合评分表</w:t>
      </w:r>
      <w:r>
        <w:rPr>
          <w:rFonts w:hint="eastAsia" w:ascii="微软雅黑" w:hAnsi="微软雅黑" w:eastAsia="微软雅黑" w:cs="微软雅黑"/>
          <w:b/>
          <w:bCs/>
          <w:color w:val="auto"/>
          <w:sz w:val="24"/>
          <w:szCs w:val="24"/>
          <w:highlight w:val="none"/>
          <w:lang w:eastAsia="zh-CN"/>
        </w:rPr>
        <w:t>（</w:t>
      </w:r>
      <w:r>
        <w:rPr>
          <w:rFonts w:hint="eastAsia" w:ascii="微软雅黑" w:hAnsi="微软雅黑" w:eastAsia="微软雅黑" w:cs="微软雅黑"/>
          <w:b/>
          <w:bCs/>
          <w:color w:val="auto"/>
          <w:sz w:val="24"/>
          <w:szCs w:val="24"/>
          <w:highlight w:val="none"/>
          <w:lang w:val="en-US" w:eastAsia="zh-CN"/>
        </w:rPr>
        <w:t>标项二</w:t>
      </w:r>
      <w:r>
        <w:rPr>
          <w:rFonts w:hint="eastAsia" w:ascii="微软雅黑" w:hAnsi="微软雅黑" w:eastAsia="微软雅黑" w:cs="微软雅黑"/>
          <w:b/>
          <w:bCs/>
          <w:color w:val="auto"/>
          <w:sz w:val="24"/>
          <w:szCs w:val="24"/>
          <w:highlight w:val="none"/>
          <w:lang w:eastAsia="zh-CN"/>
        </w:rPr>
        <w:t>）</w:t>
      </w:r>
    </w:p>
    <w:tbl>
      <w:tblPr>
        <w:tblStyle w:val="32"/>
        <w:tblW w:w="101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3"/>
        <w:gridCol w:w="638"/>
        <w:gridCol w:w="7244"/>
        <w:gridCol w:w="1350"/>
      </w:tblGrid>
      <w:tr w14:paraId="7E21C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943" w:type="dxa"/>
            <w:vAlign w:val="center"/>
          </w:tcPr>
          <w:p w14:paraId="3B95E282">
            <w:pPr>
              <w:keepNext w:val="0"/>
              <w:keepLines w:val="0"/>
              <w:pageBreakBefore w:val="0"/>
              <w:widowControl w:val="0"/>
              <w:kinsoku/>
              <w:wordWrap/>
              <w:overflowPunct/>
              <w:topLinePunct w:val="0"/>
              <w:autoSpaceDE/>
              <w:autoSpaceDN/>
              <w:bidi w:val="0"/>
              <w:adjustRightInd/>
              <w:snapToGrid/>
              <w:spacing w:line="320" w:lineRule="exact"/>
              <w:ind w:firstLine="28"/>
              <w:jc w:val="both"/>
              <w:textAlignment w:val="auto"/>
              <w:rPr>
                <w:rFonts w:hint="eastAsia" w:ascii="微软雅黑" w:hAnsi="微软雅黑" w:eastAsia="微软雅黑" w:cs="微软雅黑"/>
                <w:b/>
                <w:color w:val="auto"/>
                <w:sz w:val="20"/>
                <w:szCs w:val="20"/>
                <w:highlight w:val="none"/>
                <w:lang w:val="en-US" w:eastAsia="zh-CN"/>
              </w:rPr>
            </w:pPr>
            <w:r>
              <w:rPr>
                <w:rFonts w:hint="eastAsia" w:ascii="微软雅黑" w:hAnsi="微软雅黑" w:eastAsia="微软雅黑" w:cs="微软雅黑"/>
                <w:b/>
                <w:color w:val="auto"/>
                <w:sz w:val="20"/>
                <w:szCs w:val="20"/>
                <w:highlight w:val="none"/>
                <w:lang w:val="en-US" w:eastAsia="zh-CN"/>
              </w:rPr>
              <w:t>类型</w:t>
            </w:r>
          </w:p>
        </w:tc>
        <w:tc>
          <w:tcPr>
            <w:tcW w:w="638" w:type="dxa"/>
            <w:vAlign w:val="center"/>
          </w:tcPr>
          <w:p w14:paraId="1A55BA28">
            <w:pPr>
              <w:keepNext w:val="0"/>
              <w:keepLines w:val="0"/>
              <w:pageBreakBefore w:val="0"/>
              <w:widowControl w:val="0"/>
              <w:kinsoku/>
              <w:wordWrap/>
              <w:overflowPunct/>
              <w:topLinePunct w:val="0"/>
              <w:autoSpaceDE/>
              <w:autoSpaceDN/>
              <w:bidi w:val="0"/>
              <w:adjustRightInd/>
              <w:snapToGrid/>
              <w:spacing w:line="320" w:lineRule="exact"/>
              <w:ind w:firstLine="28"/>
              <w:jc w:val="center"/>
              <w:textAlignment w:val="auto"/>
              <w:rPr>
                <w:rFonts w:hint="eastAsia" w:ascii="微软雅黑" w:hAnsi="微软雅黑" w:eastAsia="微软雅黑" w:cs="微软雅黑"/>
                <w:b/>
                <w:color w:val="auto"/>
                <w:sz w:val="20"/>
                <w:szCs w:val="20"/>
                <w:highlight w:val="none"/>
              </w:rPr>
            </w:pPr>
            <w:r>
              <w:rPr>
                <w:rFonts w:hint="eastAsia" w:ascii="微软雅黑" w:hAnsi="微软雅黑" w:eastAsia="微软雅黑" w:cs="微软雅黑"/>
                <w:b/>
                <w:color w:val="auto"/>
                <w:sz w:val="20"/>
                <w:szCs w:val="20"/>
                <w:highlight w:val="none"/>
              </w:rPr>
              <w:t>分值</w:t>
            </w:r>
          </w:p>
        </w:tc>
        <w:tc>
          <w:tcPr>
            <w:tcW w:w="7244" w:type="dxa"/>
            <w:vAlign w:val="center"/>
          </w:tcPr>
          <w:p w14:paraId="08DFB087">
            <w:pPr>
              <w:keepNext w:val="0"/>
              <w:keepLines w:val="0"/>
              <w:pageBreakBefore w:val="0"/>
              <w:widowControl w:val="0"/>
              <w:kinsoku/>
              <w:wordWrap/>
              <w:overflowPunct/>
              <w:topLinePunct w:val="0"/>
              <w:autoSpaceDE/>
              <w:autoSpaceDN/>
              <w:bidi w:val="0"/>
              <w:adjustRightInd/>
              <w:snapToGrid/>
              <w:spacing w:line="320" w:lineRule="exact"/>
              <w:ind w:firstLine="28"/>
              <w:jc w:val="center"/>
              <w:textAlignment w:val="auto"/>
              <w:rPr>
                <w:rFonts w:hint="eastAsia" w:ascii="微软雅黑" w:hAnsi="微软雅黑" w:eastAsia="微软雅黑" w:cs="微软雅黑"/>
                <w:b/>
                <w:bCs w:val="0"/>
                <w:color w:val="auto"/>
                <w:sz w:val="20"/>
                <w:szCs w:val="20"/>
                <w:highlight w:val="none"/>
              </w:rPr>
            </w:pPr>
            <w:r>
              <w:rPr>
                <w:rFonts w:hint="eastAsia" w:ascii="微软雅黑" w:hAnsi="微软雅黑" w:eastAsia="微软雅黑" w:cs="微软雅黑"/>
                <w:b/>
                <w:bCs w:val="0"/>
                <w:color w:val="auto"/>
                <w:sz w:val="20"/>
                <w:szCs w:val="20"/>
                <w:highlight w:val="none"/>
              </w:rPr>
              <w:t>评分标准</w:t>
            </w:r>
          </w:p>
          <w:p w14:paraId="28F0255F">
            <w:pPr>
              <w:keepNext w:val="0"/>
              <w:keepLines w:val="0"/>
              <w:pageBreakBefore w:val="0"/>
              <w:widowControl w:val="0"/>
              <w:kinsoku/>
              <w:wordWrap/>
              <w:overflowPunct/>
              <w:topLinePunct w:val="0"/>
              <w:autoSpaceDE/>
              <w:autoSpaceDN/>
              <w:bidi w:val="0"/>
              <w:adjustRightInd/>
              <w:snapToGrid/>
              <w:spacing w:line="320" w:lineRule="exact"/>
              <w:ind w:firstLine="28"/>
              <w:jc w:val="center"/>
              <w:textAlignment w:val="auto"/>
              <w:rPr>
                <w:rFonts w:hint="eastAsia" w:ascii="微软雅黑" w:hAnsi="微软雅黑" w:eastAsia="微软雅黑" w:cs="微软雅黑"/>
                <w:b/>
                <w:bCs w:val="0"/>
                <w:color w:val="auto"/>
                <w:sz w:val="20"/>
                <w:szCs w:val="20"/>
                <w:highlight w:val="none"/>
              </w:rPr>
            </w:pPr>
            <w:r>
              <w:rPr>
                <w:rFonts w:hint="eastAsia" w:ascii="微软雅黑" w:hAnsi="微软雅黑" w:eastAsia="微软雅黑" w:cs="微软雅黑"/>
                <w:b/>
                <w:bCs w:val="0"/>
                <w:color w:val="auto"/>
                <w:sz w:val="20"/>
                <w:szCs w:val="20"/>
                <w:highlight w:val="none"/>
              </w:rPr>
              <w:t xml:space="preserve">价格：30分 </w:t>
            </w:r>
            <w:r>
              <w:rPr>
                <w:rFonts w:hint="eastAsia" w:ascii="微软雅黑" w:hAnsi="微软雅黑" w:eastAsia="微软雅黑" w:cs="微软雅黑"/>
                <w:b/>
                <w:bCs w:val="0"/>
                <w:color w:val="auto"/>
                <w:sz w:val="20"/>
                <w:szCs w:val="20"/>
                <w:highlight w:val="none"/>
                <w:lang w:val="en-US" w:eastAsia="zh-CN"/>
              </w:rPr>
              <w:t xml:space="preserve"> </w:t>
            </w:r>
            <w:r>
              <w:rPr>
                <w:rFonts w:hint="eastAsia" w:ascii="微软雅黑" w:hAnsi="微软雅黑" w:eastAsia="微软雅黑" w:cs="微软雅黑"/>
                <w:b/>
                <w:bCs w:val="0"/>
                <w:color w:val="auto"/>
                <w:sz w:val="20"/>
                <w:szCs w:val="20"/>
                <w:highlight w:val="none"/>
              </w:rPr>
              <w:t xml:space="preserve">  商务：</w:t>
            </w:r>
            <w:r>
              <w:rPr>
                <w:rFonts w:hint="eastAsia" w:ascii="微软雅黑" w:hAnsi="微软雅黑" w:eastAsia="微软雅黑" w:cs="微软雅黑"/>
                <w:b/>
                <w:bCs w:val="0"/>
                <w:color w:val="auto"/>
                <w:sz w:val="20"/>
                <w:szCs w:val="20"/>
                <w:highlight w:val="none"/>
                <w:lang w:val="en-US" w:eastAsia="zh-CN"/>
              </w:rPr>
              <w:t>15</w:t>
            </w:r>
            <w:r>
              <w:rPr>
                <w:rFonts w:hint="eastAsia" w:ascii="微软雅黑" w:hAnsi="微软雅黑" w:eastAsia="微软雅黑" w:cs="微软雅黑"/>
                <w:b/>
                <w:bCs w:val="0"/>
                <w:color w:val="auto"/>
                <w:sz w:val="20"/>
                <w:szCs w:val="20"/>
                <w:highlight w:val="none"/>
              </w:rPr>
              <w:t xml:space="preserve">分 </w:t>
            </w:r>
            <w:r>
              <w:rPr>
                <w:rFonts w:hint="eastAsia" w:ascii="微软雅黑" w:hAnsi="微软雅黑" w:eastAsia="微软雅黑" w:cs="微软雅黑"/>
                <w:b/>
                <w:bCs w:val="0"/>
                <w:color w:val="auto"/>
                <w:sz w:val="20"/>
                <w:szCs w:val="20"/>
                <w:highlight w:val="none"/>
                <w:lang w:val="en-US" w:eastAsia="zh-CN"/>
              </w:rPr>
              <w:t xml:space="preserve"> </w:t>
            </w:r>
            <w:r>
              <w:rPr>
                <w:rFonts w:hint="eastAsia" w:ascii="微软雅黑" w:hAnsi="微软雅黑" w:eastAsia="微软雅黑" w:cs="微软雅黑"/>
                <w:b/>
                <w:bCs w:val="0"/>
                <w:color w:val="auto"/>
                <w:sz w:val="20"/>
                <w:szCs w:val="20"/>
                <w:highlight w:val="none"/>
              </w:rPr>
              <w:t xml:space="preserve">  技术：</w:t>
            </w:r>
            <w:r>
              <w:rPr>
                <w:rFonts w:hint="eastAsia" w:ascii="微软雅黑" w:hAnsi="微软雅黑" w:eastAsia="微软雅黑" w:cs="微软雅黑"/>
                <w:b/>
                <w:bCs w:val="0"/>
                <w:color w:val="auto"/>
                <w:sz w:val="20"/>
                <w:szCs w:val="20"/>
                <w:highlight w:val="none"/>
                <w:lang w:val="en-US" w:eastAsia="zh-CN"/>
              </w:rPr>
              <w:t>55</w:t>
            </w:r>
            <w:r>
              <w:rPr>
                <w:rFonts w:hint="eastAsia" w:ascii="微软雅黑" w:hAnsi="微软雅黑" w:eastAsia="微软雅黑" w:cs="微软雅黑"/>
                <w:b/>
                <w:bCs w:val="0"/>
                <w:color w:val="auto"/>
                <w:sz w:val="20"/>
                <w:szCs w:val="20"/>
                <w:highlight w:val="none"/>
              </w:rPr>
              <w:t xml:space="preserve">分              </w:t>
            </w:r>
          </w:p>
        </w:tc>
        <w:tc>
          <w:tcPr>
            <w:tcW w:w="1350" w:type="dxa"/>
            <w:vAlign w:val="center"/>
          </w:tcPr>
          <w:p w14:paraId="0A232454">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微软雅黑" w:hAnsi="微软雅黑" w:eastAsia="微软雅黑" w:cs="微软雅黑"/>
                <w:b/>
                <w:color w:val="auto"/>
                <w:kern w:val="2"/>
                <w:sz w:val="20"/>
                <w:szCs w:val="20"/>
                <w:highlight w:val="none"/>
                <w:lang w:val="en-US" w:eastAsia="zh-CN" w:bidi="ar-SA"/>
              </w:rPr>
            </w:pPr>
            <w:r>
              <w:rPr>
                <w:rFonts w:hint="eastAsia" w:ascii="微软雅黑" w:hAnsi="微软雅黑" w:eastAsia="微软雅黑" w:cs="微软雅黑"/>
                <w:b/>
                <w:color w:val="auto"/>
                <w:kern w:val="2"/>
                <w:sz w:val="20"/>
                <w:szCs w:val="20"/>
                <w:highlight w:val="none"/>
                <w:lang w:val="en-US" w:eastAsia="zh-CN" w:bidi="ar-SA"/>
              </w:rPr>
              <w:t>说明</w:t>
            </w:r>
          </w:p>
        </w:tc>
      </w:tr>
      <w:tr w14:paraId="2B2BE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3" w:hRule="atLeast"/>
          <w:jc w:val="center"/>
        </w:trPr>
        <w:tc>
          <w:tcPr>
            <w:tcW w:w="943" w:type="dxa"/>
            <w:vAlign w:val="center"/>
          </w:tcPr>
          <w:p w14:paraId="7CB88872">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价格评分标准</w:t>
            </w:r>
          </w:p>
        </w:tc>
        <w:tc>
          <w:tcPr>
            <w:tcW w:w="638" w:type="dxa"/>
            <w:vAlign w:val="center"/>
          </w:tcPr>
          <w:p w14:paraId="789D3A0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30</w:t>
            </w:r>
          </w:p>
        </w:tc>
        <w:tc>
          <w:tcPr>
            <w:tcW w:w="7244" w:type="dxa"/>
            <w:vAlign w:val="center"/>
          </w:tcPr>
          <w:p w14:paraId="4BFC2095">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b/>
                <w:bCs/>
                <w:color w:val="auto"/>
                <w:sz w:val="20"/>
                <w:szCs w:val="20"/>
                <w:highlight w:val="none"/>
              </w:rPr>
              <w:t>投标报价</w:t>
            </w:r>
            <w:r>
              <w:rPr>
                <w:rFonts w:hint="eastAsia" w:ascii="微软雅黑" w:hAnsi="微软雅黑" w:eastAsia="微软雅黑" w:cs="微软雅黑"/>
                <w:b/>
                <w:bCs/>
                <w:color w:val="auto"/>
                <w:sz w:val="20"/>
                <w:szCs w:val="20"/>
                <w:highlight w:val="none"/>
                <w:lang w:eastAsia="zh-CN"/>
              </w:rPr>
              <w:t>：</w:t>
            </w:r>
            <w:r>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t>完全满足招标文件参数的投标报价中的最低价为评标基准价，按照下列公式计算每个供应商的投标价格得分。投标报价得分＝（基准价/投标报价）×价格权重×100。</w:t>
            </w:r>
          </w:p>
        </w:tc>
        <w:tc>
          <w:tcPr>
            <w:tcW w:w="1350" w:type="dxa"/>
            <w:vAlign w:val="center"/>
          </w:tcPr>
          <w:p w14:paraId="64820CC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b/>
                <w:bCs/>
                <w:color w:val="auto"/>
                <w:sz w:val="20"/>
                <w:szCs w:val="20"/>
                <w:highlight w:val="none"/>
              </w:rPr>
            </w:pPr>
            <w:r>
              <w:rPr>
                <w:rFonts w:hint="eastAsia" w:ascii="微软雅黑" w:hAnsi="微软雅黑" w:eastAsia="微软雅黑" w:cs="微软雅黑"/>
                <w:b/>
                <w:bCs/>
                <w:color w:val="auto"/>
                <w:sz w:val="20"/>
                <w:szCs w:val="20"/>
                <w:highlight w:val="none"/>
              </w:rPr>
              <w:t>投标报价超过采购预算</w:t>
            </w:r>
            <w:r>
              <w:rPr>
                <w:rFonts w:hint="eastAsia" w:ascii="微软雅黑" w:hAnsi="微软雅黑" w:eastAsia="微软雅黑" w:cs="微软雅黑"/>
                <w:b/>
                <w:bCs/>
                <w:color w:val="auto"/>
                <w:sz w:val="20"/>
                <w:szCs w:val="20"/>
                <w:highlight w:val="none"/>
                <w:lang w:eastAsia="zh-CN"/>
              </w:rPr>
              <w:t>单价</w:t>
            </w:r>
            <w:r>
              <w:rPr>
                <w:rFonts w:hint="eastAsia" w:ascii="微软雅黑" w:hAnsi="微软雅黑" w:eastAsia="微软雅黑" w:cs="微软雅黑"/>
                <w:b/>
                <w:bCs/>
                <w:color w:val="auto"/>
                <w:sz w:val="20"/>
                <w:szCs w:val="20"/>
                <w:highlight w:val="none"/>
              </w:rPr>
              <w:t>的按废标处理</w:t>
            </w:r>
          </w:p>
        </w:tc>
      </w:tr>
      <w:tr w14:paraId="28ABA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06" w:hRule="atLeast"/>
          <w:jc w:val="center"/>
        </w:trPr>
        <w:tc>
          <w:tcPr>
            <w:tcW w:w="943" w:type="dxa"/>
            <w:vMerge w:val="restart"/>
            <w:vAlign w:val="center"/>
          </w:tcPr>
          <w:p w14:paraId="6930FE4A">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商务评分标准</w:t>
            </w:r>
          </w:p>
        </w:tc>
        <w:tc>
          <w:tcPr>
            <w:tcW w:w="638" w:type="dxa"/>
            <w:vAlign w:val="center"/>
          </w:tcPr>
          <w:p w14:paraId="7F951A5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微软雅黑" w:hAnsi="微软雅黑" w:eastAsia="微软雅黑" w:cs="微软雅黑"/>
                <w:color w:val="auto"/>
                <w:sz w:val="20"/>
                <w:szCs w:val="20"/>
                <w:highlight w:val="none"/>
                <w:lang w:val="en-US" w:eastAsia="zh-CN"/>
              </w:rPr>
            </w:pPr>
            <w:r>
              <w:rPr>
                <w:rFonts w:hint="eastAsia" w:ascii="微软雅黑" w:hAnsi="微软雅黑" w:eastAsia="微软雅黑" w:cs="微软雅黑"/>
                <w:color w:val="auto"/>
                <w:sz w:val="20"/>
                <w:szCs w:val="20"/>
                <w:highlight w:val="none"/>
                <w:lang w:val="en-US" w:eastAsia="zh-CN"/>
              </w:rPr>
              <w:t>2</w:t>
            </w:r>
          </w:p>
        </w:tc>
        <w:tc>
          <w:tcPr>
            <w:tcW w:w="7244" w:type="dxa"/>
            <w:vAlign w:val="center"/>
          </w:tcPr>
          <w:p w14:paraId="0BFFF444">
            <w:pPr>
              <w:spacing w:line="400" w:lineRule="exact"/>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pPr>
            <w:r>
              <w:rPr>
                <w:rFonts w:hint="eastAsia" w:ascii="微软雅黑" w:hAnsi="微软雅黑" w:eastAsia="微软雅黑" w:cs="微软雅黑"/>
                <w:b/>
                <w:bCs/>
                <w:color w:val="000000" w:themeColor="text1"/>
                <w:sz w:val="21"/>
                <w:szCs w:val="21"/>
                <w:highlight w:val="none"/>
                <w:lang w:val="en-US" w:eastAsia="zh-CN"/>
                <w14:textFill>
                  <w14:solidFill>
                    <w14:schemeClr w14:val="tx1"/>
                  </w14:solidFill>
                </w14:textFill>
              </w:rPr>
              <w:t>业绩：</w:t>
            </w:r>
            <w:r>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t>投标供应商提供近三年内</w:t>
            </w:r>
            <w:r>
              <w:rPr>
                <w:rFonts w:hint="eastAsia" w:ascii="微软雅黑" w:hAnsi="微软雅黑" w:eastAsia="微软雅黑" w:cs="微软雅黑"/>
                <w:szCs w:val="21"/>
                <w:highlight w:val="none"/>
                <w:lang w:eastAsia="zh-CN"/>
              </w:rPr>
              <w:t>（2023年</w:t>
            </w:r>
            <w:r>
              <w:rPr>
                <w:rFonts w:hint="eastAsia" w:ascii="微软雅黑" w:hAnsi="微软雅黑" w:eastAsia="微软雅黑" w:cs="微软雅黑"/>
                <w:szCs w:val="21"/>
                <w:highlight w:val="none"/>
                <w:lang w:val="en-US" w:eastAsia="zh-CN"/>
              </w:rPr>
              <w:t>4</w:t>
            </w:r>
            <w:r>
              <w:rPr>
                <w:rFonts w:hint="eastAsia" w:ascii="微软雅黑" w:hAnsi="微软雅黑" w:eastAsia="微软雅黑" w:cs="微软雅黑"/>
                <w:szCs w:val="21"/>
                <w:highlight w:val="none"/>
                <w:lang w:eastAsia="zh-CN"/>
              </w:rPr>
              <w:t>月</w:t>
            </w:r>
            <w:r>
              <w:rPr>
                <w:rFonts w:hint="eastAsia" w:ascii="微软雅黑" w:hAnsi="微软雅黑" w:eastAsia="微软雅黑" w:cs="微软雅黑"/>
                <w:szCs w:val="21"/>
                <w:highlight w:val="none"/>
                <w:lang w:val="en-US" w:eastAsia="zh-CN"/>
              </w:rPr>
              <w:t>1日</w:t>
            </w:r>
            <w:r>
              <w:rPr>
                <w:rFonts w:hint="eastAsia" w:ascii="微软雅黑" w:hAnsi="微软雅黑" w:eastAsia="微软雅黑" w:cs="微软雅黑"/>
                <w:szCs w:val="21"/>
                <w:highlight w:val="none"/>
                <w:lang w:eastAsia="zh-CN"/>
              </w:rPr>
              <w:t>至今）类似</w:t>
            </w:r>
            <w:r>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t>业绩证明材料（投标文件内附中标/成交通知书及合同扫描件），每提供一个得1分，最高得2分，未提供或提供不全的不得分。</w:t>
            </w:r>
          </w:p>
          <w:p w14:paraId="2ED46528">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b/>
                <w:bCs/>
                <w:color w:val="auto"/>
                <w:sz w:val="20"/>
                <w:szCs w:val="20"/>
                <w:highlight w:val="none"/>
                <w:lang w:val="en-US" w:eastAsia="zh-CN"/>
              </w:rPr>
            </w:pPr>
            <w:r>
              <w:rPr>
                <w:rFonts w:hint="eastAsia" w:ascii="微软雅黑" w:hAnsi="微软雅黑" w:eastAsia="微软雅黑" w:cs="微软雅黑"/>
                <w:b/>
                <w:bCs/>
                <w:szCs w:val="21"/>
                <w:highlight w:val="none"/>
              </w:rPr>
              <w:t>注：①业绩证明材料模糊，无法辨识的，视为无效业绩</w:t>
            </w:r>
            <w:r>
              <w:rPr>
                <w:rFonts w:hint="eastAsia" w:ascii="微软雅黑" w:hAnsi="微软雅黑" w:eastAsia="微软雅黑" w:cs="微软雅黑"/>
                <w:b/>
                <w:bCs/>
                <w:szCs w:val="21"/>
                <w:highlight w:val="none"/>
                <w:lang w:eastAsia="zh-CN"/>
              </w:rPr>
              <w:t>。②</w:t>
            </w:r>
            <w:r>
              <w:rPr>
                <w:rFonts w:hint="eastAsia" w:ascii="微软雅黑" w:hAnsi="微软雅黑" w:eastAsia="微软雅黑" w:cs="微软雅黑"/>
                <w:b/>
                <w:bCs/>
                <w:szCs w:val="21"/>
                <w:highlight w:val="none"/>
              </w:rPr>
              <w:t>投标提供虚假</w:t>
            </w:r>
            <w:r>
              <w:rPr>
                <w:rFonts w:hint="eastAsia" w:ascii="微软雅黑" w:hAnsi="微软雅黑" w:eastAsia="微软雅黑" w:cs="微软雅黑"/>
                <w:b/>
                <w:bCs/>
                <w:szCs w:val="21"/>
                <w:highlight w:val="none"/>
                <w:lang w:val="en-US" w:eastAsia="zh-CN"/>
              </w:rPr>
              <w:t>资料</w:t>
            </w:r>
            <w:r>
              <w:rPr>
                <w:rFonts w:hint="eastAsia" w:ascii="微软雅黑" w:hAnsi="微软雅黑" w:eastAsia="微软雅黑" w:cs="微软雅黑"/>
                <w:b/>
                <w:bCs/>
                <w:szCs w:val="21"/>
                <w:highlight w:val="none"/>
              </w:rPr>
              <w:t>的，按</w:t>
            </w:r>
            <w:r>
              <w:rPr>
                <w:rFonts w:hint="eastAsia" w:ascii="微软雅黑" w:hAnsi="微软雅黑" w:eastAsia="微软雅黑" w:cs="微软雅黑"/>
                <w:b/>
                <w:bCs/>
                <w:szCs w:val="21"/>
                <w:highlight w:val="none"/>
                <w:lang w:val="en-US" w:eastAsia="zh-CN"/>
              </w:rPr>
              <w:t>投标</w:t>
            </w:r>
            <w:r>
              <w:rPr>
                <w:rFonts w:hint="eastAsia" w:ascii="微软雅黑" w:hAnsi="微软雅黑" w:eastAsia="微软雅黑" w:cs="微软雅黑"/>
                <w:b/>
                <w:bCs/>
                <w:szCs w:val="21"/>
                <w:highlight w:val="none"/>
              </w:rPr>
              <w:t>无效处理。③</w:t>
            </w:r>
            <w:r>
              <w:rPr>
                <w:rFonts w:hint="eastAsia" w:ascii="微软雅黑" w:hAnsi="微软雅黑" w:eastAsia="微软雅黑" w:cs="微软雅黑"/>
                <w:b/>
                <w:bCs/>
                <w:szCs w:val="21"/>
                <w:highlight w:val="none"/>
                <w:lang w:val="en-US" w:eastAsia="zh-CN"/>
              </w:rPr>
              <w:t>合同内容：项目名称、</w:t>
            </w:r>
            <w:r>
              <w:rPr>
                <w:rFonts w:hint="eastAsia" w:ascii="微软雅黑" w:hAnsi="微软雅黑" w:eastAsia="微软雅黑" w:cs="微软雅黑"/>
                <w:b/>
                <w:bCs/>
                <w:szCs w:val="21"/>
                <w:highlight w:val="none"/>
              </w:rPr>
              <w:t>货物内容信息、合同金额、</w:t>
            </w:r>
            <w:r>
              <w:rPr>
                <w:rFonts w:hint="eastAsia" w:ascii="微软雅黑" w:hAnsi="微软雅黑" w:eastAsia="微软雅黑" w:cs="微软雅黑"/>
                <w:b/>
                <w:bCs/>
                <w:szCs w:val="21"/>
                <w:highlight w:val="none"/>
                <w:lang w:val="en-US" w:eastAsia="zh-CN"/>
              </w:rPr>
              <w:t>甲乙双方</w:t>
            </w:r>
            <w:r>
              <w:rPr>
                <w:rFonts w:hint="eastAsia" w:ascii="微软雅黑" w:hAnsi="微软雅黑" w:eastAsia="微软雅黑" w:cs="微软雅黑"/>
                <w:b/>
                <w:bCs/>
                <w:szCs w:val="21"/>
                <w:highlight w:val="none"/>
              </w:rPr>
              <w:t>签字盖章</w:t>
            </w:r>
            <w:r>
              <w:rPr>
                <w:rFonts w:hint="eastAsia" w:ascii="微软雅黑" w:hAnsi="微软雅黑" w:eastAsia="微软雅黑" w:cs="微软雅黑"/>
                <w:b/>
                <w:bCs/>
                <w:szCs w:val="21"/>
                <w:highlight w:val="none"/>
                <w:lang w:eastAsia="zh-CN"/>
              </w:rPr>
              <w:t>、</w:t>
            </w:r>
            <w:r>
              <w:rPr>
                <w:rFonts w:hint="eastAsia" w:ascii="微软雅黑" w:hAnsi="微软雅黑" w:eastAsia="微软雅黑" w:cs="微软雅黑"/>
                <w:b/>
                <w:bCs/>
                <w:szCs w:val="21"/>
                <w:highlight w:val="none"/>
                <w:lang w:val="en-US" w:eastAsia="zh-CN"/>
              </w:rPr>
              <w:t>合同签订时间，若无以上内容，视为无效业绩</w:t>
            </w:r>
            <w:r>
              <w:rPr>
                <w:rFonts w:hint="eastAsia" w:ascii="微软雅黑" w:hAnsi="微软雅黑" w:eastAsia="微软雅黑" w:cs="微软雅黑"/>
                <w:b/>
                <w:bCs/>
                <w:szCs w:val="21"/>
                <w:highlight w:val="none"/>
              </w:rPr>
              <w:t>。</w:t>
            </w:r>
          </w:p>
        </w:tc>
        <w:tc>
          <w:tcPr>
            <w:tcW w:w="1350" w:type="dxa"/>
            <w:vMerge w:val="restart"/>
            <w:vAlign w:val="center"/>
          </w:tcPr>
          <w:p w14:paraId="3E283DFC">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b/>
                <w:bCs/>
                <w:color w:val="auto"/>
                <w:sz w:val="20"/>
                <w:szCs w:val="20"/>
                <w:highlight w:val="none"/>
              </w:rPr>
              <w:t>根据需求提供必要的证明资料</w:t>
            </w:r>
          </w:p>
        </w:tc>
      </w:tr>
      <w:tr w14:paraId="2D35F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06" w:hRule="atLeast"/>
          <w:jc w:val="center"/>
        </w:trPr>
        <w:tc>
          <w:tcPr>
            <w:tcW w:w="943" w:type="dxa"/>
            <w:vMerge w:val="continue"/>
            <w:vAlign w:val="center"/>
          </w:tcPr>
          <w:p w14:paraId="42A4BFA1">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0"/>
                <w:szCs w:val="20"/>
                <w:highlight w:val="none"/>
              </w:rPr>
            </w:pPr>
          </w:p>
        </w:tc>
        <w:tc>
          <w:tcPr>
            <w:tcW w:w="638" w:type="dxa"/>
            <w:vAlign w:val="center"/>
          </w:tcPr>
          <w:p w14:paraId="299C39F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color w:val="auto"/>
                <w:sz w:val="20"/>
                <w:szCs w:val="20"/>
                <w:highlight w:val="none"/>
                <w:lang w:val="en-US" w:eastAsia="zh-CN"/>
              </w:rPr>
            </w:pPr>
            <w:r>
              <w:rPr>
                <w:rFonts w:hint="eastAsia" w:ascii="微软雅黑" w:hAnsi="微软雅黑" w:eastAsia="微软雅黑" w:cs="微软雅黑"/>
                <w:color w:val="auto"/>
                <w:sz w:val="20"/>
                <w:szCs w:val="20"/>
                <w:highlight w:val="none"/>
                <w:lang w:val="en-US" w:eastAsia="zh-CN"/>
              </w:rPr>
              <w:t>2</w:t>
            </w:r>
          </w:p>
        </w:tc>
        <w:tc>
          <w:tcPr>
            <w:tcW w:w="7244" w:type="dxa"/>
            <w:vAlign w:val="center"/>
          </w:tcPr>
          <w:p w14:paraId="7788B106">
            <w:pPr>
              <w:spacing w:line="400" w:lineRule="exact"/>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pPr>
            <w:r>
              <w:rPr>
                <w:rFonts w:hint="eastAsia" w:ascii="微软雅黑" w:hAnsi="微软雅黑" w:eastAsia="微软雅黑" w:cs="微软雅黑"/>
                <w:b/>
                <w:bCs/>
                <w:color w:val="auto"/>
                <w:sz w:val="20"/>
                <w:szCs w:val="20"/>
                <w:highlight w:val="none"/>
                <w:lang w:val="en-US" w:eastAsia="zh-CN"/>
              </w:rPr>
              <w:t>质量保证承诺：</w:t>
            </w:r>
            <w:r>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t>根据各投标供应商提供的质量保证承诺进行打分：</w:t>
            </w:r>
          </w:p>
          <w:p w14:paraId="0351F16B">
            <w:pPr>
              <w:spacing w:line="400" w:lineRule="exact"/>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t>①保证所投产品质量符合国家标准、行业标准的承诺；</w:t>
            </w:r>
          </w:p>
          <w:p w14:paraId="603C2538">
            <w:pPr>
              <w:spacing w:line="400" w:lineRule="exact"/>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t>②因中标人原因导致合同终止，无条件承担违约责任的承诺。</w:t>
            </w:r>
          </w:p>
          <w:p w14:paraId="059F396F">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b/>
                <w:bCs/>
                <w:color w:val="auto"/>
                <w:sz w:val="20"/>
                <w:szCs w:val="20"/>
                <w:highlight w:val="none"/>
                <w:lang w:val="en-US" w:eastAsia="zh-CN"/>
              </w:rPr>
            </w:pPr>
            <w:r>
              <w:rPr>
                <w:rFonts w:hint="eastAsia" w:ascii="微软雅黑" w:hAnsi="微软雅黑" w:eastAsia="微软雅黑" w:cs="微软雅黑"/>
                <w:b/>
                <w:bCs/>
                <w:color w:val="auto"/>
                <w:sz w:val="20"/>
                <w:szCs w:val="20"/>
                <w:highlight w:val="none"/>
                <w:lang w:val="en-US" w:eastAsia="zh-CN"/>
              </w:rPr>
              <w:t>注</w:t>
            </w:r>
            <w:r>
              <w:rPr>
                <w:rFonts w:hint="eastAsia" w:ascii="微软雅黑" w:hAnsi="微软雅黑" w:eastAsia="微软雅黑" w:cs="微软雅黑"/>
                <w:b/>
                <w:bCs/>
                <w:color w:val="000000" w:themeColor="text1"/>
                <w:sz w:val="21"/>
                <w:szCs w:val="21"/>
                <w:highlight w:val="none"/>
                <w:lang w:val="en-US" w:eastAsia="zh-CN"/>
                <w14:textFill>
                  <w14:solidFill>
                    <w14:schemeClr w14:val="tx1"/>
                  </w14:solidFill>
                </w14:textFill>
              </w:rPr>
              <w:t>：以上承诺函格式自拟，须加盖投标供应商公章，每提供一个得1分，本项最高得2分，未提供的不得分。</w:t>
            </w:r>
          </w:p>
        </w:tc>
        <w:tc>
          <w:tcPr>
            <w:tcW w:w="1350" w:type="dxa"/>
            <w:vMerge w:val="continue"/>
            <w:vAlign w:val="center"/>
          </w:tcPr>
          <w:p w14:paraId="4122D051">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b/>
                <w:bCs/>
                <w:color w:val="auto"/>
                <w:sz w:val="20"/>
                <w:szCs w:val="20"/>
                <w:highlight w:val="none"/>
              </w:rPr>
            </w:pPr>
          </w:p>
        </w:tc>
      </w:tr>
      <w:tr w14:paraId="7DAB1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06" w:hRule="atLeast"/>
          <w:jc w:val="center"/>
        </w:trPr>
        <w:tc>
          <w:tcPr>
            <w:tcW w:w="943" w:type="dxa"/>
            <w:vMerge w:val="continue"/>
            <w:vAlign w:val="center"/>
          </w:tcPr>
          <w:p w14:paraId="146D6CBB">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0"/>
                <w:szCs w:val="20"/>
                <w:highlight w:val="none"/>
              </w:rPr>
            </w:pPr>
          </w:p>
        </w:tc>
        <w:tc>
          <w:tcPr>
            <w:tcW w:w="638" w:type="dxa"/>
            <w:vAlign w:val="center"/>
          </w:tcPr>
          <w:p w14:paraId="580BC6FD">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微软雅黑" w:hAnsi="微软雅黑" w:eastAsia="微软雅黑" w:cs="微软雅黑"/>
                <w:color w:val="auto"/>
                <w:sz w:val="20"/>
                <w:szCs w:val="20"/>
                <w:highlight w:val="none"/>
                <w:lang w:val="en-US" w:eastAsia="zh-CN"/>
              </w:rPr>
            </w:pPr>
            <w:r>
              <w:rPr>
                <w:rFonts w:hint="eastAsia" w:ascii="微软雅黑" w:hAnsi="微软雅黑" w:eastAsia="微软雅黑" w:cs="微软雅黑"/>
                <w:color w:val="auto"/>
                <w:sz w:val="20"/>
                <w:szCs w:val="20"/>
                <w:highlight w:val="none"/>
                <w:lang w:val="en-US" w:eastAsia="zh-CN"/>
              </w:rPr>
              <w:t>7</w:t>
            </w:r>
          </w:p>
        </w:tc>
        <w:tc>
          <w:tcPr>
            <w:tcW w:w="7244" w:type="dxa"/>
            <w:vAlign w:val="center"/>
          </w:tcPr>
          <w:p w14:paraId="368CF848">
            <w:pPr>
              <w:widowControl/>
              <w:jc w:val="left"/>
              <w:rPr>
                <w:rFonts w:hint="eastAsia" w:ascii="微软雅黑" w:hAnsi="微软雅黑" w:eastAsia="微软雅黑" w:cs="微软雅黑"/>
                <w:b/>
                <w:bCs/>
                <w:color w:val="auto"/>
                <w:kern w:val="0"/>
                <w:sz w:val="20"/>
                <w:szCs w:val="20"/>
                <w:highlight w:val="none"/>
                <w:lang w:val="en-US" w:eastAsia="zh-CN"/>
              </w:rPr>
            </w:pPr>
            <w:r>
              <w:rPr>
                <w:rFonts w:hint="eastAsia" w:ascii="微软雅黑" w:hAnsi="微软雅黑" w:eastAsia="微软雅黑" w:cs="微软雅黑"/>
                <w:b/>
                <w:bCs/>
                <w:color w:val="auto"/>
                <w:kern w:val="0"/>
                <w:sz w:val="20"/>
                <w:szCs w:val="20"/>
                <w:highlight w:val="none"/>
                <w:lang w:val="en-US" w:eastAsia="zh-CN"/>
              </w:rPr>
              <w:t>拟投入本项目服务团队人员：</w:t>
            </w:r>
          </w:p>
          <w:p w14:paraId="4143FDDE">
            <w:pPr>
              <w:spacing w:line="400" w:lineRule="exact"/>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t>（1）</w:t>
            </w:r>
            <w:r>
              <w:rPr>
                <w:rFonts w:hint="eastAsia" w:ascii="微软雅黑" w:hAnsi="微软雅黑" w:eastAsia="微软雅黑" w:cs="微软雅黑"/>
                <w:b/>
                <w:bCs/>
                <w:color w:val="000000" w:themeColor="text1"/>
                <w:sz w:val="21"/>
                <w:szCs w:val="21"/>
                <w:highlight w:val="none"/>
                <w:lang w:val="en-US" w:eastAsia="zh-CN"/>
                <w14:textFill>
                  <w14:solidFill>
                    <w14:schemeClr w14:val="tx1"/>
                  </w14:solidFill>
                </w14:textFill>
              </w:rPr>
              <w:t>项目负责人</w:t>
            </w:r>
            <w:r>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t>：具有中药学中级及以上专业技术职称或执业中药师资格，提供任意1项得1分。</w:t>
            </w:r>
          </w:p>
          <w:p w14:paraId="277F8893">
            <w:pPr>
              <w:spacing w:line="400" w:lineRule="exact"/>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t>（2）</w:t>
            </w:r>
            <w:r>
              <w:rPr>
                <w:rFonts w:hint="eastAsia" w:ascii="微软雅黑" w:hAnsi="微软雅黑" w:eastAsia="微软雅黑" w:cs="微软雅黑"/>
                <w:b/>
                <w:bCs/>
                <w:color w:val="000000" w:themeColor="text1"/>
                <w:sz w:val="21"/>
                <w:szCs w:val="21"/>
                <w:highlight w:val="none"/>
                <w:lang w:val="en-US" w:eastAsia="zh-CN"/>
                <w14:textFill>
                  <w14:solidFill>
                    <w14:schemeClr w14:val="tx1"/>
                  </w14:solidFill>
                </w14:textFill>
              </w:rPr>
              <w:t>质量负责人</w:t>
            </w:r>
            <w:r>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t>：具有中药学中级及以上专业技术职称或执业中药师资格，提供任意1项得1分。</w:t>
            </w:r>
          </w:p>
          <w:p w14:paraId="7CA98D0C">
            <w:pPr>
              <w:spacing w:line="400" w:lineRule="exact"/>
              <w:rPr>
                <w:rFonts w:hint="default"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t>（3）</w:t>
            </w:r>
            <w:r>
              <w:rPr>
                <w:rFonts w:hint="eastAsia" w:ascii="微软雅黑" w:hAnsi="微软雅黑" w:eastAsia="微软雅黑" w:cs="微软雅黑"/>
                <w:b/>
                <w:bCs/>
                <w:color w:val="000000" w:themeColor="text1"/>
                <w:sz w:val="21"/>
                <w:szCs w:val="21"/>
                <w:highlight w:val="none"/>
                <w:lang w:val="en-US" w:eastAsia="zh-CN"/>
                <w14:textFill>
                  <w14:solidFill>
                    <w14:schemeClr w14:val="tx1"/>
                  </w14:solidFill>
                </w14:textFill>
              </w:rPr>
              <w:t>验收人员</w:t>
            </w:r>
            <w:r>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t>：不少于2 名，均具有中药学初级及以上专业技术职称；其中至少1名具有中药学中级及以上职称或执业中药师资格，并具备中药饮片真伪鉴别能力，每提供1项得1分，最高得2分。</w:t>
            </w:r>
          </w:p>
          <w:p w14:paraId="0ACF5A36">
            <w:pPr>
              <w:spacing w:line="400" w:lineRule="exact"/>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t>（4）</w:t>
            </w:r>
            <w:r>
              <w:rPr>
                <w:rFonts w:hint="eastAsia" w:ascii="微软雅黑" w:hAnsi="微软雅黑" w:eastAsia="微软雅黑" w:cs="微软雅黑"/>
                <w:b/>
                <w:bCs/>
                <w:color w:val="000000" w:themeColor="text1"/>
                <w:sz w:val="21"/>
                <w:szCs w:val="21"/>
                <w:highlight w:val="none"/>
                <w:lang w:val="en-US" w:eastAsia="zh-CN"/>
                <w14:textFill>
                  <w14:solidFill>
                    <w14:schemeClr w14:val="tx1"/>
                  </w14:solidFill>
                </w14:textFill>
              </w:rPr>
              <w:t>采购人员</w:t>
            </w:r>
            <w:r>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t>：具有中药学初级及以上专业技术职称的得1分。</w:t>
            </w:r>
          </w:p>
          <w:p w14:paraId="02292B61">
            <w:pPr>
              <w:spacing w:line="400" w:lineRule="exact"/>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t>（5）</w:t>
            </w:r>
            <w:r>
              <w:rPr>
                <w:rFonts w:hint="eastAsia" w:ascii="微软雅黑" w:hAnsi="微软雅黑" w:eastAsia="微软雅黑" w:cs="微软雅黑"/>
                <w:b/>
                <w:bCs/>
                <w:color w:val="000000" w:themeColor="text1"/>
                <w:sz w:val="21"/>
                <w:szCs w:val="21"/>
                <w:highlight w:val="none"/>
                <w:lang w:val="en-US" w:eastAsia="zh-CN"/>
                <w14:textFill>
                  <w14:solidFill>
                    <w14:schemeClr w14:val="tx1"/>
                  </w14:solidFill>
                </w14:textFill>
              </w:rPr>
              <w:t>养护人员</w:t>
            </w:r>
            <w:r>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t>：具有中药学初级及以上专业技术职称的得1分。</w:t>
            </w:r>
          </w:p>
          <w:p w14:paraId="17236164">
            <w:pPr>
              <w:spacing w:line="400" w:lineRule="exact"/>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t>（6）专职配送人员每提供1人得0.5分，最高可得1分；</w:t>
            </w:r>
          </w:p>
          <w:p w14:paraId="004BD19B">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b/>
                <w:bCs/>
                <w:color w:val="000000" w:themeColor="text1"/>
                <w:sz w:val="21"/>
                <w:szCs w:val="21"/>
                <w:highlight w:val="none"/>
                <w:lang w:val="en-US" w:eastAsia="zh-CN"/>
                <w14:textFill>
                  <w14:solidFill>
                    <w14:schemeClr w14:val="tx1"/>
                  </w14:solidFill>
                </w14:textFill>
              </w:rPr>
            </w:pPr>
            <w:r>
              <w:rPr>
                <w:rFonts w:hint="eastAsia" w:ascii="微软雅黑" w:hAnsi="微软雅黑" w:eastAsia="微软雅黑" w:cs="微软雅黑"/>
                <w:b/>
                <w:bCs/>
                <w:color w:val="000000" w:themeColor="text1"/>
                <w:sz w:val="21"/>
                <w:szCs w:val="21"/>
                <w:highlight w:val="none"/>
                <w:lang w:val="en-US" w:eastAsia="zh-CN"/>
                <w14:textFill>
                  <w14:solidFill>
                    <w14:schemeClr w14:val="tx1"/>
                  </w14:solidFill>
                </w14:textFill>
              </w:rPr>
              <w:t>注：①以上人员不重复计分，须提供拟投入本项目人员的人员身份证复印件、在本单位缴纳的近6个月任意1个月的社保（退休人员提供退休证明）、相关职业证书，专职配送人员需提供健康证且证件在有效期内。</w:t>
            </w:r>
          </w:p>
          <w:p w14:paraId="33A42735">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b/>
                <w:bCs/>
                <w:color w:val="000000" w:themeColor="text1"/>
                <w:sz w:val="21"/>
                <w:szCs w:val="21"/>
                <w:highlight w:val="none"/>
                <w:lang w:val="en-US" w:eastAsia="zh-CN"/>
                <w14:textFill>
                  <w14:solidFill>
                    <w14:schemeClr w14:val="tx1"/>
                  </w14:solidFill>
                </w14:textFill>
              </w:rPr>
            </w:pPr>
            <w:r>
              <w:rPr>
                <w:rFonts w:hint="eastAsia" w:ascii="微软雅黑" w:hAnsi="微软雅黑" w:eastAsia="微软雅黑" w:cs="微软雅黑"/>
                <w:b/>
                <w:bCs/>
                <w:color w:val="000000" w:themeColor="text1"/>
                <w:sz w:val="21"/>
                <w:szCs w:val="21"/>
                <w:highlight w:val="none"/>
                <w:lang w:val="en-US" w:eastAsia="zh-CN"/>
                <w14:textFill>
                  <w14:solidFill>
                    <w14:schemeClr w14:val="tx1"/>
                  </w14:solidFill>
                </w14:textFill>
              </w:rPr>
              <w:t>②以上证明材料提供不全或不提供不得分。</w:t>
            </w:r>
          </w:p>
        </w:tc>
        <w:tc>
          <w:tcPr>
            <w:tcW w:w="1350" w:type="dxa"/>
            <w:vMerge w:val="continue"/>
            <w:vAlign w:val="center"/>
          </w:tcPr>
          <w:p w14:paraId="30460CC7">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b/>
                <w:bCs/>
                <w:color w:val="auto"/>
                <w:sz w:val="20"/>
                <w:szCs w:val="20"/>
                <w:highlight w:val="none"/>
              </w:rPr>
            </w:pPr>
          </w:p>
        </w:tc>
      </w:tr>
      <w:tr w14:paraId="657FD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06" w:hRule="atLeast"/>
          <w:jc w:val="center"/>
        </w:trPr>
        <w:tc>
          <w:tcPr>
            <w:tcW w:w="943" w:type="dxa"/>
            <w:vMerge w:val="continue"/>
            <w:vAlign w:val="center"/>
          </w:tcPr>
          <w:p w14:paraId="7DFA6920">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0"/>
                <w:szCs w:val="20"/>
                <w:highlight w:val="none"/>
              </w:rPr>
            </w:pPr>
          </w:p>
        </w:tc>
        <w:tc>
          <w:tcPr>
            <w:tcW w:w="638" w:type="dxa"/>
            <w:vAlign w:val="center"/>
          </w:tcPr>
          <w:p w14:paraId="21DC9A3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color w:val="auto"/>
                <w:sz w:val="20"/>
                <w:szCs w:val="20"/>
                <w:highlight w:val="none"/>
                <w:lang w:val="en-US" w:eastAsia="zh-CN"/>
              </w:rPr>
            </w:pPr>
            <w:r>
              <w:rPr>
                <w:rFonts w:hint="eastAsia" w:ascii="微软雅黑" w:hAnsi="微软雅黑" w:eastAsia="微软雅黑" w:cs="微软雅黑"/>
                <w:color w:val="auto"/>
                <w:sz w:val="20"/>
                <w:szCs w:val="20"/>
                <w:highlight w:val="none"/>
                <w:lang w:val="en-US" w:eastAsia="zh-CN"/>
              </w:rPr>
              <w:t>4</w:t>
            </w:r>
          </w:p>
        </w:tc>
        <w:tc>
          <w:tcPr>
            <w:tcW w:w="7244" w:type="dxa"/>
            <w:vAlign w:val="center"/>
          </w:tcPr>
          <w:p w14:paraId="7023C810">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b w:val="0"/>
                <w:bCs w:val="0"/>
                <w:color w:val="auto"/>
                <w:kern w:val="0"/>
                <w:sz w:val="20"/>
                <w:szCs w:val="20"/>
                <w:highlight w:val="none"/>
                <w:lang w:val="en-US" w:eastAsia="zh-CN"/>
              </w:rPr>
            </w:pPr>
            <w:r>
              <w:rPr>
                <w:rFonts w:hint="eastAsia" w:ascii="微软雅黑" w:hAnsi="微软雅黑" w:eastAsia="微软雅黑" w:cs="微软雅黑"/>
                <w:b/>
                <w:bCs/>
                <w:color w:val="auto"/>
                <w:kern w:val="0"/>
                <w:sz w:val="20"/>
                <w:szCs w:val="20"/>
                <w:highlight w:val="none"/>
                <w:lang w:val="en-US" w:eastAsia="zh-CN"/>
              </w:rPr>
              <w:t>配送能力：</w:t>
            </w:r>
            <w:r>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t>提供满足项目所需的专业配送车辆或冷链运送车，每提供1辆得1分，最高可得4分。</w:t>
            </w:r>
          </w:p>
          <w:p w14:paraId="0055E834">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b/>
                <w:bCs/>
                <w:color w:val="000000" w:themeColor="text1"/>
                <w:sz w:val="21"/>
                <w:szCs w:val="21"/>
                <w:highlight w:val="none"/>
                <w:lang w:val="en-US" w:eastAsia="zh-CN"/>
                <w14:textFill>
                  <w14:solidFill>
                    <w14:schemeClr w14:val="tx1"/>
                  </w14:solidFill>
                </w14:textFill>
              </w:rPr>
            </w:pPr>
            <w:r>
              <w:rPr>
                <w:rFonts w:hint="eastAsia" w:ascii="微软雅黑" w:hAnsi="微软雅黑" w:eastAsia="微软雅黑" w:cs="微软雅黑"/>
                <w:b/>
                <w:bCs/>
                <w:color w:val="auto"/>
                <w:kern w:val="0"/>
                <w:sz w:val="20"/>
                <w:szCs w:val="20"/>
                <w:highlight w:val="none"/>
                <w:lang w:val="en-US" w:eastAsia="zh-CN"/>
              </w:rPr>
              <w:t>注：①</w:t>
            </w:r>
            <w:r>
              <w:rPr>
                <w:rFonts w:hint="eastAsia" w:ascii="微软雅黑" w:hAnsi="微软雅黑" w:eastAsia="微软雅黑" w:cs="微软雅黑"/>
                <w:b/>
                <w:bCs/>
                <w:color w:val="000000" w:themeColor="text1"/>
                <w:sz w:val="21"/>
                <w:szCs w:val="21"/>
                <w:highlight w:val="none"/>
                <w:lang w:val="en-US" w:eastAsia="zh-CN"/>
                <w14:textFill>
                  <w14:solidFill>
                    <w14:schemeClr w14:val="tx1"/>
                  </w14:solidFill>
                </w14:textFill>
              </w:rPr>
              <w:t>车辆是投标人自有车辆的须提供有效机动车行驶证的扫描件和照片并加盖单位公章，车辆是投标人租赁车辆的须提供租赁合同、车辆的行驶证扫描件和照片并加盖单位公章。</w:t>
            </w:r>
          </w:p>
          <w:p w14:paraId="2A942EC7">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b w:val="0"/>
                <w:bCs w:val="0"/>
                <w:color w:val="auto"/>
                <w:sz w:val="20"/>
                <w:szCs w:val="20"/>
                <w:highlight w:val="none"/>
                <w:lang w:val="en-US" w:eastAsia="zh-CN"/>
              </w:rPr>
            </w:pPr>
            <w:r>
              <w:rPr>
                <w:rFonts w:hint="eastAsia" w:ascii="微软雅黑" w:hAnsi="微软雅黑" w:eastAsia="微软雅黑" w:cs="微软雅黑"/>
                <w:b/>
                <w:bCs/>
                <w:color w:val="000000" w:themeColor="text1"/>
                <w:sz w:val="21"/>
                <w:szCs w:val="21"/>
                <w:highlight w:val="none"/>
                <w:lang w:val="en-US" w:eastAsia="zh-CN"/>
                <w14:textFill>
                  <w14:solidFill>
                    <w14:schemeClr w14:val="tx1"/>
                  </w14:solidFill>
                </w14:textFill>
              </w:rPr>
              <w:t>②以上证明材料提供不全或不提供不得分。</w:t>
            </w:r>
          </w:p>
        </w:tc>
        <w:tc>
          <w:tcPr>
            <w:tcW w:w="1350" w:type="dxa"/>
            <w:vMerge w:val="continue"/>
            <w:vAlign w:val="center"/>
          </w:tcPr>
          <w:p w14:paraId="5ED8CA7B">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b/>
                <w:bCs/>
                <w:color w:val="auto"/>
                <w:sz w:val="20"/>
                <w:szCs w:val="20"/>
                <w:highlight w:val="none"/>
              </w:rPr>
            </w:pPr>
          </w:p>
        </w:tc>
      </w:tr>
      <w:tr w14:paraId="2BA6D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3" w:hRule="atLeast"/>
          <w:jc w:val="center"/>
        </w:trPr>
        <w:tc>
          <w:tcPr>
            <w:tcW w:w="943" w:type="dxa"/>
            <w:vMerge w:val="restart"/>
            <w:vAlign w:val="center"/>
          </w:tcPr>
          <w:p w14:paraId="6988FC85">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0"/>
                <w:szCs w:val="20"/>
                <w:highlight w:val="none"/>
              </w:rPr>
            </w:pPr>
          </w:p>
          <w:p w14:paraId="765A5B98">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技术评分标准</w:t>
            </w:r>
          </w:p>
        </w:tc>
        <w:tc>
          <w:tcPr>
            <w:tcW w:w="638" w:type="dxa"/>
            <w:vAlign w:val="center"/>
          </w:tcPr>
          <w:p w14:paraId="7EDF871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微软雅黑" w:hAnsi="微软雅黑" w:eastAsia="微软雅黑" w:cs="微软雅黑"/>
                <w:color w:val="auto"/>
                <w:sz w:val="20"/>
                <w:szCs w:val="20"/>
                <w:highlight w:val="none"/>
                <w:lang w:val="en-US" w:eastAsia="zh-CN"/>
              </w:rPr>
            </w:pPr>
            <w:r>
              <w:rPr>
                <w:rFonts w:hint="eastAsia" w:ascii="微软雅黑" w:hAnsi="微软雅黑" w:eastAsia="微软雅黑" w:cs="微软雅黑"/>
                <w:color w:val="auto"/>
                <w:sz w:val="20"/>
                <w:szCs w:val="20"/>
                <w:highlight w:val="none"/>
                <w:lang w:val="en-US" w:eastAsia="zh-CN"/>
              </w:rPr>
              <w:t>21</w:t>
            </w:r>
          </w:p>
        </w:tc>
        <w:tc>
          <w:tcPr>
            <w:tcW w:w="7244" w:type="dxa"/>
            <w:vAlign w:val="center"/>
          </w:tcPr>
          <w:p w14:paraId="565A65D9">
            <w:pPr>
              <w:pageBreakBefore w:val="0"/>
              <w:kinsoku/>
              <w:wordWrap w:val="0"/>
              <w:overflowPunct/>
              <w:topLinePunct w:val="0"/>
              <w:bidi w:val="0"/>
              <w:spacing w:line="400" w:lineRule="exact"/>
              <w:rPr>
                <w:rFonts w:hint="eastAsia" w:ascii="微软雅黑" w:hAnsi="微软雅黑" w:eastAsia="微软雅黑" w:cs="微软雅黑"/>
                <w:kern w:val="0"/>
                <w:szCs w:val="21"/>
                <w:highlight w:val="none"/>
              </w:rPr>
            </w:pPr>
            <w:r>
              <w:rPr>
                <w:rFonts w:hint="eastAsia" w:ascii="微软雅黑" w:hAnsi="微软雅黑" w:eastAsia="微软雅黑" w:cs="微软雅黑"/>
                <w:b/>
                <w:bCs/>
                <w:kern w:val="0"/>
                <w:szCs w:val="21"/>
                <w:highlight w:val="none"/>
              </w:rPr>
              <w:t>技术参数：</w:t>
            </w:r>
            <w:r>
              <w:rPr>
                <w:rFonts w:hint="eastAsia" w:ascii="微软雅黑" w:hAnsi="微软雅黑" w:eastAsia="微软雅黑" w:cs="微软雅黑"/>
                <w:kern w:val="0"/>
                <w:szCs w:val="21"/>
                <w:highlight w:val="none"/>
              </w:rPr>
              <w:t>根据所投产品的配置与性能技术指标及配置参数响应程度打分。</w:t>
            </w:r>
          </w:p>
          <w:p w14:paraId="06049F3A">
            <w:pPr>
              <w:pageBreakBefore w:val="0"/>
              <w:kinsoku/>
              <w:wordWrap w:val="0"/>
              <w:overflowPunct/>
              <w:topLinePunct w:val="0"/>
              <w:bidi w:val="0"/>
              <w:spacing w:line="400" w:lineRule="exact"/>
              <w:outlineLvl w:val="1"/>
              <w:rPr>
                <w:rFonts w:hint="eastAsia" w:ascii="微软雅黑" w:hAnsi="微软雅黑" w:eastAsia="微软雅黑" w:cs="微软雅黑"/>
                <w:kern w:val="0"/>
                <w:szCs w:val="21"/>
                <w:highlight w:val="none"/>
              </w:rPr>
            </w:pPr>
            <w:r>
              <w:rPr>
                <w:rFonts w:hint="eastAsia" w:ascii="微软雅黑" w:hAnsi="微软雅黑" w:eastAsia="微软雅黑" w:cs="微软雅黑"/>
                <w:kern w:val="0"/>
                <w:szCs w:val="21"/>
                <w:highlight w:val="none"/>
              </w:rPr>
              <w:t>完全满足招标要求的得</w:t>
            </w:r>
            <w:r>
              <w:rPr>
                <w:rFonts w:hint="eastAsia" w:ascii="微软雅黑" w:hAnsi="微软雅黑" w:eastAsia="微软雅黑" w:cs="微软雅黑"/>
                <w:kern w:val="0"/>
                <w:szCs w:val="21"/>
                <w:highlight w:val="none"/>
                <w:lang w:val="en-US" w:eastAsia="zh-CN"/>
              </w:rPr>
              <w:t>21</w:t>
            </w:r>
            <w:r>
              <w:rPr>
                <w:rFonts w:hint="eastAsia" w:ascii="微软雅黑" w:hAnsi="微软雅黑" w:eastAsia="微软雅黑" w:cs="微软雅黑"/>
                <w:kern w:val="0"/>
                <w:szCs w:val="21"/>
                <w:highlight w:val="none"/>
              </w:rPr>
              <w:t>分。技术参数</w:t>
            </w:r>
            <w:r>
              <w:rPr>
                <w:rFonts w:hint="eastAsia" w:ascii="微软雅黑" w:hAnsi="微软雅黑" w:eastAsia="微软雅黑" w:cs="微软雅黑"/>
                <w:szCs w:val="21"/>
                <w:highlight w:val="none"/>
              </w:rPr>
              <w:t>每有一项负偏离扣</w:t>
            </w:r>
            <w:r>
              <w:rPr>
                <w:rFonts w:hint="eastAsia" w:ascii="微软雅黑" w:hAnsi="微软雅黑" w:eastAsia="微软雅黑" w:cs="微软雅黑"/>
                <w:szCs w:val="21"/>
                <w:highlight w:val="none"/>
                <w:lang w:val="en-US" w:eastAsia="zh-CN"/>
              </w:rPr>
              <w:t>0.35</w:t>
            </w:r>
            <w:r>
              <w:rPr>
                <w:rFonts w:hint="eastAsia" w:ascii="微软雅黑" w:hAnsi="微软雅黑" w:eastAsia="微软雅黑" w:cs="微软雅黑"/>
                <w:szCs w:val="21"/>
                <w:highlight w:val="none"/>
              </w:rPr>
              <w:t>分</w:t>
            </w:r>
            <w:r>
              <w:rPr>
                <w:rFonts w:hint="eastAsia" w:ascii="微软雅黑" w:hAnsi="微软雅黑" w:eastAsia="微软雅黑" w:cs="微软雅黑"/>
                <w:szCs w:val="21"/>
                <w:highlight w:val="none"/>
                <w:lang w:eastAsia="zh-CN"/>
              </w:rPr>
              <w:t>，</w:t>
            </w:r>
            <w:r>
              <w:rPr>
                <w:rFonts w:hint="eastAsia" w:ascii="微软雅黑" w:hAnsi="微软雅黑" w:eastAsia="微软雅黑" w:cs="微软雅黑"/>
                <w:kern w:val="0"/>
                <w:szCs w:val="21"/>
                <w:highlight w:val="none"/>
              </w:rPr>
              <w:t>直至扣完为止。</w:t>
            </w:r>
          </w:p>
          <w:p w14:paraId="28E0E95E">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b/>
                <w:bCs/>
                <w:color w:val="auto"/>
                <w:kern w:val="0"/>
                <w:sz w:val="20"/>
                <w:szCs w:val="20"/>
                <w:highlight w:val="none"/>
                <w:lang w:val="en-US" w:eastAsia="zh-CN"/>
              </w:rPr>
            </w:pPr>
            <w:r>
              <w:rPr>
                <w:rFonts w:hint="eastAsia" w:ascii="微软雅黑" w:hAnsi="微软雅黑" w:eastAsia="微软雅黑" w:cs="微软雅黑"/>
                <w:b/>
                <w:bCs/>
                <w:szCs w:val="21"/>
                <w:highlight w:val="none"/>
              </w:rPr>
              <w:t>注：</w:t>
            </w:r>
            <w:r>
              <w:rPr>
                <w:rFonts w:hint="eastAsia" w:ascii="微软雅黑" w:hAnsi="微软雅黑" w:eastAsia="微软雅黑" w:cs="微软雅黑"/>
                <w:b/>
                <w:bCs/>
                <w:szCs w:val="21"/>
                <w:highlight w:val="none"/>
                <w:lang w:val="en-US" w:eastAsia="zh-CN"/>
              </w:rPr>
              <w:t>①</w:t>
            </w:r>
            <w:r>
              <w:rPr>
                <w:rFonts w:hint="eastAsia" w:ascii="微软雅黑" w:hAnsi="微软雅黑" w:eastAsia="微软雅黑" w:cs="微软雅黑"/>
                <w:b/>
                <w:bCs/>
                <w:kern w:val="0"/>
                <w:szCs w:val="21"/>
                <w:highlight w:val="none"/>
                <w:lang w:val="en-US" w:eastAsia="zh-CN"/>
              </w:rPr>
              <w:t>需对应提供产品参数中要求的</w:t>
            </w:r>
            <w:r>
              <w:rPr>
                <w:rFonts w:hint="eastAsia" w:ascii="微软雅黑" w:hAnsi="微软雅黑" w:eastAsia="微软雅黑" w:cs="微软雅黑"/>
                <w:b/>
                <w:bCs/>
                <w:kern w:val="0"/>
                <w:szCs w:val="21"/>
                <w:highlight w:val="none"/>
              </w:rPr>
              <w:t>证明材料</w:t>
            </w:r>
            <w:r>
              <w:rPr>
                <w:rFonts w:hint="eastAsia" w:ascii="微软雅黑" w:hAnsi="微软雅黑" w:eastAsia="微软雅黑" w:cs="微软雅黑"/>
                <w:b/>
                <w:bCs/>
                <w:kern w:val="0"/>
                <w:szCs w:val="21"/>
                <w:highlight w:val="none"/>
                <w:lang w:eastAsia="zh-CN"/>
              </w:rPr>
              <w:t>。</w:t>
            </w:r>
            <w:r>
              <w:rPr>
                <w:rFonts w:hint="eastAsia" w:ascii="微软雅黑" w:hAnsi="微软雅黑" w:eastAsia="微软雅黑" w:cs="微软雅黑"/>
                <w:b/>
                <w:bCs/>
                <w:kern w:val="0"/>
                <w:szCs w:val="21"/>
                <w:highlight w:val="none"/>
                <w:lang w:val="en-US" w:eastAsia="zh-CN"/>
              </w:rPr>
              <w:t>②</w:t>
            </w:r>
            <w:r>
              <w:rPr>
                <w:rFonts w:hint="eastAsia" w:ascii="微软雅黑" w:hAnsi="微软雅黑" w:eastAsia="微软雅黑" w:cs="微软雅黑"/>
                <w:b/>
                <w:bCs/>
                <w:szCs w:val="21"/>
                <w:highlight w:val="none"/>
              </w:rPr>
              <w:t>证明材料模糊，无法辨识的，视为无效</w:t>
            </w:r>
            <w:r>
              <w:rPr>
                <w:rFonts w:hint="eastAsia" w:ascii="微软雅黑" w:hAnsi="微软雅黑" w:eastAsia="微软雅黑" w:cs="微软雅黑"/>
                <w:b/>
                <w:bCs/>
                <w:szCs w:val="21"/>
                <w:highlight w:val="none"/>
                <w:lang w:val="en-US" w:eastAsia="zh-CN"/>
              </w:rPr>
              <w:t>资料。</w:t>
            </w:r>
            <w:r>
              <w:rPr>
                <w:rFonts w:hint="eastAsia" w:ascii="微软雅黑" w:hAnsi="微软雅黑" w:eastAsia="微软雅黑" w:cs="微软雅黑"/>
                <w:b/>
                <w:bCs/>
                <w:kern w:val="0"/>
                <w:szCs w:val="21"/>
                <w:highlight w:val="none"/>
                <w:lang w:val="en-US" w:eastAsia="zh-CN"/>
              </w:rPr>
              <w:t>③</w:t>
            </w:r>
            <w:r>
              <w:rPr>
                <w:rFonts w:hint="eastAsia" w:ascii="微软雅黑" w:hAnsi="微软雅黑" w:eastAsia="微软雅黑" w:cs="微软雅黑"/>
                <w:b/>
                <w:bCs/>
                <w:kern w:val="0"/>
                <w:szCs w:val="21"/>
                <w:highlight w:val="none"/>
              </w:rPr>
              <w:t>若未提供有效证明材料则该参数将被视为负偏离。</w:t>
            </w:r>
          </w:p>
        </w:tc>
        <w:tc>
          <w:tcPr>
            <w:tcW w:w="1350" w:type="dxa"/>
            <w:vMerge w:val="restart"/>
            <w:vAlign w:val="center"/>
          </w:tcPr>
          <w:p w14:paraId="5F3B1AE9">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b/>
                <w:bCs/>
                <w:color w:val="auto"/>
                <w:sz w:val="20"/>
                <w:szCs w:val="20"/>
                <w:highlight w:val="none"/>
              </w:rPr>
              <w:t>根据需求提供必要的证明资料</w:t>
            </w:r>
          </w:p>
        </w:tc>
      </w:tr>
      <w:tr w14:paraId="1E3ED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3" w:hRule="atLeast"/>
          <w:jc w:val="center"/>
        </w:trPr>
        <w:tc>
          <w:tcPr>
            <w:tcW w:w="943" w:type="dxa"/>
            <w:vMerge w:val="continue"/>
            <w:vAlign w:val="center"/>
          </w:tcPr>
          <w:p w14:paraId="64D2BF88">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0"/>
                <w:szCs w:val="20"/>
                <w:highlight w:val="none"/>
              </w:rPr>
            </w:pPr>
          </w:p>
        </w:tc>
        <w:tc>
          <w:tcPr>
            <w:tcW w:w="638" w:type="dxa"/>
            <w:vAlign w:val="center"/>
          </w:tcPr>
          <w:p w14:paraId="36AD0B9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微软雅黑" w:hAnsi="微软雅黑" w:eastAsia="微软雅黑" w:cs="微软雅黑"/>
                <w:color w:val="auto"/>
                <w:sz w:val="20"/>
                <w:szCs w:val="20"/>
                <w:highlight w:val="none"/>
                <w:lang w:val="en-US" w:eastAsia="zh-CN"/>
              </w:rPr>
            </w:pPr>
            <w:r>
              <w:rPr>
                <w:rFonts w:hint="eastAsia" w:ascii="微软雅黑" w:hAnsi="微软雅黑" w:eastAsia="微软雅黑" w:cs="微软雅黑"/>
                <w:color w:val="auto"/>
                <w:sz w:val="20"/>
                <w:szCs w:val="20"/>
                <w:highlight w:val="none"/>
                <w:lang w:val="en-US" w:eastAsia="zh-CN"/>
              </w:rPr>
              <w:t>9</w:t>
            </w:r>
          </w:p>
        </w:tc>
        <w:tc>
          <w:tcPr>
            <w:tcW w:w="7244" w:type="dxa"/>
            <w:vAlign w:val="center"/>
          </w:tcPr>
          <w:p w14:paraId="4FCE41E5">
            <w:pPr>
              <w:spacing w:line="400" w:lineRule="exact"/>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pPr>
            <w:r>
              <w:rPr>
                <w:rFonts w:hint="eastAsia" w:ascii="微软雅黑" w:hAnsi="微软雅黑" w:eastAsia="微软雅黑" w:cs="微软雅黑"/>
                <w:b/>
                <w:bCs/>
                <w:color w:val="000000" w:themeColor="text1"/>
                <w:sz w:val="21"/>
                <w:szCs w:val="21"/>
                <w:highlight w:val="none"/>
                <w:lang w:val="en-US" w:eastAsia="zh-CN"/>
                <w14:textFill>
                  <w14:solidFill>
                    <w14:schemeClr w14:val="tx1"/>
                  </w14:solidFill>
                </w14:textFill>
              </w:rPr>
              <w:t>样品：根据所提供样品种类的完整性以及样品品质(包括但不限于外观、色泽、 气味、触觉、味觉，以及表面及切面纹理等)进行评分：</w:t>
            </w:r>
          </w:p>
          <w:p w14:paraId="42AE3AAD">
            <w:pPr>
              <w:spacing w:line="400" w:lineRule="exact"/>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t>①样品完整且样品形状、大小、长短、薄厚适宜，色泽自然，气味醇正，无异味，表面及切面纹理及质感清晰自然，无杂质，得9分；</w:t>
            </w:r>
          </w:p>
          <w:p w14:paraId="1A90C5CA">
            <w:pPr>
              <w:spacing w:line="400" w:lineRule="exact"/>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t>②样品完整或基本完整，且样品形状、大小、长短、薄厚较为适宜，色泽 自然，气味较醇正，表面及切面纹理及质感较为清晰自然，无明显杂质， 得7分 ；</w:t>
            </w:r>
          </w:p>
          <w:p w14:paraId="4C3522E5">
            <w:pPr>
              <w:spacing w:line="400" w:lineRule="exact"/>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t>③样品完整或基本完整，且样品形状、大小、长短、薄厚适宜性一般， 色泽较为自然，气味较醇正，表面及切面纹理及质感略有欠缺，无明显杂质，得5分；</w:t>
            </w:r>
          </w:p>
          <w:p w14:paraId="08C5CB17">
            <w:pPr>
              <w:spacing w:line="400" w:lineRule="exact"/>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t>④样品有较多缺漏，或样品形状、大小、长短、薄厚不十分均匀，色泽基本正常，气味基本无异味，表面及切面纹理及质感不佳，或有明显杂质的，得3分；</w:t>
            </w:r>
          </w:p>
          <w:p w14:paraId="641D53CA">
            <w:pPr>
              <w:spacing w:line="400" w:lineRule="exact"/>
              <w:rPr>
                <w:rFonts w:hint="eastAsia" w:ascii="微软雅黑" w:hAnsi="微软雅黑" w:eastAsia="微软雅黑" w:cs="微软雅黑"/>
                <w:b/>
                <w:bCs/>
                <w:color w:val="000000" w:themeColor="text1"/>
                <w:sz w:val="21"/>
                <w:szCs w:val="21"/>
                <w:highlight w:val="none"/>
                <w:lang w:val="en-US" w:eastAsia="zh-CN"/>
                <w14:textFill>
                  <w14:solidFill>
                    <w14:schemeClr w14:val="tx1"/>
                  </w14:solidFill>
                </w14:textFill>
              </w:rPr>
            </w:pPr>
            <w:r>
              <w:rPr>
                <w:rFonts w:hint="eastAsia" w:ascii="微软雅黑" w:hAnsi="微软雅黑" w:eastAsia="微软雅黑" w:cs="微软雅黑"/>
                <w:b/>
                <w:bCs/>
                <w:color w:val="000000" w:themeColor="text1"/>
                <w:sz w:val="21"/>
                <w:szCs w:val="21"/>
                <w:highlight w:val="none"/>
                <w:lang w:val="en-US" w:eastAsia="zh-CN"/>
                <w14:textFill>
                  <w14:solidFill>
                    <w14:schemeClr w14:val="tx1"/>
                  </w14:solidFill>
                </w14:textFill>
              </w:rPr>
              <w:t>注：未提供样品、样品不全、未提供样品检测报告、检测报告不全不得分</w:t>
            </w:r>
            <w:r>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t>。</w:t>
            </w:r>
          </w:p>
        </w:tc>
        <w:tc>
          <w:tcPr>
            <w:tcW w:w="1350" w:type="dxa"/>
            <w:vMerge w:val="continue"/>
            <w:vAlign w:val="center"/>
          </w:tcPr>
          <w:p w14:paraId="2F6565A6">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0"/>
                <w:szCs w:val="20"/>
                <w:highlight w:val="none"/>
              </w:rPr>
            </w:pPr>
          </w:p>
        </w:tc>
      </w:tr>
      <w:tr w14:paraId="70E5B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3" w:hRule="atLeast"/>
          <w:jc w:val="center"/>
        </w:trPr>
        <w:tc>
          <w:tcPr>
            <w:tcW w:w="943" w:type="dxa"/>
            <w:vMerge w:val="continue"/>
            <w:vAlign w:val="center"/>
          </w:tcPr>
          <w:p w14:paraId="025CA886">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0"/>
                <w:szCs w:val="20"/>
                <w:highlight w:val="none"/>
              </w:rPr>
            </w:pPr>
          </w:p>
        </w:tc>
        <w:tc>
          <w:tcPr>
            <w:tcW w:w="638" w:type="dxa"/>
            <w:vAlign w:val="center"/>
          </w:tcPr>
          <w:p w14:paraId="34D73E2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微软雅黑" w:hAnsi="微软雅黑" w:eastAsia="微软雅黑" w:cs="微软雅黑"/>
                <w:color w:val="auto"/>
                <w:sz w:val="20"/>
                <w:szCs w:val="20"/>
                <w:highlight w:val="none"/>
                <w:lang w:val="en-US" w:eastAsia="zh-CN"/>
              </w:rPr>
            </w:pPr>
            <w:r>
              <w:rPr>
                <w:rFonts w:hint="eastAsia" w:ascii="微软雅黑" w:hAnsi="微软雅黑" w:eastAsia="微软雅黑" w:cs="微软雅黑"/>
                <w:color w:val="auto"/>
                <w:sz w:val="20"/>
                <w:szCs w:val="20"/>
                <w:highlight w:val="none"/>
                <w:lang w:val="en-US" w:eastAsia="zh-CN"/>
              </w:rPr>
              <w:t>6</w:t>
            </w:r>
          </w:p>
        </w:tc>
        <w:tc>
          <w:tcPr>
            <w:tcW w:w="7244" w:type="dxa"/>
            <w:vAlign w:val="center"/>
          </w:tcPr>
          <w:p w14:paraId="7D905ED6">
            <w:pPr>
              <w:spacing w:line="400" w:lineRule="exact"/>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pPr>
            <w:r>
              <w:rPr>
                <w:rFonts w:hint="eastAsia" w:ascii="微软雅黑" w:hAnsi="微软雅黑" w:eastAsia="微软雅黑" w:cs="微软雅黑"/>
                <w:b/>
                <w:bCs/>
                <w:color w:val="auto"/>
                <w:kern w:val="0"/>
                <w:sz w:val="21"/>
                <w:szCs w:val="21"/>
                <w:highlight w:val="none"/>
                <w:lang w:val="en-US" w:eastAsia="zh-CN"/>
              </w:rPr>
              <w:t>仓储能力：</w:t>
            </w:r>
            <w:r>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t xml:space="preserve">（1）具有仓储场地的： ①场地面积＞2000㎡，得3分； </w:t>
            </w:r>
          </w:p>
          <w:p w14:paraId="791E6A85">
            <w:pPr>
              <w:spacing w:line="400" w:lineRule="exact"/>
              <w:rPr>
                <w:rFonts w:hint="default"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t>②2000㎡≥场地面积＞1500㎡，得2分； ③1500㎡≥场地面积＞1000㎡，得1分；</w:t>
            </w:r>
          </w:p>
          <w:p w14:paraId="72E7CD14">
            <w:pPr>
              <w:spacing w:line="400" w:lineRule="exact"/>
              <w:rPr>
                <w:rFonts w:hint="default"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t>（2）具有冷库场地： ①场地面积＞100㎡，得3分； ②100㎡≥场地面积＞50㎡，得2分； ③50㎡≥场地面积＞10㎡，得1分；</w:t>
            </w:r>
          </w:p>
          <w:p w14:paraId="7F27ABA9">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b/>
                <w:bCs/>
                <w:color w:val="auto"/>
                <w:kern w:val="0"/>
                <w:sz w:val="21"/>
                <w:szCs w:val="21"/>
                <w:highlight w:val="none"/>
                <w:lang w:val="en-US" w:eastAsia="zh-CN"/>
              </w:rPr>
            </w:pPr>
            <w:r>
              <w:rPr>
                <w:rFonts w:hint="eastAsia" w:ascii="微软雅黑" w:hAnsi="微软雅黑" w:eastAsia="微软雅黑" w:cs="微软雅黑"/>
                <w:b/>
                <w:bCs/>
                <w:color w:val="000000" w:themeColor="text1"/>
                <w:sz w:val="21"/>
                <w:szCs w:val="21"/>
                <w:highlight w:val="none"/>
                <w:lang w:val="en-US" w:eastAsia="zh-CN"/>
                <w14:textFill>
                  <w14:solidFill>
                    <w14:schemeClr w14:val="tx1"/>
                  </w14:solidFill>
                </w14:textFill>
              </w:rPr>
              <w:t>注：①自有场地的须提供场地图片、产权证明；租赁场地的须提供场地图片、租赁合同。②以上证明材料提供不全或不提供不得分。</w:t>
            </w:r>
          </w:p>
        </w:tc>
        <w:tc>
          <w:tcPr>
            <w:tcW w:w="1350" w:type="dxa"/>
            <w:vMerge w:val="continue"/>
            <w:vAlign w:val="center"/>
          </w:tcPr>
          <w:p w14:paraId="2CE5F968">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0"/>
                <w:szCs w:val="20"/>
                <w:highlight w:val="none"/>
              </w:rPr>
            </w:pPr>
          </w:p>
        </w:tc>
      </w:tr>
      <w:tr w14:paraId="30E91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3" w:hRule="atLeast"/>
          <w:jc w:val="center"/>
        </w:trPr>
        <w:tc>
          <w:tcPr>
            <w:tcW w:w="943" w:type="dxa"/>
            <w:vMerge w:val="continue"/>
            <w:vAlign w:val="center"/>
          </w:tcPr>
          <w:p w14:paraId="7511538C">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0"/>
                <w:szCs w:val="20"/>
                <w:highlight w:val="none"/>
              </w:rPr>
            </w:pPr>
          </w:p>
        </w:tc>
        <w:tc>
          <w:tcPr>
            <w:tcW w:w="638" w:type="dxa"/>
            <w:vAlign w:val="center"/>
          </w:tcPr>
          <w:p w14:paraId="72B636C3">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微软雅黑" w:hAnsi="微软雅黑" w:eastAsia="微软雅黑" w:cs="微软雅黑"/>
                <w:color w:val="auto"/>
                <w:sz w:val="20"/>
                <w:szCs w:val="20"/>
                <w:highlight w:val="none"/>
                <w:lang w:val="en-US" w:eastAsia="zh-CN"/>
              </w:rPr>
            </w:pPr>
            <w:r>
              <w:rPr>
                <w:rFonts w:hint="eastAsia" w:ascii="微软雅黑" w:hAnsi="微软雅黑" w:eastAsia="微软雅黑" w:cs="微软雅黑"/>
                <w:color w:val="auto"/>
                <w:sz w:val="20"/>
                <w:szCs w:val="20"/>
                <w:highlight w:val="none"/>
                <w:lang w:val="en-US" w:eastAsia="zh-CN"/>
              </w:rPr>
              <w:t>5</w:t>
            </w:r>
          </w:p>
        </w:tc>
        <w:tc>
          <w:tcPr>
            <w:tcW w:w="7244" w:type="dxa"/>
            <w:vAlign w:val="center"/>
          </w:tcPr>
          <w:p w14:paraId="611BAAD2">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kern w:val="0"/>
                <w:sz w:val="21"/>
                <w:szCs w:val="21"/>
                <w:highlight w:val="none"/>
                <w:lang w:val="en-US" w:eastAsia="zh-CN"/>
              </w:rPr>
            </w:pPr>
            <w:r>
              <w:rPr>
                <w:rFonts w:hint="eastAsia" w:ascii="微软雅黑" w:hAnsi="微软雅黑" w:eastAsia="微软雅黑" w:cs="微软雅黑"/>
                <w:b/>
                <w:bCs/>
                <w:color w:val="auto"/>
                <w:kern w:val="0"/>
                <w:sz w:val="20"/>
                <w:szCs w:val="20"/>
                <w:highlight w:val="none"/>
                <w:lang w:val="en-US" w:eastAsia="zh-CN"/>
              </w:rPr>
              <w:t>实施方案：</w:t>
            </w:r>
            <w:r>
              <w:rPr>
                <w:rFonts w:hint="eastAsia" w:ascii="微软雅黑" w:hAnsi="微软雅黑" w:eastAsia="微软雅黑" w:cs="微软雅黑"/>
                <w:color w:val="auto"/>
                <w:kern w:val="0"/>
                <w:sz w:val="21"/>
                <w:szCs w:val="21"/>
                <w:highlight w:val="none"/>
                <w:lang w:val="en-US" w:eastAsia="zh-CN"/>
              </w:rPr>
              <w:t>根据投标供应商针对本项目提供的实施方案进行评审，主要根据是否制定紧凑、科学、可行的工作计划和时间安排表，投入的人力物力财力保证进度计划的实现，拟投入工作量等进行评分，方案包含但不限于：</w:t>
            </w:r>
          </w:p>
          <w:p w14:paraId="081AD353">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kern w:val="0"/>
                <w:sz w:val="21"/>
                <w:szCs w:val="21"/>
                <w:highlight w:val="none"/>
                <w:lang w:val="en-US" w:eastAsia="zh-CN"/>
              </w:rPr>
            </w:pPr>
            <w:r>
              <w:rPr>
                <w:rFonts w:hint="eastAsia" w:ascii="微软雅黑" w:hAnsi="微软雅黑" w:eastAsia="微软雅黑" w:cs="微软雅黑"/>
                <w:color w:val="auto"/>
                <w:kern w:val="0"/>
                <w:sz w:val="21"/>
                <w:szCs w:val="21"/>
                <w:highlight w:val="none"/>
                <w:lang w:val="en-US" w:eastAsia="zh-CN"/>
              </w:rPr>
              <w:t>①药品采购方案；②药品验收方案；③仓储日常管理方案；④全流程质量控制方案；⑤配送供应方案；</w:t>
            </w:r>
          </w:p>
          <w:p w14:paraId="1010AFF6">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t>以上5项内容均提供，方案完全符合项目要求得5分；其中每有一项内容未提供的扣1分；每有一项内容不符合项目要求或内容存在缺陷的扣0.5分，直至扣完为止。</w:t>
            </w:r>
          </w:p>
          <w:p w14:paraId="2736A720">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0"/>
                <w:szCs w:val="20"/>
                <w:highlight w:val="none"/>
                <w:lang w:eastAsia="zh-CN"/>
              </w:rPr>
            </w:pPr>
            <w:r>
              <w:rPr>
                <w:rFonts w:hint="eastAsia" w:ascii="微软雅黑" w:hAnsi="微软雅黑" w:eastAsia="微软雅黑" w:cs="微软雅黑"/>
                <w:b/>
                <w:bCs/>
                <w:color w:val="000000" w:themeColor="text1"/>
                <w:sz w:val="21"/>
                <w:szCs w:val="21"/>
                <w:highlight w:val="none"/>
                <w:lang w:val="en-US" w:eastAsia="zh-CN"/>
                <w14:textFill>
                  <w14:solidFill>
                    <w14:schemeClr w14:val="tx1"/>
                  </w14:solidFill>
                </w14:textFill>
              </w:rPr>
              <w:t>注：内容存在缺陷是指：①该项内容描述前后不一致；②该项内容所阐述的项目信息与本项目实际信息不一致；③该项内容引用的规定、规范错误；④该项内容描述不符合国家相关法律法规、政策文件、规范标准要求；⑤该项内容阐述的方式方法明显不符合本项目实际情况。</w:t>
            </w:r>
          </w:p>
        </w:tc>
        <w:tc>
          <w:tcPr>
            <w:tcW w:w="1350" w:type="dxa"/>
            <w:vMerge w:val="continue"/>
            <w:vAlign w:val="center"/>
          </w:tcPr>
          <w:p w14:paraId="0C1FEEF5">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0"/>
                <w:szCs w:val="20"/>
                <w:highlight w:val="none"/>
              </w:rPr>
            </w:pPr>
          </w:p>
        </w:tc>
      </w:tr>
      <w:tr w14:paraId="42FD7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60" w:hRule="atLeast"/>
          <w:jc w:val="center"/>
        </w:trPr>
        <w:tc>
          <w:tcPr>
            <w:tcW w:w="943" w:type="dxa"/>
            <w:vMerge w:val="continue"/>
            <w:vAlign w:val="center"/>
          </w:tcPr>
          <w:p w14:paraId="42F81C87">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0"/>
                <w:szCs w:val="20"/>
                <w:highlight w:val="none"/>
              </w:rPr>
            </w:pPr>
          </w:p>
        </w:tc>
        <w:tc>
          <w:tcPr>
            <w:tcW w:w="638" w:type="dxa"/>
            <w:vAlign w:val="center"/>
          </w:tcPr>
          <w:p w14:paraId="3B9CC97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微软雅黑" w:hAnsi="微软雅黑" w:eastAsia="微软雅黑" w:cs="微软雅黑"/>
                <w:color w:val="auto"/>
                <w:sz w:val="20"/>
                <w:szCs w:val="20"/>
                <w:highlight w:val="none"/>
                <w:lang w:val="en-US" w:eastAsia="zh-CN"/>
              </w:rPr>
            </w:pPr>
            <w:r>
              <w:rPr>
                <w:rFonts w:hint="eastAsia" w:ascii="微软雅黑" w:hAnsi="微软雅黑" w:eastAsia="微软雅黑" w:cs="微软雅黑"/>
                <w:color w:val="auto"/>
                <w:sz w:val="20"/>
                <w:szCs w:val="20"/>
                <w:highlight w:val="none"/>
                <w:lang w:val="en-US" w:eastAsia="zh-CN"/>
              </w:rPr>
              <w:t>4</w:t>
            </w:r>
          </w:p>
        </w:tc>
        <w:tc>
          <w:tcPr>
            <w:tcW w:w="7244" w:type="dxa"/>
            <w:vAlign w:val="center"/>
          </w:tcPr>
          <w:p w14:paraId="75228635">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kern w:val="0"/>
                <w:sz w:val="21"/>
                <w:szCs w:val="21"/>
                <w:highlight w:val="none"/>
                <w:lang w:val="en-US" w:eastAsia="zh-CN"/>
              </w:rPr>
            </w:pPr>
            <w:r>
              <w:rPr>
                <w:rFonts w:hint="eastAsia" w:ascii="微软雅黑" w:hAnsi="微软雅黑" w:eastAsia="微软雅黑" w:cs="微软雅黑"/>
                <w:b/>
                <w:bCs/>
                <w:color w:val="auto"/>
                <w:kern w:val="0"/>
                <w:sz w:val="21"/>
                <w:szCs w:val="21"/>
                <w:highlight w:val="none"/>
                <w:lang w:val="en-US" w:eastAsia="zh-CN"/>
              </w:rPr>
              <w:t>应急预案：</w:t>
            </w:r>
            <w:r>
              <w:rPr>
                <w:rFonts w:hint="eastAsia" w:ascii="微软雅黑" w:hAnsi="微软雅黑" w:eastAsia="微软雅黑" w:cs="微软雅黑"/>
                <w:color w:val="auto"/>
                <w:kern w:val="0"/>
                <w:sz w:val="21"/>
                <w:szCs w:val="21"/>
                <w:highlight w:val="none"/>
                <w:lang w:val="en-US" w:eastAsia="zh-CN"/>
              </w:rPr>
              <w:t xml:space="preserve">投标供应商结合本项目及采购人实际需要，提供应急措施方案内容，包括：①运输中的突发应急措施（对运输途中突发状况的描述及对发生突发状况的处理方案） </w:t>
            </w:r>
          </w:p>
          <w:p w14:paraId="0A9B899B">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kern w:val="0"/>
                <w:sz w:val="21"/>
                <w:szCs w:val="21"/>
                <w:highlight w:val="none"/>
                <w:lang w:val="en-US" w:eastAsia="zh-CN"/>
              </w:rPr>
            </w:pPr>
            <w:r>
              <w:rPr>
                <w:rFonts w:hint="eastAsia" w:ascii="微软雅黑" w:hAnsi="微软雅黑" w:eastAsia="微软雅黑" w:cs="微软雅黑"/>
                <w:color w:val="auto"/>
                <w:kern w:val="0"/>
                <w:sz w:val="21"/>
                <w:szCs w:val="21"/>
                <w:highlight w:val="none"/>
                <w:lang w:val="en-US" w:eastAsia="zh-CN"/>
              </w:rPr>
              <w:t xml:space="preserve">②因产品质量问题引发的医疗事故应急措施（因问题产品引发的医疗事故的处理方案及保障措施） </w:t>
            </w:r>
          </w:p>
          <w:p w14:paraId="455597B5">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kern w:val="0"/>
                <w:sz w:val="21"/>
                <w:szCs w:val="21"/>
                <w:highlight w:val="none"/>
                <w:lang w:val="en-US" w:eastAsia="zh-CN"/>
              </w:rPr>
            </w:pPr>
            <w:r>
              <w:rPr>
                <w:rFonts w:hint="eastAsia" w:ascii="微软雅黑" w:hAnsi="微软雅黑" w:eastAsia="微软雅黑" w:cs="微软雅黑"/>
                <w:color w:val="auto"/>
                <w:kern w:val="0"/>
                <w:sz w:val="21"/>
                <w:szCs w:val="21"/>
                <w:highlight w:val="none"/>
                <w:lang w:val="en-US" w:eastAsia="zh-CN"/>
              </w:rPr>
              <w:t xml:space="preserve">③临时配送的应急措施（如何保证采购人临时配送要求的应急方案） </w:t>
            </w:r>
          </w:p>
          <w:p w14:paraId="75CCB3EC">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kern w:val="0"/>
                <w:sz w:val="21"/>
                <w:szCs w:val="21"/>
                <w:highlight w:val="none"/>
                <w:lang w:val="en-US" w:eastAsia="zh-CN"/>
              </w:rPr>
            </w:pPr>
            <w:r>
              <w:rPr>
                <w:rFonts w:hint="eastAsia" w:ascii="微软雅黑" w:hAnsi="微软雅黑" w:eastAsia="微软雅黑" w:cs="微软雅黑"/>
                <w:color w:val="auto"/>
                <w:kern w:val="0"/>
                <w:sz w:val="21"/>
                <w:szCs w:val="21"/>
                <w:highlight w:val="none"/>
                <w:lang w:val="en-US" w:eastAsia="zh-CN"/>
              </w:rPr>
              <w:t>④其他应急措施（投标人提出其他具有前瞻性的应急措施），</w:t>
            </w:r>
          </w:p>
          <w:p w14:paraId="3DEB0192">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t>以上4项内容均提供，方案完全符合项目要求得4分；其中每有一项内容未提供的扣1分；每有一项内容不符合项目要求或内容存在缺陷的扣0.5分，直至扣完为止。</w:t>
            </w:r>
          </w:p>
          <w:p w14:paraId="7D4AFCD2">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b/>
                <w:bCs/>
                <w:color w:val="000000" w:themeColor="text1"/>
                <w:sz w:val="21"/>
                <w:szCs w:val="21"/>
                <w:highlight w:val="none"/>
                <w:lang w:val="en-US" w:eastAsia="zh-CN"/>
                <w14:textFill>
                  <w14:solidFill>
                    <w14:schemeClr w14:val="tx1"/>
                  </w14:solidFill>
                </w14:textFill>
              </w:rPr>
              <w:t>注：内容存在缺陷是指：①该项内容描述前后不一致；②该项内容所阐述的项目信息与本项目实际信息不一致；③该项内容引用的规定、规范错误；④该项内容描述不符合国家相关法律法规、政策文件、规范标准要求；⑤该项内容阐述的方式方法明显不符合本项目实际情况。</w:t>
            </w:r>
          </w:p>
        </w:tc>
        <w:tc>
          <w:tcPr>
            <w:tcW w:w="1350" w:type="dxa"/>
            <w:vMerge w:val="continue"/>
            <w:vAlign w:val="center"/>
          </w:tcPr>
          <w:p w14:paraId="680452D1">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0"/>
                <w:szCs w:val="20"/>
                <w:highlight w:val="none"/>
              </w:rPr>
            </w:pPr>
          </w:p>
        </w:tc>
      </w:tr>
      <w:tr w14:paraId="3895C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16" w:hRule="atLeast"/>
          <w:jc w:val="center"/>
        </w:trPr>
        <w:tc>
          <w:tcPr>
            <w:tcW w:w="943" w:type="dxa"/>
            <w:vMerge w:val="continue"/>
            <w:vAlign w:val="center"/>
          </w:tcPr>
          <w:p w14:paraId="3EFE5E3C">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0"/>
                <w:szCs w:val="20"/>
                <w:highlight w:val="none"/>
              </w:rPr>
            </w:pPr>
          </w:p>
        </w:tc>
        <w:tc>
          <w:tcPr>
            <w:tcW w:w="638" w:type="dxa"/>
            <w:vAlign w:val="center"/>
          </w:tcPr>
          <w:p w14:paraId="7069200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微软雅黑" w:hAnsi="微软雅黑" w:eastAsia="微软雅黑" w:cs="微软雅黑"/>
                <w:color w:val="auto"/>
                <w:sz w:val="20"/>
                <w:szCs w:val="20"/>
                <w:highlight w:val="none"/>
                <w:lang w:val="en-US" w:eastAsia="zh-CN"/>
              </w:rPr>
            </w:pPr>
            <w:r>
              <w:rPr>
                <w:rFonts w:hint="eastAsia" w:ascii="微软雅黑" w:hAnsi="微软雅黑" w:eastAsia="微软雅黑" w:cs="微软雅黑"/>
                <w:color w:val="auto"/>
                <w:sz w:val="20"/>
                <w:szCs w:val="20"/>
                <w:highlight w:val="none"/>
                <w:lang w:val="en-US" w:eastAsia="zh-CN"/>
              </w:rPr>
              <w:t>10</w:t>
            </w:r>
          </w:p>
        </w:tc>
        <w:tc>
          <w:tcPr>
            <w:tcW w:w="7244" w:type="dxa"/>
            <w:vAlign w:val="center"/>
          </w:tcPr>
          <w:p w14:paraId="531C322D">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kern w:val="0"/>
                <w:sz w:val="21"/>
                <w:szCs w:val="21"/>
                <w:highlight w:val="none"/>
                <w:lang w:val="en-US" w:eastAsia="zh-CN"/>
              </w:rPr>
            </w:pPr>
            <w:r>
              <w:rPr>
                <w:rFonts w:hint="eastAsia" w:ascii="微软雅黑" w:hAnsi="微软雅黑" w:eastAsia="微软雅黑" w:cs="微软雅黑"/>
                <w:b/>
                <w:bCs/>
                <w:sz w:val="20"/>
                <w:szCs w:val="20"/>
                <w:highlight w:val="none"/>
                <w:lang w:val="en-US"/>
              </w:rPr>
              <w:t>售后服务:</w:t>
            </w:r>
            <w:r>
              <w:rPr>
                <w:rFonts w:hint="eastAsia" w:ascii="微软雅黑" w:hAnsi="微软雅黑" w:eastAsia="微软雅黑" w:cs="微软雅黑"/>
                <w:b/>
                <w:bCs/>
                <w:sz w:val="20"/>
                <w:szCs w:val="20"/>
                <w:highlight w:val="none"/>
                <w:lang w:val="en-US" w:eastAsia="zh-CN"/>
              </w:rPr>
              <w:t>根据供应商提供的售后服务方案进行评审，</w:t>
            </w:r>
            <w:r>
              <w:rPr>
                <w:rFonts w:hint="eastAsia" w:ascii="微软雅黑" w:hAnsi="微软雅黑" w:eastAsia="微软雅黑" w:cs="微软雅黑"/>
                <w:color w:val="auto"/>
                <w:kern w:val="0"/>
                <w:sz w:val="21"/>
                <w:szCs w:val="21"/>
                <w:highlight w:val="none"/>
                <w:lang w:val="en-US" w:eastAsia="zh-CN"/>
              </w:rPr>
              <w:t>包括但不限于：①售后服务计划、内容及方式；②人员组成；③后续保障措施、退换货措施；④针对医疗纠纷、售后服务保障措施、附带服务、药检质量问题、不良反应等特殊情况的应对措施；⑤服务承诺（包括但不限于配合采购人价格调整、应急供货、质量保证、退货换货等的承诺）等。</w:t>
            </w:r>
          </w:p>
          <w:p w14:paraId="1DF02DD7">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t>以上5项内容均提供，方案完全符合项目要求得10分；其中每有一项内容未提供的扣2分；每有一项内容不符合项目要求或内容存在缺陷的扣1分，直至扣完为止。</w:t>
            </w:r>
          </w:p>
          <w:p w14:paraId="0055C2C8">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sz w:val="20"/>
                <w:szCs w:val="20"/>
                <w:highlight w:val="none"/>
                <w:lang w:val="en-US"/>
              </w:rPr>
            </w:pPr>
            <w:r>
              <w:rPr>
                <w:rFonts w:hint="eastAsia" w:ascii="微软雅黑" w:hAnsi="微软雅黑" w:eastAsia="微软雅黑" w:cs="微软雅黑"/>
                <w:b/>
                <w:bCs/>
                <w:color w:val="000000" w:themeColor="text1"/>
                <w:sz w:val="21"/>
                <w:szCs w:val="21"/>
                <w:highlight w:val="none"/>
                <w:lang w:val="en-US" w:eastAsia="zh-CN"/>
                <w14:textFill>
                  <w14:solidFill>
                    <w14:schemeClr w14:val="tx1"/>
                  </w14:solidFill>
                </w14:textFill>
              </w:rPr>
              <w:t>注：内容存在缺陷是指：①该项内容描述前后不一致；②该项内容所阐述的项目信息与本项目实际信息不一致；③该项内容引用的规定、规范错误；④该项内容描述不符合国家相关法律法规、政策文件、规范标准要求；⑤该项内容阐述的方式方法明显不符合本项目实际情况。</w:t>
            </w:r>
          </w:p>
        </w:tc>
        <w:tc>
          <w:tcPr>
            <w:tcW w:w="1350" w:type="dxa"/>
            <w:vMerge w:val="continue"/>
            <w:vAlign w:val="center"/>
          </w:tcPr>
          <w:p w14:paraId="7EC32897">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0"/>
                <w:szCs w:val="20"/>
                <w:highlight w:val="none"/>
              </w:rPr>
            </w:pPr>
          </w:p>
        </w:tc>
      </w:tr>
    </w:tbl>
    <w:p w14:paraId="7DDECA5F">
      <w:pPr>
        <w:rPr>
          <w:rFonts w:hint="eastAsia" w:ascii="微软雅黑" w:hAnsi="微软雅黑" w:eastAsia="微软雅黑" w:cs="微软雅黑"/>
          <w:b/>
          <w:color w:val="auto"/>
          <w:sz w:val="40"/>
          <w:szCs w:val="40"/>
          <w:highlight w:val="none"/>
        </w:rPr>
      </w:pPr>
    </w:p>
    <w:p w14:paraId="2FEBEBAA">
      <w:pPr>
        <w:rPr>
          <w:rFonts w:hint="eastAsia" w:ascii="微软雅黑" w:hAnsi="微软雅黑" w:eastAsia="微软雅黑" w:cs="微软雅黑"/>
          <w:b/>
          <w:bCs/>
          <w:color w:val="auto"/>
          <w:sz w:val="24"/>
          <w:szCs w:val="24"/>
          <w:highlight w:val="none"/>
        </w:rPr>
      </w:pPr>
      <w:r>
        <w:rPr>
          <w:rFonts w:hint="eastAsia" w:ascii="微软雅黑" w:hAnsi="微软雅黑" w:eastAsia="微软雅黑" w:cs="微软雅黑"/>
          <w:b/>
          <w:bCs/>
          <w:color w:val="auto"/>
          <w:sz w:val="24"/>
          <w:szCs w:val="24"/>
          <w:highlight w:val="none"/>
        </w:rPr>
        <w:br w:type="page"/>
      </w:r>
    </w:p>
    <w:p w14:paraId="44DAEAB6">
      <w:pPr>
        <w:spacing w:line="300" w:lineRule="auto"/>
        <w:jc w:val="center"/>
        <w:outlineLvl w:val="1"/>
        <w:rPr>
          <w:rFonts w:hint="eastAsia" w:ascii="微软雅黑" w:hAnsi="微软雅黑" w:eastAsia="微软雅黑" w:cs="微软雅黑"/>
          <w:b/>
          <w:bCs/>
          <w:color w:val="auto"/>
          <w:sz w:val="24"/>
          <w:szCs w:val="24"/>
          <w:highlight w:val="none"/>
          <w:lang w:eastAsia="zh-CN"/>
        </w:rPr>
      </w:pPr>
      <w:r>
        <w:rPr>
          <w:rFonts w:hint="eastAsia" w:ascii="微软雅黑" w:hAnsi="微软雅黑" w:eastAsia="微软雅黑" w:cs="微软雅黑"/>
          <w:b/>
          <w:bCs/>
          <w:color w:val="auto"/>
          <w:sz w:val="24"/>
          <w:szCs w:val="24"/>
          <w:highlight w:val="none"/>
        </w:rPr>
        <w:t>综合评分表</w:t>
      </w:r>
      <w:r>
        <w:rPr>
          <w:rFonts w:hint="eastAsia" w:ascii="微软雅黑" w:hAnsi="微软雅黑" w:eastAsia="微软雅黑" w:cs="微软雅黑"/>
          <w:b/>
          <w:bCs/>
          <w:color w:val="auto"/>
          <w:sz w:val="24"/>
          <w:szCs w:val="24"/>
          <w:highlight w:val="none"/>
          <w:lang w:eastAsia="zh-CN"/>
        </w:rPr>
        <w:t>（</w:t>
      </w:r>
      <w:r>
        <w:rPr>
          <w:rFonts w:hint="eastAsia" w:ascii="微软雅黑" w:hAnsi="微软雅黑" w:eastAsia="微软雅黑" w:cs="微软雅黑"/>
          <w:b/>
          <w:bCs/>
          <w:color w:val="auto"/>
          <w:sz w:val="24"/>
          <w:szCs w:val="24"/>
          <w:highlight w:val="none"/>
          <w:lang w:val="en-US" w:eastAsia="zh-CN"/>
        </w:rPr>
        <w:t>标项三</w:t>
      </w:r>
      <w:r>
        <w:rPr>
          <w:rFonts w:hint="eastAsia" w:ascii="微软雅黑" w:hAnsi="微软雅黑" w:eastAsia="微软雅黑" w:cs="微软雅黑"/>
          <w:b/>
          <w:bCs/>
          <w:color w:val="auto"/>
          <w:sz w:val="24"/>
          <w:szCs w:val="24"/>
          <w:highlight w:val="none"/>
          <w:lang w:eastAsia="zh-CN"/>
        </w:rPr>
        <w:t>）</w:t>
      </w:r>
    </w:p>
    <w:tbl>
      <w:tblPr>
        <w:tblStyle w:val="32"/>
        <w:tblW w:w="101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3"/>
        <w:gridCol w:w="638"/>
        <w:gridCol w:w="7244"/>
        <w:gridCol w:w="1350"/>
      </w:tblGrid>
      <w:tr w14:paraId="7FE95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943" w:type="dxa"/>
            <w:vAlign w:val="center"/>
          </w:tcPr>
          <w:p w14:paraId="6C39A62C">
            <w:pPr>
              <w:keepNext w:val="0"/>
              <w:keepLines w:val="0"/>
              <w:pageBreakBefore w:val="0"/>
              <w:widowControl w:val="0"/>
              <w:kinsoku/>
              <w:wordWrap/>
              <w:overflowPunct/>
              <w:topLinePunct w:val="0"/>
              <w:autoSpaceDE/>
              <w:autoSpaceDN/>
              <w:bidi w:val="0"/>
              <w:adjustRightInd/>
              <w:snapToGrid/>
              <w:spacing w:line="320" w:lineRule="exact"/>
              <w:ind w:firstLine="28"/>
              <w:jc w:val="both"/>
              <w:textAlignment w:val="auto"/>
              <w:rPr>
                <w:rFonts w:hint="eastAsia" w:ascii="微软雅黑" w:hAnsi="微软雅黑" w:eastAsia="微软雅黑" w:cs="微软雅黑"/>
                <w:b/>
                <w:color w:val="auto"/>
                <w:sz w:val="20"/>
                <w:szCs w:val="20"/>
                <w:highlight w:val="none"/>
                <w:lang w:val="en-US" w:eastAsia="zh-CN"/>
              </w:rPr>
            </w:pPr>
            <w:r>
              <w:rPr>
                <w:rFonts w:hint="eastAsia" w:ascii="微软雅黑" w:hAnsi="微软雅黑" w:eastAsia="微软雅黑" w:cs="微软雅黑"/>
                <w:b/>
                <w:color w:val="auto"/>
                <w:sz w:val="20"/>
                <w:szCs w:val="20"/>
                <w:highlight w:val="none"/>
                <w:lang w:val="en-US" w:eastAsia="zh-CN"/>
              </w:rPr>
              <w:t>类型</w:t>
            </w:r>
          </w:p>
        </w:tc>
        <w:tc>
          <w:tcPr>
            <w:tcW w:w="638" w:type="dxa"/>
            <w:vAlign w:val="center"/>
          </w:tcPr>
          <w:p w14:paraId="50F85BFA">
            <w:pPr>
              <w:keepNext w:val="0"/>
              <w:keepLines w:val="0"/>
              <w:pageBreakBefore w:val="0"/>
              <w:widowControl w:val="0"/>
              <w:kinsoku/>
              <w:wordWrap/>
              <w:overflowPunct/>
              <w:topLinePunct w:val="0"/>
              <w:autoSpaceDE/>
              <w:autoSpaceDN/>
              <w:bidi w:val="0"/>
              <w:adjustRightInd/>
              <w:snapToGrid/>
              <w:spacing w:line="320" w:lineRule="exact"/>
              <w:ind w:firstLine="28"/>
              <w:jc w:val="center"/>
              <w:textAlignment w:val="auto"/>
              <w:rPr>
                <w:rFonts w:hint="eastAsia" w:ascii="微软雅黑" w:hAnsi="微软雅黑" w:eastAsia="微软雅黑" w:cs="微软雅黑"/>
                <w:b/>
                <w:color w:val="auto"/>
                <w:sz w:val="20"/>
                <w:szCs w:val="20"/>
                <w:highlight w:val="none"/>
              </w:rPr>
            </w:pPr>
            <w:r>
              <w:rPr>
                <w:rFonts w:hint="eastAsia" w:ascii="微软雅黑" w:hAnsi="微软雅黑" w:eastAsia="微软雅黑" w:cs="微软雅黑"/>
                <w:b/>
                <w:color w:val="auto"/>
                <w:sz w:val="20"/>
                <w:szCs w:val="20"/>
                <w:highlight w:val="none"/>
              </w:rPr>
              <w:t>分值</w:t>
            </w:r>
          </w:p>
        </w:tc>
        <w:tc>
          <w:tcPr>
            <w:tcW w:w="7244" w:type="dxa"/>
            <w:vAlign w:val="center"/>
          </w:tcPr>
          <w:p w14:paraId="44DA21CB">
            <w:pPr>
              <w:keepNext w:val="0"/>
              <w:keepLines w:val="0"/>
              <w:pageBreakBefore w:val="0"/>
              <w:widowControl w:val="0"/>
              <w:kinsoku/>
              <w:wordWrap/>
              <w:overflowPunct/>
              <w:topLinePunct w:val="0"/>
              <w:autoSpaceDE/>
              <w:autoSpaceDN/>
              <w:bidi w:val="0"/>
              <w:adjustRightInd/>
              <w:snapToGrid/>
              <w:spacing w:line="320" w:lineRule="exact"/>
              <w:ind w:firstLine="28"/>
              <w:jc w:val="center"/>
              <w:textAlignment w:val="auto"/>
              <w:rPr>
                <w:rFonts w:hint="eastAsia" w:ascii="微软雅黑" w:hAnsi="微软雅黑" w:eastAsia="微软雅黑" w:cs="微软雅黑"/>
                <w:b/>
                <w:bCs w:val="0"/>
                <w:color w:val="auto"/>
                <w:sz w:val="20"/>
                <w:szCs w:val="20"/>
                <w:highlight w:val="none"/>
              </w:rPr>
            </w:pPr>
            <w:r>
              <w:rPr>
                <w:rFonts w:hint="eastAsia" w:ascii="微软雅黑" w:hAnsi="微软雅黑" w:eastAsia="微软雅黑" w:cs="微软雅黑"/>
                <w:b/>
                <w:bCs w:val="0"/>
                <w:color w:val="auto"/>
                <w:sz w:val="20"/>
                <w:szCs w:val="20"/>
                <w:highlight w:val="none"/>
              </w:rPr>
              <w:t>评分标准</w:t>
            </w:r>
          </w:p>
          <w:p w14:paraId="46E73AD7">
            <w:pPr>
              <w:keepNext w:val="0"/>
              <w:keepLines w:val="0"/>
              <w:pageBreakBefore w:val="0"/>
              <w:widowControl w:val="0"/>
              <w:kinsoku/>
              <w:wordWrap/>
              <w:overflowPunct/>
              <w:topLinePunct w:val="0"/>
              <w:autoSpaceDE/>
              <w:autoSpaceDN/>
              <w:bidi w:val="0"/>
              <w:adjustRightInd/>
              <w:snapToGrid/>
              <w:spacing w:line="320" w:lineRule="exact"/>
              <w:ind w:firstLine="28"/>
              <w:jc w:val="center"/>
              <w:textAlignment w:val="auto"/>
              <w:rPr>
                <w:rFonts w:hint="eastAsia" w:ascii="微软雅黑" w:hAnsi="微软雅黑" w:eastAsia="微软雅黑" w:cs="微软雅黑"/>
                <w:b/>
                <w:bCs w:val="0"/>
                <w:color w:val="auto"/>
                <w:sz w:val="20"/>
                <w:szCs w:val="20"/>
                <w:highlight w:val="none"/>
              </w:rPr>
            </w:pPr>
            <w:r>
              <w:rPr>
                <w:rFonts w:hint="eastAsia" w:ascii="微软雅黑" w:hAnsi="微软雅黑" w:eastAsia="微软雅黑" w:cs="微软雅黑"/>
                <w:b/>
                <w:bCs w:val="0"/>
                <w:color w:val="auto"/>
                <w:sz w:val="20"/>
                <w:szCs w:val="20"/>
                <w:highlight w:val="none"/>
              </w:rPr>
              <w:t xml:space="preserve">价格：30分 </w:t>
            </w:r>
            <w:r>
              <w:rPr>
                <w:rFonts w:hint="eastAsia" w:ascii="微软雅黑" w:hAnsi="微软雅黑" w:eastAsia="微软雅黑" w:cs="微软雅黑"/>
                <w:b/>
                <w:bCs w:val="0"/>
                <w:color w:val="auto"/>
                <w:sz w:val="20"/>
                <w:szCs w:val="20"/>
                <w:highlight w:val="none"/>
                <w:lang w:val="en-US" w:eastAsia="zh-CN"/>
              </w:rPr>
              <w:t xml:space="preserve"> </w:t>
            </w:r>
            <w:r>
              <w:rPr>
                <w:rFonts w:hint="eastAsia" w:ascii="微软雅黑" w:hAnsi="微软雅黑" w:eastAsia="微软雅黑" w:cs="微软雅黑"/>
                <w:b/>
                <w:bCs w:val="0"/>
                <w:color w:val="auto"/>
                <w:sz w:val="20"/>
                <w:szCs w:val="20"/>
                <w:highlight w:val="none"/>
              </w:rPr>
              <w:t xml:space="preserve">  商务：</w:t>
            </w:r>
            <w:r>
              <w:rPr>
                <w:rFonts w:hint="eastAsia" w:ascii="微软雅黑" w:hAnsi="微软雅黑" w:eastAsia="微软雅黑" w:cs="微软雅黑"/>
                <w:b/>
                <w:bCs w:val="0"/>
                <w:color w:val="auto"/>
                <w:sz w:val="20"/>
                <w:szCs w:val="20"/>
                <w:highlight w:val="none"/>
                <w:lang w:val="en-US" w:eastAsia="zh-CN"/>
              </w:rPr>
              <w:t>15</w:t>
            </w:r>
            <w:r>
              <w:rPr>
                <w:rFonts w:hint="eastAsia" w:ascii="微软雅黑" w:hAnsi="微软雅黑" w:eastAsia="微软雅黑" w:cs="微软雅黑"/>
                <w:b/>
                <w:bCs w:val="0"/>
                <w:color w:val="auto"/>
                <w:sz w:val="20"/>
                <w:szCs w:val="20"/>
                <w:highlight w:val="none"/>
              </w:rPr>
              <w:t xml:space="preserve">分 </w:t>
            </w:r>
            <w:r>
              <w:rPr>
                <w:rFonts w:hint="eastAsia" w:ascii="微软雅黑" w:hAnsi="微软雅黑" w:eastAsia="微软雅黑" w:cs="微软雅黑"/>
                <w:b/>
                <w:bCs w:val="0"/>
                <w:color w:val="auto"/>
                <w:sz w:val="20"/>
                <w:szCs w:val="20"/>
                <w:highlight w:val="none"/>
                <w:lang w:val="en-US" w:eastAsia="zh-CN"/>
              </w:rPr>
              <w:t xml:space="preserve"> </w:t>
            </w:r>
            <w:r>
              <w:rPr>
                <w:rFonts w:hint="eastAsia" w:ascii="微软雅黑" w:hAnsi="微软雅黑" w:eastAsia="微软雅黑" w:cs="微软雅黑"/>
                <w:b/>
                <w:bCs w:val="0"/>
                <w:color w:val="auto"/>
                <w:sz w:val="20"/>
                <w:szCs w:val="20"/>
                <w:highlight w:val="none"/>
              </w:rPr>
              <w:t xml:space="preserve">  技术：</w:t>
            </w:r>
            <w:r>
              <w:rPr>
                <w:rFonts w:hint="eastAsia" w:ascii="微软雅黑" w:hAnsi="微软雅黑" w:eastAsia="微软雅黑" w:cs="微软雅黑"/>
                <w:b/>
                <w:bCs w:val="0"/>
                <w:color w:val="auto"/>
                <w:sz w:val="20"/>
                <w:szCs w:val="20"/>
                <w:highlight w:val="none"/>
                <w:lang w:val="en-US" w:eastAsia="zh-CN"/>
              </w:rPr>
              <w:t>55</w:t>
            </w:r>
            <w:r>
              <w:rPr>
                <w:rFonts w:hint="eastAsia" w:ascii="微软雅黑" w:hAnsi="微软雅黑" w:eastAsia="微软雅黑" w:cs="微软雅黑"/>
                <w:b/>
                <w:bCs w:val="0"/>
                <w:color w:val="auto"/>
                <w:sz w:val="20"/>
                <w:szCs w:val="20"/>
                <w:highlight w:val="none"/>
              </w:rPr>
              <w:t xml:space="preserve">分              </w:t>
            </w:r>
          </w:p>
        </w:tc>
        <w:tc>
          <w:tcPr>
            <w:tcW w:w="1350" w:type="dxa"/>
            <w:vAlign w:val="center"/>
          </w:tcPr>
          <w:p w14:paraId="45854869">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微软雅黑" w:hAnsi="微软雅黑" w:eastAsia="微软雅黑" w:cs="微软雅黑"/>
                <w:b/>
                <w:color w:val="auto"/>
                <w:kern w:val="2"/>
                <w:sz w:val="20"/>
                <w:szCs w:val="20"/>
                <w:highlight w:val="none"/>
                <w:lang w:val="en-US" w:eastAsia="zh-CN" w:bidi="ar-SA"/>
              </w:rPr>
            </w:pPr>
            <w:r>
              <w:rPr>
                <w:rFonts w:hint="eastAsia" w:ascii="微软雅黑" w:hAnsi="微软雅黑" w:eastAsia="微软雅黑" w:cs="微软雅黑"/>
                <w:b/>
                <w:color w:val="auto"/>
                <w:kern w:val="2"/>
                <w:sz w:val="20"/>
                <w:szCs w:val="20"/>
                <w:highlight w:val="none"/>
                <w:lang w:val="en-US" w:eastAsia="zh-CN" w:bidi="ar-SA"/>
              </w:rPr>
              <w:t>说明</w:t>
            </w:r>
          </w:p>
        </w:tc>
      </w:tr>
      <w:tr w14:paraId="71072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3" w:hRule="atLeast"/>
          <w:jc w:val="center"/>
        </w:trPr>
        <w:tc>
          <w:tcPr>
            <w:tcW w:w="943" w:type="dxa"/>
            <w:vAlign w:val="center"/>
          </w:tcPr>
          <w:p w14:paraId="52B3640F">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价格评分标准</w:t>
            </w:r>
          </w:p>
        </w:tc>
        <w:tc>
          <w:tcPr>
            <w:tcW w:w="638" w:type="dxa"/>
            <w:vAlign w:val="center"/>
          </w:tcPr>
          <w:p w14:paraId="72ACC6B3">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30</w:t>
            </w:r>
          </w:p>
        </w:tc>
        <w:tc>
          <w:tcPr>
            <w:tcW w:w="7244" w:type="dxa"/>
            <w:vAlign w:val="center"/>
          </w:tcPr>
          <w:p w14:paraId="22CA54D4">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b/>
                <w:bCs/>
                <w:color w:val="auto"/>
                <w:sz w:val="20"/>
                <w:szCs w:val="20"/>
                <w:highlight w:val="none"/>
              </w:rPr>
              <w:t>投标报价</w:t>
            </w:r>
            <w:r>
              <w:rPr>
                <w:rFonts w:hint="eastAsia" w:ascii="微软雅黑" w:hAnsi="微软雅黑" w:eastAsia="微软雅黑" w:cs="微软雅黑"/>
                <w:b/>
                <w:bCs/>
                <w:color w:val="auto"/>
                <w:sz w:val="20"/>
                <w:szCs w:val="20"/>
                <w:highlight w:val="none"/>
                <w:lang w:eastAsia="zh-CN"/>
              </w:rPr>
              <w:t>：</w:t>
            </w:r>
            <w:r>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t>完全满足招标文件参数的投标报价中的最低价为评标基准价，按照下列公式计算每个供应商的投标价格得分。投标报价得分＝（基准价/投标报价）×价格权重×100。</w:t>
            </w:r>
          </w:p>
        </w:tc>
        <w:tc>
          <w:tcPr>
            <w:tcW w:w="1350" w:type="dxa"/>
            <w:vAlign w:val="center"/>
          </w:tcPr>
          <w:p w14:paraId="1CADEB0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b/>
                <w:bCs/>
                <w:color w:val="auto"/>
                <w:sz w:val="20"/>
                <w:szCs w:val="20"/>
                <w:highlight w:val="none"/>
              </w:rPr>
            </w:pPr>
            <w:r>
              <w:rPr>
                <w:rFonts w:hint="eastAsia" w:ascii="微软雅黑" w:hAnsi="微软雅黑" w:eastAsia="微软雅黑" w:cs="微软雅黑"/>
                <w:b/>
                <w:bCs/>
                <w:color w:val="auto"/>
                <w:sz w:val="20"/>
                <w:szCs w:val="20"/>
                <w:highlight w:val="none"/>
              </w:rPr>
              <w:t>投标报价超过采购预算</w:t>
            </w:r>
            <w:r>
              <w:rPr>
                <w:rFonts w:hint="eastAsia" w:ascii="微软雅黑" w:hAnsi="微软雅黑" w:eastAsia="微软雅黑" w:cs="微软雅黑"/>
                <w:b/>
                <w:bCs/>
                <w:color w:val="auto"/>
                <w:sz w:val="20"/>
                <w:szCs w:val="20"/>
                <w:highlight w:val="none"/>
                <w:lang w:eastAsia="zh-CN"/>
              </w:rPr>
              <w:t>单价</w:t>
            </w:r>
            <w:r>
              <w:rPr>
                <w:rFonts w:hint="eastAsia" w:ascii="微软雅黑" w:hAnsi="微软雅黑" w:eastAsia="微软雅黑" w:cs="微软雅黑"/>
                <w:b/>
                <w:bCs/>
                <w:color w:val="auto"/>
                <w:sz w:val="20"/>
                <w:szCs w:val="20"/>
                <w:highlight w:val="none"/>
              </w:rPr>
              <w:t>的按废标处理</w:t>
            </w:r>
          </w:p>
        </w:tc>
      </w:tr>
      <w:tr w14:paraId="0C3D5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06" w:hRule="atLeast"/>
          <w:jc w:val="center"/>
        </w:trPr>
        <w:tc>
          <w:tcPr>
            <w:tcW w:w="943" w:type="dxa"/>
            <w:vMerge w:val="restart"/>
            <w:vAlign w:val="center"/>
          </w:tcPr>
          <w:p w14:paraId="20BB1C7B">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商务评分标准</w:t>
            </w:r>
          </w:p>
        </w:tc>
        <w:tc>
          <w:tcPr>
            <w:tcW w:w="638" w:type="dxa"/>
            <w:vAlign w:val="center"/>
          </w:tcPr>
          <w:p w14:paraId="19F55C41">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微软雅黑" w:hAnsi="微软雅黑" w:eastAsia="微软雅黑" w:cs="微软雅黑"/>
                <w:color w:val="auto"/>
                <w:sz w:val="20"/>
                <w:szCs w:val="20"/>
                <w:highlight w:val="none"/>
                <w:lang w:val="en-US" w:eastAsia="zh-CN"/>
              </w:rPr>
            </w:pPr>
            <w:r>
              <w:rPr>
                <w:rFonts w:hint="eastAsia" w:ascii="微软雅黑" w:hAnsi="微软雅黑" w:eastAsia="微软雅黑" w:cs="微软雅黑"/>
                <w:color w:val="auto"/>
                <w:sz w:val="20"/>
                <w:szCs w:val="20"/>
                <w:highlight w:val="none"/>
                <w:lang w:val="en-US" w:eastAsia="zh-CN"/>
              </w:rPr>
              <w:t>2</w:t>
            </w:r>
          </w:p>
        </w:tc>
        <w:tc>
          <w:tcPr>
            <w:tcW w:w="7244" w:type="dxa"/>
            <w:vAlign w:val="center"/>
          </w:tcPr>
          <w:p w14:paraId="7A0C2C74">
            <w:pPr>
              <w:spacing w:line="400" w:lineRule="exact"/>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pPr>
            <w:r>
              <w:rPr>
                <w:rFonts w:hint="eastAsia" w:ascii="微软雅黑" w:hAnsi="微软雅黑" w:eastAsia="微软雅黑" w:cs="微软雅黑"/>
                <w:b/>
                <w:bCs/>
                <w:color w:val="000000" w:themeColor="text1"/>
                <w:sz w:val="21"/>
                <w:szCs w:val="21"/>
                <w:highlight w:val="none"/>
                <w:lang w:val="en-US" w:eastAsia="zh-CN"/>
                <w14:textFill>
                  <w14:solidFill>
                    <w14:schemeClr w14:val="tx1"/>
                  </w14:solidFill>
                </w14:textFill>
              </w:rPr>
              <w:t>业绩：</w:t>
            </w:r>
            <w:r>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t>投标供应商提供近三年内</w:t>
            </w:r>
            <w:r>
              <w:rPr>
                <w:rFonts w:hint="eastAsia" w:ascii="微软雅黑" w:hAnsi="微软雅黑" w:eastAsia="微软雅黑" w:cs="微软雅黑"/>
                <w:szCs w:val="21"/>
                <w:highlight w:val="none"/>
                <w:lang w:eastAsia="zh-CN"/>
              </w:rPr>
              <w:t>（2023年</w:t>
            </w:r>
            <w:r>
              <w:rPr>
                <w:rFonts w:hint="eastAsia" w:ascii="微软雅黑" w:hAnsi="微软雅黑" w:eastAsia="微软雅黑" w:cs="微软雅黑"/>
                <w:szCs w:val="21"/>
                <w:highlight w:val="none"/>
                <w:lang w:val="en-US" w:eastAsia="zh-CN"/>
              </w:rPr>
              <w:t>4</w:t>
            </w:r>
            <w:r>
              <w:rPr>
                <w:rFonts w:hint="eastAsia" w:ascii="微软雅黑" w:hAnsi="微软雅黑" w:eastAsia="微软雅黑" w:cs="微软雅黑"/>
                <w:szCs w:val="21"/>
                <w:highlight w:val="none"/>
                <w:lang w:eastAsia="zh-CN"/>
              </w:rPr>
              <w:t>月</w:t>
            </w:r>
            <w:r>
              <w:rPr>
                <w:rFonts w:hint="eastAsia" w:ascii="微软雅黑" w:hAnsi="微软雅黑" w:eastAsia="微软雅黑" w:cs="微软雅黑"/>
                <w:szCs w:val="21"/>
                <w:highlight w:val="none"/>
                <w:lang w:val="en-US" w:eastAsia="zh-CN"/>
              </w:rPr>
              <w:t>1日</w:t>
            </w:r>
            <w:r>
              <w:rPr>
                <w:rFonts w:hint="eastAsia" w:ascii="微软雅黑" w:hAnsi="微软雅黑" w:eastAsia="微软雅黑" w:cs="微软雅黑"/>
                <w:szCs w:val="21"/>
                <w:highlight w:val="none"/>
                <w:lang w:eastAsia="zh-CN"/>
              </w:rPr>
              <w:t>至今）类似</w:t>
            </w:r>
            <w:r>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t>业绩证明材料（投标文件内附中标/成交通知书及合同扫描件），每提供一个得1分，最高得2分，未提供或提供不全的不得分。</w:t>
            </w:r>
          </w:p>
          <w:p w14:paraId="6A2396BE">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b/>
                <w:bCs/>
                <w:color w:val="auto"/>
                <w:sz w:val="20"/>
                <w:szCs w:val="20"/>
                <w:highlight w:val="none"/>
                <w:lang w:val="en-US" w:eastAsia="zh-CN"/>
              </w:rPr>
            </w:pPr>
            <w:r>
              <w:rPr>
                <w:rFonts w:hint="eastAsia" w:ascii="微软雅黑" w:hAnsi="微软雅黑" w:eastAsia="微软雅黑" w:cs="微软雅黑"/>
                <w:b/>
                <w:bCs/>
                <w:szCs w:val="21"/>
                <w:highlight w:val="none"/>
              </w:rPr>
              <w:t>注：①业绩证明材料模糊，无法辨识的，视为无效业绩</w:t>
            </w:r>
            <w:r>
              <w:rPr>
                <w:rFonts w:hint="eastAsia" w:ascii="微软雅黑" w:hAnsi="微软雅黑" w:eastAsia="微软雅黑" w:cs="微软雅黑"/>
                <w:b/>
                <w:bCs/>
                <w:szCs w:val="21"/>
                <w:highlight w:val="none"/>
                <w:lang w:eastAsia="zh-CN"/>
              </w:rPr>
              <w:t>。②</w:t>
            </w:r>
            <w:r>
              <w:rPr>
                <w:rFonts w:hint="eastAsia" w:ascii="微软雅黑" w:hAnsi="微软雅黑" w:eastAsia="微软雅黑" w:cs="微软雅黑"/>
                <w:b/>
                <w:bCs/>
                <w:szCs w:val="21"/>
                <w:highlight w:val="none"/>
              </w:rPr>
              <w:t>投标提供虚假</w:t>
            </w:r>
            <w:r>
              <w:rPr>
                <w:rFonts w:hint="eastAsia" w:ascii="微软雅黑" w:hAnsi="微软雅黑" w:eastAsia="微软雅黑" w:cs="微软雅黑"/>
                <w:b/>
                <w:bCs/>
                <w:szCs w:val="21"/>
                <w:highlight w:val="none"/>
                <w:lang w:val="en-US" w:eastAsia="zh-CN"/>
              </w:rPr>
              <w:t>资料</w:t>
            </w:r>
            <w:r>
              <w:rPr>
                <w:rFonts w:hint="eastAsia" w:ascii="微软雅黑" w:hAnsi="微软雅黑" w:eastAsia="微软雅黑" w:cs="微软雅黑"/>
                <w:b/>
                <w:bCs/>
                <w:szCs w:val="21"/>
                <w:highlight w:val="none"/>
              </w:rPr>
              <w:t>的，按</w:t>
            </w:r>
            <w:r>
              <w:rPr>
                <w:rFonts w:hint="eastAsia" w:ascii="微软雅黑" w:hAnsi="微软雅黑" w:eastAsia="微软雅黑" w:cs="微软雅黑"/>
                <w:b/>
                <w:bCs/>
                <w:szCs w:val="21"/>
                <w:highlight w:val="none"/>
                <w:lang w:val="en-US" w:eastAsia="zh-CN"/>
              </w:rPr>
              <w:t>投标</w:t>
            </w:r>
            <w:r>
              <w:rPr>
                <w:rFonts w:hint="eastAsia" w:ascii="微软雅黑" w:hAnsi="微软雅黑" w:eastAsia="微软雅黑" w:cs="微软雅黑"/>
                <w:b/>
                <w:bCs/>
                <w:szCs w:val="21"/>
                <w:highlight w:val="none"/>
              </w:rPr>
              <w:t>无效处理。③</w:t>
            </w:r>
            <w:r>
              <w:rPr>
                <w:rFonts w:hint="eastAsia" w:ascii="微软雅黑" w:hAnsi="微软雅黑" w:eastAsia="微软雅黑" w:cs="微软雅黑"/>
                <w:b/>
                <w:bCs/>
                <w:szCs w:val="21"/>
                <w:highlight w:val="none"/>
                <w:lang w:val="en-US" w:eastAsia="zh-CN"/>
              </w:rPr>
              <w:t>合同内容：项目名称、</w:t>
            </w:r>
            <w:r>
              <w:rPr>
                <w:rFonts w:hint="eastAsia" w:ascii="微软雅黑" w:hAnsi="微软雅黑" w:eastAsia="微软雅黑" w:cs="微软雅黑"/>
                <w:b/>
                <w:bCs/>
                <w:szCs w:val="21"/>
                <w:highlight w:val="none"/>
              </w:rPr>
              <w:t>货物内容信息、合同金额、</w:t>
            </w:r>
            <w:r>
              <w:rPr>
                <w:rFonts w:hint="eastAsia" w:ascii="微软雅黑" w:hAnsi="微软雅黑" w:eastAsia="微软雅黑" w:cs="微软雅黑"/>
                <w:b/>
                <w:bCs/>
                <w:szCs w:val="21"/>
                <w:highlight w:val="none"/>
                <w:lang w:val="en-US" w:eastAsia="zh-CN"/>
              </w:rPr>
              <w:t>甲乙双方</w:t>
            </w:r>
            <w:r>
              <w:rPr>
                <w:rFonts w:hint="eastAsia" w:ascii="微软雅黑" w:hAnsi="微软雅黑" w:eastAsia="微软雅黑" w:cs="微软雅黑"/>
                <w:b/>
                <w:bCs/>
                <w:szCs w:val="21"/>
                <w:highlight w:val="none"/>
              </w:rPr>
              <w:t>签字盖章</w:t>
            </w:r>
            <w:r>
              <w:rPr>
                <w:rFonts w:hint="eastAsia" w:ascii="微软雅黑" w:hAnsi="微软雅黑" w:eastAsia="微软雅黑" w:cs="微软雅黑"/>
                <w:b/>
                <w:bCs/>
                <w:szCs w:val="21"/>
                <w:highlight w:val="none"/>
                <w:lang w:eastAsia="zh-CN"/>
              </w:rPr>
              <w:t>、</w:t>
            </w:r>
            <w:r>
              <w:rPr>
                <w:rFonts w:hint="eastAsia" w:ascii="微软雅黑" w:hAnsi="微软雅黑" w:eastAsia="微软雅黑" w:cs="微软雅黑"/>
                <w:b/>
                <w:bCs/>
                <w:szCs w:val="21"/>
                <w:highlight w:val="none"/>
                <w:lang w:val="en-US" w:eastAsia="zh-CN"/>
              </w:rPr>
              <w:t>合同签订时间，若无以上内容，视为无效业绩</w:t>
            </w:r>
            <w:r>
              <w:rPr>
                <w:rFonts w:hint="eastAsia" w:ascii="微软雅黑" w:hAnsi="微软雅黑" w:eastAsia="微软雅黑" w:cs="微软雅黑"/>
                <w:b/>
                <w:bCs/>
                <w:szCs w:val="21"/>
                <w:highlight w:val="none"/>
              </w:rPr>
              <w:t>。</w:t>
            </w:r>
          </w:p>
        </w:tc>
        <w:tc>
          <w:tcPr>
            <w:tcW w:w="1350" w:type="dxa"/>
            <w:vMerge w:val="restart"/>
            <w:vAlign w:val="center"/>
          </w:tcPr>
          <w:p w14:paraId="68283FB5">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b/>
                <w:bCs/>
                <w:color w:val="auto"/>
                <w:sz w:val="20"/>
                <w:szCs w:val="20"/>
                <w:highlight w:val="none"/>
              </w:rPr>
              <w:t>根据需求提供必要的证明资料</w:t>
            </w:r>
          </w:p>
        </w:tc>
      </w:tr>
      <w:tr w14:paraId="48CEF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06" w:hRule="atLeast"/>
          <w:jc w:val="center"/>
        </w:trPr>
        <w:tc>
          <w:tcPr>
            <w:tcW w:w="943" w:type="dxa"/>
            <w:vMerge w:val="continue"/>
            <w:vAlign w:val="center"/>
          </w:tcPr>
          <w:p w14:paraId="7825BEA8">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0"/>
                <w:szCs w:val="20"/>
                <w:highlight w:val="none"/>
              </w:rPr>
            </w:pPr>
          </w:p>
        </w:tc>
        <w:tc>
          <w:tcPr>
            <w:tcW w:w="638" w:type="dxa"/>
            <w:vAlign w:val="center"/>
          </w:tcPr>
          <w:p w14:paraId="3F514C8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color w:val="auto"/>
                <w:sz w:val="20"/>
                <w:szCs w:val="20"/>
                <w:highlight w:val="none"/>
                <w:lang w:val="en-US" w:eastAsia="zh-CN"/>
              </w:rPr>
            </w:pPr>
            <w:r>
              <w:rPr>
                <w:rFonts w:hint="eastAsia" w:ascii="微软雅黑" w:hAnsi="微软雅黑" w:eastAsia="微软雅黑" w:cs="微软雅黑"/>
                <w:color w:val="auto"/>
                <w:sz w:val="20"/>
                <w:szCs w:val="20"/>
                <w:highlight w:val="none"/>
                <w:lang w:val="en-US" w:eastAsia="zh-CN"/>
              </w:rPr>
              <w:t>2</w:t>
            </w:r>
          </w:p>
        </w:tc>
        <w:tc>
          <w:tcPr>
            <w:tcW w:w="7244" w:type="dxa"/>
            <w:vAlign w:val="center"/>
          </w:tcPr>
          <w:p w14:paraId="74DC853C">
            <w:pPr>
              <w:spacing w:line="400" w:lineRule="exact"/>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pPr>
            <w:r>
              <w:rPr>
                <w:rFonts w:hint="eastAsia" w:ascii="微软雅黑" w:hAnsi="微软雅黑" w:eastAsia="微软雅黑" w:cs="微软雅黑"/>
                <w:b/>
                <w:bCs/>
                <w:color w:val="auto"/>
                <w:sz w:val="20"/>
                <w:szCs w:val="20"/>
                <w:highlight w:val="none"/>
                <w:lang w:val="en-US" w:eastAsia="zh-CN"/>
              </w:rPr>
              <w:t>质量保证承诺：</w:t>
            </w:r>
            <w:r>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t>根据各投标供应商提供的质量保证承诺进行打分：</w:t>
            </w:r>
          </w:p>
          <w:p w14:paraId="2F94836A">
            <w:pPr>
              <w:spacing w:line="400" w:lineRule="exact"/>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t>①保证所投产品质量符合国家标准、行业标准的承诺；</w:t>
            </w:r>
          </w:p>
          <w:p w14:paraId="5A826ED9">
            <w:pPr>
              <w:spacing w:line="400" w:lineRule="exact"/>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t>②因中标人原因导致合同终止，无条件承担违约责任的承诺。</w:t>
            </w:r>
          </w:p>
          <w:p w14:paraId="52A4ABBB">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b/>
                <w:bCs/>
                <w:color w:val="auto"/>
                <w:sz w:val="20"/>
                <w:szCs w:val="20"/>
                <w:highlight w:val="none"/>
                <w:lang w:val="en-US" w:eastAsia="zh-CN"/>
              </w:rPr>
            </w:pPr>
            <w:r>
              <w:rPr>
                <w:rFonts w:hint="eastAsia" w:ascii="微软雅黑" w:hAnsi="微软雅黑" w:eastAsia="微软雅黑" w:cs="微软雅黑"/>
                <w:b/>
                <w:bCs/>
                <w:color w:val="auto"/>
                <w:sz w:val="20"/>
                <w:szCs w:val="20"/>
                <w:highlight w:val="none"/>
                <w:lang w:val="en-US" w:eastAsia="zh-CN"/>
              </w:rPr>
              <w:t>注</w:t>
            </w:r>
            <w:r>
              <w:rPr>
                <w:rFonts w:hint="eastAsia" w:ascii="微软雅黑" w:hAnsi="微软雅黑" w:eastAsia="微软雅黑" w:cs="微软雅黑"/>
                <w:b/>
                <w:bCs/>
                <w:color w:val="000000" w:themeColor="text1"/>
                <w:sz w:val="21"/>
                <w:szCs w:val="21"/>
                <w:highlight w:val="none"/>
                <w:lang w:val="en-US" w:eastAsia="zh-CN"/>
                <w14:textFill>
                  <w14:solidFill>
                    <w14:schemeClr w14:val="tx1"/>
                  </w14:solidFill>
                </w14:textFill>
              </w:rPr>
              <w:t>：以上承诺函格式自拟，须加盖投标供应商公章，每提供一个得1分，本项最高得2分，未提供的不得分。</w:t>
            </w:r>
          </w:p>
        </w:tc>
        <w:tc>
          <w:tcPr>
            <w:tcW w:w="1350" w:type="dxa"/>
            <w:vMerge w:val="continue"/>
            <w:vAlign w:val="center"/>
          </w:tcPr>
          <w:p w14:paraId="20CF95FC">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b/>
                <w:bCs/>
                <w:color w:val="auto"/>
                <w:sz w:val="20"/>
                <w:szCs w:val="20"/>
                <w:highlight w:val="none"/>
              </w:rPr>
            </w:pPr>
          </w:p>
        </w:tc>
      </w:tr>
      <w:tr w14:paraId="77C41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06" w:hRule="atLeast"/>
          <w:jc w:val="center"/>
        </w:trPr>
        <w:tc>
          <w:tcPr>
            <w:tcW w:w="943" w:type="dxa"/>
            <w:vMerge w:val="continue"/>
            <w:vAlign w:val="center"/>
          </w:tcPr>
          <w:p w14:paraId="22A9AC57">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0"/>
                <w:szCs w:val="20"/>
                <w:highlight w:val="none"/>
              </w:rPr>
            </w:pPr>
          </w:p>
        </w:tc>
        <w:tc>
          <w:tcPr>
            <w:tcW w:w="638" w:type="dxa"/>
            <w:vAlign w:val="center"/>
          </w:tcPr>
          <w:p w14:paraId="1D29DF8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微软雅黑" w:hAnsi="微软雅黑" w:eastAsia="微软雅黑" w:cs="微软雅黑"/>
                <w:color w:val="auto"/>
                <w:sz w:val="20"/>
                <w:szCs w:val="20"/>
                <w:highlight w:val="none"/>
                <w:lang w:val="en-US" w:eastAsia="zh-CN"/>
              </w:rPr>
            </w:pPr>
            <w:r>
              <w:rPr>
                <w:rFonts w:hint="eastAsia" w:ascii="微软雅黑" w:hAnsi="微软雅黑" w:eastAsia="微软雅黑" w:cs="微软雅黑"/>
                <w:color w:val="auto"/>
                <w:sz w:val="20"/>
                <w:szCs w:val="20"/>
                <w:highlight w:val="none"/>
                <w:lang w:val="en-US" w:eastAsia="zh-CN"/>
              </w:rPr>
              <w:t>7</w:t>
            </w:r>
          </w:p>
        </w:tc>
        <w:tc>
          <w:tcPr>
            <w:tcW w:w="7244" w:type="dxa"/>
            <w:vAlign w:val="center"/>
          </w:tcPr>
          <w:p w14:paraId="2D5BBD5D">
            <w:pPr>
              <w:widowControl/>
              <w:jc w:val="left"/>
              <w:rPr>
                <w:rFonts w:hint="eastAsia" w:ascii="微软雅黑" w:hAnsi="微软雅黑" w:eastAsia="微软雅黑" w:cs="微软雅黑"/>
                <w:b/>
                <w:bCs/>
                <w:color w:val="auto"/>
                <w:kern w:val="0"/>
                <w:sz w:val="20"/>
                <w:szCs w:val="20"/>
                <w:highlight w:val="none"/>
                <w:lang w:val="en-US" w:eastAsia="zh-CN"/>
              </w:rPr>
            </w:pPr>
            <w:r>
              <w:rPr>
                <w:rFonts w:hint="eastAsia" w:ascii="微软雅黑" w:hAnsi="微软雅黑" w:eastAsia="微软雅黑" w:cs="微软雅黑"/>
                <w:b/>
                <w:bCs/>
                <w:color w:val="auto"/>
                <w:kern w:val="0"/>
                <w:sz w:val="20"/>
                <w:szCs w:val="20"/>
                <w:highlight w:val="none"/>
                <w:lang w:val="en-US" w:eastAsia="zh-CN"/>
              </w:rPr>
              <w:t>拟投入本项目服务团队人员：</w:t>
            </w:r>
          </w:p>
          <w:p w14:paraId="4A4D2705">
            <w:pPr>
              <w:spacing w:line="400" w:lineRule="exact"/>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t>（1）</w:t>
            </w:r>
            <w:r>
              <w:rPr>
                <w:rFonts w:hint="eastAsia" w:ascii="微软雅黑" w:hAnsi="微软雅黑" w:eastAsia="微软雅黑" w:cs="微软雅黑"/>
                <w:b/>
                <w:bCs/>
                <w:color w:val="000000" w:themeColor="text1"/>
                <w:sz w:val="21"/>
                <w:szCs w:val="21"/>
                <w:highlight w:val="none"/>
                <w:lang w:val="en-US" w:eastAsia="zh-CN"/>
                <w14:textFill>
                  <w14:solidFill>
                    <w14:schemeClr w14:val="tx1"/>
                  </w14:solidFill>
                </w14:textFill>
              </w:rPr>
              <w:t>项目负责人</w:t>
            </w:r>
            <w:r>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t>：具有中药学中级及以上专业技术职称或执业中药师资格，提供任意1项得1分。</w:t>
            </w:r>
          </w:p>
          <w:p w14:paraId="43B8521F">
            <w:pPr>
              <w:spacing w:line="400" w:lineRule="exact"/>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t>（2）</w:t>
            </w:r>
            <w:r>
              <w:rPr>
                <w:rFonts w:hint="eastAsia" w:ascii="微软雅黑" w:hAnsi="微软雅黑" w:eastAsia="微软雅黑" w:cs="微软雅黑"/>
                <w:b/>
                <w:bCs/>
                <w:color w:val="000000" w:themeColor="text1"/>
                <w:sz w:val="21"/>
                <w:szCs w:val="21"/>
                <w:highlight w:val="none"/>
                <w:lang w:val="en-US" w:eastAsia="zh-CN"/>
                <w14:textFill>
                  <w14:solidFill>
                    <w14:schemeClr w14:val="tx1"/>
                  </w14:solidFill>
                </w14:textFill>
              </w:rPr>
              <w:t>质量负责人</w:t>
            </w:r>
            <w:r>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t>：具有中药学中级及以上专业技术职称或执业中药师资格，提供任意1项得1分。</w:t>
            </w:r>
          </w:p>
          <w:p w14:paraId="1FC2C46E">
            <w:pPr>
              <w:spacing w:line="400" w:lineRule="exact"/>
              <w:rPr>
                <w:rFonts w:hint="default"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t>（3）</w:t>
            </w:r>
            <w:r>
              <w:rPr>
                <w:rFonts w:hint="eastAsia" w:ascii="微软雅黑" w:hAnsi="微软雅黑" w:eastAsia="微软雅黑" w:cs="微软雅黑"/>
                <w:b/>
                <w:bCs/>
                <w:color w:val="000000" w:themeColor="text1"/>
                <w:sz w:val="21"/>
                <w:szCs w:val="21"/>
                <w:highlight w:val="none"/>
                <w:lang w:val="en-US" w:eastAsia="zh-CN"/>
                <w14:textFill>
                  <w14:solidFill>
                    <w14:schemeClr w14:val="tx1"/>
                  </w14:solidFill>
                </w14:textFill>
              </w:rPr>
              <w:t>验收人员</w:t>
            </w:r>
            <w:r>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t>：不少于2 名，均具有中药学初级及以上专业技术职称；其中至少1名具有中药学中级及以上职称或执业中药师资格，并具备中药饮片真伪鉴别能力，每提供1项得1分，最高得2分。</w:t>
            </w:r>
          </w:p>
          <w:p w14:paraId="5A3F38D8">
            <w:pPr>
              <w:spacing w:line="400" w:lineRule="exact"/>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t>（4）</w:t>
            </w:r>
            <w:r>
              <w:rPr>
                <w:rFonts w:hint="eastAsia" w:ascii="微软雅黑" w:hAnsi="微软雅黑" w:eastAsia="微软雅黑" w:cs="微软雅黑"/>
                <w:b/>
                <w:bCs/>
                <w:color w:val="000000" w:themeColor="text1"/>
                <w:sz w:val="21"/>
                <w:szCs w:val="21"/>
                <w:highlight w:val="none"/>
                <w:lang w:val="en-US" w:eastAsia="zh-CN"/>
                <w14:textFill>
                  <w14:solidFill>
                    <w14:schemeClr w14:val="tx1"/>
                  </w14:solidFill>
                </w14:textFill>
              </w:rPr>
              <w:t>采购人员</w:t>
            </w:r>
            <w:r>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t>：具有中药学初级及以上专业技术职称的得1分。</w:t>
            </w:r>
          </w:p>
          <w:p w14:paraId="7442089C">
            <w:pPr>
              <w:spacing w:line="400" w:lineRule="exact"/>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t>（5）</w:t>
            </w:r>
            <w:r>
              <w:rPr>
                <w:rFonts w:hint="eastAsia" w:ascii="微软雅黑" w:hAnsi="微软雅黑" w:eastAsia="微软雅黑" w:cs="微软雅黑"/>
                <w:b/>
                <w:bCs/>
                <w:color w:val="000000" w:themeColor="text1"/>
                <w:sz w:val="21"/>
                <w:szCs w:val="21"/>
                <w:highlight w:val="none"/>
                <w:lang w:val="en-US" w:eastAsia="zh-CN"/>
                <w14:textFill>
                  <w14:solidFill>
                    <w14:schemeClr w14:val="tx1"/>
                  </w14:solidFill>
                </w14:textFill>
              </w:rPr>
              <w:t>养护人员</w:t>
            </w:r>
            <w:r>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t>：具有中药学初级及以上专业技术职称的得1分。</w:t>
            </w:r>
          </w:p>
          <w:p w14:paraId="184228FF">
            <w:pPr>
              <w:spacing w:line="400" w:lineRule="exact"/>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t>（6）专职配送人员每提供1人得0.5分，最高可得1分；</w:t>
            </w:r>
          </w:p>
          <w:p w14:paraId="44A292E8">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b/>
                <w:bCs/>
                <w:color w:val="000000" w:themeColor="text1"/>
                <w:sz w:val="21"/>
                <w:szCs w:val="21"/>
                <w:highlight w:val="none"/>
                <w:lang w:val="en-US" w:eastAsia="zh-CN"/>
                <w14:textFill>
                  <w14:solidFill>
                    <w14:schemeClr w14:val="tx1"/>
                  </w14:solidFill>
                </w14:textFill>
              </w:rPr>
            </w:pPr>
            <w:r>
              <w:rPr>
                <w:rFonts w:hint="eastAsia" w:ascii="微软雅黑" w:hAnsi="微软雅黑" w:eastAsia="微软雅黑" w:cs="微软雅黑"/>
                <w:b/>
                <w:bCs/>
                <w:color w:val="000000" w:themeColor="text1"/>
                <w:sz w:val="21"/>
                <w:szCs w:val="21"/>
                <w:highlight w:val="none"/>
                <w:lang w:val="en-US" w:eastAsia="zh-CN"/>
                <w14:textFill>
                  <w14:solidFill>
                    <w14:schemeClr w14:val="tx1"/>
                  </w14:solidFill>
                </w14:textFill>
              </w:rPr>
              <w:t>注：①以上人员不重复计分，须提供拟投入本项目人员的人员身份证复印件、在本单位缴纳的近6个月任意1个月的社保（退休人员提供退休证明）、相关职业证书，专职配送人员需提供健康证且证件在有效期内。</w:t>
            </w:r>
          </w:p>
          <w:p w14:paraId="7AAFD00E">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b/>
                <w:bCs/>
                <w:color w:val="000000" w:themeColor="text1"/>
                <w:sz w:val="21"/>
                <w:szCs w:val="21"/>
                <w:highlight w:val="none"/>
                <w:lang w:val="en-US" w:eastAsia="zh-CN"/>
                <w14:textFill>
                  <w14:solidFill>
                    <w14:schemeClr w14:val="tx1"/>
                  </w14:solidFill>
                </w14:textFill>
              </w:rPr>
            </w:pPr>
            <w:r>
              <w:rPr>
                <w:rFonts w:hint="eastAsia" w:ascii="微软雅黑" w:hAnsi="微软雅黑" w:eastAsia="微软雅黑" w:cs="微软雅黑"/>
                <w:b/>
                <w:bCs/>
                <w:color w:val="000000" w:themeColor="text1"/>
                <w:sz w:val="21"/>
                <w:szCs w:val="21"/>
                <w:highlight w:val="none"/>
                <w:lang w:val="en-US" w:eastAsia="zh-CN"/>
                <w14:textFill>
                  <w14:solidFill>
                    <w14:schemeClr w14:val="tx1"/>
                  </w14:solidFill>
                </w14:textFill>
              </w:rPr>
              <w:t>②以上证明材料提供不全或不提供不得分。</w:t>
            </w:r>
          </w:p>
        </w:tc>
        <w:tc>
          <w:tcPr>
            <w:tcW w:w="1350" w:type="dxa"/>
            <w:vMerge w:val="continue"/>
            <w:vAlign w:val="center"/>
          </w:tcPr>
          <w:p w14:paraId="247ED6D8">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b/>
                <w:bCs/>
                <w:color w:val="auto"/>
                <w:sz w:val="20"/>
                <w:szCs w:val="20"/>
                <w:highlight w:val="none"/>
              </w:rPr>
            </w:pPr>
          </w:p>
        </w:tc>
      </w:tr>
      <w:tr w14:paraId="2AB4D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06" w:hRule="atLeast"/>
          <w:jc w:val="center"/>
        </w:trPr>
        <w:tc>
          <w:tcPr>
            <w:tcW w:w="943" w:type="dxa"/>
            <w:vMerge w:val="continue"/>
            <w:vAlign w:val="center"/>
          </w:tcPr>
          <w:p w14:paraId="7E8B8621">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0"/>
                <w:szCs w:val="20"/>
                <w:highlight w:val="none"/>
              </w:rPr>
            </w:pPr>
          </w:p>
        </w:tc>
        <w:tc>
          <w:tcPr>
            <w:tcW w:w="638" w:type="dxa"/>
            <w:vAlign w:val="center"/>
          </w:tcPr>
          <w:p w14:paraId="6272B64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color w:val="auto"/>
                <w:sz w:val="20"/>
                <w:szCs w:val="20"/>
                <w:highlight w:val="none"/>
                <w:lang w:val="en-US" w:eastAsia="zh-CN"/>
              </w:rPr>
            </w:pPr>
            <w:r>
              <w:rPr>
                <w:rFonts w:hint="eastAsia" w:ascii="微软雅黑" w:hAnsi="微软雅黑" w:eastAsia="微软雅黑" w:cs="微软雅黑"/>
                <w:color w:val="auto"/>
                <w:sz w:val="20"/>
                <w:szCs w:val="20"/>
                <w:highlight w:val="none"/>
                <w:lang w:val="en-US" w:eastAsia="zh-CN"/>
              </w:rPr>
              <w:t>4</w:t>
            </w:r>
          </w:p>
        </w:tc>
        <w:tc>
          <w:tcPr>
            <w:tcW w:w="7244" w:type="dxa"/>
            <w:vAlign w:val="center"/>
          </w:tcPr>
          <w:p w14:paraId="694459A9">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b w:val="0"/>
                <w:bCs w:val="0"/>
                <w:color w:val="auto"/>
                <w:kern w:val="0"/>
                <w:sz w:val="20"/>
                <w:szCs w:val="20"/>
                <w:highlight w:val="none"/>
                <w:lang w:val="en-US" w:eastAsia="zh-CN"/>
              </w:rPr>
            </w:pPr>
            <w:r>
              <w:rPr>
                <w:rFonts w:hint="eastAsia" w:ascii="微软雅黑" w:hAnsi="微软雅黑" w:eastAsia="微软雅黑" w:cs="微软雅黑"/>
                <w:b/>
                <w:bCs/>
                <w:color w:val="auto"/>
                <w:kern w:val="0"/>
                <w:sz w:val="20"/>
                <w:szCs w:val="20"/>
                <w:highlight w:val="none"/>
                <w:lang w:val="en-US" w:eastAsia="zh-CN"/>
              </w:rPr>
              <w:t>配送能力：</w:t>
            </w:r>
            <w:r>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t>提供满足项目所需的专业配送车辆或冷链运送车，每提供1辆得1分，最高可得4分。</w:t>
            </w:r>
          </w:p>
          <w:p w14:paraId="7CC4C237">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b/>
                <w:bCs/>
                <w:color w:val="000000" w:themeColor="text1"/>
                <w:sz w:val="21"/>
                <w:szCs w:val="21"/>
                <w:highlight w:val="none"/>
                <w:lang w:val="en-US" w:eastAsia="zh-CN"/>
                <w14:textFill>
                  <w14:solidFill>
                    <w14:schemeClr w14:val="tx1"/>
                  </w14:solidFill>
                </w14:textFill>
              </w:rPr>
            </w:pPr>
            <w:r>
              <w:rPr>
                <w:rFonts w:hint="eastAsia" w:ascii="微软雅黑" w:hAnsi="微软雅黑" w:eastAsia="微软雅黑" w:cs="微软雅黑"/>
                <w:b/>
                <w:bCs/>
                <w:color w:val="auto"/>
                <w:kern w:val="0"/>
                <w:sz w:val="20"/>
                <w:szCs w:val="20"/>
                <w:highlight w:val="none"/>
                <w:lang w:val="en-US" w:eastAsia="zh-CN"/>
              </w:rPr>
              <w:t>注：①</w:t>
            </w:r>
            <w:r>
              <w:rPr>
                <w:rFonts w:hint="eastAsia" w:ascii="微软雅黑" w:hAnsi="微软雅黑" w:eastAsia="微软雅黑" w:cs="微软雅黑"/>
                <w:b/>
                <w:bCs/>
                <w:color w:val="000000" w:themeColor="text1"/>
                <w:sz w:val="21"/>
                <w:szCs w:val="21"/>
                <w:highlight w:val="none"/>
                <w:lang w:val="en-US" w:eastAsia="zh-CN"/>
                <w14:textFill>
                  <w14:solidFill>
                    <w14:schemeClr w14:val="tx1"/>
                  </w14:solidFill>
                </w14:textFill>
              </w:rPr>
              <w:t>车辆是投标人自有车辆的须提供有效机动车行驶证的扫描件和照片并加盖单位公章，车辆是投标人租赁车辆的须提供租赁合同、车辆的行驶证扫描件和照片并加盖单位公章。</w:t>
            </w:r>
          </w:p>
          <w:p w14:paraId="74655E9B">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b w:val="0"/>
                <w:bCs w:val="0"/>
                <w:color w:val="auto"/>
                <w:sz w:val="20"/>
                <w:szCs w:val="20"/>
                <w:highlight w:val="none"/>
                <w:lang w:val="en-US" w:eastAsia="zh-CN"/>
              </w:rPr>
            </w:pPr>
            <w:r>
              <w:rPr>
                <w:rFonts w:hint="eastAsia" w:ascii="微软雅黑" w:hAnsi="微软雅黑" w:eastAsia="微软雅黑" w:cs="微软雅黑"/>
                <w:b/>
                <w:bCs/>
                <w:color w:val="000000" w:themeColor="text1"/>
                <w:sz w:val="21"/>
                <w:szCs w:val="21"/>
                <w:highlight w:val="none"/>
                <w:lang w:val="en-US" w:eastAsia="zh-CN"/>
                <w14:textFill>
                  <w14:solidFill>
                    <w14:schemeClr w14:val="tx1"/>
                  </w14:solidFill>
                </w14:textFill>
              </w:rPr>
              <w:t>②以上证明材料提供不全或不提供不得分。</w:t>
            </w:r>
          </w:p>
        </w:tc>
        <w:tc>
          <w:tcPr>
            <w:tcW w:w="1350" w:type="dxa"/>
            <w:vMerge w:val="continue"/>
            <w:vAlign w:val="center"/>
          </w:tcPr>
          <w:p w14:paraId="7085BFA5">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b/>
                <w:bCs/>
                <w:color w:val="auto"/>
                <w:sz w:val="20"/>
                <w:szCs w:val="20"/>
                <w:highlight w:val="none"/>
              </w:rPr>
            </w:pPr>
          </w:p>
        </w:tc>
      </w:tr>
      <w:tr w14:paraId="26E6E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3" w:hRule="atLeast"/>
          <w:jc w:val="center"/>
        </w:trPr>
        <w:tc>
          <w:tcPr>
            <w:tcW w:w="943" w:type="dxa"/>
            <w:vMerge w:val="restart"/>
            <w:vAlign w:val="center"/>
          </w:tcPr>
          <w:p w14:paraId="07741EC3">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0"/>
                <w:szCs w:val="20"/>
                <w:highlight w:val="none"/>
              </w:rPr>
            </w:pPr>
          </w:p>
          <w:p w14:paraId="2453B3E5">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技术评分标准</w:t>
            </w:r>
          </w:p>
        </w:tc>
        <w:tc>
          <w:tcPr>
            <w:tcW w:w="638" w:type="dxa"/>
            <w:vAlign w:val="center"/>
          </w:tcPr>
          <w:p w14:paraId="7CCA96B1">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微软雅黑" w:hAnsi="微软雅黑" w:eastAsia="微软雅黑" w:cs="微软雅黑"/>
                <w:color w:val="auto"/>
                <w:sz w:val="20"/>
                <w:szCs w:val="20"/>
                <w:highlight w:val="none"/>
                <w:lang w:val="en-US" w:eastAsia="zh-CN"/>
              </w:rPr>
            </w:pPr>
            <w:r>
              <w:rPr>
                <w:rFonts w:hint="eastAsia" w:ascii="微软雅黑" w:hAnsi="微软雅黑" w:eastAsia="微软雅黑" w:cs="微软雅黑"/>
                <w:color w:val="auto"/>
                <w:sz w:val="20"/>
                <w:szCs w:val="20"/>
                <w:highlight w:val="none"/>
                <w:lang w:val="en-US" w:eastAsia="zh-CN"/>
              </w:rPr>
              <w:t>20</w:t>
            </w:r>
          </w:p>
        </w:tc>
        <w:tc>
          <w:tcPr>
            <w:tcW w:w="7244" w:type="dxa"/>
            <w:vAlign w:val="center"/>
          </w:tcPr>
          <w:p w14:paraId="66ED5CFD">
            <w:pPr>
              <w:pageBreakBefore w:val="0"/>
              <w:kinsoku/>
              <w:wordWrap w:val="0"/>
              <w:overflowPunct/>
              <w:topLinePunct w:val="0"/>
              <w:bidi w:val="0"/>
              <w:spacing w:line="400" w:lineRule="exact"/>
              <w:rPr>
                <w:rFonts w:hint="eastAsia" w:ascii="微软雅黑" w:hAnsi="微软雅黑" w:eastAsia="微软雅黑" w:cs="微软雅黑"/>
                <w:kern w:val="0"/>
                <w:szCs w:val="21"/>
                <w:highlight w:val="none"/>
              </w:rPr>
            </w:pPr>
            <w:r>
              <w:rPr>
                <w:rFonts w:hint="eastAsia" w:ascii="微软雅黑" w:hAnsi="微软雅黑" w:eastAsia="微软雅黑" w:cs="微软雅黑"/>
                <w:b/>
                <w:bCs/>
                <w:kern w:val="0"/>
                <w:szCs w:val="21"/>
                <w:highlight w:val="none"/>
              </w:rPr>
              <w:t>技术参数：</w:t>
            </w:r>
            <w:r>
              <w:rPr>
                <w:rFonts w:hint="eastAsia" w:ascii="微软雅黑" w:hAnsi="微软雅黑" w:eastAsia="微软雅黑" w:cs="微软雅黑"/>
                <w:kern w:val="0"/>
                <w:szCs w:val="21"/>
                <w:highlight w:val="none"/>
              </w:rPr>
              <w:t>根据所投产品的配置与性能技术指标及配置参数响应程度打分。</w:t>
            </w:r>
          </w:p>
          <w:p w14:paraId="7BAEA360">
            <w:pPr>
              <w:pageBreakBefore w:val="0"/>
              <w:kinsoku/>
              <w:wordWrap w:val="0"/>
              <w:overflowPunct/>
              <w:topLinePunct w:val="0"/>
              <w:bidi w:val="0"/>
              <w:spacing w:line="400" w:lineRule="exact"/>
              <w:outlineLvl w:val="1"/>
              <w:rPr>
                <w:rFonts w:hint="eastAsia" w:ascii="微软雅黑" w:hAnsi="微软雅黑" w:eastAsia="微软雅黑" w:cs="微软雅黑"/>
                <w:kern w:val="0"/>
                <w:szCs w:val="21"/>
                <w:highlight w:val="none"/>
              </w:rPr>
            </w:pPr>
            <w:r>
              <w:rPr>
                <w:rFonts w:hint="eastAsia" w:ascii="微软雅黑" w:hAnsi="微软雅黑" w:eastAsia="微软雅黑" w:cs="微软雅黑"/>
                <w:kern w:val="0"/>
                <w:szCs w:val="21"/>
                <w:highlight w:val="none"/>
              </w:rPr>
              <w:t>完全满足招标要求的得</w:t>
            </w:r>
            <w:r>
              <w:rPr>
                <w:rFonts w:hint="eastAsia" w:ascii="微软雅黑" w:hAnsi="微软雅黑" w:eastAsia="微软雅黑" w:cs="微软雅黑"/>
                <w:kern w:val="0"/>
                <w:szCs w:val="21"/>
                <w:highlight w:val="none"/>
                <w:lang w:val="en-US" w:eastAsia="zh-CN"/>
              </w:rPr>
              <w:t>20</w:t>
            </w:r>
            <w:r>
              <w:rPr>
                <w:rFonts w:hint="eastAsia" w:ascii="微软雅黑" w:hAnsi="微软雅黑" w:eastAsia="微软雅黑" w:cs="微软雅黑"/>
                <w:kern w:val="0"/>
                <w:szCs w:val="21"/>
                <w:highlight w:val="none"/>
              </w:rPr>
              <w:t>分。技术参数</w:t>
            </w:r>
            <w:r>
              <w:rPr>
                <w:rFonts w:hint="eastAsia" w:ascii="微软雅黑" w:hAnsi="微软雅黑" w:eastAsia="微软雅黑" w:cs="微软雅黑"/>
                <w:szCs w:val="21"/>
                <w:highlight w:val="none"/>
              </w:rPr>
              <w:t>每有一项负偏离扣</w:t>
            </w:r>
            <w:r>
              <w:rPr>
                <w:rFonts w:hint="eastAsia" w:ascii="微软雅黑" w:hAnsi="微软雅黑" w:eastAsia="微软雅黑" w:cs="微软雅黑"/>
                <w:szCs w:val="21"/>
                <w:highlight w:val="none"/>
                <w:lang w:val="en-US" w:eastAsia="zh-CN"/>
              </w:rPr>
              <w:t>0.15</w:t>
            </w:r>
            <w:r>
              <w:rPr>
                <w:rFonts w:hint="eastAsia" w:ascii="微软雅黑" w:hAnsi="微软雅黑" w:eastAsia="微软雅黑" w:cs="微软雅黑"/>
                <w:szCs w:val="21"/>
                <w:highlight w:val="none"/>
              </w:rPr>
              <w:t>分</w:t>
            </w:r>
            <w:r>
              <w:rPr>
                <w:rFonts w:hint="eastAsia" w:ascii="微软雅黑" w:hAnsi="微软雅黑" w:eastAsia="微软雅黑" w:cs="微软雅黑"/>
                <w:szCs w:val="21"/>
                <w:highlight w:val="none"/>
                <w:lang w:eastAsia="zh-CN"/>
              </w:rPr>
              <w:t>，</w:t>
            </w:r>
            <w:r>
              <w:rPr>
                <w:rFonts w:hint="eastAsia" w:ascii="微软雅黑" w:hAnsi="微软雅黑" w:eastAsia="微软雅黑" w:cs="微软雅黑"/>
                <w:kern w:val="0"/>
                <w:szCs w:val="21"/>
                <w:highlight w:val="none"/>
              </w:rPr>
              <w:t>直至扣完为止。</w:t>
            </w:r>
          </w:p>
          <w:p w14:paraId="76D4064A">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b/>
                <w:bCs/>
                <w:color w:val="auto"/>
                <w:kern w:val="0"/>
                <w:sz w:val="20"/>
                <w:szCs w:val="20"/>
                <w:highlight w:val="none"/>
                <w:lang w:val="en-US" w:eastAsia="zh-CN"/>
              </w:rPr>
            </w:pPr>
            <w:r>
              <w:rPr>
                <w:rFonts w:hint="eastAsia" w:ascii="微软雅黑" w:hAnsi="微软雅黑" w:eastAsia="微软雅黑" w:cs="微软雅黑"/>
                <w:b/>
                <w:bCs/>
                <w:szCs w:val="21"/>
                <w:highlight w:val="none"/>
              </w:rPr>
              <w:t>注：</w:t>
            </w:r>
            <w:r>
              <w:rPr>
                <w:rFonts w:hint="eastAsia" w:ascii="微软雅黑" w:hAnsi="微软雅黑" w:eastAsia="微软雅黑" w:cs="微软雅黑"/>
                <w:b/>
                <w:bCs/>
                <w:szCs w:val="21"/>
                <w:highlight w:val="none"/>
                <w:lang w:val="en-US" w:eastAsia="zh-CN"/>
              </w:rPr>
              <w:t>①</w:t>
            </w:r>
            <w:r>
              <w:rPr>
                <w:rFonts w:hint="eastAsia" w:ascii="微软雅黑" w:hAnsi="微软雅黑" w:eastAsia="微软雅黑" w:cs="微软雅黑"/>
                <w:b/>
                <w:bCs/>
                <w:kern w:val="0"/>
                <w:szCs w:val="21"/>
                <w:highlight w:val="none"/>
                <w:lang w:val="en-US" w:eastAsia="zh-CN"/>
              </w:rPr>
              <w:t>需对应提供产品参数中要求的</w:t>
            </w:r>
            <w:r>
              <w:rPr>
                <w:rFonts w:hint="eastAsia" w:ascii="微软雅黑" w:hAnsi="微软雅黑" w:eastAsia="微软雅黑" w:cs="微软雅黑"/>
                <w:b/>
                <w:bCs/>
                <w:kern w:val="0"/>
                <w:szCs w:val="21"/>
                <w:highlight w:val="none"/>
              </w:rPr>
              <w:t>证明材料</w:t>
            </w:r>
            <w:r>
              <w:rPr>
                <w:rFonts w:hint="eastAsia" w:ascii="微软雅黑" w:hAnsi="微软雅黑" w:eastAsia="微软雅黑" w:cs="微软雅黑"/>
                <w:b/>
                <w:bCs/>
                <w:kern w:val="0"/>
                <w:szCs w:val="21"/>
                <w:highlight w:val="none"/>
                <w:lang w:eastAsia="zh-CN"/>
              </w:rPr>
              <w:t>。</w:t>
            </w:r>
            <w:r>
              <w:rPr>
                <w:rFonts w:hint="eastAsia" w:ascii="微软雅黑" w:hAnsi="微软雅黑" w:eastAsia="微软雅黑" w:cs="微软雅黑"/>
                <w:b/>
                <w:bCs/>
                <w:kern w:val="0"/>
                <w:szCs w:val="21"/>
                <w:highlight w:val="none"/>
                <w:lang w:val="en-US" w:eastAsia="zh-CN"/>
              </w:rPr>
              <w:t>②</w:t>
            </w:r>
            <w:r>
              <w:rPr>
                <w:rFonts w:hint="eastAsia" w:ascii="微软雅黑" w:hAnsi="微软雅黑" w:eastAsia="微软雅黑" w:cs="微软雅黑"/>
                <w:b/>
                <w:bCs/>
                <w:szCs w:val="21"/>
                <w:highlight w:val="none"/>
              </w:rPr>
              <w:t>证明材料模糊，无法辨识的，视为无效</w:t>
            </w:r>
            <w:r>
              <w:rPr>
                <w:rFonts w:hint="eastAsia" w:ascii="微软雅黑" w:hAnsi="微软雅黑" w:eastAsia="微软雅黑" w:cs="微软雅黑"/>
                <w:b/>
                <w:bCs/>
                <w:szCs w:val="21"/>
                <w:highlight w:val="none"/>
                <w:lang w:val="en-US" w:eastAsia="zh-CN"/>
              </w:rPr>
              <w:t>资料。</w:t>
            </w:r>
            <w:r>
              <w:rPr>
                <w:rFonts w:hint="eastAsia" w:ascii="微软雅黑" w:hAnsi="微软雅黑" w:eastAsia="微软雅黑" w:cs="微软雅黑"/>
                <w:b/>
                <w:bCs/>
                <w:kern w:val="0"/>
                <w:szCs w:val="21"/>
                <w:highlight w:val="none"/>
                <w:lang w:val="en-US" w:eastAsia="zh-CN"/>
              </w:rPr>
              <w:t>③</w:t>
            </w:r>
            <w:r>
              <w:rPr>
                <w:rFonts w:hint="eastAsia" w:ascii="微软雅黑" w:hAnsi="微软雅黑" w:eastAsia="微软雅黑" w:cs="微软雅黑"/>
                <w:b/>
                <w:bCs/>
                <w:kern w:val="0"/>
                <w:szCs w:val="21"/>
                <w:highlight w:val="none"/>
              </w:rPr>
              <w:t>若未提供有效证明材料则该参数将被视为负偏离。</w:t>
            </w:r>
          </w:p>
        </w:tc>
        <w:tc>
          <w:tcPr>
            <w:tcW w:w="1350" w:type="dxa"/>
            <w:vMerge w:val="restart"/>
            <w:vAlign w:val="center"/>
          </w:tcPr>
          <w:p w14:paraId="182613FE">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b/>
                <w:bCs/>
                <w:color w:val="auto"/>
                <w:sz w:val="20"/>
                <w:szCs w:val="20"/>
                <w:highlight w:val="none"/>
              </w:rPr>
              <w:t>根据需求提供必要的证明资料</w:t>
            </w:r>
          </w:p>
        </w:tc>
      </w:tr>
      <w:tr w14:paraId="0C1EF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3" w:hRule="atLeast"/>
          <w:jc w:val="center"/>
        </w:trPr>
        <w:tc>
          <w:tcPr>
            <w:tcW w:w="943" w:type="dxa"/>
            <w:vMerge w:val="continue"/>
            <w:vAlign w:val="center"/>
          </w:tcPr>
          <w:p w14:paraId="4F9E203B">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0"/>
                <w:szCs w:val="20"/>
                <w:highlight w:val="none"/>
              </w:rPr>
            </w:pPr>
          </w:p>
        </w:tc>
        <w:tc>
          <w:tcPr>
            <w:tcW w:w="638" w:type="dxa"/>
            <w:vAlign w:val="center"/>
          </w:tcPr>
          <w:p w14:paraId="1FFA81C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微软雅黑" w:hAnsi="微软雅黑" w:eastAsia="微软雅黑" w:cs="微软雅黑"/>
                <w:color w:val="auto"/>
                <w:sz w:val="20"/>
                <w:szCs w:val="20"/>
                <w:highlight w:val="none"/>
                <w:lang w:val="en-US" w:eastAsia="zh-CN"/>
              </w:rPr>
            </w:pPr>
            <w:r>
              <w:rPr>
                <w:rFonts w:hint="eastAsia" w:ascii="微软雅黑" w:hAnsi="微软雅黑" w:eastAsia="微软雅黑" w:cs="微软雅黑"/>
                <w:color w:val="auto"/>
                <w:sz w:val="20"/>
                <w:szCs w:val="20"/>
                <w:highlight w:val="none"/>
                <w:lang w:val="en-US" w:eastAsia="zh-CN"/>
              </w:rPr>
              <w:t>10</w:t>
            </w:r>
          </w:p>
        </w:tc>
        <w:tc>
          <w:tcPr>
            <w:tcW w:w="7244" w:type="dxa"/>
            <w:vAlign w:val="center"/>
          </w:tcPr>
          <w:p w14:paraId="780526B8">
            <w:pPr>
              <w:spacing w:line="400" w:lineRule="exact"/>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pPr>
            <w:r>
              <w:rPr>
                <w:rFonts w:hint="eastAsia" w:ascii="微软雅黑" w:hAnsi="微软雅黑" w:eastAsia="微软雅黑" w:cs="微软雅黑"/>
                <w:b/>
                <w:bCs/>
                <w:color w:val="000000" w:themeColor="text1"/>
                <w:sz w:val="21"/>
                <w:szCs w:val="21"/>
                <w:highlight w:val="none"/>
                <w:lang w:val="en-US" w:eastAsia="zh-CN"/>
                <w14:textFill>
                  <w14:solidFill>
                    <w14:schemeClr w14:val="tx1"/>
                  </w14:solidFill>
                </w14:textFill>
              </w:rPr>
              <w:t>样品：根据所提供样品种类的完整性以及样品品质(包括但不限于外观、色泽、 气味、触觉、味觉，以及表面及切面纹理等)进行评分：</w:t>
            </w:r>
          </w:p>
          <w:p w14:paraId="57E82D05">
            <w:pPr>
              <w:spacing w:line="400" w:lineRule="exact"/>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t>①样品完整且样品形状、大小、长短、薄厚适宜，色泽自然，气味醇正，无异味，表面及切面纹理及质感清晰自然，无杂质，得10分；</w:t>
            </w:r>
          </w:p>
          <w:p w14:paraId="30CC48D7">
            <w:pPr>
              <w:spacing w:line="400" w:lineRule="exact"/>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t>②样品完整或基本完整，且样品形状、大小、长短、薄厚较为适宜，色泽 自然，气味较醇正，表面及切面纹理及质感较为清晰自然，无明显杂质， 得8分 ；</w:t>
            </w:r>
          </w:p>
          <w:p w14:paraId="53BAB500">
            <w:pPr>
              <w:spacing w:line="400" w:lineRule="exact"/>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t>③样品完整或基本完整，且样品形状、大小、长短、薄厚适宜性一般， 色泽较为自然，气味较醇正，表面及切面纹理及质感略有欠缺，无明显杂质，得6分；</w:t>
            </w:r>
          </w:p>
          <w:p w14:paraId="1F21EB75">
            <w:pPr>
              <w:spacing w:line="400" w:lineRule="exact"/>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t>④样品有较多缺漏，或样品形状、大小、长短、薄厚不十分均匀，色泽基本正常，气味基本无异味，表面及切面纹理及质感不佳，或有明显杂质的，得3分；</w:t>
            </w:r>
          </w:p>
          <w:p w14:paraId="5FD388A3">
            <w:pPr>
              <w:spacing w:line="400" w:lineRule="exact"/>
              <w:rPr>
                <w:rFonts w:hint="eastAsia" w:ascii="微软雅黑" w:hAnsi="微软雅黑" w:eastAsia="微软雅黑" w:cs="微软雅黑"/>
                <w:b/>
                <w:bCs/>
                <w:color w:val="000000" w:themeColor="text1"/>
                <w:sz w:val="21"/>
                <w:szCs w:val="21"/>
                <w:highlight w:val="none"/>
                <w:lang w:val="en-US" w:eastAsia="zh-CN"/>
                <w14:textFill>
                  <w14:solidFill>
                    <w14:schemeClr w14:val="tx1"/>
                  </w14:solidFill>
                </w14:textFill>
              </w:rPr>
            </w:pPr>
            <w:r>
              <w:rPr>
                <w:rFonts w:hint="eastAsia" w:ascii="微软雅黑" w:hAnsi="微软雅黑" w:eastAsia="微软雅黑" w:cs="微软雅黑"/>
                <w:b/>
                <w:bCs/>
                <w:color w:val="000000" w:themeColor="text1"/>
                <w:sz w:val="21"/>
                <w:szCs w:val="21"/>
                <w:highlight w:val="none"/>
                <w:lang w:val="en-US" w:eastAsia="zh-CN"/>
                <w14:textFill>
                  <w14:solidFill>
                    <w14:schemeClr w14:val="tx1"/>
                  </w14:solidFill>
                </w14:textFill>
              </w:rPr>
              <w:t>注：未提供样品、样品不全、未提供样品检测报告、检测报告不全不得分</w:t>
            </w:r>
            <w:r>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t>。</w:t>
            </w:r>
          </w:p>
        </w:tc>
        <w:tc>
          <w:tcPr>
            <w:tcW w:w="1350" w:type="dxa"/>
            <w:vMerge w:val="continue"/>
            <w:vAlign w:val="center"/>
          </w:tcPr>
          <w:p w14:paraId="2F11A3FA">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0"/>
                <w:szCs w:val="20"/>
                <w:highlight w:val="none"/>
              </w:rPr>
            </w:pPr>
          </w:p>
        </w:tc>
      </w:tr>
      <w:tr w14:paraId="156AB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3" w:hRule="atLeast"/>
          <w:jc w:val="center"/>
        </w:trPr>
        <w:tc>
          <w:tcPr>
            <w:tcW w:w="943" w:type="dxa"/>
            <w:vMerge w:val="continue"/>
            <w:vAlign w:val="center"/>
          </w:tcPr>
          <w:p w14:paraId="1B967200">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0"/>
                <w:szCs w:val="20"/>
                <w:highlight w:val="none"/>
              </w:rPr>
            </w:pPr>
          </w:p>
        </w:tc>
        <w:tc>
          <w:tcPr>
            <w:tcW w:w="638" w:type="dxa"/>
            <w:vAlign w:val="center"/>
          </w:tcPr>
          <w:p w14:paraId="7C778151">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微软雅黑" w:hAnsi="微软雅黑" w:eastAsia="微软雅黑" w:cs="微软雅黑"/>
                <w:color w:val="auto"/>
                <w:sz w:val="20"/>
                <w:szCs w:val="20"/>
                <w:highlight w:val="none"/>
                <w:lang w:val="en-US" w:eastAsia="zh-CN"/>
              </w:rPr>
            </w:pPr>
            <w:r>
              <w:rPr>
                <w:rFonts w:hint="eastAsia" w:ascii="微软雅黑" w:hAnsi="微软雅黑" w:eastAsia="微软雅黑" w:cs="微软雅黑"/>
                <w:color w:val="auto"/>
                <w:sz w:val="20"/>
                <w:szCs w:val="20"/>
                <w:highlight w:val="none"/>
                <w:lang w:val="en-US" w:eastAsia="zh-CN"/>
              </w:rPr>
              <w:t>6</w:t>
            </w:r>
          </w:p>
        </w:tc>
        <w:tc>
          <w:tcPr>
            <w:tcW w:w="7244" w:type="dxa"/>
            <w:vAlign w:val="center"/>
          </w:tcPr>
          <w:p w14:paraId="2C82AFE8">
            <w:pPr>
              <w:spacing w:line="400" w:lineRule="exact"/>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pPr>
            <w:r>
              <w:rPr>
                <w:rFonts w:hint="eastAsia" w:ascii="微软雅黑" w:hAnsi="微软雅黑" w:eastAsia="微软雅黑" w:cs="微软雅黑"/>
                <w:b/>
                <w:bCs/>
                <w:color w:val="auto"/>
                <w:kern w:val="0"/>
                <w:sz w:val="21"/>
                <w:szCs w:val="21"/>
                <w:highlight w:val="none"/>
                <w:lang w:val="en-US" w:eastAsia="zh-CN"/>
              </w:rPr>
              <w:t>仓储能力：</w:t>
            </w:r>
            <w:r>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t xml:space="preserve">（1）具有仓储场地的： ①场地面积＞2000㎡，得3分； </w:t>
            </w:r>
          </w:p>
          <w:p w14:paraId="58079C77">
            <w:pPr>
              <w:spacing w:line="400" w:lineRule="exact"/>
              <w:rPr>
                <w:rFonts w:hint="default"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t>②2000㎡≥场地面积＞1500㎡，得2分； ③1500㎡≥场地面积＞1000㎡，得1分；</w:t>
            </w:r>
          </w:p>
          <w:p w14:paraId="15FDA838">
            <w:pPr>
              <w:spacing w:line="400" w:lineRule="exact"/>
              <w:rPr>
                <w:rFonts w:hint="default"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t>（2）具有冷库场地： ①场地面积＞100㎡，得3分； ②100㎡≥场地面积＞50㎡，得2分； ③50㎡≥场地面积＞10㎡，得1分；</w:t>
            </w:r>
          </w:p>
          <w:p w14:paraId="797310BB">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b/>
                <w:bCs/>
                <w:color w:val="auto"/>
                <w:kern w:val="0"/>
                <w:sz w:val="21"/>
                <w:szCs w:val="21"/>
                <w:highlight w:val="none"/>
                <w:lang w:val="en-US" w:eastAsia="zh-CN"/>
              </w:rPr>
            </w:pPr>
            <w:r>
              <w:rPr>
                <w:rFonts w:hint="eastAsia" w:ascii="微软雅黑" w:hAnsi="微软雅黑" w:eastAsia="微软雅黑" w:cs="微软雅黑"/>
                <w:b/>
                <w:bCs/>
                <w:color w:val="000000" w:themeColor="text1"/>
                <w:sz w:val="21"/>
                <w:szCs w:val="21"/>
                <w:highlight w:val="none"/>
                <w:lang w:val="en-US" w:eastAsia="zh-CN"/>
                <w14:textFill>
                  <w14:solidFill>
                    <w14:schemeClr w14:val="tx1"/>
                  </w14:solidFill>
                </w14:textFill>
              </w:rPr>
              <w:t>注：①自有场地的须提供场地图片、产权证明；租赁场地的须提供场地图片、租赁合同。②以上证明材料提供不全或不提供不得分。</w:t>
            </w:r>
          </w:p>
        </w:tc>
        <w:tc>
          <w:tcPr>
            <w:tcW w:w="1350" w:type="dxa"/>
            <w:vMerge w:val="continue"/>
            <w:vAlign w:val="center"/>
          </w:tcPr>
          <w:p w14:paraId="50EC59F1">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0"/>
                <w:szCs w:val="20"/>
                <w:highlight w:val="none"/>
              </w:rPr>
            </w:pPr>
          </w:p>
        </w:tc>
      </w:tr>
      <w:tr w14:paraId="3AF4D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3" w:hRule="atLeast"/>
          <w:jc w:val="center"/>
        </w:trPr>
        <w:tc>
          <w:tcPr>
            <w:tcW w:w="943" w:type="dxa"/>
            <w:vMerge w:val="continue"/>
            <w:vAlign w:val="center"/>
          </w:tcPr>
          <w:p w14:paraId="7598AA12">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0"/>
                <w:szCs w:val="20"/>
                <w:highlight w:val="none"/>
              </w:rPr>
            </w:pPr>
          </w:p>
        </w:tc>
        <w:tc>
          <w:tcPr>
            <w:tcW w:w="638" w:type="dxa"/>
            <w:vAlign w:val="center"/>
          </w:tcPr>
          <w:p w14:paraId="04229DA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微软雅黑" w:hAnsi="微软雅黑" w:eastAsia="微软雅黑" w:cs="微软雅黑"/>
                <w:color w:val="auto"/>
                <w:sz w:val="20"/>
                <w:szCs w:val="20"/>
                <w:highlight w:val="none"/>
                <w:lang w:val="en-US" w:eastAsia="zh-CN"/>
              </w:rPr>
            </w:pPr>
            <w:r>
              <w:rPr>
                <w:rFonts w:hint="eastAsia" w:ascii="微软雅黑" w:hAnsi="微软雅黑" w:eastAsia="微软雅黑" w:cs="微软雅黑"/>
                <w:color w:val="auto"/>
                <w:sz w:val="20"/>
                <w:szCs w:val="20"/>
                <w:highlight w:val="none"/>
                <w:lang w:val="en-US" w:eastAsia="zh-CN"/>
              </w:rPr>
              <w:t>5</w:t>
            </w:r>
          </w:p>
        </w:tc>
        <w:tc>
          <w:tcPr>
            <w:tcW w:w="7244" w:type="dxa"/>
            <w:vAlign w:val="center"/>
          </w:tcPr>
          <w:p w14:paraId="38F7BCC4">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kern w:val="0"/>
                <w:sz w:val="21"/>
                <w:szCs w:val="21"/>
                <w:highlight w:val="none"/>
                <w:lang w:val="en-US" w:eastAsia="zh-CN"/>
              </w:rPr>
            </w:pPr>
            <w:r>
              <w:rPr>
                <w:rFonts w:hint="eastAsia" w:ascii="微软雅黑" w:hAnsi="微软雅黑" w:eastAsia="微软雅黑" w:cs="微软雅黑"/>
                <w:b/>
                <w:bCs/>
                <w:color w:val="auto"/>
                <w:kern w:val="0"/>
                <w:sz w:val="20"/>
                <w:szCs w:val="20"/>
                <w:highlight w:val="none"/>
                <w:lang w:val="en-US" w:eastAsia="zh-CN"/>
              </w:rPr>
              <w:t>实施方案：</w:t>
            </w:r>
            <w:r>
              <w:rPr>
                <w:rFonts w:hint="eastAsia" w:ascii="微软雅黑" w:hAnsi="微软雅黑" w:eastAsia="微软雅黑" w:cs="微软雅黑"/>
                <w:color w:val="auto"/>
                <w:kern w:val="0"/>
                <w:sz w:val="21"/>
                <w:szCs w:val="21"/>
                <w:highlight w:val="none"/>
                <w:lang w:val="en-US" w:eastAsia="zh-CN"/>
              </w:rPr>
              <w:t>根据投标供应商针对本项目提供的实施方案进行评审，主要根据是否制定紧凑、科学、可行的工作计划和时间安排表，投入的人力物力财力保证进度计划的实现，拟投入工作量等进行评分，方案包含但不限于：</w:t>
            </w:r>
          </w:p>
          <w:p w14:paraId="7C11346D">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kern w:val="0"/>
                <w:sz w:val="21"/>
                <w:szCs w:val="21"/>
                <w:highlight w:val="none"/>
                <w:lang w:val="en-US" w:eastAsia="zh-CN"/>
              </w:rPr>
            </w:pPr>
            <w:r>
              <w:rPr>
                <w:rFonts w:hint="eastAsia" w:ascii="微软雅黑" w:hAnsi="微软雅黑" w:eastAsia="微软雅黑" w:cs="微软雅黑"/>
                <w:color w:val="auto"/>
                <w:kern w:val="0"/>
                <w:sz w:val="21"/>
                <w:szCs w:val="21"/>
                <w:highlight w:val="none"/>
                <w:lang w:val="en-US" w:eastAsia="zh-CN"/>
              </w:rPr>
              <w:t>①药品采购方案；②药品验收方案；③仓储日常管理方案；④全流程质量控制方案；⑤配送供应方案；</w:t>
            </w:r>
          </w:p>
          <w:p w14:paraId="0031A815">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t>以上5项内容均提供，方案完全符合项目要求得5分；其中每有一项内容未提供的扣1分；每有一项内容不符合项目要求或内容存在缺陷的扣0.5分，直至扣完为止。</w:t>
            </w:r>
          </w:p>
          <w:p w14:paraId="35A16698">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0"/>
                <w:szCs w:val="20"/>
                <w:highlight w:val="none"/>
                <w:lang w:eastAsia="zh-CN"/>
              </w:rPr>
            </w:pPr>
            <w:r>
              <w:rPr>
                <w:rFonts w:hint="eastAsia" w:ascii="微软雅黑" w:hAnsi="微软雅黑" w:eastAsia="微软雅黑" w:cs="微软雅黑"/>
                <w:b/>
                <w:bCs/>
                <w:color w:val="000000" w:themeColor="text1"/>
                <w:sz w:val="21"/>
                <w:szCs w:val="21"/>
                <w:highlight w:val="none"/>
                <w:lang w:val="en-US" w:eastAsia="zh-CN"/>
                <w14:textFill>
                  <w14:solidFill>
                    <w14:schemeClr w14:val="tx1"/>
                  </w14:solidFill>
                </w14:textFill>
              </w:rPr>
              <w:t>注：内容存在缺陷是指：①该项内容描述前后不一致；②该项内容所阐述的项目信息与本项目实际信息不一致；③该项内容引用的规定、规范错误；④该项内容描述不符合国家相关法律法规、政策文件、规范标准要求；⑤该项内容阐述的方式方法明显不符合本项目实际情况。</w:t>
            </w:r>
          </w:p>
        </w:tc>
        <w:tc>
          <w:tcPr>
            <w:tcW w:w="1350" w:type="dxa"/>
            <w:vMerge w:val="continue"/>
            <w:vAlign w:val="center"/>
          </w:tcPr>
          <w:p w14:paraId="3FA6AB8F">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0"/>
                <w:szCs w:val="20"/>
                <w:highlight w:val="none"/>
              </w:rPr>
            </w:pPr>
          </w:p>
        </w:tc>
      </w:tr>
      <w:tr w14:paraId="45B10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60" w:hRule="atLeast"/>
          <w:jc w:val="center"/>
        </w:trPr>
        <w:tc>
          <w:tcPr>
            <w:tcW w:w="943" w:type="dxa"/>
            <w:vMerge w:val="continue"/>
            <w:vAlign w:val="center"/>
          </w:tcPr>
          <w:p w14:paraId="243D554A">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0"/>
                <w:szCs w:val="20"/>
                <w:highlight w:val="none"/>
              </w:rPr>
            </w:pPr>
          </w:p>
        </w:tc>
        <w:tc>
          <w:tcPr>
            <w:tcW w:w="638" w:type="dxa"/>
            <w:vAlign w:val="center"/>
          </w:tcPr>
          <w:p w14:paraId="44A306D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微软雅黑" w:hAnsi="微软雅黑" w:eastAsia="微软雅黑" w:cs="微软雅黑"/>
                <w:color w:val="auto"/>
                <w:sz w:val="20"/>
                <w:szCs w:val="20"/>
                <w:highlight w:val="none"/>
                <w:lang w:val="en-US" w:eastAsia="zh-CN"/>
              </w:rPr>
            </w:pPr>
            <w:r>
              <w:rPr>
                <w:rFonts w:hint="eastAsia" w:ascii="微软雅黑" w:hAnsi="微软雅黑" w:eastAsia="微软雅黑" w:cs="微软雅黑"/>
                <w:color w:val="auto"/>
                <w:sz w:val="20"/>
                <w:szCs w:val="20"/>
                <w:highlight w:val="none"/>
                <w:lang w:val="en-US" w:eastAsia="zh-CN"/>
              </w:rPr>
              <w:t>4</w:t>
            </w:r>
          </w:p>
        </w:tc>
        <w:tc>
          <w:tcPr>
            <w:tcW w:w="7244" w:type="dxa"/>
            <w:vAlign w:val="center"/>
          </w:tcPr>
          <w:p w14:paraId="6AB54FDE">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kern w:val="0"/>
                <w:sz w:val="21"/>
                <w:szCs w:val="21"/>
                <w:highlight w:val="none"/>
                <w:lang w:val="en-US" w:eastAsia="zh-CN"/>
              </w:rPr>
            </w:pPr>
            <w:r>
              <w:rPr>
                <w:rFonts w:hint="eastAsia" w:ascii="微软雅黑" w:hAnsi="微软雅黑" w:eastAsia="微软雅黑" w:cs="微软雅黑"/>
                <w:b/>
                <w:bCs/>
                <w:color w:val="auto"/>
                <w:kern w:val="0"/>
                <w:sz w:val="21"/>
                <w:szCs w:val="21"/>
                <w:highlight w:val="none"/>
                <w:lang w:val="en-US" w:eastAsia="zh-CN"/>
              </w:rPr>
              <w:t>应急预案：</w:t>
            </w:r>
            <w:r>
              <w:rPr>
                <w:rFonts w:hint="eastAsia" w:ascii="微软雅黑" w:hAnsi="微软雅黑" w:eastAsia="微软雅黑" w:cs="微软雅黑"/>
                <w:color w:val="auto"/>
                <w:kern w:val="0"/>
                <w:sz w:val="21"/>
                <w:szCs w:val="21"/>
                <w:highlight w:val="none"/>
                <w:lang w:val="en-US" w:eastAsia="zh-CN"/>
              </w:rPr>
              <w:t xml:space="preserve">投标供应商结合本项目及采购人实际需要，提供应急措施方案内容，包括：①运输中的突发应急措施（对运输途中突发状况的描述及对发生突发状况的处理方案） </w:t>
            </w:r>
          </w:p>
          <w:p w14:paraId="05E35FFE">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kern w:val="0"/>
                <w:sz w:val="21"/>
                <w:szCs w:val="21"/>
                <w:highlight w:val="none"/>
                <w:lang w:val="en-US" w:eastAsia="zh-CN"/>
              </w:rPr>
            </w:pPr>
            <w:r>
              <w:rPr>
                <w:rFonts w:hint="eastAsia" w:ascii="微软雅黑" w:hAnsi="微软雅黑" w:eastAsia="微软雅黑" w:cs="微软雅黑"/>
                <w:color w:val="auto"/>
                <w:kern w:val="0"/>
                <w:sz w:val="21"/>
                <w:szCs w:val="21"/>
                <w:highlight w:val="none"/>
                <w:lang w:val="en-US" w:eastAsia="zh-CN"/>
              </w:rPr>
              <w:t xml:space="preserve">②因产品质量问题引发的医疗事故应急措施（因问题产品引发的医疗事故的处理方案及保障措施） </w:t>
            </w:r>
          </w:p>
          <w:p w14:paraId="7DF4809A">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kern w:val="0"/>
                <w:sz w:val="21"/>
                <w:szCs w:val="21"/>
                <w:highlight w:val="none"/>
                <w:lang w:val="en-US" w:eastAsia="zh-CN"/>
              </w:rPr>
            </w:pPr>
            <w:r>
              <w:rPr>
                <w:rFonts w:hint="eastAsia" w:ascii="微软雅黑" w:hAnsi="微软雅黑" w:eastAsia="微软雅黑" w:cs="微软雅黑"/>
                <w:color w:val="auto"/>
                <w:kern w:val="0"/>
                <w:sz w:val="21"/>
                <w:szCs w:val="21"/>
                <w:highlight w:val="none"/>
                <w:lang w:val="en-US" w:eastAsia="zh-CN"/>
              </w:rPr>
              <w:t xml:space="preserve">③临时配送的应急措施（如何保证采购人临时配送要求的应急方案） </w:t>
            </w:r>
          </w:p>
          <w:p w14:paraId="328071F7">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kern w:val="0"/>
                <w:sz w:val="21"/>
                <w:szCs w:val="21"/>
                <w:highlight w:val="none"/>
                <w:lang w:val="en-US" w:eastAsia="zh-CN"/>
              </w:rPr>
            </w:pPr>
            <w:r>
              <w:rPr>
                <w:rFonts w:hint="eastAsia" w:ascii="微软雅黑" w:hAnsi="微软雅黑" w:eastAsia="微软雅黑" w:cs="微软雅黑"/>
                <w:color w:val="auto"/>
                <w:kern w:val="0"/>
                <w:sz w:val="21"/>
                <w:szCs w:val="21"/>
                <w:highlight w:val="none"/>
                <w:lang w:val="en-US" w:eastAsia="zh-CN"/>
              </w:rPr>
              <w:t>④其他应急措施（投标人提出其他具有前瞻性的应急措施），</w:t>
            </w:r>
          </w:p>
          <w:p w14:paraId="084EA109">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t>以上4项内容均提供，方案完全符合项目要求得4分；其中每有一项内容未提供的扣1分；每有一项内容不符合项目要求或内容存在缺陷的扣0.5分，直至扣完为止。</w:t>
            </w:r>
          </w:p>
          <w:p w14:paraId="27C04945">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b/>
                <w:bCs/>
                <w:color w:val="000000" w:themeColor="text1"/>
                <w:sz w:val="21"/>
                <w:szCs w:val="21"/>
                <w:highlight w:val="none"/>
                <w:lang w:val="en-US" w:eastAsia="zh-CN"/>
                <w14:textFill>
                  <w14:solidFill>
                    <w14:schemeClr w14:val="tx1"/>
                  </w14:solidFill>
                </w14:textFill>
              </w:rPr>
              <w:t>注：内容存在缺陷是指：①该项内容描述前后不一致；②该项内容所阐述的项目信息与本项目实际信息不一致；③该项内容引用的规定、规范错误；④该项内容描述不符合国家相关法律法规、政策文件、规范标准要求；⑤该项内容阐述的方式方法明显不符合本项目实际情况。</w:t>
            </w:r>
          </w:p>
        </w:tc>
        <w:tc>
          <w:tcPr>
            <w:tcW w:w="1350" w:type="dxa"/>
            <w:vMerge w:val="continue"/>
            <w:vAlign w:val="center"/>
          </w:tcPr>
          <w:p w14:paraId="78345FD0">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0"/>
                <w:szCs w:val="20"/>
                <w:highlight w:val="none"/>
              </w:rPr>
            </w:pPr>
          </w:p>
        </w:tc>
      </w:tr>
      <w:tr w14:paraId="57363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16" w:hRule="atLeast"/>
          <w:jc w:val="center"/>
        </w:trPr>
        <w:tc>
          <w:tcPr>
            <w:tcW w:w="943" w:type="dxa"/>
            <w:vMerge w:val="continue"/>
            <w:vAlign w:val="center"/>
          </w:tcPr>
          <w:p w14:paraId="155660B6">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0"/>
                <w:szCs w:val="20"/>
                <w:highlight w:val="none"/>
              </w:rPr>
            </w:pPr>
          </w:p>
        </w:tc>
        <w:tc>
          <w:tcPr>
            <w:tcW w:w="638" w:type="dxa"/>
            <w:vAlign w:val="center"/>
          </w:tcPr>
          <w:p w14:paraId="24362D2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微软雅黑" w:hAnsi="微软雅黑" w:eastAsia="微软雅黑" w:cs="微软雅黑"/>
                <w:color w:val="auto"/>
                <w:sz w:val="20"/>
                <w:szCs w:val="20"/>
                <w:highlight w:val="none"/>
                <w:lang w:val="en-US" w:eastAsia="zh-CN"/>
              </w:rPr>
            </w:pPr>
            <w:r>
              <w:rPr>
                <w:rFonts w:hint="eastAsia" w:ascii="微软雅黑" w:hAnsi="微软雅黑" w:eastAsia="微软雅黑" w:cs="微软雅黑"/>
                <w:color w:val="auto"/>
                <w:sz w:val="20"/>
                <w:szCs w:val="20"/>
                <w:highlight w:val="none"/>
                <w:lang w:val="en-US" w:eastAsia="zh-CN"/>
              </w:rPr>
              <w:t>10</w:t>
            </w:r>
          </w:p>
        </w:tc>
        <w:tc>
          <w:tcPr>
            <w:tcW w:w="7244" w:type="dxa"/>
            <w:vAlign w:val="center"/>
          </w:tcPr>
          <w:p w14:paraId="5869C9A1">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kern w:val="0"/>
                <w:sz w:val="21"/>
                <w:szCs w:val="21"/>
                <w:highlight w:val="none"/>
                <w:lang w:val="en-US" w:eastAsia="zh-CN"/>
              </w:rPr>
            </w:pPr>
            <w:r>
              <w:rPr>
                <w:rFonts w:hint="eastAsia" w:ascii="微软雅黑" w:hAnsi="微软雅黑" w:eastAsia="微软雅黑" w:cs="微软雅黑"/>
                <w:b/>
                <w:bCs/>
                <w:sz w:val="20"/>
                <w:szCs w:val="20"/>
                <w:highlight w:val="none"/>
                <w:lang w:val="en-US"/>
              </w:rPr>
              <w:t>售后服务:</w:t>
            </w:r>
            <w:r>
              <w:rPr>
                <w:rFonts w:hint="eastAsia" w:ascii="微软雅黑" w:hAnsi="微软雅黑" w:eastAsia="微软雅黑" w:cs="微软雅黑"/>
                <w:b/>
                <w:bCs/>
                <w:sz w:val="20"/>
                <w:szCs w:val="20"/>
                <w:highlight w:val="none"/>
                <w:lang w:val="en-US" w:eastAsia="zh-CN"/>
              </w:rPr>
              <w:t>根据供应商提供的售后服务方案进行评审，</w:t>
            </w:r>
            <w:r>
              <w:rPr>
                <w:rFonts w:hint="eastAsia" w:ascii="微软雅黑" w:hAnsi="微软雅黑" w:eastAsia="微软雅黑" w:cs="微软雅黑"/>
                <w:color w:val="auto"/>
                <w:kern w:val="0"/>
                <w:sz w:val="21"/>
                <w:szCs w:val="21"/>
                <w:highlight w:val="none"/>
                <w:lang w:val="en-US" w:eastAsia="zh-CN"/>
              </w:rPr>
              <w:t>包括但不限于：①售后服务计划、内容及方式；②人员组成；③后续保障措施、退换货措施；④针对医疗纠纷、售后服务保障措施、附带服务、药检质量问题、不良反应等特殊情况的应对措施；⑤服务承诺（包括但不限于配合采购人价格调整、应急供货、质量保证、退货换货等的承诺）等。</w:t>
            </w:r>
          </w:p>
          <w:p w14:paraId="4779B633">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t>以上5项内容均提供，方案完全符合项目要求得10分；其中每有一项内容未提供的扣2分；每有一项内容不符合项目要求或内容存在缺陷的扣1分，直至扣完为止。</w:t>
            </w:r>
          </w:p>
          <w:p w14:paraId="39FE11DE">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sz w:val="20"/>
                <w:szCs w:val="20"/>
                <w:highlight w:val="none"/>
                <w:lang w:val="en-US"/>
              </w:rPr>
            </w:pPr>
            <w:r>
              <w:rPr>
                <w:rFonts w:hint="eastAsia" w:ascii="微软雅黑" w:hAnsi="微软雅黑" w:eastAsia="微软雅黑" w:cs="微软雅黑"/>
                <w:b/>
                <w:bCs/>
                <w:color w:val="000000" w:themeColor="text1"/>
                <w:sz w:val="21"/>
                <w:szCs w:val="21"/>
                <w:highlight w:val="none"/>
                <w:lang w:val="en-US" w:eastAsia="zh-CN"/>
                <w14:textFill>
                  <w14:solidFill>
                    <w14:schemeClr w14:val="tx1"/>
                  </w14:solidFill>
                </w14:textFill>
              </w:rPr>
              <w:t>注：内容存在缺陷是指：①该项内容描述前后不一致；②该项内容所阐述的项目信息与本项目实际信息不一致；③该项内容引用的规定、规范错误；④该项内容描述不符合国家相关法律法规、政策文件、规范标准要求；⑤该项内容阐述的方式方法明显不符合本项目实际情况。</w:t>
            </w:r>
          </w:p>
        </w:tc>
        <w:tc>
          <w:tcPr>
            <w:tcW w:w="1350" w:type="dxa"/>
            <w:vMerge w:val="continue"/>
            <w:vAlign w:val="center"/>
          </w:tcPr>
          <w:p w14:paraId="4B707DBA">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0"/>
                <w:szCs w:val="20"/>
                <w:highlight w:val="none"/>
              </w:rPr>
            </w:pPr>
          </w:p>
        </w:tc>
      </w:tr>
    </w:tbl>
    <w:p w14:paraId="24A1A60F">
      <w:pPr>
        <w:rPr>
          <w:rFonts w:hint="eastAsia" w:ascii="微软雅黑" w:hAnsi="微软雅黑" w:eastAsia="微软雅黑" w:cs="微软雅黑"/>
          <w:b/>
          <w:bCs/>
          <w:color w:val="auto"/>
          <w:sz w:val="24"/>
          <w:szCs w:val="24"/>
          <w:highlight w:val="none"/>
        </w:rPr>
      </w:pPr>
      <w:r>
        <w:rPr>
          <w:rFonts w:hint="eastAsia" w:ascii="微软雅黑" w:hAnsi="微软雅黑" w:eastAsia="微软雅黑" w:cs="微软雅黑"/>
          <w:b/>
          <w:bCs/>
          <w:color w:val="auto"/>
          <w:sz w:val="24"/>
          <w:szCs w:val="24"/>
          <w:highlight w:val="none"/>
        </w:rPr>
        <w:br w:type="page"/>
      </w:r>
    </w:p>
    <w:p w14:paraId="0F597C71">
      <w:pPr>
        <w:spacing w:line="300" w:lineRule="auto"/>
        <w:jc w:val="center"/>
        <w:outlineLvl w:val="1"/>
        <w:rPr>
          <w:rFonts w:hint="eastAsia" w:ascii="微软雅黑" w:hAnsi="微软雅黑" w:eastAsia="微软雅黑" w:cs="微软雅黑"/>
          <w:b/>
          <w:bCs/>
          <w:color w:val="auto"/>
          <w:sz w:val="24"/>
          <w:szCs w:val="24"/>
          <w:highlight w:val="none"/>
          <w:lang w:eastAsia="zh-CN"/>
        </w:rPr>
      </w:pPr>
      <w:r>
        <w:rPr>
          <w:rFonts w:hint="eastAsia" w:ascii="微软雅黑" w:hAnsi="微软雅黑" w:eastAsia="微软雅黑" w:cs="微软雅黑"/>
          <w:b/>
          <w:bCs/>
          <w:color w:val="auto"/>
          <w:sz w:val="24"/>
          <w:szCs w:val="24"/>
          <w:highlight w:val="none"/>
        </w:rPr>
        <w:t>综合评分表</w:t>
      </w:r>
      <w:r>
        <w:rPr>
          <w:rFonts w:hint="eastAsia" w:ascii="微软雅黑" w:hAnsi="微软雅黑" w:eastAsia="微软雅黑" w:cs="微软雅黑"/>
          <w:b/>
          <w:bCs/>
          <w:color w:val="auto"/>
          <w:sz w:val="24"/>
          <w:szCs w:val="24"/>
          <w:highlight w:val="none"/>
          <w:lang w:eastAsia="zh-CN"/>
        </w:rPr>
        <w:t>（</w:t>
      </w:r>
      <w:r>
        <w:rPr>
          <w:rFonts w:hint="eastAsia" w:ascii="微软雅黑" w:hAnsi="微软雅黑" w:eastAsia="微软雅黑" w:cs="微软雅黑"/>
          <w:b/>
          <w:bCs/>
          <w:color w:val="auto"/>
          <w:sz w:val="24"/>
          <w:szCs w:val="24"/>
          <w:highlight w:val="none"/>
          <w:lang w:val="en-US" w:eastAsia="zh-CN"/>
        </w:rPr>
        <w:t>标项四</w:t>
      </w:r>
      <w:r>
        <w:rPr>
          <w:rFonts w:hint="eastAsia" w:ascii="微软雅黑" w:hAnsi="微软雅黑" w:eastAsia="微软雅黑" w:cs="微软雅黑"/>
          <w:b/>
          <w:bCs/>
          <w:color w:val="auto"/>
          <w:sz w:val="24"/>
          <w:szCs w:val="24"/>
          <w:highlight w:val="none"/>
          <w:lang w:eastAsia="zh-CN"/>
        </w:rPr>
        <w:t>）</w:t>
      </w:r>
    </w:p>
    <w:tbl>
      <w:tblPr>
        <w:tblStyle w:val="32"/>
        <w:tblW w:w="101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3"/>
        <w:gridCol w:w="638"/>
        <w:gridCol w:w="7244"/>
        <w:gridCol w:w="1350"/>
      </w:tblGrid>
      <w:tr w14:paraId="26841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943" w:type="dxa"/>
            <w:vAlign w:val="center"/>
          </w:tcPr>
          <w:p w14:paraId="6D24BAC1">
            <w:pPr>
              <w:keepNext w:val="0"/>
              <w:keepLines w:val="0"/>
              <w:pageBreakBefore w:val="0"/>
              <w:widowControl w:val="0"/>
              <w:kinsoku/>
              <w:wordWrap/>
              <w:overflowPunct/>
              <w:topLinePunct w:val="0"/>
              <w:autoSpaceDE/>
              <w:autoSpaceDN/>
              <w:bidi w:val="0"/>
              <w:adjustRightInd/>
              <w:snapToGrid/>
              <w:spacing w:line="320" w:lineRule="exact"/>
              <w:ind w:firstLine="28"/>
              <w:jc w:val="both"/>
              <w:textAlignment w:val="auto"/>
              <w:rPr>
                <w:rFonts w:hint="eastAsia" w:ascii="微软雅黑" w:hAnsi="微软雅黑" w:eastAsia="微软雅黑" w:cs="微软雅黑"/>
                <w:b/>
                <w:color w:val="auto"/>
                <w:sz w:val="20"/>
                <w:szCs w:val="20"/>
                <w:highlight w:val="none"/>
                <w:lang w:val="en-US" w:eastAsia="zh-CN"/>
              </w:rPr>
            </w:pPr>
            <w:r>
              <w:rPr>
                <w:rFonts w:hint="eastAsia" w:ascii="微软雅黑" w:hAnsi="微软雅黑" w:eastAsia="微软雅黑" w:cs="微软雅黑"/>
                <w:b/>
                <w:color w:val="auto"/>
                <w:sz w:val="20"/>
                <w:szCs w:val="20"/>
                <w:highlight w:val="none"/>
                <w:lang w:val="en-US" w:eastAsia="zh-CN"/>
              </w:rPr>
              <w:t>类型</w:t>
            </w:r>
          </w:p>
        </w:tc>
        <w:tc>
          <w:tcPr>
            <w:tcW w:w="638" w:type="dxa"/>
            <w:vAlign w:val="center"/>
          </w:tcPr>
          <w:p w14:paraId="2A460BFF">
            <w:pPr>
              <w:keepNext w:val="0"/>
              <w:keepLines w:val="0"/>
              <w:pageBreakBefore w:val="0"/>
              <w:widowControl w:val="0"/>
              <w:kinsoku/>
              <w:wordWrap/>
              <w:overflowPunct/>
              <w:topLinePunct w:val="0"/>
              <w:autoSpaceDE/>
              <w:autoSpaceDN/>
              <w:bidi w:val="0"/>
              <w:adjustRightInd/>
              <w:snapToGrid/>
              <w:spacing w:line="320" w:lineRule="exact"/>
              <w:ind w:firstLine="28"/>
              <w:jc w:val="center"/>
              <w:textAlignment w:val="auto"/>
              <w:rPr>
                <w:rFonts w:hint="eastAsia" w:ascii="微软雅黑" w:hAnsi="微软雅黑" w:eastAsia="微软雅黑" w:cs="微软雅黑"/>
                <w:b/>
                <w:color w:val="auto"/>
                <w:sz w:val="20"/>
                <w:szCs w:val="20"/>
                <w:highlight w:val="none"/>
              </w:rPr>
            </w:pPr>
            <w:r>
              <w:rPr>
                <w:rFonts w:hint="eastAsia" w:ascii="微软雅黑" w:hAnsi="微软雅黑" w:eastAsia="微软雅黑" w:cs="微软雅黑"/>
                <w:b/>
                <w:color w:val="auto"/>
                <w:sz w:val="20"/>
                <w:szCs w:val="20"/>
                <w:highlight w:val="none"/>
              </w:rPr>
              <w:t>分值</w:t>
            </w:r>
          </w:p>
        </w:tc>
        <w:tc>
          <w:tcPr>
            <w:tcW w:w="7244" w:type="dxa"/>
            <w:vAlign w:val="center"/>
          </w:tcPr>
          <w:p w14:paraId="0190999F">
            <w:pPr>
              <w:keepNext w:val="0"/>
              <w:keepLines w:val="0"/>
              <w:pageBreakBefore w:val="0"/>
              <w:widowControl w:val="0"/>
              <w:kinsoku/>
              <w:wordWrap/>
              <w:overflowPunct/>
              <w:topLinePunct w:val="0"/>
              <w:autoSpaceDE/>
              <w:autoSpaceDN/>
              <w:bidi w:val="0"/>
              <w:adjustRightInd/>
              <w:snapToGrid/>
              <w:spacing w:line="320" w:lineRule="exact"/>
              <w:ind w:firstLine="28"/>
              <w:jc w:val="center"/>
              <w:textAlignment w:val="auto"/>
              <w:rPr>
                <w:rFonts w:hint="eastAsia" w:ascii="微软雅黑" w:hAnsi="微软雅黑" w:eastAsia="微软雅黑" w:cs="微软雅黑"/>
                <w:b/>
                <w:bCs w:val="0"/>
                <w:color w:val="auto"/>
                <w:sz w:val="20"/>
                <w:szCs w:val="20"/>
                <w:highlight w:val="none"/>
              </w:rPr>
            </w:pPr>
            <w:r>
              <w:rPr>
                <w:rFonts w:hint="eastAsia" w:ascii="微软雅黑" w:hAnsi="微软雅黑" w:eastAsia="微软雅黑" w:cs="微软雅黑"/>
                <w:b/>
                <w:bCs w:val="0"/>
                <w:color w:val="auto"/>
                <w:sz w:val="20"/>
                <w:szCs w:val="20"/>
                <w:highlight w:val="none"/>
              </w:rPr>
              <w:t>评分标准</w:t>
            </w:r>
          </w:p>
          <w:p w14:paraId="7DFADD1C">
            <w:pPr>
              <w:keepNext w:val="0"/>
              <w:keepLines w:val="0"/>
              <w:pageBreakBefore w:val="0"/>
              <w:widowControl w:val="0"/>
              <w:kinsoku/>
              <w:wordWrap/>
              <w:overflowPunct/>
              <w:topLinePunct w:val="0"/>
              <w:autoSpaceDE/>
              <w:autoSpaceDN/>
              <w:bidi w:val="0"/>
              <w:adjustRightInd/>
              <w:snapToGrid/>
              <w:spacing w:line="320" w:lineRule="exact"/>
              <w:ind w:firstLine="28"/>
              <w:jc w:val="center"/>
              <w:textAlignment w:val="auto"/>
              <w:rPr>
                <w:rFonts w:hint="eastAsia" w:ascii="微软雅黑" w:hAnsi="微软雅黑" w:eastAsia="微软雅黑" w:cs="微软雅黑"/>
                <w:b/>
                <w:bCs w:val="0"/>
                <w:color w:val="auto"/>
                <w:sz w:val="20"/>
                <w:szCs w:val="20"/>
                <w:highlight w:val="none"/>
              </w:rPr>
            </w:pPr>
            <w:r>
              <w:rPr>
                <w:rFonts w:hint="eastAsia" w:ascii="微软雅黑" w:hAnsi="微软雅黑" w:eastAsia="微软雅黑" w:cs="微软雅黑"/>
                <w:b/>
                <w:bCs w:val="0"/>
                <w:color w:val="auto"/>
                <w:sz w:val="20"/>
                <w:szCs w:val="20"/>
                <w:highlight w:val="none"/>
              </w:rPr>
              <w:t xml:space="preserve">价格：30分 </w:t>
            </w:r>
            <w:r>
              <w:rPr>
                <w:rFonts w:hint="eastAsia" w:ascii="微软雅黑" w:hAnsi="微软雅黑" w:eastAsia="微软雅黑" w:cs="微软雅黑"/>
                <w:b/>
                <w:bCs w:val="0"/>
                <w:color w:val="auto"/>
                <w:sz w:val="20"/>
                <w:szCs w:val="20"/>
                <w:highlight w:val="none"/>
                <w:lang w:val="en-US" w:eastAsia="zh-CN"/>
              </w:rPr>
              <w:t xml:space="preserve"> </w:t>
            </w:r>
            <w:r>
              <w:rPr>
                <w:rFonts w:hint="eastAsia" w:ascii="微软雅黑" w:hAnsi="微软雅黑" w:eastAsia="微软雅黑" w:cs="微软雅黑"/>
                <w:b/>
                <w:bCs w:val="0"/>
                <w:color w:val="auto"/>
                <w:sz w:val="20"/>
                <w:szCs w:val="20"/>
                <w:highlight w:val="none"/>
              </w:rPr>
              <w:t xml:space="preserve">  商务：</w:t>
            </w:r>
            <w:r>
              <w:rPr>
                <w:rFonts w:hint="eastAsia" w:ascii="微软雅黑" w:hAnsi="微软雅黑" w:eastAsia="微软雅黑" w:cs="微软雅黑"/>
                <w:b/>
                <w:bCs w:val="0"/>
                <w:color w:val="auto"/>
                <w:sz w:val="20"/>
                <w:szCs w:val="20"/>
                <w:highlight w:val="none"/>
                <w:lang w:val="en-US" w:eastAsia="zh-CN"/>
              </w:rPr>
              <w:t>13</w:t>
            </w:r>
            <w:r>
              <w:rPr>
                <w:rFonts w:hint="eastAsia" w:ascii="微软雅黑" w:hAnsi="微软雅黑" w:eastAsia="微软雅黑" w:cs="微软雅黑"/>
                <w:b/>
                <w:bCs w:val="0"/>
                <w:color w:val="auto"/>
                <w:sz w:val="20"/>
                <w:szCs w:val="20"/>
                <w:highlight w:val="none"/>
              </w:rPr>
              <w:t xml:space="preserve">分 </w:t>
            </w:r>
            <w:r>
              <w:rPr>
                <w:rFonts w:hint="eastAsia" w:ascii="微软雅黑" w:hAnsi="微软雅黑" w:eastAsia="微软雅黑" w:cs="微软雅黑"/>
                <w:b/>
                <w:bCs w:val="0"/>
                <w:color w:val="auto"/>
                <w:sz w:val="20"/>
                <w:szCs w:val="20"/>
                <w:highlight w:val="none"/>
                <w:lang w:val="en-US" w:eastAsia="zh-CN"/>
              </w:rPr>
              <w:t xml:space="preserve"> </w:t>
            </w:r>
            <w:r>
              <w:rPr>
                <w:rFonts w:hint="eastAsia" w:ascii="微软雅黑" w:hAnsi="微软雅黑" w:eastAsia="微软雅黑" w:cs="微软雅黑"/>
                <w:b/>
                <w:bCs w:val="0"/>
                <w:color w:val="auto"/>
                <w:sz w:val="20"/>
                <w:szCs w:val="20"/>
                <w:highlight w:val="none"/>
              </w:rPr>
              <w:t xml:space="preserve">  技术：</w:t>
            </w:r>
            <w:r>
              <w:rPr>
                <w:rFonts w:hint="eastAsia" w:ascii="微软雅黑" w:hAnsi="微软雅黑" w:eastAsia="微软雅黑" w:cs="微软雅黑"/>
                <w:b/>
                <w:bCs w:val="0"/>
                <w:color w:val="auto"/>
                <w:sz w:val="20"/>
                <w:szCs w:val="20"/>
                <w:highlight w:val="none"/>
                <w:lang w:val="en-US" w:eastAsia="zh-CN"/>
              </w:rPr>
              <w:t>57</w:t>
            </w:r>
            <w:r>
              <w:rPr>
                <w:rFonts w:hint="eastAsia" w:ascii="微软雅黑" w:hAnsi="微软雅黑" w:eastAsia="微软雅黑" w:cs="微软雅黑"/>
                <w:b/>
                <w:bCs w:val="0"/>
                <w:color w:val="auto"/>
                <w:sz w:val="20"/>
                <w:szCs w:val="20"/>
                <w:highlight w:val="none"/>
              </w:rPr>
              <w:t xml:space="preserve">分              </w:t>
            </w:r>
          </w:p>
        </w:tc>
        <w:tc>
          <w:tcPr>
            <w:tcW w:w="1350" w:type="dxa"/>
            <w:vAlign w:val="center"/>
          </w:tcPr>
          <w:p w14:paraId="12427E72">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微软雅黑" w:hAnsi="微软雅黑" w:eastAsia="微软雅黑" w:cs="微软雅黑"/>
                <w:b/>
                <w:color w:val="auto"/>
                <w:kern w:val="2"/>
                <w:sz w:val="20"/>
                <w:szCs w:val="20"/>
                <w:highlight w:val="none"/>
                <w:lang w:val="en-US" w:eastAsia="zh-CN" w:bidi="ar-SA"/>
              </w:rPr>
            </w:pPr>
            <w:r>
              <w:rPr>
                <w:rFonts w:hint="eastAsia" w:ascii="微软雅黑" w:hAnsi="微软雅黑" w:eastAsia="微软雅黑" w:cs="微软雅黑"/>
                <w:b/>
                <w:color w:val="auto"/>
                <w:kern w:val="2"/>
                <w:sz w:val="20"/>
                <w:szCs w:val="20"/>
                <w:highlight w:val="none"/>
                <w:lang w:val="en-US" w:eastAsia="zh-CN" w:bidi="ar-SA"/>
              </w:rPr>
              <w:t>说明</w:t>
            </w:r>
          </w:p>
        </w:tc>
      </w:tr>
      <w:tr w14:paraId="2867F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3" w:hRule="atLeast"/>
          <w:jc w:val="center"/>
        </w:trPr>
        <w:tc>
          <w:tcPr>
            <w:tcW w:w="943" w:type="dxa"/>
            <w:vAlign w:val="center"/>
          </w:tcPr>
          <w:p w14:paraId="1FF11737">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价格评分标准</w:t>
            </w:r>
          </w:p>
        </w:tc>
        <w:tc>
          <w:tcPr>
            <w:tcW w:w="638" w:type="dxa"/>
            <w:vAlign w:val="center"/>
          </w:tcPr>
          <w:p w14:paraId="0108F3A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30</w:t>
            </w:r>
          </w:p>
        </w:tc>
        <w:tc>
          <w:tcPr>
            <w:tcW w:w="7244" w:type="dxa"/>
            <w:vAlign w:val="center"/>
          </w:tcPr>
          <w:p w14:paraId="0E83AE6D">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b/>
                <w:bCs/>
                <w:color w:val="auto"/>
                <w:sz w:val="20"/>
                <w:szCs w:val="20"/>
                <w:highlight w:val="none"/>
              </w:rPr>
              <w:t>投标报价</w:t>
            </w:r>
            <w:r>
              <w:rPr>
                <w:rFonts w:hint="eastAsia" w:ascii="微软雅黑" w:hAnsi="微软雅黑" w:eastAsia="微软雅黑" w:cs="微软雅黑"/>
                <w:b/>
                <w:bCs/>
                <w:color w:val="auto"/>
                <w:sz w:val="20"/>
                <w:szCs w:val="20"/>
                <w:highlight w:val="none"/>
                <w:lang w:eastAsia="zh-CN"/>
              </w:rPr>
              <w:t>：</w:t>
            </w:r>
            <w:r>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t>完全满足招标文件参数的投标报价中的最低价为评标基准价，按照下列公式计算每个供应商的投标价格得分。投标报价得分＝（基准价/投标报价）×价格权重×100。</w:t>
            </w:r>
          </w:p>
        </w:tc>
        <w:tc>
          <w:tcPr>
            <w:tcW w:w="1350" w:type="dxa"/>
            <w:vAlign w:val="center"/>
          </w:tcPr>
          <w:p w14:paraId="0FDF852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b/>
                <w:bCs/>
                <w:color w:val="auto"/>
                <w:sz w:val="20"/>
                <w:szCs w:val="20"/>
                <w:highlight w:val="none"/>
              </w:rPr>
            </w:pPr>
            <w:r>
              <w:rPr>
                <w:rFonts w:hint="eastAsia" w:ascii="微软雅黑" w:hAnsi="微软雅黑" w:eastAsia="微软雅黑" w:cs="微软雅黑"/>
                <w:b/>
                <w:bCs/>
                <w:color w:val="auto"/>
                <w:sz w:val="20"/>
                <w:szCs w:val="20"/>
                <w:highlight w:val="none"/>
              </w:rPr>
              <w:t>投标报价超过采购预算</w:t>
            </w:r>
            <w:r>
              <w:rPr>
                <w:rFonts w:hint="eastAsia" w:ascii="微软雅黑" w:hAnsi="微软雅黑" w:eastAsia="微软雅黑" w:cs="微软雅黑"/>
                <w:b/>
                <w:bCs/>
                <w:color w:val="auto"/>
                <w:sz w:val="20"/>
                <w:szCs w:val="20"/>
                <w:highlight w:val="none"/>
                <w:lang w:eastAsia="zh-CN"/>
              </w:rPr>
              <w:t>单价</w:t>
            </w:r>
            <w:r>
              <w:rPr>
                <w:rFonts w:hint="eastAsia" w:ascii="微软雅黑" w:hAnsi="微软雅黑" w:eastAsia="微软雅黑" w:cs="微软雅黑"/>
                <w:b/>
                <w:bCs/>
                <w:color w:val="auto"/>
                <w:sz w:val="20"/>
                <w:szCs w:val="20"/>
                <w:highlight w:val="none"/>
              </w:rPr>
              <w:t>的按废标处理</w:t>
            </w:r>
          </w:p>
        </w:tc>
      </w:tr>
      <w:tr w14:paraId="162A0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06" w:hRule="atLeast"/>
          <w:jc w:val="center"/>
        </w:trPr>
        <w:tc>
          <w:tcPr>
            <w:tcW w:w="943" w:type="dxa"/>
            <w:vMerge w:val="restart"/>
            <w:vAlign w:val="center"/>
          </w:tcPr>
          <w:p w14:paraId="4711DADA">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商务评分标准</w:t>
            </w:r>
          </w:p>
        </w:tc>
        <w:tc>
          <w:tcPr>
            <w:tcW w:w="638" w:type="dxa"/>
            <w:vAlign w:val="center"/>
          </w:tcPr>
          <w:p w14:paraId="0F84865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微软雅黑" w:hAnsi="微软雅黑" w:eastAsia="微软雅黑" w:cs="微软雅黑"/>
                <w:color w:val="auto"/>
                <w:sz w:val="20"/>
                <w:szCs w:val="20"/>
                <w:highlight w:val="none"/>
                <w:lang w:val="en-US" w:eastAsia="zh-CN"/>
              </w:rPr>
            </w:pPr>
            <w:r>
              <w:rPr>
                <w:rFonts w:hint="eastAsia" w:ascii="微软雅黑" w:hAnsi="微软雅黑" w:eastAsia="微软雅黑" w:cs="微软雅黑"/>
                <w:color w:val="auto"/>
                <w:sz w:val="20"/>
                <w:szCs w:val="20"/>
                <w:highlight w:val="none"/>
                <w:lang w:val="en-US" w:eastAsia="zh-CN"/>
              </w:rPr>
              <w:t>2</w:t>
            </w:r>
          </w:p>
        </w:tc>
        <w:tc>
          <w:tcPr>
            <w:tcW w:w="7244" w:type="dxa"/>
            <w:vAlign w:val="center"/>
          </w:tcPr>
          <w:p w14:paraId="14597C75">
            <w:pPr>
              <w:spacing w:line="400" w:lineRule="exact"/>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pPr>
            <w:r>
              <w:rPr>
                <w:rFonts w:hint="eastAsia" w:ascii="微软雅黑" w:hAnsi="微软雅黑" w:eastAsia="微软雅黑" w:cs="微软雅黑"/>
                <w:b/>
                <w:bCs/>
                <w:color w:val="000000" w:themeColor="text1"/>
                <w:sz w:val="21"/>
                <w:szCs w:val="21"/>
                <w:highlight w:val="none"/>
                <w:lang w:val="en-US" w:eastAsia="zh-CN"/>
                <w14:textFill>
                  <w14:solidFill>
                    <w14:schemeClr w14:val="tx1"/>
                  </w14:solidFill>
                </w14:textFill>
              </w:rPr>
              <w:t>业绩：</w:t>
            </w:r>
            <w:r>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t>投标供应商提供近三年内</w:t>
            </w:r>
            <w:r>
              <w:rPr>
                <w:rFonts w:hint="eastAsia" w:ascii="微软雅黑" w:hAnsi="微软雅黑" w:eastAsia="微软雅黑" w:cs="微软雅黑"/>
                <w:szCs w:val="21"/>
                <w:highlight w:val="none"/>
                <w:lang w:eastAsia="zh-CN"/>
              </w:rPr>
              <w:t>（2023年</w:t>
            </w:r>
            <w:r>
              <w:rPr>
                <w:rFonts w:hint="eastAsia" w:ascii="微软雅黑" w:hAnsi="微软雅黑" w:eastAsia="微软雅黑" w:cs="微软雅黑"/>
                <w:szCs w:val="21"/>
                <w:highlight w:val="none"/>
                <w:lang w:val="en-US" w:eastAsia="zh-CN"/>
              </w:rPr>
              <w:t>4</w:t>
            </w:r>
            <w:r>
              <w:rPr>
                <w:rFonts w:hint="eastAsia" w:ascii="微软雅黑" w:hAnsi="微软雅黑" w:eastAsia="微软雅黑" w:cs="微软雅黑"/>
                <w:szCs w:val="21"/>
                <w:highlight w:val="none"/>
                <w:lang w:eastAsia="zh-CN"/>
              </w:rPr>
              <w:t>月</w:t>
            </w:r>
            <w:r>
              <w:rPr>
                <w:rFonts w:hint="eastAsia" w:ascii="微软雅黑" w:hAnsi="微软雅黑" w:eastAsia="微软雅黑" w:cs="微软雅黑"/>
                <w:szCs w:val="21"/>
                <w:highlight w:val="none"/>
                <w:lang w:val="en-US" w:eastAsia="zh-CN"/>
              </w:rPr>
              <w:t>1日</w:t>
            </w:r>
            <w:r>
              <w:rPr>
                <w:rFonts w:hint="eastAsia" w:ascii="微软雅黑" w:hAnsi="微软雅黑" w:eastAsia="微软雅黑" w:cs="微软雅黑"/>
                <w:szCs w:val="21"/>
                <w:highlight w:val="none"/>
                <w:lang w:eastAsia="zh-CN"/>
              </w:rPr>
              <w:t>至今）类似</w:t>
            </w:r>
            <w:r>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t>业绩证明材料（投标文件内附中标/成交通知书及合同扫描件），每提供一个得1分，最高得2分，未提供或提供不全的不得分。</w:t>
            </w:r>
          </w:p>
          <w:p w14:paraId="44085FFE">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b/>
                <w:bCs/>
                <w:color w:val="auto"/>
                <w:sz w:val="20"/>
                <w:szCs w:val="20"/>
                <w:highlight w:val="none"/>
                <w:lang w:val="en-US" w:eastAsia="zh-CN"/>
              </w:rPr>
            </w:pPr>
            <w:r>
              <w:rPr>
                <w:rFonts w:hint="eastAsia" w:ascii="微软雅黑" w:hAnsi="微软雅黑" w:eastAsia="微软雅黑" w:cs="微软雅黑"/>
                <w:b/>
                <w:bCs/>
                <w:szCs w:val="21"/>
                <w:highlight w:val="none"/>
              </w:rPr>
              <w:t>注：①业绩证明材料模糊，无法辨识的，视为无效业绩</w:t>
            </w:r>
            <w:r>
              <w:rPr>
                <w:rFonts w:hint="eastAsia" w:ascii="微软雅黑" w:hAnsi="微软雅黑" w:eastAsia="微软雅黑" w:cs="微软雅黑"/>
                <w:b/>
                <w:bCs/>
                <w:szCs w:val="21"/>
                <w:highlight w:val="none"/>
                <w:lang w:eastAsia="zh-CN"/>
              </w:rPr>
              <w:t>。②</w:t>
            </w:r>
            <w:r>
              <w:rPr>
                <w:rFonts w:hint="eastAsia" w:ascii="微软雅黑" w:hAnsi="微软雅黑" w:eastAsia="微软雅黑" w:cs="微软雅黑"/>
                <w:b/>
                <w:bCs/>
                <w:szCs w:val="21"/>
                <w:highlight w:val="none"/>
              </w:rPr>
              <w:t>投标提供虚假</w:t>
            </w:r>
            <w:r>
              <w:rPr>
                <w:rFonts w:hint="eastAsia" w:ascii="微软雅黑" w:hAnsi="微软雅黑" w:eastAsia="微软雅黑" w:cs="微软雅黑"/>
                <w:b/>
                <w:bCs/>
                <w:szCs w:val="21"/>
                <w:highlight w:val="none"/>
                <w:lang w:val="en-US" w:eastAsia="zh-CN"/>
              </w:rPr>
              <w:t>资料</w:t>
            </w:r>
            <w:r>
              <w:rPr>
                <w:rFonts w:hint="eastAsia" w:ascii="微软雅黑" w:hAnsi="微软雅黑" w:eastAsia="微软雅黑" w:cs="微软雅黑"/>
                <w:b/>
                <w:bCs/>
                <w:szCs w:val="21"/>
                <w:highlight w:val="none"/>
              </w:rPr>
              <w:t>的，按</w:t>
            </w:r>
            <w:r>
              <w:rPr>
                <w:rFonts w:hint="eastAsia" w:ascii="微软雅黑" w:hAnsi="微软雅黑" w:eastAsia="微软雅黑" w:cs="微软雅黑"/>
                <w:b/>
                <w:bCs/>
                <w:szCs w:val="21"/>
                <w:highlight w:val="none"/>
                <w:lang w:val="en-US" w:eastAsia="zh-CN"/>
              </w:rPr>
              <w:t>投标</w:t>
            </w:r>
            <w:r>
              <w:rPr>
                <w:rFonts w:hint="eastAsia" w:ascii="微软雅黑" w:hAnsi="微软雅黑" w:eastAsia="微软雅黑" w:cs="微软雅黑"/>
                <w:b/>
                <w:bCs/>
                <w:szCs w:val="21"/>
                <w:highlight w:val="none"/>
              </w:rPr>
              <w:t>无效处理。③</w:t>
            </w:r>
            <w:r>
              <w:rPr>
                <w:rFonts w:hint="eastAsia" w:ascii="微软雅黑" w:hAnsi="微软雅黑" w:eastAsia="微软雅黑" w:cs="微软雅黑"/>
                <w:b/>
                <w:bCs/>
                <w:szCs w:val="21"/>
                <w:highlight w:val="none"/>
                <w:lang w:val="en-US" w:eastAsia="zh-CN"/>
              </w:rPr>
              <w:t>合同内容：项目名称、</w:t>
            </w:r>
            <w:r>
              <w:rPr>
                <w:rFonts w:hint="eastAsia" w:ascii="微软雅黑" w:hAnsi="微软雅黑" w:eastAsia="微软雅黑" w:cs="微软雅黑"/>
                <w:b/>
                <w:bCs/>
                <w:szCs w:val="21"/>
                <w:highlight w:val="none"/>
              </w:rPr>
              <w:t>货物内容信息、合同金额、</w:t>
            </w:r>
            <w:r>
              <w:rPr>
                <w:rFonts w:hint="eastAsia" w:ascii="微软雅黑" w:hAnsi="微软雅黑" w:eastAsia="微软雅黑" w:cs="微软雅黑"/>
                <w:b/>
                <w:bCs/>
                <w:szCs w:val="21"/>
                <w:highlight w:val="none"/>
                <w:lang w:val="en-US" w:eastAsia="zh-CN"/>
              </w:rPr>
              <w:t>甲乙双方</w:t>
            </w:r>
            <w:r>
              <w:rPr>
                <w:rFonts w:hint="eastAsia" w:ascii="微软雅黑" w:hAnsi="微软雅黑" w:eastAsia="微软雅黑" w:cs="微软雅黑"/>
                <w:b/>
                <w:bCs/>
                <w:szCs w:val="21"/>
                <w:highlight w:val="none"/>
              </w:rPr>
              <w:t>签字盖章</w:t>
            </w:r>
            <w:r>
              <w:rPr>
                <w:rFonts w:hint="eastAsia" w:ascii="微软雅黑" w:hAnsi="微软雅黑" w:eastAsia="微软雅黑" w:cs="微软雅黑"/>
                <w:b/>
                <w:bCs/>
                <w:szCs w:val="21"/>
                <w:highlight w:val="none"/>
                <w:lang w:eastAsia="zh-CN"/>
              </w:rPr>
              <w:t>、</w:t>
            </w:r>
            <w:r>
              <w:rPr>
                <w:rFonts w:hint="eastAsia" w:ascii="微软雅黑" w:hAnsi="微软雅黑" w:eastAsia="微软雅黑" w:cs="微软雅黑"/>
                <w:b/>
                <w:bCs/>
                <w:szCs w:val="21"/>
                <w:highlight w:val="none"/>
                <w:lang w:val="en-US" w:eastAsia="zh-CN"/>
              </w:rPr>
              <w:t>合同签订时间，若无以上内容，视为无效业绩</w:t>
            </w:r>
            <w:r>
              <w:rPr>
                <w:rFonts w:hint="eastAsia" w:ascii="微软雅黑" w:hAnsi="微软雅黑" w:eastAsia="微软雅黑" w:cs="微软雅黑"/>
                <w:b/>
                <w:bCs/>
                <w:szCs w:val="21"/>
                <w:highlight w:val="none"/>
              </w:rPr>
              <w:t>。</w:t>
            </w:r>
          </w:p>
        </w:tc>
        <w:tc>
          <w:tcPr>
            <w:tcW w:w="1350" w:type="dxa"/>
            <w:vMerge w:val="restart"/>
            <w:vAlign w:val="center"/>
          </w:tcPr>
          <w:p w14:paraId="09AE73CB">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b/>
                <w:bCs/>
                <w:color w:val="auto"/>
                <w:sz w:val="20"/>
                <w:szCs w:val="20"/>
                <w:highlight w:val="none"/>
              </w:rPr>
              <w:t>根据需求提供必要的证明资料</w:t>
            </w:r>
          </w:p>
        </w:tc>
      </w:tr>
      <w:tr w14:paraId="56EE7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06" w:hRule="atLeast"/>
          <w:jc w:val="center"/>
        </w:trPr>
        <w:tc>
          <w:tcPr>
            <w:tcW w:w="943" w:type="dxa"/>
            <w:vMerge w:val="continue"/>
            <w:vAlign w:val="center"/>
          </w:tcPr>
          <w:p w14:paraId="22FA60B4">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0"/>
                <w:szCs w:val="20"/>
                <w:highlight w:val="none"/>
              </w:rPr>
            </w:pPr>
          </w:p>
        </w:tc>
        <w:tc>
          <w:tcPr>
            <w:tcW w:w="638" w:type="dxa"/>
            <w:vAlign w:val="center"/>
          </w:tcPr>
          <w:p w14:paraId="2B69B94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微软雅黑" w:hAnsi="微软雅黑" w:eastAsia="微软雅黑" w:cs="微软雅黑"/>
                <w:color w:val="auto"/>
                <w:sz w:val="20"/>
                <w:szCs w:val="20"/>
                <w:highlight w:val="none"/>
                <w:lang w:val="en-US" w:eastAsia="zh-CN"/>
              </w:rPr>
            </w:pPr>
            <w:r>
              <w:rPr>
                <w:rFonts w:hint="eastAsia" w:ascii="微软雅黑" w:hAnsi="微软雅黑" w:eastAsia="微软雅黑" w:cs="微软雅黑"/>
                <w:color w:val="auto"/>
                <w:sz w:val="20"/>
                <w:szCs w:val="20"/>
                <w:highlight w:val="none"/>
                <w:lang w:val="en-US" w:eastAsia="zh-CN"/>
              </w:rPr>
              <w:t>2</w:t>
            </w:r>
          </w:p>
        </w:tc>
        <w:tc>
          <w:tcPr>
            <w:tcW w:w="7244" w:type="dxa"/>
            <w:vAlign w:val="center"/>
          </w:tcPr>
          <w:p w14:paraId="6362E8F9">
            <w:pPr>
              <w:spacing w:line="400" w:lineRule="exact"/>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pPr>
            <w:r>
              <w:rPr>
                <w:rFonts w:hint="eastAsia" w:ascii="微软雅黑" w:hAnsi="微软雅黑" w:eastAsia="微软雅黑" w:cs="微软雅黑"/>
                <w:b/>
                <w:bCs/>
                <w:color w:val="auto"/>
                <w:sz w:val="20"/>
                <w:szCs w:val="20"/>
                <w:highlight w:val="none"/>
                <w:lang w:val="en-US" w:eastAsia="zh-CN"/>
              </w:rPr>
              <w:t>质量保证承诺：</w:t>
            </w:r>
            <w:r>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t>根据各投标供应商提供的质量保证承诺进行打分：</w:t>
            </w:r>
          </w:p>
          <w:p w14:paraId="2F89F393">
            <w:pPr>
              <w:spacing w:line="400" w:lineRule="exact"/>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t>①保证所投产品质量符合国家标准、行业标准的承诺；</w:t>
            </w:r>
          </w:p>
          <w:p w14:paraId="138D6047">
            <w:pPr>
              <w:spacing w:line="400" w:lineRule="exact"/>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t>②因中标人原因导致合同终止，无条件承担违约责任的承诺。</w:t>
            </w:r>
          </w:p>
          <w:p w14:paraId="30E66D5F">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b/>
                <w:bCs/>
                <w:color w:val="auto"/>
                <w:sz w:val="20"/>
                <w:szCs w:val="20"/>
                <w:highlight w:val="none"/>
                <w:lang w:val="en-US" w:eastAsia="zh-CN"/>
              </w:rPr>
            </w:pPr>
            <w:r>
              <w:rPr>
                <w:rFonts w:hint="eastAsia" w:ascii="微软雅黑" w:hAnsi="微软雅黑" w:eastAsia="微软雅黑" w:cs="微软雅黑"/>
                <w:b/>
                <w:bCs/>
                <w:color w:val="auto"/>
                <w:sz w:val="20"/>
                <w:szCs w:val="20"/>
                <w:highlight w:val="none"/>
                <w:lang w:val="en-US" w:eastAsia="zh-CN"/>
              </w:rPr>
              <w:t>注</w:t>
            </w:r>
            <w:r>
              <w:rPr>
                <w:rFonts w:hint="eastAsia" w:ascii="微软雅黑" w:hAnsi="微软雅黑" w:eastAsia="微软雅黑" w:cs="微软雅黑"/>
                <w:b/>
                <w:bCs/>
                <w:color w:val="000000" w:themeColor="text1"/>
                <w:sz w:val="21"/>
                <w:szCs w:val="21"/>
                <w:highlight w:val="none"/>
                <w:lang w:val="en-US" w:eastAsia="zh-CN"/>
                <w14:textFill>
                  <w14:solidFill>
                    <w14:schemeClr w14:val="tx1"/>
                  </w14:solidFill>
                </w14:textFill>
              </w:rPr>
              <w:t>：以上承诺函格式自拟，须加盖投标供应商公章，每提供一个得1分，本项最高得2分，未提供的不得分。</w:t>
            </w:r>
          </w:p>
        </w:tc>
        <w:tc>
          <w:tcPr>
            <w:tcW w:w="1350" w:type="dxa"/>
            <w:vMerge w:val="continue"/>
            <w:vAlign w:val="center"/>
          </w:tcPr>
          <w:p w14:paraId="164D6FF6">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b/>
                <w:bCs/>
                <w:color w:val="auto"/>
                <w:sz w:val="20"/>
                <w:szCs w:val="20"/>
                <w:highlight w:val="none"/>
              </w:rPr>
            </w:pPr>
          </w:p>
        </w:tc>
      </w:tr>
      <w:tr w14:paraId="0DA76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06" w:hRule="atLeast"/>
          <w:jc w:val="center"/>
        </w:trPr>
        <w:tc>
          <w:tcPr>
            <w:tcW w:w="943" w:type="dxa"/>
            <w:vMerge w:val="continue"/>
            <w:vAlign w:val="center"/>
          </w:tcPr>
          <w:p w14:paraId="2D2F3B81">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0"/>
                <w:szCs w:val="20"/>
                <w:highlight w:val="none"/>
              </w:rPr>
            </w:pPr>
          </w:p>
        </w:tc>
        <w:tc>
          <w:tcPr>
            <w:tcW w:w="638" w:type="dxa"/>
            <w:vAlign w:val="center"/>
          </w:tcPr>
          <w:p w14:paraId="5B6E510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微软雅黑" w:hAnsi="微软雅黑" w:eastAsia="微软雅黑" w:cs="微软雅黑"/>
                <w:color w:val="auto"/>
                <w:sz w:val="20"/>
                <w:szCs w:val="20"/>
                <w:highlight w:val="none"/>
                <w:lang w:val="en-US" w:eastAsia="zh-CN"/>
              </w:rPr>
            </w:pPr>
            <w:r>
              <w:rPr>
                <w:rFonts w:hint="eastAsia" w:ascii="微软雅黑" w:hAnsi="微软雅黑" w:eastAsia="微软雅黑" w:cs="微软雅黑"/>
                <w:color w:val="auto"/>
                <w:sz w:val="20"/>
                <w:szCs w:val="20"/>
                <w:highlight w:val="none"/>
                <w:lang w:val="en-US" w:eastAsia="zh-CN"/>
              </w:rPr>
              <w:t>5</w:t>
            </w:r>
          </w:p>
        </w:tc>
        <w:tc>
          <w:tcPr>
            <w:tcW w:w="7244" w:type="dxa"/>
            <w:vAlign w:val="center"/>
          </w:tcPr>
          <w:p w14:paraId="7E228099">
            <w:pPr>
              <w:widowControl/>
              <w:jc w:val="left"/>
              <w:rPr>
                <w:rFonts w:hint="eastAsia" w:ascii="微软雅黑" w:hAnsi="微软雅黑" w:eastAsia="微软雅黑" w:cs="微软雅黑"/>
                <w:b/>
                <w:bCs/>
                <w:color w:val="auto"/>
                <w:kern w:val="0"/>
                <w:sz w:val="20"/>
                <w:szCs w:val="20"/>
                <w:highlight w:val="none"/>
                <w:lang w:val="en-US" w:eastAsia="zh-CN"/>
              </w:rPr>
            </w:pPr>
            <w:r>
              <w:rPr>
                <w:rFonts w:hint="eastAsia" w:ascii="微软雅黑" w:hAnsi="微软雅黑" w:eastAsia="微软雅黑" w:cs="微软雅黑"/>
                <w:b/>
                <w:bCs/>
                <w:color w:val="auto"/>
                <w:kern w:val="0"/>
                <w:sz w:val="20"/>
                <w:szCs w:val="20"/>
                <w:highlight w:val="none"/>
                <w:lang w:val="en-US" w:eastAsia="zh-CN"/>
              </w:rPr>
              <w:t>拟投入本项目服务团队人员：</w:t>
            </w:r>
          </w:p>
          <w:p w14:paraId="2CC4D43D">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t>投标供应商拟投入本项目服务团队人员，包括但不限于：项目负责人、质量负责人员、调度人员、配送人员、售后服务人员等5人或以上；满足得5分；每缺少一人扣1分，扣完为止。</w:t>
            </w:r>
          </w:p>
          <w:p w14:paraId="282DD5E0">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b/>
                <w:bCs/>
                <w:color w:val="000000" w:themeColor="text1"/>
                <w:sz w:val="21"/>
                <w:szCs w:val="21"/>
                <w:highlight w:val="none"/>
                <w:lang w:val="en-US" w:eastAsia="zh-CN"/>
                <w14:textFill>
                  <w14:solidFill>
                    <w14:schemeClr w14:val="tx1"/>
                  </w14:solidFill>
                </w14:textFill>
              </w:rPr>
            </w:pPr>
            <w:r>
              <w:rPr>
                <w:rFonts w:hint="eastAsia" w:ascii="微软雅黑" w:hAnsi="微软雅黑" w:eastAsia="微软雅黑" w:cs="微软雅黑"/>
                <w:b/>
                <w:bCs/>
                <w:color w:val="000000" w:themeColor="text1"/>
                <w:sz w:val="21"/>
                <w:szCs w:val="21"/>
                <w:highlight w:val="none"/>
                <w:lang w:val="en-US" w:eastAsia="zh-CN"/>
                <w14:textFill>
                  <w14:solidFill>
                    <w14:schemeClr w14:val="tx1"/>
                  </w14:solidFill>
                </w14:textFill>
              </w:rPr>
              <w:t>注：①以上人员不重复计分，须提供拟投入本项目人员的人员身份证复印件、在本单位缴纳的近6个月任意1个月的社保（退休人员提供退休证明）、相关职业证书，专职配送人员需提供健康证且证件在有效期内。</w:t>
            </w:r>
          </w:p>
          <w:p w14:paraId="7EE045E6">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b/>
                <w:bCs/>
                <w:color w:val="000000" w:themeColor="text1"/>
                <w:sz w:val="21"/>
                <w:szCs w:val="21"/>
                <w:highlight w:val="none"/>
                <w:lang w:val="en-US" w:eastAsia="zh-CN"/>
                <w14:textFill>
                  <w14:solidFill>
                    <w14:schemeClr w14:val="tx1"/>
                  </w14:solidFill>
                </w14:textFill>
              </w:rPr>
            </w:pPr>
            <w:r>
              <w:rPr>
                <w:rFonts w:hint="eastAsia" w:ascii="微软雅黑" w:hAnsi="微软雅黑" w:eastAsia="微软雅黑" w:cs="微软雅黑"/>
                <w:b/>
                <w:bCs/>
                <w:color w:val="000000" w:themeColor="text1"/>
                <w:sz w:val="21"/>
                <w:szCs w:val="21"/>
                <w:highlight w:val="none"/>
                <w:lang w:val="en-US" w:eastAsia="zh-CN"/>
                <w14:textFill>
                  <w14:solidFill>
                    <w14:schemeClr w14:val="tx1"/>
                  </w14:solidFill>
                </w14:textFill>
              </w:rPr>
              <w:t>②以上证明材料提供不全或不提供不得分。</w:t>
            </w:r>
          </w:p>
        </w:tc>
        <w:tc>
          <w:tcPr>
            <w:tcW w:w="1350" w:type="dxa"/>
            <w:vMerge w:val="continue"/>
            <w:vAlign w:val="center"/>
          </w:tcPr>
          <w:p w14:paraId="4071B07A">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b/>
                <w:bCs/>
                <w:color w:val="auto"/>
                <w:sz w:val="20"/>
                <w:szCs w:val="20"/>
                <w:highlight w:val="none"/>
              </w:rPr>
            </w:pPr>
          </w:p>
        </w:tc>
      </w:tr>
      <w:tr w14:paraId="6E3FD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06" w:hRule="atLeast"/>
          <w:jc w:val="center"/>
        </w:trPr>
        <w:tc>
          <w:tcPr>
            <w:tcW w:w="943" w:type="dxa"/>
            <w:vMerge w:val="continue"/>
            <w:vAlign w:val="center"/>
          </w:tcPr>
          <w:p w14:paraId="1C24170B">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0"/>
                <w:szCs w:val="20"/>
                <w:highlight w:val="none"/>
              </w:rPr>
            </w:pPr>
          </w:p>
        </w:tc>
        <w:tc>
          <w:tcPr>
            <w:tcW w:w="638" w:type="dxa"/>
            <w:vAlign w:val="center"/>
          </w:tcPr>
          <w:p w14:paraId="00B49C9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color w:val="auto"/>
                <w:sz w:val="20"/>
                <w:szCs w:val="20"/>
                <w:highlight w:val="none"/>
                <w:lang w:val="en-US" w:eastAsia="zh-CN"/>
              </w:rPr>
            </w:pPr>
            <w:r>
              <w:rPr>
                <w:rFonts w:hint="eastAsia" w:ascii="微软雅黑" w:hAnsi="微软雅黑" w:eastAsia="微软雅黑" w:cs="微软雅黑"/>
                <w:color w:val="auto"/>
                <w:sz w:val="20"/>
                <w:szCs w:val="20"/>
                <w:highlight w:val="none"/>
                <w:lang w:val="en-US" w:eastAsia="zh-CN"/>
              </w:rPr>
              <w:t>4</w:t>
            </w:r>
          </w:p>
        </w:tc>
        <w:tc>
          <w:tcPr>
            <w:tcW w:w="7244" w:type="dxa"/>
            <w:vAlign w:val="center"/>
          </w:tcPr>
          <w:p w14:paraId="39B95CBC">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b w:val="0"/>
                <w:bCs w:val="0"/>
                <w:color w:val="auto"/>
                <w:kern w:val="0"/>
                <w:sz w:val="20"/>
                <w:szCs w:val="20"/>
                <w:highlight w:val="none"/>
                <w:lang w:val="en-US" w:eastAsia="zh-CN"/>
              </w:rPr>
            </w:pPr>
            <w:r>
              <w:rPr>
                <w:rFonts w:hint="eastAsia" w:ascii="微软雅黑" w:hAnsi="微软雅黑" w:eastAsia="微软雅黑" w:cs="微软雅黑"/>
                <w:b/>
                <w:bCs/>
                <w:color w:val="auto"/>
                <w:kern w:val="0"/>
                <w:sz w:val="20"/>
                <w:szCs w:val="20"/>
                <w:highlight w:val="none"/>
                <w:lang w:val="en-US" w:eastAsia="zh-CN"/>
              </w:rPr>
              <w:t>配送能力：</w:t>
            </w:r>
            <w:r>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t>提供满足项目所需的专业配送车辆，每提供1辆得1分，最高可得4分。</w:t>
            </w:r>
          </w:p>
          <w:p w14:paraId="06AE95E4">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b/>
                <w:bCs/>
                <w:color w:val="000000" w:themeColor="text1"/>
                <w:sz w:val="21"/>
                <w:szCs w:val="21"/>
                <w:highlight w:val="none"/>
                <w:lang w:val="en-US" w:eastAsia="zh-CN"/>
                <w14:textFill>
                  <w14:solidFill>
                    <w14:schemeClr w14:val="tx1"/>
                  </w14:solidFill>
                </w14:textFill>
              </w:rPr>
            </w:pPr>
            <w:r>
              <w:rPr>
                <w:rFonts w:hint="eastAsia" w:ascii="微软雅黑" w:hAnsi="微软雅黑" w:eastAsia="微软雅黑" w:cs="微软雅黑"/>
                <w:b/>
                <w:bCs/>
                <w:color w:val="auto"/>
                <w:kern w:val="0"/>
                <w:sz w:val="20"/>
                <w:szCs w:val="20"/>
                <w:highlight w:val="none"/>
                <w:lang w:val="en-US" w:eastAsia="zh-CN"/>
              </w:rPr>
              <w:t>注：①</w:t>
            </w:r>
            <w:r>
              <w:rPr>
                <w:rFonts w:hint="eastAsia" w:ascii="微软雅黑" w:hAnsi="微软雅黑" w:eastAsia="微软雅黑" w:cs="微软雅黑"/>
                <w:b/>
                <w:bCs/>
                <w:color w:val="000000" w:themeColor="text1"/>
                <w:sz w:val="21"/>
                <w:szCs w:val="21"/>
                <w:highlight w:val="none"/>
                <w:lang w:val="en-US" w:eastAsia="zh-CN"/>
                <w14:textFill>
                  <w14:solidFill>
                    <w14:schemeClr w14:val="tx1"/>
                  </w14:solidFill>
                </w14:textFill>
              </w:rPr>
              <w:t>车辆是投标人自有车辆的须提供有效机动车行驶证的扫描件和照片并加盖单位公章，车辆是投标人租赁车辆的须提供租赁合同、车辆的行驶证扫描件和照片并加盖单位公章。</w:t>
            </w:r>
          </w:p>
          <w:p w14:paraId="5E99B29C">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b w:val="0"/>
                <w:bCs w:val="0"/>
                <w:color w:val="auto"/>
                <w:sz w:val="20"/>
                <w:szCs w:val="20"/>
                <w:highlight w:val="none"/>
                <w:lang w:val="en-US" w:eastAsia="zh-CN"/>
              </w:rPr>
            </w:pPr>
            <w:r>
              <w:rPr>
                <w:rFonts w:hint="eastAsia" w:ascii="微软雅黑" w:hAnsi="微软雅黑" w:eastAsia="微软雅黑" w:cs="微软雅黑"/>
                <w:b/>
                <w:bCs/>
                <w:color w:val="000000" w:themeColor="text1"/>
                <w:sz w:val="21"/>
                <w:szCs w:val="21"/>
                <w:highlight w:val="none"/>
                <w:lang w:val="en-US" w:eastAsia="zh-CN"/>
                <w14:textFill>
                  <w14:solidFill>
                    <w14:schemeClr w14:val="tx1"/>
                  </w14:solidFill>
                </w14:textFill>
              </w:rPr>
              <w:t>②以上证明材料提供不全或不提供不得分。</w:t>
            </w:r>
          </w:p>
        </w:tc>
        <w:tc>
          <w:tcPr>
            <w:tcW w:w="1350" w:type="dxa"/>
            <w:vMerge w:val="continue"/>
            <w:vAlign w:val="center"/>
          </w:tcPr>
          <w:p w14:paraId="06D64B44">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b/>
                <w:bCs/>
                <w:color w:val="auto"/>
                <w:sz w:val="20"/>
                <w:szCs w:val="20"/>
                <w:highlight w:val="none"/>
              </w:rPr>
            </w:pPr>
          </w:p>
        </w:tc>
      </w:tr>
      <w:tr w14:paraId="37F86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3" w:hRule="atLeast"/>
          <w:jc w:val="center"/>
        </w:trPr>
        <w:tc>
          <w:tcPr>
            <w:tcW w:w="943" w:type="dxa"/>
            <w:vMerge w:val="restart"/>
            <w:vAlign w:val="center"/>
          </w:tcPr>
          <w:p w14:paraId="5FC080F1">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0"/>
                <w:szCs w:val="20"/>
                <w:highlight w:val="none"/>
              </w:rPr>
            </w:pPr>
          </w:p>
          <w:p w14:paraId="6273E2F0">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技术评分标准</w:t>
            </w:r>
          </w:p>
        </w:tc>
        <w:tc>
          <w:tcPr>
            <w:tcW w:w="638" w:type="dxa"/>
            <w:vAlign w:val="center"/>
          </w:tcPr>
          <w:p w14:paraId="4B0801A2">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微软雅黑" w:hAnsi="微软雅黑" w:eastAsia="微软雅黑" w:cs="微软雅黑"/>
                <w:color w:val="auto"/>
                <w:sz w:val="20"/>
                <w:szCs w:val="20"/>
                <w:highlight w:val="none"/>
                <w:lang w:val="en-US" w:eastAsia="zh-CN"/>
              </w:rPr>
            </w:pPr>
            <w:r>
              <w:rPr>
                <w:rFonts w:hint="eastAsia" w:ascii="微软雅黑" w:hAnsi="微软雅黑" w:eastAsia="微软雅黑" w:cs="微软雅黑"/>
                <w:color w:val="auto"/>
                <w:sz w:val="20"/>
                <w:szCs w:val="20"/>
                <w:highlight w:val="none"/>
                <w:lang w:val="en-US" w:eastAsia="zh-CN"/>
              </w:rPr>
              <w:t>24</w:t>
            </w:r>
          </w:p>
        </w:tc>
        <w:tc>
          <w:tcPr>
            <w:tcW w:w="7244" w:type="dxa"/>
            <w:vAlign w:val="center"/>
          </w:tcPr>
          <w:p w14:paraId="328FC977">
            <w:pPr>
              <w:pageBreakBefore w:val="0"/>
              <w:kinsoku/>
              <w:wordWrap w:val="0"/>
              <w:overflowPunct/>
              <w:topLinePunct w:val="0"/>
              <w:bidi w:val="0"/>
              <w:spacing w:line="400" w:lineRule="exact"/>
              <w:rPr>
                <w:rFonts w:hint="eastAsia" w:ascii="微软雅黑" w:hAnsi="微软雅黑" w:eastAsia="微软雅黑" w:cs="微软雅黑"/>
                <w:kern w:val="0"/>
                <w:szCs w:val="21"/>
                <w:highlight w:val="none"/>
              </w:rPr>
            </w:pPr>
            <w:r>
              <w:rPr>
                <w:rFonts w:hint="eastAsia" w:ascii="微软雅黑" w:hAnsi="微软雅黑" w:eastAsia="微软雅黑" w:cs="微软雅黑"/>
                <w:b/>
                <w:bCs/>
                <w:kern w:val="0"/>
                <w:szCs w:val="21"/>
                <w:highlight w:val="none"/>
              </w:rPr>
              <w:t>技术参数：</w:t>
            </w:r>
            <w:r>
              <w:rPr>
                <w:rFonts w:hint="eastAsia" w:ascii="微软雅黑" w:hAnsi="微软雅黑" w:eastAsia="微软雅黑" w:cs="微软雅黑"/>
                <w:kern w:val="0"/>
                <w:szCs w:val="21"/>
                <w:highlight w:val="none"/>
              </w:rPr>
              <w:t>根据所投产品的配置与性能技术指标及配置参数响应程度打分。</w:t>
            </w:r>
          </w:p>
          <w:p w14:paraId="77E8653D">
            <w:pPr>
              <w:pageBreakBefore w:val="0"/>
              <w:kinsoku/>
              <w:wordWrap w:val="0"/>
              <w:overflowPunct/>
              <w:topLinePunct w:val="0"/>
              <w:bidi w:val="0"/>
              <w:spacing w:line="400" w:lineRule="exact"/>
              <w:outlineLvl w:val="1"/>
              <w:rPr>
                <w:rFonts w:hint="eastAsia" w:ascii="微软雅黑" w:hAnsi="微软雅黑" w:eastAsia="微软雅黑" w:cs="微软雅黑"/>
                <w:kern w:val="0"/>
                <w:szCs w:val="21"/>
                <w:highlight w:val="none"/>
              </w:rPr>
            </w:pPr>
            <w:r>
              <w:rPr>
                <w:rFonts w:hint="eastAsia" w:ascii="微软雅黑" w:hAnsi="微软雅黑" w:eastAsia="微软雅黑" w:cs="微软雅黑"/>
                <w:kern w:val="0"/>
                <w:szCs w:val="21"/>
                <w:highlight w:val="none"/>
              </w:rPr>
              <w:t>完全满足招标要求的得</w:t>
            </w:r>
            <w:r>
              <w:rPr>
                <w:rFonts w:hint="eastAsia" w:ascii="微软雅黑" w:hAnsi="微软雅黑" w:eastAsia="微软雅黑" w:cs="微软雅黑"/>
                <w:kern w:val="0"/>
                <w:szCs w:val="21"/>
                <w:highlight w:val="none"/>
                <w:lang w:val="en-US" w:eastAsia="zh-CN"/>
              </w:rPr>
              <w:t>24</w:t>
            </w:r>
            <w:r>
              <w:rPr>
                <w:rFonts w:hint="eastAsia" w:ascii="微软雅黑" w:hAnsi="微软雅黑" w:eastAsia="微软雅黑" w:cs="微软雅黑"/>
                <w:kern w:val="0"/>
                <w:szCs w:val="21"/>
                <w:highlight w:val="none"/>
              </w:rPr>
              <w:t>分。技术参数</w:t>
            </w:r>
            <w:r>
              <w:rPr>
                <w:rFonts w:hint="eastAsia" w:ascii="微软雅黑" w:hAnsi="微软雅黑" w:eastAsia="微软雅黑" w:cs="微软雅黑"/>
                <w:szCs w:val="21"/>
                <w:highlight w:val="none"/>
              </w:rPr>
              <w:t>每有一项负偏离扣</w:t>
            </w:r>
            <w:r>
              <w:rPr>
                <w:rFonts w:hint="eastAsia" w:ascii="微软雅黑" w:hAnsi="微软雅黑" w:eastAsia="微软雅黑" w:cs="微软雅黑"/>
                <w:szCs w:val="21"/>
                <w:highlight w:val="none"/>
                <w:lang w:val="en-US" w:eastAsia="zh-CN"/>
              </w:rPr>
              <w:t>2</w:t>
            </w:r>
            <w:r>
              <w:rPr>
                <w:rFonts w:hint="eastAsia" w:ascii="微软雅黑" w:hAnsi="微软雅黑" w:eastAsia="微软雅黑" w:cs="微软雅黑"/>
                <w:szCs w:val="21"/>
                <w:highlight w:val="none"/>
              </w:rPr>
              <w:t>分</w:t>
            </w:r>
            <w:r>
              <w:rPr>
                <w:rFonts w:hint="eastAsia" w:ascii="微软雅黑" w:hAnsi="微软雅黑" w:eastAsia="微软雅黑" w:cs="微软雅黑"/>
                <w:szCs w:val="21"/>
                <w:highlight w:val="none"/>
                <w:lang w:eastAsia="zh-CN"/>
              </w:rPr>
              <w:t>，</w:t>
            </w:r>
            <w:r>
              <w:rPr>
                <w:rFonts w:hint="eastAsia" w:ascii="微软雅黑" w:hAnsi="微软雅黑" w:eastAsia="微软雅黑" w:cs="微软雅黑"/>
                <w:kern w:val="0"/>
                <w:szCs w:val="21"/>
                <w:highlight w:val="none"/>
              </w:rPr>
              <w:t>直至扣完为止。</w:t>
            </w:r>
          </w:p>
          <w:p w14:paraId="6DA2E3F0">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b/>
                <w:bCs/>
                <w:color w:val="auto"/>
                <w:kern w:val="0"/>
                <w:sz w:val="20"/>
                <w:szCs w:val="20"/>
                <w:highlight w:val="none"/>
                <w:lang w:val="en-US" w:eastAsia="zh-CN"/>
              </w:rPr>
            </w:pPr>
            <w:r>
              <w:rPr>
                <w:rFonts w:hint="eastAsia" w:ascii="微软雅黑" w:hAnsi="微软雅黑" w:eastAsia="微软雅黑" w:cs="微软雅黑"/>
                <w:b/>
                <w:bCs/>
                <w:szCs w:val="21"/>
                <w:highlight w:val="none"/>
              </w:rPr>
              <w:t>注：</w:t>
            </w:r>
            <w:r>
              <w:rPr>
                <w:rFonts w:hint="eastAsia" w:ascii="微软雅黑" w:hAnsi="微软雅黑" w:eastAsia="微软雅黑" w:cs="微软雅黑"/>
                <w:b/>
                <w:bCs/>
                <w:szCs w:val="21"/>
                <w:highlight w:val="none"/>
                <w:lang w:val="en-US" w:eastAsia="zh-CN"/>
              </w:rPr>
              <w:t>①</w:t>
            </w:r>
            <w:r>
              <w:rPr>
                <w:rFonts w:hint="eastAsia" w:ascii="微软雅黑" w:hAnsi="微软雅黑" w:eastAsia="微软雅黑" w:cs="微软雅黑"/>
                <w:b/>
                <w:bCs/>
                <w:kern w:val="0"/>
                <w:szCs w:val="21"/>
                <w:highlight w:val="none"/>
                <w:lang w:val="en-US" w:eastAsia="zh-CN"/>
              </w:rPr>
              <w:t>需对应提供产品参数中要求的</w:t>
            </w:r>
            <w:r>
              <w:rPr>
                <w:rFonts w:hint="eastAsia" w:ascii="微软雅黑" w:hAnsi="微软雅黑" w:eastAsia="微软雅黑" w:cs="微软雅黑"/>
                <w:b/>
                <w:bCs/>
                <w:kern w:val="0"/>
                <w:szCs w:val="21"/>
                <w:highlight w:val="none"/>
              </w:rPr>
              <w:t>证明材料</w:t>
            </w:r>
            <w:r>
              <w:rPr>
                <w:rFonts w:hint="eastAsia" w:ascii="微软雅黑" w:hAnsi="微软雅黑" w:eastAsia="微软雅黑" w:cs="微软雅黑"/>
                <w:b/>
                <w:bCs/>
                <w:kern w:val="0"/>
                <w:szCs w:val="21"/>
                <w:highlight w:val="none"/>
                <w:lang w:eastAsia="zh-CN"/>
              </w:rPr>
              <w:t>。</w:t>
            </w:r>
            <w:r>
              <w:rPr>
                <w:rFonts w:hint="eastAsia" w:ascii="微软雅黑" w:hAnsi="微软雅黑" w:eastAsia="微软雅黑" w:cs="微软雅黑"/>
                <w:b/>
                <w:bCs/>
                <w:kern w:val="0"/>
                <w:szCs w:val="21"/>
                <w:highlight w:val="none"/>
                <w:lang w:val="en-US" w:eastAsia="zh-CN"/>
              </w:rPr>
              <w:t>②</w:t>
            </w:r>
            <w:r>
              <w:rPr>
                <w:rFonts w:hint="eastAsia" w:ascii="微软雅黑" w:hAnsi="微软雅黑" w:eastAsia="微软雅黑" w:cs="微软雅黑"/>
                <w:b/>
                <w:bCs/>
                <w:szCs w:val="21"/>
                <w:highlight w:val="none"/>
              </w:rPr>
              <w:t>证明材料模糊，无法辨识的，视为无效</w:t>
            </w:r>
            <w:r>
              <w:rPr>
                <w:rFonts w:hint="eastAsia" w:ascii="微软雅黑" w:hAnsi="微软雅黑" w:eastAsia="微软雅黑" w:cs="微软雅黑"/>
                <w:b/>
                <w:bCs/>
                <w:szCs w:val="21"/>
                <w:highlight w:val="none"/>
                <w:lang w:val="en-US" w:eastAsia="zh-CN"/>
              </w:rPr>
              <w:t>资料。</w:t>
            </w:r>
            <w:r>
              <w:rPr>
                <w:rFonts w:hint="eastAsia" w:ascii="微软雅黑" w:hAnsi="微软雅黑" w:eastAsia="微软雅黑" w:cs="微软雅黑"/>
                <w:b/>
                <w:bCs/>
                <w:kern w:val="0"/>
                <w:szCs w:val="21"/>
                <w:highlight w:val="none"/>
                <w:lang w:val="en-US" w:eastAsia="zh-CN"/>
              </w:rPr>
              <w:t>③</w:t>
            </w:r>
            <w:r>
              <w:rPr>
                <w:rFonts w:hint="eastAsia" w:ascii="微软雅黑" w:hAnsi="微软雅黑" w:eastAsia="微软雅黑" w:cs="微软雅黑"/>
                <w:b/>
                <w:bCs/>
                <w:kern w:val="0"/>
                <w:szCs w:val="21"/>
                <w:highlight w:val="none"/>
              </w:rPr>
              <w:t>若未提供有效证明材料则该参数将被视为负偏离。</w:t>
            </w:r>
          </w:p>
        </w:tc>
        <w:tc>
          <w:tcPr>
            <w:tcW w:w="1350" w:type="dxa"/>
            <w:vMerge w:val="restart"/>
            <w:vAlign w:val="center"/>
          </w:tcPr>
          <w:p w14:paraId="5A6C21DC">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b/>
                <w:bCs/>
                <w:color w:val="auto"/>
                <w:sz w:val="20"/>
                <w:szCs w:val="20"/>
                <w:highlight w:val="none"/>
              </w:rPr>
              <w:t>根据需求提供必要的证明资料</w:t>
            </w:r>
          </w:p>
        </w:tc>
      </w:tr>
      <w:tr w14:paraId="27D5A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3" w:hRule="atLeast"/>
          <w:jc w:val="center"/>
        </w:trPr>
        <w:tc>
          <w:tcPr>
            <w:tcW w:w="943" w:type="dxa"/>
            <w:vMerge w:val="continue"/>
            <w:vAlign w:val="center"/>
          </w:tcPr>
          <w:p w14:paraId="4381B597">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0"/>
                <w:szCs w:val="20"/>
                <w:highlight w:val="none"/>
              </w:rPr>
            </w:pPr>
          </w:p>
        </w:tc>
        <w:tc>
          <w:tcPr>
            <w:tcW w:w="638" w:type="dxa"/>
            <w:vAlign w:val="center"/>
          </w:tcPr>
          <w:p w14:paraId="5F56A6AD">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微软雅黑" w:hAnsi="微软雅黑" w:eastAsia="微软雅黑" w:cs="微软雅黑"/>
                <w:color w:val="auto"/>
                <w:sz w:val="20"/>
                <w:szCs w:val="20"/>
                <w:highlight w:val="none"/>
                <w:lang w:val="en-US" w:eastAsia="zh-CN"/>
              </w:rPr>
            </w:pPr>
            <w:r>
              <w:rPr>
                <w:rFonts w:hint="eastAsia" w:ascii="微软雅黑" w:hAnsi="微软雅黑" w:eastAsia="微软雅黑" w:cs="微软雅黑"/>
                <w:color w:val="auto"/>
                <w:sz w:val="20"/>
                <w:szCs w:val="20"/>
                <w:highlight w:val="none"/>
                <w:lang w:val="en-US" w:eastAsia="zh-CN"/>
              </w:rPr>
              <w:t>5</w:t>
            </w:r>
          </w:p>
        </w:tc>
        <w:tc>
          <w:tcPr>
            <w:tcW w:w="7244" w:type="dxa"/>
            <w:vAlign w:val="center"/>
          </w:tcPr>
          <w:p w14:paraId="339D3588">
            <w:pPr>
              <w:spacing w:line="400" w:lineRule="exact"/>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pPr>
            <w:r>
              <w:rPr>
                <w:rFonts w:hint="eastAsia" w:ascii="微软雅黑" w:hAnsi="微软雅黑" w:eastAsia="微软雅黑" w:cs="微软雅黑"/>
                <w:b/>
                <w:bCs/>
                <w:color w:val="auto"/>
                <w:kern w:val="0"/>
                <w:sz w:val="21"/>
                <w:szCs w:val="21"/>
                <w:highlight w:val="none"/>
                <w:lang w:val="en-US" w:eastAsia="zh-CN"/>
              </w:rPr>
              <w:t>仓储能力：</w:t>
            </w:r>
            <w:r>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t xml:space="preserve">具有仓储场地的： ①场地面积＞2000㎡，得5分； </w:t>
            </w:r>
          </w:p>
          <w:p w14:paraId="5E873BBE">
            <w:pPr>
              <w:spacing w:line="400" w:lineRule="exact"/>
              <w:rPr>
                <w:rFonts w:hint="default"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t>②2000㎡≥场地面积＞1500㎡，得3分； ③1500㎡≥场地面积＞1000㎡，得1分；</w:t>
            </w:r>
          </w:p>
          <w:p w14:paraId="1258F031">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b/>
                <w:bCs/>
                <w:color w:val="auto"/>
                <w:kern w:val="0"/>
                <w:sz w:val="21"/>
                <w:szCs w:val="21"/>
                <w:highlight w:val="none"/>
                <w:lang w:val="en-US" w:eastAsia="zh-CN"/>
              </w:rPr>
            </w:pPr>
            <w:r>
              <w:rPr>
                <w:rFonts w:hint="eastAsia" w:ascii="微软雅黑" w:hAnsi="微软雅黑" w:eastAsia="微软雅黑" w:cs="微软雅黑"/>
                <w:b/>
                <w:bCs/>
                <w:color w:val="000000" w:themeColor="text1"/>
                <w:sz w:val="21"/>
                <w:szCs w:val="21"/>
                <w:highlight w:val="none"/>
                <w:lang w:val="en-US" w:eastAsia="zh-CN"/>
                <w14:textFill>
                  <w14:solidFill>
                    <w14:schemeClr w14:val="tx1"/>
                  </w14:solidFill>
                </w14:textFill>
              </w:rPr>
              <w:t>注：①自有场地的须提供场地图片、产权证明；租赁场地的须提供场地图片、租赁合同。②以上证明材料提供不全或不提供不得分。</w:t>
            </w:r>
          </w:p>
        </w:tc>
        <w:tc>
          <w:tcPr>
            <w:tcW w:w="1350" w:type="dxa"/>
            <w:vMerge w:val="continue"/>
            <w:vAlign w:val="center"/>
          </w:tcPr>
          <w:p w14:paraId="290437F5">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0"/>
                <w:szCs w:val="20"/>
                <w:highlight w:val="none"/>
              </w:rPr>
            </w:pPr>
          </w:p>
        </w:tc>
      </w:tr>
      <w:tr w14:paraId="5E861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3" w:hRule="atLeast"/>
          <w:jc w:val="center"/>
        </w:trPr>
        <w:tc>
          <w:tcPr>
            <w:tcW w:w="943" w:type="dxa"/>
            <w:vMerge w:val="continue"/>
            <w:vAlign w:val="center"/>
          </w:tcPr>
          <w:p w14:paraId="5BF360A6">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0"/>
                <w:szCs w:val="20"/>
                <w:highlight w:val="none"/>
              </w:rPr>
            </w:pPr>
          </w:p>
        </w:tc>
        <w:tc>
          <w:tcPr>
            <w:tcW w:w="638" w:type="dxa"/>
            <w:vAlign w:val="center"/>
          </w:tcPr>
          <w:p w14:paraId="62AC2FD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微软雅黑" w:hAnsi="微软雅黑" w:eastAsia="微软雅黑" w:cs="微软雅黑"/>
                <w:color w:val="auto"/>
                <w:sz w:val="20"/>
                <w:szCs w:val="20"/>
                <w:highlight w:val="none"/>
                <w:lang w:val="en-US" w:eastAsia="zh-CN"/>
              </w:rPr>
            </w:pPr>
            <w:r>
              <w:rPr>
                <w:rFonts w:hint="eastAsia" w:ascii="微软雅黑" w:hAnsi="微软雅黑" w:eastAsia="微软雅黑" w:cs="微软雅黑"/>
                <w:color w:val="auto"/>
                <w:sz w:val="20"/>
                <w:szCs w:val="20"/>
                <w:highlight w:val="none"/>
                <w:lang w:val="en-US" w:eastAsia="zh-CN"/>
              </w:rPr>
              <w:t>10</w:t>
            </w:r>
          </w:p>
        </w:tc>
        <w:tc>
          <w:tcPr>
            <w:tcW w:w="7244" w:type="dxa"/>
            <w:vAlign w:val="center"/>
          </w:tcPr>
          <w:p w14:paraId="6A061D0A">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kern w:val="0"/>
                <w:sz w:val="21"/>
                <w:szCs w:val="21"/>
                <w:highlight w:val="none"/>
                <w:lang w:val="en-US" w:eastAsia="zh-CN"/>
              </w:rPr>
            </w:pPr>
            <w:r>
              <w:rPr>
                <w:rFonts w:hint="eastAsia" w:ascii="微软雅黑" w:hAnsi="微软雅黑" w:eastAsia="微软雅黑" w:cs="微软雅黑"/>
                <w:b/>
                <w:bCs/>
                <w:color w:val="auto"/>
                <w:kern w:val="0"/>
                <w:sz w:val="20"/>
                <w:szCs w:val="20"/>
                <w:highlight w:val="none"/>
                <w:lang w:val="en-US" w:eastAsia="zh-CN"/>
              </w:rPr>
              <w:t>实施方案：</w:t>
            </w:r>
            <w:r>
              <w:rPr>
                <w:rFonts w:hint="eastAsia" w:ascii="微软雅黑" w:hAnsi="微软雅黑" w:eastAsia="微软雅黑" w:cs="微软雅黑"/>
                <w:color w:val="auto"/>
                <w:kern w:val="0"/>
                <w:sz w:val="21"/>
                <w:szCs w:val="21"/>
                <w:highlight w:val="none"/>
                <w:lang w:val="en-US" w:eastAsia="zh-CN"/>
              </w:rPr>
              <w:t>根据投标供应商针对本项目提供的实施方案进行评审，主要根据是否制定紧凑、科学、可行的工作计划和时间安排表，投入的人力物力财力保证进度计划的实现，拟投入工作量等进行评分，方案包含但不限于：</w:t>
            </w:r>
          </w:p>
          <w:p w14:paraId="25E5E4F0">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kern w:val="0"/>
                <w:sz w:val="21"/>
                <w:szCs w:val="21"/>
                <w:highlight w:val="none"/>
                <w:lang w:val="en-US" w:eastAsia="zh-CN"/>
              </w:rPr>
            </w:pPr>
            <w:r>
              <w:rPr>
                <w:rFonts w:hint="eastAsia" w:ascii="微软雅黑" w:hAnsi="微软雅黑" w:eastAsia="微软雅黑" w:cs="微软雅黑"/>
                <w:color w:val="auto"/>
                <w:kern w:val="0"/>
                <w:sz w:val="21"/>
                <w:szCs w:val="21"/>
                <w:highlight w:val="none"/>
                <w:lang w:val="en-US" w:eastAsia="zh-CN"/>
              </w:rPr>
              <w:t>①项目进度计划；②产品选型及资源配备计划；③仓储日常管理方案；④全流程质量控制方案；⑤配送供应方案；</w:t>
            </w:r>
          </w:p>
          <w:p w14:paraId="05C79672">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t>以上5项内容均提供，方案完全符合项目要求得10分；其中每有一项内容未提供的扣2分；每有一项内容不符合项目要求或内容存在缺陷的扣1分，直至扣完为止。</w:t>
            </w:r>
          </w:p>
          <w:p w14:paraId="2E4F4542">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0"/>
                <w:szCs w:val="20"/>
                <w:highlight w:val="none"/>
                <w:lang w:eastAsia="zh-CN"/>
              </w:rPr>
            </w:pPr>
            <w:r>
              <w:rPr>
                <w:rFonts w:hint="eastAsia" w:ascii="微软雅黑" w:hAnsi="微软雅黑" w:eastAsia="微软雅黑" w:cs="微软雅黑"/>
                <w:b/>
                <w:bCs/>
                <w:color w:val="000000" w:themeColor="text1"/>
                <w:sz w:val="21"/>
                <w:szCs w:val="21"/>
                <w:highlight w:val="none"/>
                <w:lang w:val="en-US" w:eastAsia="zh-CN"/>
                <w14:textFill>
                  <w14:solidFill>
                    <w14:schemeClr w14:val="tx1"/>
                  </w14:solidFill>
                </w14:textFill>
              </w:rPr>
              <w:t>注：内容存在缺陷是指：①该项内容描述前后不一致；②该项内容所阐述的项目信息与本项目实际信息不一致；③该项内容引用的规定、规范错误；④该项内容描述不符合国家相关法律法规、政策文件、规范标准要求；⑤该项内容阐述的方式方法明显不符合本项目实际情况。</w:t>
            </w:r>
          </w:p>
        </w:tc>
        <w:tc>
          <w:tcPr>
            <w:tcW w:w="1350" w:type="dxa"/>
            <w:vMerge w:val="continue"/>
            <w:vAlign w:val="center"/>
          </w:tcPr>
          <w:p w14:paraId="46240CDB">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0"/>
                <w:szCs w:val="20"/>
                <w:highlight w:val="none"/>
              </w:rPr>
            </w:pPr>
          </w:p>
        </w:tc>
      </w:tr>
      <w:tr w14:paraId="20A49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60" w:hRule="atLeast"/>
          <w:jc w:val="center"/>
        </w:trPr>
        <w:tc>
          <w:tcPr>
            <w:tcW w:w="943" w:type="dxa"/>
            <w:vMerge w:val="continue"/>
            <w:vAlign w:val="center"/>
          </w:tcPr>
          <w:p w14:paraId="6CB761A2">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0"/>
                <w:szCs w:val="20"/>
                <w:highlight w:val="none"/>
              </w:rPr>
            </w:pPr>
          </w:p>
        </w:tc>
        <w:tc>
          <w:tcPr>
            <w:tcW w:w="638" w:type="dxa"/>
            <w:vAlign w:val="center"/>
          </w:tcPr>
          <w:p w14:paraId="5825FDD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微软雅黑" w:hAnsi="微软雅黑" w:eastAsia="微软雅黑" w:cs="微软雅黑"/>
                <w:color w:val="auto"/>
                <w:sz w:val="20"/>
                <w:szCs w:val="20"/>
                <w:highlight w:val="none"/>
                <w:lang w:val="en-US" w:eastAsia="zh-CN"/>
              </w:rPr>
            </w:pPr>
            <w:r>
              <w:rPr>
                <w:rFonts w:hint="eastAsia" w:ascii="微软雅黑" w:hAnsi="微软雅黑" w:eastAsia="微软雅黑" w:cs="微软雅黑"/>
                <w:color w:val="auto"/>
                <w:sz w:val="20"/>
                <w:szCs w:val="20"/>
                <w:highlight w:val="none"/>
                <w:lang w:val="en-US" w:eastAsia="zh-CN"/>
              </w:rPr>
              <w:t>8</w:t>
            </w:r>
          </w:p>
        </w:tc>
        <w:tc>
          <w:tcPr>
            <w:tcW w:w="7244" w:type="dxa"/>
            <w:vAlign w:val="center"/>
          </w:tcPr>
          <w:p w14:paraId="0EB335B0">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kern w:val="0"/>
                <w:sz w:val="21"/>
                <w:szCs w:val="21"/>
                <w:highlight w:val="none"/>
                <w:lang w:val="en-US" w:eastAsia="zh-CN"/>
              </w:rPr>
            </w:pPr>
            <w:r>
              <w:rPr>
                <w:rFonts w:hint="eastAsia" w:ascii="微软雅黑" w:hAnsi="微软雅黑" w:eastAsia="微软雅黑" w:cs="微软雅黑"/>
                <w:b/>
                <w:bCs/>
                <w:color w:val="auto"/>
                <w:kern w:val="0"/>
                <w:sz w:val="21"/>
                <w:szCs w:val="21"/>
                <w:highlight w:val="none"/>
                <w:lang w:val="en-US" w:eastAsia="zh-CN"/>
              </w:rPr>
              <w:t>应急预案：</w:t>
            </w:r>
            <w:r>
              <w:rPr>
                <w:rFonts w:hint="eastAsia" w:ascii="微软雅黑" w:hAnsi="微软雅黑" w:eastAsia="微软雅黑" w:cs="微软雅黑"/>
                <w:color w:val="auto"/>
                <w:kern w:val="0"/>
                <w:sz w:val="21"/>
                <w:szCs w:val="21"/>
                <w:highlight w:val="none"/>
                <w:lang w:val="en-US" w:eastAsia="zh-CN"/>
              </w:rPr>
              <w:t xml:space="preserve">投标供应商结合本项目及采购人实际需要，提供应急措施方案内容，包括：①运输中的突发应急措施（对运输途中突发状况的描述及对发生突发状况的处理方案） </w:t>
            </w:r>
          </w:p>
          <w:p w14:paraId="6EA0F69B">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kern w:val="0"/>
                <w:sz w:val="21"/>
                <w:szCs w:val="21"/>
                <w:highlight w:val="none"/>
                <w:lang w:val="en-US" w:eastAsia="zh-CN"/>
              </w:rPr>
            </w:pPr>
            <w:r>
              <w:rPr>
                <w:rFonts w:hint="eastAsia" w:ascii="微软雅黑" w:hAnsi="微软雅黑" w:eastAsia="微软雅黑" w:cs="微软雅黑"/>
                <w:color w:val="auto"/>
                <w:kern w:val="0"/>
                <w:sz w:val="21"/>
                <w:szCs w:val="21"/>
                <w:highlight w:val="none"/>
                <w:lang w:val="en-US" w:eastAsia="zh-CN"/>
              </w:rPr>
              <w:t xml:space="preserve">②因产品质量问题引发的医疗事故应急措施（因问题产品引发的医疗事故的处理方案及保障措施） </w:t>
            </w:r>
          </w:p>
          <w:p w14:paraId="5337C38D">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kern w:val="0"/>
                <w:sz w:val="21"/>
                <w:szCs w:val="21"/>
                <w:highlight w:val="none"/>
                <w:lang w:val="en-US" w:eastAsia="zh-CN"/>
              </w:rPr>
            </w:pPr>
            <w:r>
              <w:rPr>
                <w:rFonts w:hint="eastAsia" w:ascii="微软雅黑" w:hAnsi="微软雅黑" w:eastAsia="微软雅黑" w:cs="微软雅黑"/>
                <w:color w:val="auto"/>
                <w:kern w:val="0"/>
                <w:sz w:val="21"/>
                <w:szCs w:val="21"/>
                <w:highlight w:val="none"/>
                <w:lang w:val="en-US" w:eastAsia="zh-CN"/>
              </w:rPr>
              <w:t xml:space="preserve">③临时配送的应急措施（如何保证采购人临时配送要求的应急方案） </w:t>
            </w:r>
          </w:p>
          <w:p w14:paraId="62CD43DF">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kern w:val="0"/>
                <w:sz w:val="21"/>
                <w:szCs w:val="21"/>
                <w:highlight w:val="none"/>
                <w:lang w:val="en-US" w:eastAsia="zh-CN"/>
              </w:rPr>
            </w:pPr>
            <w:r>
              <w:rPr>
                <w:rFonts w:hint="eastAsia" w:ascii="微软雅黑" w:hAnsi="微软雅黑" w:eastAsia="微软雅黑" w:cs="微软雅黑"/>
                <w:color w:val="auto"/>
                <w:kern w:val="0"/>
                <w:sz w:val="21"/>
                <w:szCs w:val="21"/>
                <w:highlight w:val="none"/>
                <w:lang w:val="en-US" w:eastAsia="zh-CN"/>
              </w:rPr>
              <w:t>④其他应急措施（投标人提出其他具有前瞻性的应急措施）</w:t>
            </w:r>
          </w:p>
          <w:p w14:paraId="1A27B312">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t>以上4项内容均提供，方案完全符合项目要求得8分；其中每有一项内容未提供的扣2分；每有一项内容不符合项目要求或内容存在缺陷的扣1分，直至扣完为止。</w:t>
            </w:r>
          </w:p>
          <w:p w14:paraId="608B0F3D">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b/>
                <w:bCs/>
                <w:color w:val="000000" w:themeColor="text1"/>
                <w:sz w:val="21"/>
                <w:szCs w:val="21"/>
                <w:highlight w:val="none"/>
                <w:lang w:val="en-US" w:eastAsia="zh-CN"/>
                <w14:textFill>
                  <w14:solidFill>
                    <w14:schemeClr w14:val="tx1"/>
                  </w14:solidFill>
                </w14:textFill>
              </w:rPr>
              <w:t>注：内容存在缺陷是指：①该项内容描述前后不一致；②该项内容所阐述的项目信息与本项目实际信息不一致；③该项内容引用的规定、规范错误；④该项内容描述不符合国家相关法律法规、政策文件、规范标准要求；⑤该项内容阐述的方式方法明显不符合本项目实际情况。</w:t>
            </w:r>
          </w:p>
        </w:tc>
        <w:tc>
          <w:tcPr>
            <w:tcW w:w="1350" w:type="dxa"/>
            <w:vMerge w:val="continue"/>
            <w:vAlign w:val="center"/>
          </w:tcPr>
          <w:p w14:paraId="43BD105D">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0"/>
                <w:szCs w:val="20"/>
                <w:highlight w:val="none"/>
              </w:rPr>
            </w:pPr>
          </w:p>
        </w:tc>
      </w:tr>
      <w:tr w14:paraId="4F3AE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16" w:hRule="atLeast"/>
          <w:jc w:val="center"/>
        </w:trPr>
        <w:tc>
          <w:tcPr>
            <w:tcW w:w="943" w:type="dxa"/>
            <w:vMerge w:val="continue"/>
            <w:vAlign w:val="center"/>
          </w:tcPr>
          <w:p w14:paraId="69020434">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0"/>
                <w:szCs w:val="20"/>
                <w:highlight w:val="none"/>
              </w:rPr>
            </w:pPr>
          </w:p>
        </w:tc>
        <w:tc>
          <w:tcPr>
            <w:tcW w:w="638" w:type="dxa"/>
            <w:vAlign w:val="center"/>
          </w:tcPr>
          <w:p w14:paraId="1FF8922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微软雅黑" w:hAnsi="微软雅黑" w:eastAsia="微软雅黑" w:cs="微软雅黑"/>
                <w:color w:val="auto"/>
                <w:sz w:val="20"/>
                <w:szCs w:val="20"/>
                <w:highlight w:val="none"/>
                <w:lang w:val="en-US" w:eastAsia="zh-CN"/>
              </w:rPr>
            </w:pPr>
            <w:r>
              <w:rPr>
                <w:rFonts w:hint="eastAsia" w:ascii="微软雅黑" w:hAnsi="微软雅黑" w:eastAsia="微软雅黑" w:cs="微软雅黑"/>
                <w:color w:val="auto"/>
                <w:sz w:val="20"/>
                <w:szCs w:val="20"/>
                <w:highlight w:val="none"/>
                <w:lang w:val="en-US" w:eastAsia="zh-CN"/>
              </w:rPr>
              <w:t>10</w:t>
            </w:r>
          </w:p>
        </w:tc>
        <w:tc>
          <w:tcPr>
            <w:tcW w:w="7244" w:type="dxa"/>
            <w:vAlign w:val="center"/>
          </w:tcPr>
          <w:p w14:paraId="7ECCC252">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kern w:val="0"/>
                <w:sz w:val="21"/>
                <w:szCs w:val="21"/>
                <w:highlight w:val="none"/>
                <w:lang w:val="en-US" w:eastAsia="zh-CN"/>
              </w:rPr>
            </w:pPr>
            <w:r>
              <w:rPr>
                <w:rFonts w:hint="eastAsia" w:ascii="微软雅黑" w:hAnsi="微软雅黑" w:eastAsia="微软雅黑" w:cs="微软雅黑"/>
                <w:b/>
                <w:bCs/>
                <w:sz w:val="20"/>
                <w:szCs w:val="20"/>
                <w:highlight w:val="none"/>
                <w:lang w:val="en-US"/>
              </w:rPr>
              <w:t>售后服务:</w:t>
            </w:r>
            <w:r>
              <w:rPr>
                <w:rFonts w:hint="eastAsia" w:ascii="微软雅黑" w:hAnsi="微软雅黑" w:eastAsia="微软雅黑" w:cs="微软雅黑"/>
                <w:b/>
                <w:bCs/>
                <w:sz w:val="20"/>
                <w:szCs w:val="20"/>
                <w:highlight w:val="none"/>
                <w:lang w:val="en-US" w:eastAsia="zh-CN"/>
              </w:rPr>
              <w:t>根据供应商提供的售后服务方案进行评审，</w:t>
            </w:r>
            <w:r>
              <w:rPr>
                <w:rFonts w:hint="eastAsia" w:ascii="微软雅黑" w:hAnsi="微软雅黑" w:eastAsia="微软雅黑" w:cs="微软雅黑"/>
                <w:color w:val="auto"/>
                <w:kern w:val="0"/>
                <w:sz w:val="21"/>
                <w:szCs w:val="21"/>
                <w:highlight w:val="none"/>
                <w:lang w:val="en-US" w:eastAsia="zh-CN"/>
              </w:rPr>
              <w:t>包括但不限于：①售后服务计划、内容及方式；②人员组成；③后续保障措施、退换货措施；④针对医疗纠纷、售后服务保障措施、附带服务、药检质量问题、不良反应等特殊情况的应对措施；⑤服务承诺（包括但不限于配合采购人价格调整、应急供货、质量保证、退货换货等的承诺）等。</w:t>
            </w:r>
          </w:p>
          <w:p w14:paraId="70819FF0">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1"/>
                <w:szCs w:val="21"/>
                <w:highlight w:val="none"/>
                <w:lang w:val="en-US" w:eastAsia="zh-CN"/>
                <w14:textFill>
                  <w14:solidFill>
                    <w14:schemeClr w14:val="tx1"/>
                  </w14:solidFill>
                </w14:textFill>
              </w:rPr>
              <w:t>以上5项内容均提供，方案完全符合项目要求得10分；其中每有一项内容未提供的扣2分；每有一项内容不符合项目要求或内容存在缺陷的扣1分，直至扣完为止。</w:t>
            </w:r>
          </w:p>
          <w:p w14:paraId="11E3F049">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sz w:val="20"/>
                <w:szCs w:val="20"/>
                <w:highlight w:val="none"/>
                <w:lang w:val="en-US"/>
              </w:rPr>
            </w:pPr>
            <w:r>
              <w:rPr>
                <w:rFonts w:hint="eastAsia" w:ascii="微软雅黑" w:hAnsi="微软雅黑" w:eastAsia="微软雅黑" w:cs="微软雅黑"/>
                <w:b/>
                <w:bCs/>
                <w:color w:val="000000" w:themeColor="text1"/>
                <w:sz w:val="21"/>
                <w:szCs w:val="21"/>
                <w:highlight w:val="none"/>
                <w:lang w:val="en-US" w:eastAsia="zh-CN"/>
                <w14:textFill>
                  <w14:solidFill>
                    <w14:schemeClr w14:val="tx1"/>
                  </w14:solidFill>
                </w14:textFill>
              </w:rPr>
              <w:t>注：内容存在缺陷是指：①该项内容描述前后不一致；②该项内容所阐述的项目信息与本项目实际信息不一致；③该项内容引用的规定、规范错误；④该项内容描述不符合国家相关法律法规、政策文件、规范标准要求；⑤该项内容阐述的方式方法明显不符合本项目实际情况。</w:t>
            </w:r>
          </w:p>
        </w:tc>
        <w:tc>
          <w:tcPr>
            <w:tcW w:w="1350" w:type="dxa"/>
            <w:vMerge w:val="continue"/>
            <w:vAlign w:val="center"/>
          </w:tcPr>
          <w:p w14:paraId="5F84998D">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0"/>
                <w:szCs w:val="20"/>
                <w:highlight w:val="none"/>
              </w:rPr>
            </w:pPr>
          </w:p>
        </w:tc>
      </w:tr>
    </w:tbl>
    <w:p w14:paraId="02B2120A">
      <w:pPr>
        <w:rPr>
          <w:rFonts w:hint="eastAsia" w:ascii="微软雅黑" w:hAnsi="微软雅黑" w:eastAsia="微软雅黑" w:cs="微软雅黑"/>
          <w:b/>
          <w:color w:val="auto"/>
          <w:sz w:val="40"/>
          <w:szCs w:val="40"/>
          <w:highlight w:val="none"/>
        </w:rPr>
      </w:pPr>
    </w:p>
    <w:p w14:paraId="58352901">
      <w:pPr>
        <w:rPr>
          <w:rFonts w:hint="eastAsia" w:ascii="微软雅黑" w:hAnsi="微软雅黑" w:eastAsia="微软雅黑" w:cs="微软雅黑"/>
          <w:b/>
          <w:color w:val="auto"/>
          <w:sz w:val="40"/>
          <w:szCs w:val="40"/>
          <w:highlight w:val="none"/>
        </w:rPr>
      </w:pPr>
    </w:p>
    <w:p w14:paraId="7A038088">
      <w:pPr>
        <w:rPr>
          <w:rFonts w:hint="eastAsia" w:ascii="微软雅黑" w:hAnsi="微软雅黑" w:eastAsia="微软雅黑" w:cs="微软雅黑"/>
          <w:b/>
          <w:color w:val="auto"/>
          <w:sz w:val="40"/>
          <w:szCs w:val="40"/>
          <w:highlight w:val="none"/>
        </w:rPr>
      </w:pPr>
    </w:p>
    <w:p w14:paraId="48AEA527">
      <w:pPr>
        <w:rPr>
          <w:rFonts w:hint="eastAsia" w:ascii="微软雅黑" w:hAnsi="微软雅黑" w:eastAsia="微软雅黑" w:cs="微软雅黑"/>
          <w:b/>
          <w:color w:val="auto"/>
          <w:sz w:val="40"/>
          <w:szCs w:val="40"/>
          <w:highlight w:val="none"/>
        </w:rPr>
      </w:pPr>
    </w:p>
    <w:p w14:paraId="67C5ABD9">
      <w:pPr>
        <w:rPr>
          <w:rFonts w:hint="eastAsia" w:ascii="微软雅黑" w:hAnsi="微软雅黑" w:eastAsia="微软雅黑" w:cs="微软雅黑"/>
          <w:b/>
          <w:color w:val="auto"/>
          <w:sz w:val="40"/>
          <w:szCs w:val="40"/>
          <w:highlight w:val="none"/>
        </w:rPr>
      </w:pPr>
    </w:p>
    <w:p w14:paraId="78ECE691">
      <w:pPr>
        <w:rPr>
          <w:rFonts w:hint="eastAsia" w:ascii="微软雅黑" w:hAnsi="微软雅黑" w:eastAsia="微软雅黑" w:cs="微软雅黑"/>
          <w:b/>
          <w:color w:val="auto"/>
          <w:sz w:val="40"/>
          <w:szCs w:val="40"/>
          <w:highlight w:val="none"/>
        </w:rPr>
      </w:pPr>
    </w:p>
    <w:p w14:paraId="0F6A4497">
      <w:pPr>
        <w:rPr>
          <w:rFonts w:hint="eastAsia" w:ascii="微软雅黑" w:hAnsi="微软雅黑" w:eastAsia="微软雅黑" w:cs="微软雅黑"/>
          <w:b/>
          <w:color w:val="auto"/>
          <w:sz w:val="40"/>
          <w:szCs w:val="40"/>
          <w:highlight w:val="none"/>
        </w:rPr>
      </w:pPr>
    </w:p>
    <w:p w14:paraId="6DBD6DE0">
      <w:pPr>
        <w:rPr>
          <w:rFonts w:hint="eastAsia" w:ascii="微软雅黑" w:hAnsi="微软雅黑" w:eastAsia="微软雅黑" w:cs="微软雅黑"/>
          <w:b/>
          <w:color w:val="auto"/>
          <w:sz w:val="40"/>
          <w:szCs w:val="40"/>
          <w:highlight w:val="none"/>
        </w:rPr>
      </w:pPr>
    </w:p>
    <w:p w14:paraId="0535CE33">
      <w:pPr>
        <w:rPr>
          <w:rFonts w:hint="eastAsia" w:ascii="微软雅黑" w:hAnsi="微软雅黑" w:eastAsia="微软雅黑" w:cs="微软雅黑"/>
          <w:b/>
          <w:color w:val="auto"/>
          <w:sz w:val="40"/>
          <w:szCs w:val="40"/>
          <w:highlight w:val="none"/>
        </w:rPr>
      </w:pPr>
    </w:p>
    <w:p w14:paraId="12890E51">
      <w:pPr>
        <w:rPr>
          <w:rFonts w:hint="eastAsia" w:ascii="微软雅黑" w:hAnsi="微软雅黑" w:eastAsia="微软雅黑" w:cs="微软雅黑"/>
          <w:b/>
          <w:color w:val="auto"/>
          <w:sz w:val="40"/>
          <w:szCs w:val="40"/>
          <w:highlight w:val="none"/>
        </w:rPr>
      </w:pPr>
    </w:p>
    <w:p w14:paraId="3FF1A657">
      <w:pPr>
        <w:rPr>
          <w:rFonts w:hint="eastAsia" w:ascii="微软雅黑" w:hAnsi="微软雅黑" w:eastAsia="微软雅黑" w:cs="微软雅黑"/>
          <w:b/>
          <w:color w:val="auto"/>
          <w:sz w:val="40"/>
          <w:szCs w:val="40"/>
          <w:highlight w:val="none"/>
        </w:rPr>
      </w:pPr>
    </w:p>
    <w:p w14:paraId="044AF344">
      <w:pPr>
        <w:rPr>
          <w:rFonts w:hint="eastAsia" w:ascii="微软雅黑" w:hAnsi="微软雅黑" w:eastAsia="微软雅黑" w:cs="微软雅黑"/>
          <w:b/>
          <w:color w:val="auto"/>
          <w:sz w:val="40"/>
          <w:szCs w:val="40"/>
          <w:highlight w:val="none"/>
        </w:rPr>
      </w:pPr>
    </w:p>
    <w:p w14:paraId="11C4D0D8">
      <w:pPr>
        <w:rPr>
          <w:rFonts w:hint="eastAsia" w:ascii="微软雅黑" w:hAnsi="微软雅黑" w:eastAsia="微软雅黑" w:cs="微软雅黑"/>
          <w:b/>
          <w:color w:val="auto"/>
          <w:sz w:val="40"/>
          <w:szCs w:val="40"/>
          <w:highlight w:val="none"/>
        </w:rPr>
      </w:pPr>
    </w:p>
    <w:p w14:paraId="131EEFC3">
      <w:pPr>
        <w:rPr>
          <w:rFonts w:hint="eastAsia" w:ascii="微软雅黑" w:hAnsi="微软雅黑" w:eastAsia="微软雅黑" w:cs="微软雅黑"/>
          <w:b/>
          <w:color w:val="auto"/>
          <w:sz w:val="40"/>
          <w:szCs w:val="40"/>
          <w:highlight w:val="none"/>
        </w:rPr>
      </w:pPr>
    </w:p>
    <w:p w14:paraId="0D43D52C">
      <w:pPr>
        <w:rPr>
          <w:rFonts w:hint="eastAsia" w:ascii="微软雅黑" w:hAnsi="微软雅黑" w:eastAsia="微软雅黑" w:cs="微软雅黑"/>
          <w:b/>
          <w:color w:val="auto"/>
          <w:sz w:val="40"/>
          <w:szCs w:val="40"/>
          <w:highlight w:val="none"/>
        </w:rPr>
      </w:pPr>
    </w:p>
    <w:p w14:paraId="226A8E7E">
      <w:pPr>
        <w:rPr>
          <w:rFonts w:hint="eastAsia" w:ascii="微软雅黑" w:hAnsi="微软雅黑" w:eastAsia="微软雅黑" w:cs="微软雅黑"/>
          <w:b/>
          <w:color w:val="auto"/>
          <w:sz w:val="40"/>
          <w:szCs w:val="40"/>
          <w:highlight w:val="none"/>
        </w:rPr>
      </w:pPr>
    </w:p>
    <w:p w14:paraId="5D6CB77D">
      <w:pPr>
        <w:rPr>
          <w:rFonts w:hint="eastAsia" w:ascii="微软雅黑" w:hAnsi="微软雅黑" w:eastAsia="微软雅黑" w:cs="微软雅黑"/>
          <w:b/>
          <w:color w:val="auto"/>
          <w:sz w:val="40"/>
          <w:szCs w:val="40"/>
          <w:highlight w:val="none"/>
        </w:rPr>
      </w:pPr>
    </w:p>
    <w:p w14:paraId="4FE37205">
      <w:pPr>
        <w:rPr>
          <w:rFonts w:hint="eastAsia" w:ascii="微软雅黑" w:hAnsi="微软雅黑" w:eastAsia="微软雅黑" w:cs="微软雅黑"/>
          <w:b/>
          <w:color w:val="auto"/>
          <w:sz w:val="40"/>
          <w:szCs w:val="40"/>
          <w:highlight w:val="none"/>
        </w:rPr>
      </w:pPr>
    </w:p>
    <w:p w14:paraId="7F74E933">
      <w:pPr>
        <w:rPr>
          <w:rFonts w:hint="eastAsia" w:ascii="微软雅黑" w:hAnsi="微软雅黑" w:eastAsia="微软雅黑" w:cs="微软雅黑"/>
          <w:b/>
          <w:color w:val="auto"/>
          <w:sz w:val="40"/>
          <w:szCs w:val="40"/>
          <w:highlight w:val="none"/>
        </w:rPr>
      </w:pPr>
    </w:p>
    <w:p w14:paraId="1CB2D4BB">
      <w:pPr>
        <w:rPr>
          <w:rFonts w:hint="eastAsia" w:ascii="微软雅黑" w:hAnsi="微软雅黑" w:eastAsia="微软雅黑" w:cs="微软雅黑"/>
          <w:b/>
          <w:color w:val="auto"/>
          <w:sz w:val="40"/>
          <w:szCs w:val="40"/>
          <w:highlight w:val="none"/>
        </w:rPr>
      </w:pPr>
    </w:p>
    <w:p w14:paraId="4F978EC1">
      <w:pPr>
        <w:rPr>
          <w:rFonts w:hint="eastAsia" w:ascii="微软雅黑" w:hAnsi="微软雅黑" w:eastAsia="微软雅黑" w:cs="微软雅黑"/>
          <w:b/>
          <w:color w:val="auto"/>
          <w:sz w:val="40"/>
          <w:szCs w:val="40"/>
          <w:highlight w:val="none"/>
        </w:rPr>
      </w:pPr>
    </w:p>
    <w:p w14:paraId="2BB45C37">
      <w:pPr>
        <w:spacing w:line="240" w:lineRule="atLeast"/>
        <w:jc w:val="center"/>
        <w:rPr>
          <w:rFonts w:hint="eastAsia" w:ascii="微软雅黑" w:hAnsi="微软雅黑" w:eastAsia="微软雅黑" w:cs="微软雅黑"/>
          <w:b/>
          <w:color w:val="auto"/>
          <w:sz w:val="40"/>
          <w:szCs w:val="40"/>
          <w:highlight w:val="none"/>
        </w:rPr>
      </w:pPr>
      <w:r>
        <w:rPr>
          <w:rFonts w:hint="eastAsia" w:ascii="微软雅黑" w:hAnsi="微软雅黑" w:eastAsia="微软雅黑" w:cs="微软雅黑"/>
          <w:b/>
          <w:color w:val="auto"/>
          <w:sz w:val="40"/>
          <w:szCs w:val="40"/>
          <w:highlight w:val="none"/>
        </w:rPr>
        <w:t>招 标 文 件</w:t>
      </w:r>
    </w:p>
    <w:p w14:paraId="2C1B930C">
      <w:pPr>
        <w:spacing w:line="240" w:lineRule="atLeast"/>
        <w:jc w:val="center"/>
        <w:rPr>
          <w:rFonts w:hint="eastAsia" w:ascii="微软雅黑" w:hAnsi="微软雅黑" w:eastAsia="微软雅黑" w:cs="微软雅黑"/>
          <w:b/>
          <w:color w:val="auto"/>
          <w:sz w:val="36"/>
          <w:szCs w:val="36"/>
          <w:highlight w:val="none"/>
        </w:rPr>
      </w:pPr>
    </w:p>
    <w:p w14:paraId="74D6CCB8">
      <w:pPr>
        <w:spacing w:line="240" w:lineRule="atLeast"/>
        <w:jc w:val="center"/>
        <w:rPr>
          <w:rFonts w:hint="eastAsia" w:ascii="微软雅黑" w:hAnsi="微软雅黑" w:eastAsia="微软雅黑" w:cs="微软雅黑"/>
          <w:b/>
          <w:color w:val="auto"/>
          <w:sz w:val="36"/>
          <w:szCs w:val="36"/>
          <w:highlight w:val="none"/>
          <w:lang w:val="en-US" w:eastAsia="zh-CN"/>
        </w:rPr>
      </w:pPr>
      <w:bookmarkStart w:id="1765" w:name="_Toc13284_WPSOffice_Level2"/>
      <w:r>
        <w:rPr>
          <w:rFonts w:hint="eastAsia" w:ascii="微软雅黑" w:hAnsi="微软雅黑" w:eastAsia="微软雅黑" w:cs="微软雅黑"/>
          <w:b/>
          <w:color w:val="auto"/>
          <w:sz w:val="36"/>
          <w:szCs w:val="36"/>
          <w:highlight w:val="none"/>
        </w:rPr>
        <w:t>项目编号：</w:t>
      </w:r>
      <w:bookmarkEnd w:id="1765"/>
      <w:r>
        <w:rPr>
          <w:rFonts w:hint="eastAsia" w:ascii="微软雅黑" w:hAnsi="微软雅黑" w:eastAsia="微软雅黑" w:cs="微软雅黑"/>
          <w:b/>
          <w:color w:val="auto"/>
          <w:sz w:val="36"/>
          <w:szCs w:val="36"/>
          <w:highlight w:val="none"/>
        </w:rPr>
        <w:t>ZPDL(2026)018</w:t>
      </w:r>
      <w:r>
        <w:rPr>
          <w:rFonts w:hint="eastAsia" w:ascii="微软雅黑" w:hAnsi="微软雅黑" w:eastAsia="微软雅黑" w:cs="微软雅黑"/>
          <w:b/>
          <w:color w:val="auto"/>
          <w:sz w:val="36"/>
          <w:szCs w:val="36"/>
          <w:highlight w:val="none"/>
          <w:lang w:eastAsia="zh-CN"/>
        </w:rPr>
        <w:t xml:space="preserve"> </w:t>
      </w:r>
    </w:p>
    <w:p w14:paraId="1460580D">
      <w:pPr>
        <w:pStyle w:val="31"/>
        <w:ind w:firstLine="480"/>
        <w:rPr>
          <w:rFonts w:hint="eastAsia" w:ascii="微软雅黑" w:hAnsi="微软雅黑" w:eastAsia="微软雅黑" w:cs="微软雅黑"/>
          <w:color w:val="auto"/>
          <w:sz w:val="22"/>
          <w:szCs w:val="22"/>
          <w:highlight w:val="none"/>
        </w:rPr>
      </w:pPr>
    </w:p>
    <w:p w14:paraId="1FF8429A">
      <w:pPr>
        <w:spacing w:line="240" w:lineRule="atLeast"/>
        <w:jc w:val="center"/>
        <w:rPr>
          <w:rFonts w:hint="eastAsia" w:ascii="微软雅黑" w:hAnsi="微软雅黑" w:eastAsia="微软雅黑" w:cs="微软雅黑"/>
          <w:b/>
          <w:color w:val="auto"/>
          <w:sz w:val="36"/>
          <w:szCs w:val="36"/>
          <w:highlight w:val="none"/>
        </w:rPr>
      </w:pPr>
      <w:r>
        <w:rPr>
          <w:rFonts w:hint="eastAsia" w:ascii="微软雅黑" w:hAnsi="微软雅黑" w:eastAsia="微软雅黑" w:cs="微软雅黑"/>
          <w:b/>
          <w:color w:val="auto"/>
          <w:sz w:val="36"/>
          <w:szCs w:val="36"/>
          <w:highlight w:val="none"/>
        </w:rPr>
        <w:t>第 三 册</w:t>
      </w:r>
    </w:p>
    <w:p w14:paraId="2F72EF04">
      <w:pPr>
        <w:spacing w:line="240" w:lineRule="atLeast"/>
        <w:jc w:val="center"/>
        <w:rPr>
          <w:rFonts w:hint="eastAsia" w:ascii="微软雅黑" w:hAnsi="微软雅黑" w:eastAsia="微软雅黑" w:cs="微软雅黑"/>
          <w:b/>
          <w:color w:val="auto"/>
          <w:sz w:val="28"/>
          <w:szCs w:val="22"/>
          <w:highlight w:val="none"/>
        </w:rPr>
      </w:pPr>
    </w:p>
    <w:p w14:paraId="46C435F8">
      <w:pPr>
        <w:spacing w:line="240" w:lineRule="atLeast"/>
        <w:ind w:left="1080" w:leftChars="257" w:hanging="540"/>
        <w:jc w:val="center"/>
        <w:rPr>
          <w:rFonts w:hint="eastAsia" w:ascii="微软雅黑" w:hAnsi="微软雅黑" w:eastAsia="微软雅黑" w:cs="微软雅黑"/>
          <w:b/>
          <w:color w:val="auto"/>
          <w:sz w:val="48"/>
          <w:szCs w:val="22"/>
          <w:highlight w:val="none"/>
        </w:rPr>
      </w:pPr>
    </w:p>
    <w:p w14:paraId="43774F6C">
      <w:pPr>
        <w:pStyle w:val="31"/>
        <w:rPr>
          <w:rFonts w:hint="eastAsia" w:ascii="微软雅黑" w:hAnsi="微软雅黑" w:eastAsia="微软雅黑" w:cs="微软雅黑"/>
          <w:b/>
          <w:color w:val="auto"/>
          <w:sz w:val="48"/>
          <w:szCs w:val="22"/>
          <w:highlight w:val="none"/>
        </w:rPr>
      </w:pPr>
    </w:p>
    <w:p w14:paraId="30CCA6C6">
      <w:pPr>
        <w:pStyle w:val="31"/>
        <w:rPr>
          <w:rFonts w:hint="eastAsia" w:ascii="微软雅黑" w:hAnsi="微软雅黑" w:eastAsia="微软雅黑" w:cs="微软雅黑"/>
          <w:b/>
          <w:color w:val="auto"/>
          <w:sz w:val="48"/>
          <w:szCs w:val="22"/>
          <w:highlight w:val="none"/>
        </w:rPr>
      </w:pPr>
    </w:p>
    <w:p w14:paraId="729325B3">
      <w:pPr>
        <w:pStyle w:val="31"/>
        <w:rPr>
          <w:rFonts w:hint="eastAsia" w:ascii="微软雅黑" w:hAnsi="微软雅黑" w:eastAsia="微软雅黑" w:cs="微软雅黑"/>
          <w:b/>
          <w:color w:val="auto"/>
          <w:sz w:val="48"/>
          <w:szCs w:val="22"/>
          <w:highlight w:val="none"/>
        </w:rPr>
      </w:pPr>
    </w:p>
    <w:bookmarkEnd w:id="1762"/>
    <w:p w14:paraId="1023FDF9">
      <w:pPr>
        <w:rPr>
          <w:rFonts w:hint="eastAsia" w:ascii="微软雅黑" w:hAnsi="微软雅黑" w:eastAsia="微软雅黑" w:cs="微软雅黑"/>
          <w:b/>
          <w:bCs/>
          <w:color w:val="auto"/>
          <w:sz w:val="28"/>
          <w:szCs w:val="28"/>
          <w:highlight w:val="none"/>
        </w:rPr>
      </w:pPr>
      <w:bookmarkStart w:id="1766" w:name="_Toc30353"/>
      <w:bookmarkStart w:id="1767" w:name="_Toc21195"/>
      <w:r>
        <w:rPr>
          <w:rFonts w:hint="eastAsia" w:ascii="微软雅黑" w:hAnsi="微软雅黑" w:eastAsia="微软雅黑" w:cs="微软雅黑"/>
          <w:b/>
          <w:bCs/>
          <w:color w:val="auto"/>
          <w:sz w:val="28"/>
          <w:szCs w:val="28"/>
          <w:highlight w:val="none"/>
        </w:rPr>
        <w:br w:type="page"/>
      </w:r>
    </w:p>
    <w:p w14:paraId="3648702C">
      <w:pPr>
        <w:pStyle w:val="2"/>
        <w:shd w:val="clear"/>
        <w:tabs>
          <w:tab w:val="left" w:pos="0"/>
        </w:tabs>
        <w:spacing w:before="0" w:after="0" w:line="240" w:lineRule="atLeast"/>
        <w:ind w:left="-15"/>
        <w:outlineLvl w:val="0"/>
        <w:rPr>
          <w:rFonts w:hint="eastAsia" w:ascii="微软雅黑" w:hAnsi="微软雅黑" w:eastAsia="微软雅黑" w:cs="微软雅黑"/>
          <w:color w:val="auto"/>
          <w:sz w:val="28"/>
          <w:szCs w:val="28"/>
          <w:highlight w:val="none"/>
        </w:rPr>
      </w:pPr>
      <w:bookmarkStart w:id="1768" w:name="_Toc28902"/>
      <w:r>
        <w:rPr>
          <w:rFonts w:hint="eastAsia" w:ascii="微软雅黑" w:hAnsi="微软雅黑" w:eastAsia="微软雅黑" w:cs="微软雅黑"/>
          <w:b/>
          <w:bCs/>
          <w:color w:val="auto"/>
          <w:sz w:val="28"/>
          <w:szCs w:val="28"/>
          <w:highlight w:val="none"/>
        </w:rPr>
        <w:t>第7章 政府采购合同</w:t>
      </w:r>
      <w:bookmarkEnd w:id="1766"/>
      <w:bookmarkEnd w:id="1767"/>
      <w:bookmarkEnd w:id="1768"/>
      <w:bookmarkStart w:id="1769" w:name="_Toc216513788"/>
      <w:bookmarkEnd w:id="1769"/>
      <w:bookmarkStart w:id="1770" w:name="_Toc487900382"/>
      <w:bookmarkEnd w:id="1770"/>
      <w:bookmarkStart w:id="1771" w:name="_Hlt487972895"/>
      <w:bookmarkEnd w:id="1771"/>
    </w:p>
    <w:p w14:paraId="0F5F256F">
      <w:pPr>
        <w:shd w:val="clear"/>
        <w:outlineLvl w:val="9"/>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 xml:space="preserve">合同编号：           </w:t>
      </w:r>
    </w:p>
    <w:p w14:paraId="6C9AF21B">
      <w:pPr>
        <w:shd w:val="clear"/>
        <w:outlineLvl w:val="9"/>
        <w:rPr>
          <w:rFonts w:hint="eastAsia" w:ascii="微软雅黑" w:hAnsi="微软雅黑" w:eastAsia="微软雅黑" w:cs="微软雅黑"/>
          <w:color w:val="auto"/>
          <w:sz w:val="20"/>
          <w:szCs w:val="20"/>
          <w:highlight w:val="none"/>
        </w:rPr>
      </w:pPr>
    </w:p>
    <w:p w14:paraId="3AA4FFC0">
      <w:pPr>
        <w:shd w:val="clear"/>
        <w:spacing w:line="500" w:lineRule="exact"/>
        <w:jc w:val="center"/>
        <w:outlineLvl w:val="9"/>
        <w:rPr>
          <w:rFonts w:hint="eastAsia" w:ascii="微软雅黑" w:hAnsi="微软雅黑" w:eastAsia="微软雅黑" w:cs="微软雅黑"/>
          <w:b/>
          <w:color w:val="auto"/>
          <w:sz w:val="20"/>
          <w:szCs w:val="20"/>
          <w:highlight w:val="none"/>
        </w:rPr>
      </w:pPr>
      <w:r>
        <w:rPr>
          <w:rFonts w:hint="eastAsia" w:ascii="微软雅黑" w:hAnsi="微软雅黑" w:eastAsia="微软雅黑" w:cs="微软雅黑"/>
          <w:b/>
          <w:color w:val="auto"/>
          <w:sz w:val="20"/>
          <w:szCs w:val="20"/>
          <w:highlight w:val="none"/>
        </w:rPr>
        <w:t>政府采购合同参考范本</w:t>
      </w:r>
    </w:p>
    <w:p w14:paraId="3B464616">
      <w:pPr>
        <w:shd w:val="clear"/>
        <w:spacing w:line="500" w:lineRule="exact"/>
        <w:jc w:val="center"/>
        <w:outlineLvl w:val="9"/>
        <w:rPr>
          <w:rFonts w:hint="eastAsia" w:ascii="微软雅黑" w:hAnsi="微软雅黑" w:eastAsia="微软雅黑" w:cs="微软雅黑"/>
          <w:b/>
          <w:color w:val="auto"/>
          <w:sz w:val="20"/>
          <w:szCs w:val="20"/>
          <w:highlight w:val="none"/>
        </w:rPr>
      </w:pPr>
      <w:r>
        <w:rPr>
          <w:rFonts w:hint="eastAsia" w:ascii="微软雅黑" w:hAnsi="微软雅黑" w:eastAsia="微软雅黑" w:cs="微软雅黑"/>
          <w:b/>
          <w:color w:val="auto"/>
          <w:sz w:val="20"/>
          <w:szCs w:val="20"/>
          <w:highlight w:val="none"/>
        </w:rPr>
        <w:t>（货物类）</w:t>
      </w:r>
    </w:p>
    <w:p w14:paraId="4C3DD2FD">
      <w:pPr>
        <w:shd w:val="clear"/>
        <w:outlineLvl w:val="9"/>
        <w:rPr>
          <w:rFonts w:hint="eastAsia" w:ascii="微软雅黑" w:hAnsi="微软雅黑" w:eastAsia="微软雅黑" w:cs="微软雅黑"/>
          <w:color w:val="auto"/>
          <w:sz w:val="20"/>
          <w:szCs w:val="20"/>
          <w:highlight w:val="none"/>
        </w:rPr>
      </w:pPr>
    </w:p>
    <w:p w14:paraId="470209EA">
      <w:pPr>
        <w:shd w:val="clear"/>
        <w:outlineLvl w:val="9"/>
        <w:rPr>
          <w:rFonts w:hint="eastAsia" w:ascii="微软雅黑" w:hAnsi="微软雅黑" w:eastAsia="微软雅黑" w:cs="微软雅黑"/>
          <w:color w:val="auto"/>
          <w:sz w:val="20"/>
          <w:szCs w:val="20"/>
          <w:highlight w:val="none"/>
        </w:rPr>
      </w:pPr>
    </w:p>
    <w:p w14:paraId="72BF63F3">
      <w:pPr>
        <w:pStyle w:val="67"/>
        <w:shd w:val="clear"/>
        <w:spacing w:line="360" w:lineRule="exact"/>
        <w:ind w:firstLine="0"/>
        <w:jc w:val="center"/>
        <w:outlineLvl w:val="9"/>
        <w:rPr>
          <w:rFonts w:hint="eastAsia" w:ascii="微软雅黑" w:hAnsi="微软雅黑" w:eastAsia="微软雅黑" w:cs="微软雅黑"/>
          <w:b/>
          <w:color w:val="auto"/>
          <w:sz w:val="20"/>
          <w:szCs w:val="20"/>
          <w:highlight w:val="none"/>
        </w:rPr>
      </w:pPr>
      <w:r>
        <w:rPr>
          <w:rFonts w:hint="eastAsia" w:ascii="微软雅黑" w:hAnsi="微软雅黑" w:eastAsia="微软雅黑" w:cs="微软雅黑"/>
          <w:b/>
          <w:color w:val="auto"/>
          <w:sz w:val="20"/>
          <w:szCs w:val="20"/>
          <w:highlight w:val="none"/>
        </w:rPr>
        <w:t>第一部分 合同书</w:t>
      </w:r>
    </w:p>
    <w:p w14:paraId="6C427190">
      <w:pPr>
        <w:shd w:val="clear"/>
        <w:outlineLvl w:val="9"/>
        <w:rPr>
          <w:rFonts w:hint="eastAsia" w:ascii="微软雅黑" w:hAnsi="微软雅黑" w:eastAsia="微软雅黑" w:cs="微软雅黑"/>
          <w:color w:val="auto"/>
          <w:sz w:val="20"/>
          <w:szCs w:val="20"/>
          <w:highlight w:val="none"/>
        </w:rPr>
      </w:pPr>
    </w:p>
    <w:p w14:paraId="69B60BC1">
      <w:pPr>
        <w:shd w:val="clear"/>
        <w:spacing w:before="120" w:line="360" w:lineRule="exact"/>
        <w:ind w:left="960"/>
        <w:outlineLvl w:val="9"/>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项目名称：</w:t>
      </w:r>
      <w:r>
        <w:rPr>
          <w:rFonts w:hint="eastAsia" w:ascii="微软雅黑" w:hAnsi="微软雅黑" w:eastAsia="微软雅黑" w:cs="微软雅黑"/>
          <w:color w:val="auto"/>
          <w:sz w:val="20"/>
          <w:szCs w:val="20"/>
          <w:highlight w:val="none"/>
          <w:u w:val="single"/>
        </w:rPr>
        <w:t xml:space="preserve">                                   </w:t>
      </w:r>
    </w:p>
    <w:p w14:paraId="3CE8DF5F">
      <w:pPr>
        <w:pStyle w:val="68"/>
        <w:shd w:val="clear"/>
        <w:spacing w:before="120" w:line="360" w:lineRule="exact"/>
        <w:outlineLvl w:val="9"/>
        <w:rPr>
          <w:rFonts w:hint="eastAsia" w:ascii="微软雅黑" w:hAnsi="微软雅黑" w:eastAsia="微软雅黑" w:cs="微软雅黑"/>
          <w:color w:val="auto"/>
          <w:sz w:val="20"/>
          <w:szCs w:val="20"/>
          <w:highlight w:val="none"/>
        </w:rPr>
      </w:pPr>
    </w:p>
    <w:p w14:paraId="72DC36D0">
      <w:pPr>
        <w:pStyle w:val="68"/>
        <w:shd w:val="clear"/>
        <w:spacing w:before="120" w:line="360" w:lineRule="exact"/>
        <w:outlineLvl w:val="9"/>
        <w:rPr>
          <w:rFonts w:hint="eastAsia" w:ascii="微软雅黑" w:hAnsi="微软雅黑" w:eastAsia="微软雅黑" w:cs="微软雅黑"/>
          <w:color w:val="auto"/>
          <w:sz w:val="20"/>
          <w:szCs w:val="20"/>
          <w:highlight w:val="none"/>
        </w:rPr>
      </w:pPr>
    </w:p>
    <w:p w14:paraId="5E7C5A78">
      <w:pPr>
        <w:shd w:val="clear"/>
        <w:spacing w:line="360" w:lineRule="exact"/>
        <w:outlineLvl w:val="9"/>
        <w:rPr>
          <w:rFonts w:hint="eastAsia" w:ascii="微软雅黑" w:hAnsi="微软雅黑" w:eastAsia="微软雅黑" w:cs="微软雅黑"/>
          <w:color w:val="auto"/>
          <w:sz w:val="20"/>
          <w:szCs w:val="20"/>
          <w:highlight w:val="none"/>
        </w:rPr>
      </w:pPr>
    </w:p>
    <w:p w14:paraId="7876DD9E">
      <w:pPr>
        <w:shd w:val="clear"/>
        <w:spacing w:before="120" w:line="360" w:lineRule="exact"/>
        <w:ind w:left="960"/>
        <w:outlineLvl w:val="9"/>
        <w:rPr>
          <w:rFonts w:hint="eastAsia" w:ascii="微软雅黑" w:hAnsi="微软雅黑" w:eastAsia="微软雅黑" w:cs="微软雅黑"/>
          <w:color w:val="auto"/>
          <w:sz w:val="20"/>
          <w:szCs w:val="20"/>
          <w:highlight w:val="none"/>
          <w:u w:val="single"/>
        </w:rPr>
      </w:pPr>
      <w:r>
        <w:rPr>
          <w:rFonts w:hint="eastAsia" w:ascii="微软雅黑" w:hAnsi="微软雅黑" w:eastAsia="微软雅黑" w:cs="微软雅黑"/>
          <w:color w:val="auto"/>
          <w:sz w:val="20"/>
          <w:szCs w:val="20"/>
          <w:highlight w:val="none"/>
        </w:rPr>
        <w:t>甲方：</w:t>
      </w:r>
      <w:r>
        <w:rPr>
          <w:rFonts w:hint="eastAsia" w:ascii="微软雅黑" w:hAnsi="微软雅黑" w:eastAsia="微软雅黑" w:cs="微软雅黑"/>
          <w:color w:val="auto"/>
          <w:sz w:val="20"/>
          <w:szCs w:val="20"/>
          <w:highlight w:val="none"/>
          <w:u w:val="single"/>
        </w:rPr>
        <w:t xml:space="preserve">                                       </w:t>
      </w:r>
    </w:p>
    <w:p w14:paraId="0820D306">
      <w:pPr>
        <w:shd w:val="clear"/>
        <w:spacing w:before="120" w:line="360" w:lineRule="exact"/>
        <w:outlineLvl w:val="9"/>
        <w:rPr>
          <w:rFonts w:hint="eastAsia" w:ascii="微软雅黑" w:hAnsi="微软雅黑" w:eastAsia="微软雅黑" w:cs="微软雅黑"/>
          <w:color w:val="auto"/>
          <w:sz w:val="20"/>
          <w:szCs w:val="20"/>
          <w:highlight w:val="none"/>
        </w:rPr>
      </w:pPr>
    </w:p>
    <w:p w14:paraId="0373FD1E">
      <w:pPr>
        <w:shd w:val="clear"/>
        <w:spacing w:before="120" w:line="360" w:lineRule="exact"/>
        <w:ind w:left="960"/>
        <w:outlineLvl w:val="9"/>
        <w:rPr>
          <w:rFonts w:hint="eastAsia" w:ascii="微软雅黑" w:hAnsi="微软雅黑" w:eastAsia="微软雅黑" w:cs="微软雅黑"/>
          <w:color w:val="auto"/>
          <w:sz w:val="20"/>
          <w:szCs w:val="20"/>
          <w:highlight w:val="none"/>
          <w:u w:val="single"/>
        </w:rPr>
      </w:pPr>
      <w:r>
        <w:rPr>
          <w:rFonts w:hint="eastAsia" w:ascii="微软雅黑" w:hAnsi="微软雅黑" w:eastAsia="微软雅黑" w:cs="微软雅黑"/>
          <w:color w:val="auto"/>
          <w:sz w:val="20"/>
          <w:szCs w:val="20"/>
          <w:highlight w:val="none"/>
        </w:rPr>
        <w:t>乙方：</w:t>
      </w:r>
      <w:r>
        <w:rPr>
          <w:rFonts w:hint="eastAsia" w:ascii="微软雅黑" w:hAnsi="微软雅黑" w:eastAsia="微软雅黑" w:cs="微软雅黑"/>
          <w:color w:val="auto"/>
          <w:sz w:val="20"/>
          <w:szCs w:val="20"/>
          <w:highlight w:val="none"/>
          <w:u w:val="single"/>
        </w:rPr>
        <w:t xml:space="preserve">                                       </w:t>
      </w:r>
    </w:p>
    <w:p w14:paraId="1D727D0D">
      <w:pPr>
        <w:shd w:val="clear"/>
        <w:spacing w:before="120" w:line="360" w:lineRule="exact"/>
        <w:outlineLvl w:val="9"/>
        <w:rPr>
          <w:rFonts w:hint="eastAsia" w:ascii="微软雅黑" w:hAnsi="微软雅黑" w:eastAsia="微软雅黑" w:cs="微软雅黑"/>
          <w:color w:val="auto"/>
          <w:sz w:val="20"/>
          <w:szCs w:val="20"/>
          <w:highlight w:val="none"/>
        </w:rPr>
      </w:pPr>
    </w:p>
    <w:p w14:paraId="2AD71E06">
      <w:pPr>
        <w:shd w:val="clear"/>
        <w:spacing w:before="120" w:line="360" w:lineRule="exact"/>
        <w:ind w:firstLine="800" w:firstLineChars="400"/>
        <w:outlineLvl w:val="9"/>
        <w:rPr>
          <w:rFonts w:hint="eastAsia" w:ascii="微软雅黑" w:hAnsi="微软雅黑" w:eastAsia="微软雅黑" w:cs="微软雅黑"/>
          <w:color w:val="auto"/>
          <w:sz w:val="20"/>
          <w:szCs w:val="20"/>
          <w:highlight w:val="none"/>
          <w:u w:val="single"/>
        </w:rPr>
      </w:pPr>
      <w:r>
        <w:rPr>
          <w:rFonts w:hint="eastAsia" w:ascii="微软雅黑" w:hAnsi="微软雅黑" w:eastAsia="微软雅黑" w:cs="微软雅黑"/>
          <w:color w:val="auto"/>
          <w:sz w:val="20"/>
          <w:szCs w:val="20"/>
          <w:highlight w:val="none"/>
        </w:rPr>
        <w:t>签订地：</w:t>
      </w:r>
      <w:r>
        <w:rPr>
          <w:rFonts w:hint="eastAsia" w:ascii="微软雅黑" w:hAnsi="微软雅黑" w:eastAsia="微软雅黑" w:cs="微软雅黑"/>
          <w:color w:val="auto"/>
          <w:sz w:val="20"/>
          <w:szCs w:val="20"/>
          <w:highlight w:val="none"/>
          <w:u w:val="single"/>
        </w:rPr>
        <w:t xml:space="preserve">                                     </w:t>
      </w:r>
    </w:p>
    <w:p w14:paraId="11A21148">
      <w:pPr>
        <w:shd w:val="clear"/>
        <w:spacing w:before="120" w:line="360" w:lineRule="exact"/>
        <w:outlineLvl w:val="9"/>
        <w:rPr>
          <w:rFonts w:hint="eastAsia" w:ascii="微软雅黑" w:hAnsi="微软雅黑" w:eastAsia="微软雅黑" w:cs="微软雅黑"/>
          <w:color w:val="auto"/>
          <w:sz w:val="20"/>
          <w:szCs w:val="20"/>
          <w:highlight w:val="none"/>
        </w:rPr>
      </w:pPr>
    </w:p>
    <w:p w14:paraId="78C96FA1">
      <w:pPr>
        <w:shd w:val="clear"/>
        <w:spacing w:before="120" w:line="360" w:lineRule="exact"/>
        <w:ind w:firstLine="800" w:firstLineChars="400"/>
        <w:outlineLvl w:val="9"/>
        <w:rPr>
          <w:rFonts w:hint="eastAsia" w:ascii="微软雅黑" w:hAnsi="微软雅黑" w:eastAsia="微软雅黑" w:cs="微软雅黑"/>
          <w:color w:val="auto"/>
          <w:sz w:val="20"/>
          <w:szCs w:val="20"/>
          <w:highlight w:val="none"/>
          <w:u w:val="single"/>
        </w:rPr>
      </w:pPr>
      <w:r>
        <w:rPr>
          <w:rFonts w:hint="eastAsia" w:ascii="微软雅黑" w:hAnsi="微软雅黑" w:eastAsia="微软雅黑" w:cs="微软雅黑"/>
          <w:color w:val="auto"/>
          <w:sz w:val="20"/>
          <w:szCs w:val="20"/>
          <w:highlight w:val="none"/>
        </w:rPr>
        <w:t>签订日期：</w:t>
      </w:r>
      <w:r>
        <w:rPr>
          <w:rFonts w:hint="eastAsia" w:ascii="微软雅黑" w:hAnsi="微软雅黑" w:eastAsia="微软雅黑" w:cs="微软雅黑"/>
          <w:color w:val="auto"/>
          <w:sz w:val="20"/>
          <w:szCs w:val="20"/>
          <w:highlight w:val="none"/>
          <w:u w:val="single"/>
        </w:rPr>
        <w:t xml:space="preserve">               </w:t>
      </w:r>
      <w:r>
        <w:rPr>
          <w:rFonts w:hint="eastAsia" w:ascii="微软雅黑" w:hAnsi="微软雅黑" w:eastAsia="微软雅黑" w:cs="微软雅黑"/>
          <w:color w:val="auto"/>
          <w:sz w:val="20"/>
          <w:szCs w:val="20"/>
          <w:highlight w:val="none"/>
        </w:rPr>
        <w:t>年</w:t>
      </w:r>
      <w:r>
        <w:rPr>
          <w:rFonts w:hint="eastAsia" w:ascii="微软雅黑" w:hAnsi="微软雅黑" w:eastAsia="微软雅黑" w:cs="微软雅黑"/>
          <w:color w:val="auto"/>
          <w:sz w:val="20"/>
          <w:szCs w:val="20"/>
          <w:highlight w:val="none"/>
          <w:u w:val="single"/>
        </w:rPr>
        <w:t xml:space="preserve">       </w:t>
      </w:r>
      <w:r>
        <w:rPr>
          <w:rFonts w:hint="eastAsia" w:ascii="微软雅黑" w:hAnsi="微软雅黑" w:eastAsia="微软雅黑" w:cs="微软雅黑"/>
          <w:color w:val="auto"/>
          <w:sz w:val="20"/>
          <w:szCs w:val="20"/>
          <w:highlight w:val="none"/>
        </w:rPr>
        <w:t>月</w:t>
      </w:r>
      <w:r>
        <w:rPr>
          <w:rFonts w:hint="eastAsia" w:ascii="微软雅黑" w:hAnsi="微软雅黑" w:eastAsia="微软雅黑" w:cs="微软雅黑"/>
          <w:color w:val="auto"/>
          <w:sz w:val="20"/>
          <w:szCs w:val="20"/>
          <w:highlight w:val="none"/>
          <w:u w:val="single"/>
        </w:rPr>
        <w:t xml:space="preserve">       </w:t>
      </w:r>
      <w:r>
        <w:rPr>
          <w:rFonts w:hint="eastAsia" w:ascii="微软雅黑" w:hAnsi="微软雅黑" w:eastAsia="微软雅黑" w:cs="微软雅黑"/>
          <w:color w:val="auto"/>
          <w:sz w:val="20"/>
          <w:szCs w:val="20"/>
          <w:highlight w:val="none"/>
        </w:rPr>
        <w:t>日</w:t>
      </w:r>
    </w:p>
    <w:p w14:paraId="4C02F746">
      <w:pPr>
        <w:shd w:val="clear"/>
        <w:autoSpaceDE w:val="0"/>
        <w:autoSpaceDN w:val="0"/>
        <w:adjustRightInd w:val="0"/>
        <w:spacing w:line="360" w:lineRule="exact"/>
        <w:ind w:firstLine="640"/>
        <w:jc w:val="center"/>
        <w:outlineLvl w:val="9"/>
        <w:rPr>
          <w:rFonts w:hint="eastAsia" w:ascii="微软雅黑" w:hAnsi="微软雅黑" w:eastAsia="微软雅黑" w:cs="微软雅黑"/>
          <w:color w:val="auto"/>
          <w:sz w:val="20"/>
          <w:szCs w:val="20"/>
          <w:highlight w:val="none"/>
        </w:rPr>
        <w:sectPr>
          <w:headerReference r:id="rId7" w:type="default"/>
          <w:pgSz w:w="11907" w:h="16840"/>
          <w:pgMar w:top="1474" w:right="1814" w:bottom="1474" w:left="1814" w:header="851" w:footer="851" w:gutter="0"/>
          <w:pgBorders>
            <w:top w:val="none" w:sz="0" w:space="0"/>
            <w:left w:val="none" w:sz="0" w:space="0"/>
            <w:bottom w:val="none" w:sz="0" w:space="0"/>
            <w:right w:val="none" w:sz="0" w:space="0"/>
          </w:pgBorders>
          <w:pgNumType w:fmt="decimal"/>
          <w:cols w:space="720" w:num="1"/>
          <w:docGrid w:linePitch="462" w:charSpace="0"/>
        </w:sectPr>
      </w:pPr>
    </w:p>
    <w:p w14:paraId="51971B35">
      <w:pPr>
        <w:shd w:val="clear"/>
        <w:spacing w:line="360" w:lineRule="exact"/>
        <w:ind w:firstLine="400" w:firstLineChars="200"/>
        <w:outlineLvl w:val="9"/>
        <w:rPr>
          <w:rFonts w:hint="eastAsia" w:ascii="微软雅黑" w:hAnsi="微软雅黑" w:eastAsia="微软雅黑" w:cs="微软雅黑"/>
          <w:color w:val="auto"/>
          <w:sz w:val="20"/>
          <w:szCs w:val="20"/>
          <w:highlight w:val="none"/>
        </w:rPr>
      </w:pPr>
      <w:bookmarkStart w:id="1772" w:name="_Toc24059"/>
      <w:bookmarkStart w:id="1773" w:name="_Toc2232"/>
      <w:bookmarkStart w:id="1774" w:name="_Toc3029"/>
      <w:bookmarkStart w:id="1775" w:name="_Toc2659"/>
      <w:bookmarkStart w:id="1776" w:name="_Toc1846"/>
      <w:bookmarkStart w:id="1777" w:name="_Toc26721"/>
      <w:r>
        <w:rPr>
          <w:rFonts w:hint="eastAsia" w:ascii="微软雅黑" w:hAnsi="微软雅黑" w:eastAsia="微软雅黑" w:cs="微软雅黑"/>
          <w:color w:val="auto"/>
          <w:sz w:val="20"/>
          <w:szCs w:val="20"/>
          <w:highlight w:val="none"/>
          <w:u w:val="single"/>
          <w:lang w:val="zh-CN"/>
        </w:rPr>
        <w:t xml:space="preserve">        </w:t>
      </w:r>
      <w:r>
        <w:rPr>
          <w:rFonts w:hint="eastAsia" w:ascii="微软雅黑" w:hAnsi="微软雅黑" w:eastAsia="微软雅黑" w:cs="微软雅黑"/>
          <w:color w:val="auto"/>
          <w:sz w:val="20"/>
          <w:szCs w:val="20"/>
          <w:highlight w:val="none"/>
          <w:lang w:val="zh-CN"/>
        </w:rPr>
        <w:t>年</w:t>
      </w:r>
      <w:r>
        <w:rPr>
          <w:rFonts w:hint="eastAsia" w:ascii="微软雅黑" w:hAnsi="微软雅黑" w:eastAsia="微软雅黑" w:cs="微软雅黑"/>
          <w:color w:val="auto"/>
          <w:sz w:val="20"/>
          <w:szCs w:val="20"/>
          <w:highlight w:val="none"/>
          <w:u w:val="single"/>
          <w:lang w:val="zh-CN"/>
        </w:rPr>
        <w:t xml:space="preserve">    </w:t>
      </w:r>
      <w:r>
        <w:rPr>
          <w:rFonts w:hint="eastAsia" w:ascii="微软雅黑" w:hAnsi="微软雅黑" w:eastAsia="微软雅黑" w:cs="微软雅黑"/>
          <w:color w:val="auto"/>
          <w:sz w:val="20"/>
          <w:szCs w:val="20"/>
          <w:highlight w:val="none"/>
          <w:lang w:val="zh-CN"/>
        </w:rPr>
        <w:t>月</w:t>
      </w:r>
      <w:r>
        <w:rPr>
          <w:rFonts w:hint="eastAsia" w:ascii="微软雅黑" w:hAnsi="微软雅黑" w:eastAsia="微软雅黑" w:cs="微软雅黑"/>
          <w:color w:val="auto"/>
          <w:sz w:val="20"/>
          <w:szCs w:val="20"/>
          <w:highlight w:val="none"/>
          <w:u w:val="single"/>
          <w:lang w:val="zh-CN"/>
        </w:rPr>
        <w:t xml:space="preserve">    </w:t>
      </w:r>
      <w:r>
        <w:rPr>
          <w:rFonts w:hint="eastAsia" w:ascii="微软雅黑" w:hAnsi="微软雅黑" w:eastAsia="微软雅黑" w:cs="微软雅黑"/>
          <w:color w:val="auto"/>
          <w:sz w:val="20"/>
          <w:szCs w:val="20"/>
          <w:highlight w:val="none"/>
          <w:lang w:val="zh-CN"/>
        </w:rPr>
        <w:t>日</w:t>
      </w:r>
      <w:r>
        <w:rPr>
          <w:rFonts w:hint="eastAsia" w:ascii="微软雅黑" w:hAnsi="微软雅黑" w:eastAsia="微软雅黑" w:cs="微软雅黑"/>
          <w:color w:val="auto"/>
          <w:sz w:val="20"/>
          <w:szCs w:val="20"/>
          <w:highlight w:val="none"/>
        </w:rPr>
        <w:t>，</w:t>
      </w:r>
      <w:r>
        <w:rPr>
          <w:rFonts w:hint="eastAsia" w:ascii="微软雅黑" w:hAnsi="微软雅黑" w:eastAsia="微软雅黑" w:cs="微软雅黑"/>
          <w:color w:val="auto"/>
          <w:sz w:val="20"/>
          <w:szCs w:val="20"/>
          <w:highlight w:val="none"/>
          <w:u w:val="single"/>
        </w:rPr>
        <w:t xml:space="preserve">   （采购人名称）   </w:t>
      </w:r>
      <w:r>
        <w:rPr>
          <w:rFonts w:hint="eastAsia" w:ascii="微软雅黑" w:hAnsi="微软雅黑" w:eastAsia="微软雅黑" w:cs="微软雅黑"/>
          <w:color w:val="auto"/>
          <w:sz w:val="20"/>
          <w:szCs w:val="20"/>
          <w:highlight w:val="none"/>
        </w:rPr>
        <w:t>以</w:t>
      </w:r>
      <w:r>
        <w:rPr>
          <w:rFonts w:hint="eastAsia" w:ascii="微软雅黑" w:hAnsi="微软雅黑" w:eastAsia="微软雅黑" w:cs="微软雅黑"/>
          <w:color w:val="auto"/>
          <w:sz w:val="20"/>
          <w:szCs w:val="20"/>
          <w:highlight w:val="none"/>
          <w:u w:val="single"/>
        </w:rPr>
        <w:t xml:space="preserve">   （政府采购方式）  </w:t>
      </w:r>
      <w:r>
        <w:rPr>
          <w:rFonts w:hint="eastAsia" w:ascii="微软雅黑" w:hAnsi="微软雅黑" w:eastAsia="微软雅黑" w:cs="微软雅黑"/>
          <w:color w:val="auto"/>
          <w:sz w:val="20"/>
          <w:szCs w:val="20"/>
          <w:highlight w:val="none"/>
        </w:rPr>
        <w:t>对</w:t>
      </w:r>
      <w:r>
        <w:rPr>
          <w:rFonts w:hint="eastAsia" w:ascii="微软雅黑" w:hAnsi="微软雅黑" w:eastAsia="微软雅黑" w:cs="微软雅黑"/>
          <w:color w:val="auto"/>
          <w:sz w:val="20"/>
          <w:szCs w:val="20"/>
          <w:highlight w:val="none"/>
          <w:u w:val="single"/>
        </w:rPr>
        <w:t xml:space="preserve">   （同前页项目名称）   </w:t>
      </w:r>
      <w:r>
        <w:rPr>
          <w:rFonts w:hint="eastAsia" w:ascii="微软雅黑" w:hAnsi="微软雅黑" w:eastAsia="微软雅黑" w:cs="微软雅黑"/>
          <w:color w:val="auto"/>
          <w:sz w:val="20"/>
          <w:szCs w:val="20"/>
          <w:highlight w:val="none"/>
        </w:rPr>
        <w:t>项目进行了采购。经</w:t>
      </w:r>
      <w:r>
        <w:rPr>
          <w:rFonts w:hint="eastAsia" w:ascii="微软雅黑" w:hAnsi="微软雅黑" w:eastAsia="微软雅黑" w:cs="微软雅黑"/>
          <w:color w:val="auto"/>
          <w:sz w:val="20"/>
          <w:szCs w:val="20"/>
          <w:highlight w:val="none"/>
          <w:u w:val="single"/>
        </w:rPr>
        <w:t xml:space="preserve">   （相关评定主体名称）   </w:t>
      </w:r>
      <w:r>
        <w:rPr>
          <w:rFonts w:hint="eastAsia" w:ascii="微软雅黑" w:hAnsi="微软雅黑" w:eastAsia="微软雅黑" w:cs="微软雅黑"/>
          <w:color w:val="auto"/>
          <w:sz w:val="20"/>
          <w:szCs w:val="20"/>
          <w:highlight w:val="none"/>
        </w:rPr>
        <w:t>评定，</w:t>
      </w:r>
      <w:r>
        <w:rPr>
          <w:rFonts w:hint="eastAsia" w:ascii="微软雅黑" w:hAnsi="微软雅黑" w:eastAsia="微软雅黑" w:cs="微软雅黑"/>
          <w:color w:val="auto"/>
          <w:sz w:val="20"/>
          <w:szCs w:val="20"/>
          <w:highlight w:val="none"/>
          <w:u w:val="single"/>
        </w:rPr>
        <w:t xml:space="preserve">   （中标供应商名称）</w:t>
      </w:r>
      <w:r>
        <w:rPr>
          <w:rFonts w:hint="eastAsia" w:ascii="微软雅黑" w:hAnsi="微软雅黑" w:eastAsia="微软雅黑" w:cs="微软雅黑"/>
          <w:color w:val="auto"/>
          <w:sz w:val="20"/>
          <w:szCs w:val="20"/>
          <w:highlight w:val="none"/>
        </w:rPr>
        <w:t>为该项目中标供应商。现于中标通知书发出之日起三十日内，按照采购文件确定的事项签订本合同。</w:t>
      </w:r>
    </w:p>
    <w:p w14:paraId="5BBED967">
      <w:pPr>
        <w:shd w:val="clear"/>
        <w:spacing w:line="360" w:lineRule="exact"/>
        <w:ind w:firstLine="400" w:firstLineChars="200"/>
        <w:outlineLvl w:val="9"/>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lang w:val="zh-CN"/>
        </w:rPr>
        <w:t>根据《中华人民共和国</w:t>
      </w:r>
      <w:r>
        <w:rPr>
          <w:rFonts w:hint="eastAsia" w:ascii="微软雅黑" w:hAnsi="微软雅黑" w:eastAsia="微软雅黑" w:cs="微软雅黑"/>
          <w:color w:val="auto"/>
          <w:sz w:val="20"/>
          <w:szCs w:val="20"/>
          <w:highlight w:val="none"/>
        </w:rPr>
        <w:t>民法典</w:t>
      </w:r>
      <w:r>
        <w:rPr>
          <w:rFonts w:hint="eastAsia" w:ascii="微软雅黑" w:hAnsi="微软雅黑" w:eastAsia="微软雅黑" w:cs="微软雅黑"/>
          <w:color w:val="auto"/>
          <w:sz w:val="20"/>
          <w:szCs w:val="20"/>
          <w:highlight w:val="none"/>
          <w:lang w:val="zh-CN"/>
        </w:rPr>
        <w:t>》、《中华人民共和国政府采购法》等相关法律法规之规定，按照平等、自愿、公平和诚实信用的原则，经</w:t>
      </w:r>
      <w:r>
        <w:rPr>
          <w:rFonts w:hint="eastAsia" w:ascii="微软雅黑" w:hAnsi="微软雅黑" w:eastAsia="微软雅黑" w:cs="微软雅黑"/>
          <w:color w:val="auto"/>
          <w:sz w:val="20"/>
          <w:szCs w:val="20"/>
          <w:highlight w:val="none"/>
          <w:u w:val="single"/>
        </w:rPr>
        <w:t xml:space="preserve">   （采购人名称）   </w:t>
      </w:r>
      <w:r>
        <w:rPr>
          <w:rFonts w:hint="eastAsia" w:ascii="微软雅黑" w:hAnsi="微软雅黑" w:eastAsia="微软雅黑" w:cs="微软雅黑"/>
          <w:color w:val="auto"/>
          <w:sz w:val="20"/>
          <w:szCs w:val="20"/>
          <w:highlight w:val="none"/>
          <w:lang w:val="zh-CN"/>
        </w:rPr>
        <w:t>(以下简称：甲方)和</w:t>
      </w:r>
      <w:r>
        <w:rPr>
          <w:rFonts w:hint="eastAsia" w:ascii="微软雅黑" w:hAnsi="微软雅黑" w:eastAsia="微软雅黑" w:cs="微软雅黑"/>
          <w:color w:val="auto"/>
          <w:sz w:val="20"/>
          <w:szCs w:val="20"/>
          <w:highlight w:val="none"/>
          <w:u w:val="single"/>
        </w:rPr>
        <w:t xml:space="preserve">   （中标供应商名称）   </w:t>
      </w:r>
      <w:r>
        <w:rPr>
          <w:rFonts w:hint="eastAsia" w:ascii="微软雅黑" w:hAnsi="微软雅黑" w:eastAsia="微软雅黑" w:cs="微软雅黑"/>
          <w:color w:val="auto"/>
          <w:sz w:val="20"/>
          <w:szCs w:val="20"/>
          <w:highlight w:val="none"/>
          <w:lang w:val="zh-CN"/>
        </w:rPr>
        <w:t>(以下简称：乙方)协商一致，约定以下合同</w:t>
      </w:r>
      <w:r>
        <w:rPr>
          <w:rFonts w:hint="eastAsia" w:ascii="微软雅黑" w:hAnsi="微软雅黑" w:eastAsia="微软雅黑" w:cs="微软雅黑"/>
          <w:color w:val="auto"/>
          <w:sz w:val="20"/>
          <w:szCs w:val="20"/>
          <w:highlight w:val="none"/>
        </w:rPr>
        <w:t>条款，以兹共同遵守、全面履行。</w:t>
      </w:r>
    </w:p>
    <w:bookmarkEnd w:id="1772"/>
    <w:bookmarkEnd w:id="1773"/>
    <w:bookmarkEnd w:id="1774"/>
    <w:bookmarkEnd w:id="1775"/>
    <w:bookmarkEnd w:id="1776"/>
    <w:bookmarkEnd w:id="1777"/>
    <w:p w14:paraId="0D8AF56F">
      <w:pPr>
        <w:shd w:val="clear"/>
        <w:spacing w:line="360" w:lineRule="exact"/>
        <w:ind w:firstLine="400" w:firstLineChars="200"/>
        <w:outlineLvl w:val="9"/>
        <w:rPr>
          <w:rFonts w:hint="eastAsia" w:ascii="微软雅黑" w:hAnsi="微软雅黑" w:eastAsia="微软雅黑" w:cs="微软雅黑"/>
          <w:b/>
          <w:color w:val="auto"/>
          <w:sz w:val="20"/>
          <w:szCs w:val="20"/>
          <w:highlight w:val="none"/>
        </w:rPr>
      </w:pPr>
      <w:bookmarkStart w:id="1778" w:name="_Toc21386"/>
      <w:bookmarkStart w:id="1779" w:name="_Toc8065"/>
      <w:bookmarkStart w:id="1780" w:name="_Toc4279"/>
      <w:bookmarkStart w:id="1781" w:name="_Toc2169"/>
      <w:bookmarkStart w:id="1782" w:name="_Toc12771"/>
      <w:bookmarkStart w:id="1783" w:name="_Toc2302"/>
      <w:bookmarkStart w:id="1784" w:name="_Toc13018"/>
      <w:bookmarkStart w:id="1785" w:name="_Toc25352"/>
      <w:bookmarkStart w:id="1786" w:name="_Toc2231"/>
      <w:bookmarkStart w:id="1787" w:name="_Toc31919"/>
      <w:bookmarkStart w:id="1788" w:name="_Toc15183"/>
      <w:bookmarkStart w:id="1789" w:name="_Toc18344"/>
      <w:bookmarkStart w:id="1790" w:name="_Toc20877"/>
      <w:bookmarkStart w:id="1791" w:name="_Toc29751"/>
      <w:bookmarkStart w:id="1792" w:name="_Toc18247"/>
      <w:bookmarkStart w:id="1793" w:name="_Toc14766"/>
      <w:bookmarkStart w:id="1794" w:name="_Toc30575"/>
      <w:bookmarkStart w:id="1795" w:name="_Toc4498"/>
      <w:bookmarkStart w:id="1796" w:name="_Toc4274"/>
      <w:bookmarkStart w:id="1797" w:name="_Toc4751"/>
      <w:bookmarkStart w:id="1798" w:name="_Toc6741"/>
      <w:bookmarkStart w:id="1799" w:name="_Toc24689"/>
      <w:bookmarkStart w:id="1800" w:name="_Toc21329"/>
      <w:bookmarkStart w:id="1801" w:name="_Toc14426"/>
      <w:bookmarkStart w:id="1802" w:name="_Toc16911"/>
      <w:bookmarkStart w:id="1803" w:name="_Toc299"/>
      <w:bookmarkStart w:id="1804" w:name="_Toc937"/>
      <w:bookmarkStart w:id="1805" w:name="_Toc6061"/>
      <w:bookmarkStart w:id="1806" w:name="_Toc24186"/>
      <w:bookmarkStart w:id="1807" w:name="_Toc30797"/>
      <w:bookmarkStart w:id="1808" w:name="_Toc24230"/>
      <w:bookmarkStart w:id="1809" w:name="_Toc17234"/>
      <w:bookmarkStart w:id="1810" w:name="_Toc29322"/>
      <w:bookmarkStart w:id="1811" w:name="_Toc28090"/>
      <w:bookmarkStart w:id="1812" w:name="_Toc6038"/>
      <w:r>
        <w:rPr>
          <w:rFonts w:hint="eastAsia" w:ascii="微软雅黑" w:hAnsi="微软雅黑" w:eastAsia="微软雅黑" w:cs="微软雅黑"/>
          <w:b/>
          <w:color w:val="auto"/>
          <w:sz w:val="20"/>
          <w:szCs w:val="20"/>
          <w:highlight w:val="none"/>
        </w:rPr>
        <w:t>1.1 合同组成部分</w:t>
      </w:r>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p>
    <w:p w14:paraId="7C752427">
      <w:pPr>
        <w:shd w:val="clear"/>
        <w:spacing w:line="360" w:lineRule="exact"/>
        <w:ind w:firstLine="400" w:firstLineChars="200"/>
        <w:outlineLvl w:val="9"/>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7646722C">
      <w:pPr>
        <w:shd w:val="clear"/>
        <w:spacing w:line="360" w:lineRule="exact"/>
        <w:ind w:firstLine="400" w:firstLineChars="200"/>
        <w:outlineLvl w:val="9"/>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1.1.1 本合同及其补充合同、变更协议；</w:t>
      </w:r>
    </w:p>
    <w:p w14:paraId="651D0F7A">
      <w:pPr>
        <w:shd w:val="clear"/>
        <w:spacing w:line="360" w:lineRule="exact"/>
        <w:ind w:firstLine="400" w:firstLineChars="200"/>
        <w:outlineLvl w:val="9"/>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1.1.2 中标通知书；</w:t>
      </w:r>
    </w:p>
    <w:p w14:paraId="756D693F">
      <w:pPr>
        <w:shd w:val="clear"/>
        <w:spacing w:line="360" w:lineRule="exact"/>
        <w:ind w:firstLine="400" w:firstLineChars="200"/>
        <w:outlineLvl w:val="9"/>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1.1.3 投标文件（含澄清或者说明文件）；</w:t>
      </w:r>
    </w:p>
    <w:p w14:paraId="5A3C41DE">
      <w:pPr>
        <w:shd w:val="clear"/>
        <w:spacing w:line="360" w:lineRule="exact"/>
        <w:ind w:firstLine="400" w:firstLineChars="200"/>
        <w:outlineLvl w:val="9"/>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1.1.4 招标文件（含澄清或者修改文件）；</w:t>
      </w:r>
    </w:p>
    <w:p w14:paraId="1DCACD98">
      <w:pPr>
        <w:shd w:val="clear"/>
        <w:spacing w:line="360" w:lineRule="exact"/>
        <w:ind w:firstLine="400" w:firstLineChars="200"/>
        <w:outlineLvl w:val="9"/>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1.1.5 其他相关采购文件。</w:t>
      </w:r>
    </w:p>
    <w:p w14:paraId="14FF3B7C">
      <w:pPr>
        <w:shd w:val="clear"/>
        <w:spacing w:line="360" w:lineRule="exact"/>
        <w:ind w:firstLine="400" w:firstLineChars="200"/>
        <w:outlineLvl w:val="9"/>
        <w:rPr>
          <w:rFonts w:hint="eastAsia" w:ascii="微软雅黑" w:hAnsi="微软雅黑" w:eastAsia="微软雅黑" w:cs="微软雅黑"/>
          <w:b/>
          <w:color w:val="auto"/>
          <w:sz w:val="20"/>
          <w:szCs w:val="20"/>
          <w:highlight w:val="none"/>
        </w:rPr>
      </w:pPr>
      <w:bookmarkStart w:id="1813" w:name="_Toc21295"/>
      <w:bookmarkStart w:id="1814" w:name="_Toc19336"/>
      <w:bookmarkStart w:id="1815" w:name="_Toc4735"/>
      <w:bookmarkStart w:id="1816" w:name="_Toc30099"/>
      <w:bookmarkStart w:id="1817" w:name="_Toc8631"/>
      <w:bookmarkStart w:id="1818" w:name="_Toc20245"/>
      <w:bookmarkStart w:id="1819" w:name="_Toc21217"/>
      <w:bookmarkStart w:id="1820" w:name="_Toc28577"/>
      <w:bookmarkStart w:id="1821" w:name="_Toc10561"/>
      <w:bookmarkStart w:id="1822" w:name="_Toc25402"/>
      <w:bookmarkStart w:id="1823" w:name="_Toc13138"/>
      <w:bookmarkStart w:id="1824" w:name="_Toc31638"/>
      <w:bookmarkStart w:id="1825" w:name="_Toc12726"/>
      <w:bookmarkStart w:id="1826" w:name="_Toc30020"/>
      <w:bookmarkStart w:id="1827" w:name="_Toc9006"/>
      <w:bookmarkStart w:id="1828" w:name="_Toc1446"/>
      <w:bookmarkStart w:id="1829" w:name="_Toc27318"/>
      <w:bookmarkStart w:id="1830" w:name="_Toc25735"/>
      <w:bookmarkStart w:id="1831" w:name="_Toc8057"/>
      <w:bookmarkStart w:id="1832" w:name="_Toc15245"/>
      <w:bookmarkStart w:id="1833" w:name="_Toc1557"/>
      <w:bookmarkStart w:id="1834" w:name="_Toc18392"/>
      <w:bookmarkStart w:id="1835" w:name="_Toc19432"/>
      <w:bookmarkStart w:id="1836" w:name="_Toc7977"/>
      <w:bookmarkStart w:id="1837" w:name="_Toc27126"/>
      <w:bookmarkStart w:id="1838" w:name="_Toc26166"/>
      <w:bookmarkStart w:id="1839" w:name="_Toc4957"/>
      <w:bookmarkStart w:id="1840" w:name="_Toc16086"/>
      <w:bookmarkStart w:id="1841" w:name="_Toc11814"/>
      <w:bookmarkStart w:id="1842" w:name="_Toc19377"/>
      <w:bookmarkStart w:id="1843" w:name="_Toc23778"/>
      <w:bookmarkStart w:id="1844" w:name="_Toc24300"/>
      <w:bookmarkStart w:id="1845" w:name="_Toc9161"/>
      <w:bookmarkStart w:id="1846" w:name="_Toc5906"/>
      <w:bookmarkStart w:id="1847" w:name="_Toc30626"/>
      <w:bookmarkStart w:id="1848" w:name="_Toc14235"/>
      <w:bookmarkStart w:id="1849" w:name="_Toc24727"/>
      <w:bookmarkStart w:id="1850" w:name="_Toc4395"/>
      <w:bookmarkStart w:id="1851" w:name="_Toc20463"/>
      <w:bookmarkStart w:id="1852" w:name="_Toc15345"/>
      <w:bookmarkStart w:id="1853" w:name="_Toc17760"/>
      <w:bookmarkStart w:id="1854" w:name="_Toc19438"/>
      <w:r>
        <w:rPr>
          <w:rFonts w:hint="eastAsia" w:ascii="微软雅黑" w:hAnsi="微软雅黑" w:eastAsia="微软雅黑" w:cs="微软雅黑"/>
          <w:b/>
          <w:color w:val="auto"/>
          <w:sz w:val="20"/>
          <w:szCs w:val="20"/>
          <w:highlight w:val="none"/>
        </w:rPr>
        <w:t>1.2 货物</w:t>
      </w:r>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p>
    <w:p w14:paraId="7A374D48">
      <w:pPr>
        <w:shd w:val="clear"/>
        <w:spacing w:line="360" w:lineRule="exact"/>
        <w:ind w:firstLine="400" w:firstLineChars="200"/>
        <w:outlineLvl w:val="9"/>
        <w:rPr>
          <w:rFonts w:hint="eastAsia" w:ascii="微软雅黑" w:hAnsi="微软雅黑" w:eastAsia="微软雅黑" w:cs="微软雅黑"/>
          <w:color w:val="auto"/>
          <w:sz w:val="20"/>
          <w:szCs w:val="20"/>
          <w:highlight w:val="none"/>
          <w:u w:val="single"/>
        </w:rPr>
      </w:pPr>
      <w:r>
        <w:rPr>
          <w:rFonts w:hint="eastAsia" w:ascii="微软雅黑" w:hAnsi="微软雅黑" w:eastAsia="微软雅黑" w:cs="微软雅黑"/>
          <w:color w:val="auto"/>
          <w:sz w:val="20"/>
          <w:szCs w:val="20"/>
          <w:highlight w:val="none"/>
        </w:rPr>
        <w:t>1.2.1 货物名称：</w:t>
      </w:r>
      <w:r>
        <w:rPr>
          <w:rFonts w:hint="eastAsia" w:ascii="微软雅黑" w:hAnsi="微软雅黑" w:eastAsia="微软雅黑" w:cs="微软雅黑"/>
          <w:color w:val="auto"/>
          <w:sz w:val="20"/>
          <w:szCs w:val="20"/>
          <w:highlight w:val="none"/>
          <w:u w:val="single"/>
        </w:rPr>
        <w:t xml:space="preserve">                                                </w:t>
      </w:r>
      <w:r>
        <w:rPr>
          <w:rFonts w:hint="eastAsia" w:ascii="微软雅黑" w:hAnsi="微软雅黑" w:eastAsia="微软雅黑" w:cs="微软雅黑"/>
          <w:color w:val="auto"/>
          <w:sz w:val="20"/>
          <w:szCs w:val="20"/>
          <w:highlight w:val="none"/>
        </w:rPr>
        <w:t>；</w:t>
      </w:r>
    </w:p>
    <w:p w14:paraId="25CFF117">
      <w:pPr>
        <w:shd w:val="clear"/>
        <w:spacing w:line="360" w:lineRule="exact"/>
        <w:ind w:firstLine="400" w:firstLineChars="200"/>
        <w:outlineLvl w:val="9"/>
        <w:rPr>
          <w:rFonts w:hint="eastAsia" w:ascii="微软雅黑" w:hAnsi="微软雅黑" w:eastAsia="微软雅黑" w:cs="微软雅黑"/>
          <w:color w:val="auto"/>
          <w:sz w:val="20"/>
          <w:szCs w:val="20"/>
          <w:highlight w:val="none"/>
          <w:u w:val="single"/>
        </w:rPr>
      </w:pPr>
      <w:r>
        <w:rPr>
          <w:rFonts w:hint="eastAsia" w:ascii="微软雅黑" w:hAnsi="微软雅黑" w:eastAsia="微软雅黑" w:cs="微软雅黑"/>
          <w:color w:val="auto"/>
          <w:sz w:val="20"/>
          <w:szCs w:val="20"/>
          <w:highlight w:val="none"/>
        </w:rPr>
        <w:t>1.2.2 货物数量：</w:t>
      </w:r>
      <w:r>
        <w:rPr>
          <w:rFonts w:hint="eastAsia" w:ascii="微软雅黑" w:hAnsi="微软雅黑" w:eastAsia="微软雅黑" w:cs="微软雅黑"/>
          <w:color w:val="auto"/>
          <w:sz w:val="20"/>
          <w:szCs w:val="20"/>
          <w:highlight w:val="none"/>
          <w:u w:val="single"/>
        </w:rPr>
        <w:t xml:space="preserve">                                                </w:t>
      </w:r>
      <w:r>
        <w:rPr>
          <w:rFonts w:hint="eastAsia" w:ascii="微软雅黑" w:hAnsi="微软雅黑" w:eastAsia="微软雅黑" w:cs="微软雅黑"/>
          <w:color w:val="auto"/>
          <w:sz w:val="20"/>
          <w:szCs w:val="20"/>
          <w:highlight w:val="none"/>
        </w:rPr>
        <w:t>；</w:t>
      </w:r>
    </w:p>
    <w:p w14:paraId="3F5649C7">
      <w:pPr>
        <w:shd w:val="clear"/>
        <w:spacing w:line="360" w:lineRule="exact"/>
        <w:ind w:firstLine="400" w:firstLineChars="200"/>
        <w:outlineLvl w:val="9"/>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1.2.3 货物质量：</w:t>
      </w:r>
      <w:r>
        <w:rPr>
          <w:rFonts w:hint="eastAsia" w:ascii="微软雅黑" w:hAnsi="微软雅黑" w:eastAsia="微软雅黑" w:cs="微软雅黑"/>
          <w:color w:val="auto"/>
          <w:sz w:val="20"/>
          <w:szCs w:val="20"/>
          <w:highlight w:val="none"/>
          <w:u w:val="single"/>
        </w:rPr>
        <w:t xml:space="preserve">　　　　　　　　　                      　      </w:t>
      </w:r>
      <w:r>
        <w:rPr>
          <w:rFonts w:hint="eastAsia" w:ascii="微软雅黑" w:hAnsi="微软雅黑" w:eastAsia="微软雅黑" w:cs="微软雅黑"/>
          <w:color w:val="auto"/>
          <w:sz w:val="20"/>
          <w:szCs w:val="20"/>
          <w:highlight w:val="none"/>
        </w:rPr>
        <w:t>。</w:t>
      </w:r>
    </w:p>
    <w:p w14:paraId="004760B0">
      <w:pPr>
        <w:shd w:val="clear"/>
        <w:spacing w:line="360" w:lineRule="exact"/>
        <w:ind w:firstLine="400" w:firstLineChars="200"/>
        <w:outlineLvl w:val="9"/>
        <w:rPr>
          <w:rFonts w:hint="eastAsia" w:ascii="微软雅黑" w:hAnsi="微软雅黑" w:eastAsia="微软雅黑" w:cs="微软雅黑"/>
          <w:b/>
          <w:color w:val="auto"/>
          <w:sz w:val="20"/>
          <w:szCs w:val="20"/>
          <w:highlight w:val="none"/>
        </w:rPr>
      </w:pPr>
      <w:bookmarkStart w:id="1855" w:name="_Toc28204"/>
      <w:bookmarkStart w:id="1856" w:name="_Toc8386"/>
      <w:bookmarkStart w:id="1857" w:name="_Toc21631"/>
      <w:bookmarkStart w:id="1858" w:name="_Toc19682"/>
      <w:bookmarkStart w:id="1859" w:name="_Toc18812"/>
      <w:bookmarkStart w:id="1860" w:name="_Toc10942"/>
      <w:bookmarkStart w:id="1861" w:name="_Toc14520"/>
      <w:bookmarkStart w:id="1862" w:name="_Toc20800"/>
      <w:bookmarkStart w:id="1863" w:name="_Toc20842"/>
      <w:bookmarkStart w:id="1864" w:name="_Toc27282"/>
      <w:bookmarkStart w:id="1865" w:name="_Toc1528"/>
      <w:bookmarkStart w:id="1866" w:name="_Toc23292"/>
      <w:bookmarkStart w:id="1867" w:name="_Toc23316"/>
      <w:bookmarkStart w:id="1868" w:name="_Toc26718"/>
      <w:bookmarkStart w:id="1869" w:name="_Toc29895"/>
      <w:bookmarkStart w:id="1870" w:name="_Toc8810"/>
      <w:bookmarkStart w:id="1871" w:name="_Toc11045"/>
      <w:bookmarkStart w:id="1872" w:name="_Toc23693"/>
      <w:bookmarkStart w:id="1873" w:name="_Toc30755"/>
      <w:bookmarkStart w:id="1874" w:name="_Toc12501"/>
      <w:bookmarkStart w:id="1875" w:name="_Toc21551"/>
      <w:bookmarkStart w:id="1876" w:name="_Toc18854"/>
      <w:bookmarkStart w:id="1877" w:name="_Toc32341"/>
      <w:bookmarkStart w:id="1878" w:name="_Toc25368"/>
      <w:bookmarkStart w:id="1879" w:name="_Toc31503"/>
      <w:bookmarkStart w:id="1880" w:name="_Toc25955"/>
      <w:bookmarkStart w:id="1881" w:name="_Toc19867"/>
      <w:bookmarkStart w:id="1882" w:name="_Toc1267"/>
      <w:bookmarkStart w:id="1883" w:name="_Toc22675"/>
      <w:bookmarkStart w:id="1884" w:name="_Toc28236"/>
      <w:bookmarkStart w:id="1885" w:name="_Toc27433"/>
      <w:bookmarkStart w:id="1886" w:name="_Toc13898"/>
      <w:bookmarkStart w:id="1887" w:name="_Toc4513"/>
      <w:bookmarkStart w:id="1888" w:name="_Toc9364"/>
      <w:bookmarkStart w:id="1889" w:name="_Toc30667"/>
      <w:bookmarkStart w:id="1890" w:name="_Toc13852"/>
      <w:bookmarkStart w:id="1891" w:name="_Toc633"/>
      <w:bookmarkStart w:id="1892" w:name="_Toc14240"/>
      <w:bookmarkStart w:id="1893" w:name="_Toc12266"/>
      <w:bookmarkStart w:id="1894" w:name="_Toc25196"/>
      <w:bookmarkStart w:id="1895" w:name="_Toc21040"/>
      <w:r>
        <w:rPr>
          <w:rFonts w:hint="eastAsia" w:ascii="微软雅黑" w:hAnsi="微软雅黑" w:eastAsia="微软雅黑" w:cs="微软雅黑"/>
          <w:b/>
          <w:color w:val="auto"/>
          <w:sz w:val="20"/>
          <w:szCs w:val="20"/>
          <w:highlight w:val="none"/>
        </w:rPr>
        <w:t>1.3 价款</w:t>
      </w:r>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p>
    <w:p w14:paraId="3C913894">
      <w:pPr>
        <w:shd w:val="clear"/>
        <w:spacing w:line="360" w:lineRule="exact"/>
        <w:ind w:firstLine="400" w:firstLineChars="200"/>
        <w:outlineLvl w:val="9"/>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本合同总价为：￥</w:t>
      </w:r>
      <w:r>
        <w:rPr>
          <w:rFonts w:hint="eastAsia" w:ascii="微软雅黑" w:hAnsi="微软雅黑" w:eastAsia="微软雅黑" w:cs="微软雅黑"/>
          <w:color w:val="auto"/>
          <w:sz w:val="20"/>
          <w:szCs w:val="20"/>
          <w:highlight w:val="none"/>
          <w:u w:val="single"/>
        </w:rPr>
        <w:t xml:space="preserve">           </w:t>
      </w:r>
      <w:r>
        <w:rPr>
          <w:rFonts w:hint="eastAsia" w:ascii="微软雅黑" w:hAnsi="微软雅黑" w:eastAsia="微软雅黑" w:cs="微软雅黑"/>
          <w:color w:val="auto"/>
          <w:sz w:val="20"/>
          <w:szCs w:val="20"/>
          <w:highlight w:val="none"/>
        </w:rPr>
        <w:t>元（大写：</w:t>
      </w:r>
      <w:r>
        <w:rPr>
          <w:rFonts w:hint="eastAsia" w:ascii="微软雅黑" w:hAnsi="微软雅黑" w:eastAsia="微软雅黑" w:cs="微软雅黑"/>
          <w:color w:val="auto"/>
          <w:sz w:val="20"/>
          <w:szCs w:val="20"/>
          <w:highlight w:val="none"/>
          <w:u w:val="single"/>
        </w:rPr>
        <w:t xml:space="preserve">                 </w:t>
      </w:r>
      <w:r>
        <w:rPr>
          <w:rFonts w:hint="eastAsia" w:ascii="微软雅黑" w:hAnsi="微软雅黑" w:eastAsia="微软雅黑" w:cs="微软雅黑"/>
          <w:color w:val="auto"/>
          <w:sz w:val="20"/>
          <w:szCs w:val="20"/>
          <w:highlight w:val="none"/>
        </w:rPr>
        <w:t>元人民币）。</w:t>
      </w:r>
    </w:p>
    <w:p w14:paraId="17873F34">
      <w:pPr>
        <w:shd w:val="clear"/>
        <w:spacing w:line="360" w:lineRule="exact"/>
        <w:ind w:firstLine="400" w:firstLineChars="200"/>
        <w:outlineLvl w:val="9"/>
        <w:rPr>
          <w:rFonts w:hint="eastAsia" w:ascii="微软雅黑" w:hAnsi="微软雅黑" w:eastAsia="微软雅黑" w:cs="微软雅黑"/>
          <w:color w:val="auto"/>
          <w:sz w:val="20"/>
          <w:szCs w:val="20"/>
          <w:highlight w:val="none"/>
          <w:u w:val="single"/>
        </w:rPr>
      </w:pPr>
      <w:r>
        <w:rPr>
          <w:rFonts w:hint="eastAsia" w:ascii="微软雅黑" w:hAnsi="微软雅黑" w:eastAsia="微软雅黑" w:cs="微软雅黑"/>
          <w:color w:val="auto"/>
          <w:sz w:val="20"/>
          <w:szCs w:val="20"/>
          <w:highlight w:val="none"/>
        </w:rPr>
        <w:t>分项价格：</w:t>
      </w:r>
    </w:p>
    <w:tbl>
      <w:tblPr>
        <w:tblStyle w:val="32"/>
        <w:tblW w:w="78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9"/>
        <w:gridCol w:w="3738"/>
        <w:gridCol w:w="2803"/>
      </w:tblGrid>
      <w:tr w14:paraId="4F88A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319" w:type="dxa"/>
            <w:vAlign w:val="center"/>
          </w:tcPr>
          <w:p w14:paraId="2A970698">
            <w:pPr>
              <w:pStyle w:val="69"/>
              <w:shd w:val="clear"/>
              <w:spacing w:line="360" w:lineRule="exact"/>
              <w:jc w:val="center"/>
              <w:outlineLvl w:val="9"/>
              <w:rPr>
                <w:rFonts w:hint="eastAsia" w:ascii="微软雅黑" w:hAnsi="微软雅黑" w:eastAsia="微软雅黑" w:cs="微软雅黑"/>
                <w:color w:val="auto"/>
                <w:kern w:val="2"/>
                <w:sz w:val="20"/>
                <w:szCs w:val="20"/>
                <w:highlight w:val="none"/>
              </w:rPr>
            </w:pPr>
            <w:r>
              <w:rPr>
                <w:rFonts w:hint="eastAsia" w:ascii="微软雅黑" w:hAnsi="微软雅黑" w:eastAsia="微软雅黑" w:cs="微软雅黑"/>
                <w:color w:val="auto"/>
                <w:kern w:val="2"/>
                <w:sz w:val="20"/>
                <w:szCs w:val="20"/>
                <w:highlight w:val="none"/>
              </w:rPr>
              <w:t>序号</w:t>
            </w:r>
          </w:p>
        </w:tc>
        <w:tc>
          <w:tcPr>
            <w:tcW w:w="3738" w:type="dxa"/>
            <w:vAlign w:val="center"/>
          </w:tcPr>
          <w:p w14:paraId="3292EEEB">
            <w:pPr>
              <w:pStyle w:val="69"/>
              <w:shd w:val="clear"/>
              <w:spacing w:line="360" w:lineRule="exact"/>
              <w:ind w:firstLine="200"/>
              <w:jc w:val="center"/>
              <w:outlineLvl w:val="9"/>
              <w:rPr>
                <w:rFonts w:hint="eastAsia" w:ascii="微软雅黑" w:hAnsi="微软雅黑" w:eastAsia="微软雅黑" w:cs="微软雅黑"/>
                <w:color w:val="auto"/>
                <w:kern w:val="2"/>
                <w:sz w:val="20"/>
                <w:szCs w:val="20"/>
                <w:highlight w:val="none"/>
              </w:rPr>
            </w:pPr>
            <w:r>
              <w:rPr>
                <w:rFonts w:hint="eastAsia" w:ascii="微软雅黑" w:hAnsi="微软雅黑" w:eastAsia="微软雅黑" w:cs="微软雅黑"/>
                <w:color w:val="auto"/>
                <w:kern w:val="2"/>
                <w:sz w:val="20"/>
                <w:szCs w:val="20"/>
                <w:highlight w:val="none"/>
              </w:rPr>
              <w:t>分项名称</w:t>
            </w:r>
          </w:p>
        </w:tc>
        <w:tc>
          <w:tcPr>
            <w:tcW w:w="2803" w:type="dxa"/>
            <w:vAlign w:val="center"/>
          </w:tcPr>
          <w:p w14:paraId="2802F798">
            <w:pPr>
              <w:pStyle w:val="69"/>
              <w:shd w:val="clear"/>
              <w:spacing w:line="360" w:lineRule="exact"/>
              <w:jc w:val="center"/>
              <w:outlineLvl w:val="9"/>
              <w:rPr>
                <w:rFonts w:hint="eastAsia" w:ascii="微软雅黑" w:hAnsi="微软雅黑" w:eastAsia="微软雅黑" w:cs="微软雅黑"/>
                <w:color w:val="auto"/>
                <w:kern w:val="2"/>
                <w:sz w:val="20"/>
                <w:szCs w:val="20"/>
                <w:highlight w:val="none"/>
              </w:rPr>
            </w:pPr>
            <w:r>
              <w:rPr>
                <w:rFonts w:hint="eastAsia" w:ascii="微软雅黑" w:hAnsi="微软雅黑" w:eastAsia="微软雅黑" w:cs="微软雅黑"/>
                <w:color w:val="auto"/>
                <w:kern w:val="2"/>
                <w:sz w:val="20"/>
                <w:szCs w:val="20"/>
                <w:highlight w:val="none"/>
              </w:rPr>
              <w:t>分项价格</w:t>
            </w:r>
          </w:p>
        </w:tc>
      </w:tr>
      <w:tr w14:paraId="712DB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319" w:type="dxa"/>
            <w:vAlign w:val="center"/>
          </w:tcPr>
          <w:p w14:paraId="4C1CA454">
            <w:pPr>
              <w:pStyle w:val="69"/>
              <w:shd w:val="clear"/>
              <w:spacing w:line="360" w:lineRule="exact"/>
              <w:ind w:firstLine="200"/>
              <w:jc w:val="center"/>
              <w:outlineLvl w:val="9"/>
              <w:rPr>
                <w:rFonts w:hint="eastAsia" w:ascii="微软雅黑" w:hAnsi="微软雅黑" w:eastAsia="微软雅黑" w:cs="微软雅黑"/>
                <w:color w:val="auto"/>
                <w:kern w:val="2"/>
                <w:sz w:val="20"/>
                <w:szCs w:val="20"/>
                <w:highlight w:val="none"/>
              </w:rPr>
            </w:pPr>
          </w:p>
        </w:tc>
        <w:tc>
          <w:tcPr>
            <w:tcW w:w="3738" w:type="dxa"/>
            <w:vAlign w:val="center"/>
          </w:tcPr>
          <w:p w14:paraId="3379C804">
            <w:pPr>
              <w:pStyle w:val="69"/>
              <w:shd w:val="clear"/>
              <w:spacing w:line="360" w:lineRule="exact"/>
              <w:ind w:firstLine="200"/>
              <w:jc w:val="center"/>
              <w:outlineLvl w:val="9"/>
              <w:rPr>
                <w:rFonts w:hint="eastAsia" w:ascii="微软雅黑" w:hAnsi="微软雅黑" w:eastAsia="微软雅黑" w:cs="微软雅黑"/>
                <w:color w:val="auto"/>
                <w:kern w:val="2"/>
                <w:sz w:val="20"/>
                <w:szCs w:val="20"/>
                <w:highlight w:val="none"/>
              </w:rPr>
            </w:pPr>
          </w:p>
        </w:tc>
        <w:tc>
          <w:tcPr>
            <w:tcW w:w="2803" w:type="dxa"/>
            <w:vAlign w:val="center"/>
          </w:tcPr>
          <w:p w14:paraId="2125634F">
            <w:pPr>
              <w:pStyle w:val="69"/>
              <w:shd w:val="clear"/>
              <w:spacing w:line="360" w:lineRule="exact"/>
              <w:ind w:firstLine="200"/>
              <w:jc w:val="center"/>
              <w:outlineLvl w:val="9"/>
              <w:rPr>
                <w:rFonts w:hint="eastAsia" w:ascii="微软雅黑" w:hAnsi="微软雅黑" w:eastAsia="微软雅黑" w:cs="微软雅黑"/>
                <w:color w:val="auto"/>
                <w:kern w:val="2"/>
                <w:sz w:val="20"/>
                <w:szCs w:val="20"/>
                <w:highlight w:val="none"/>
              </w:rPr>
            </w:pPr>
          </w:p>
        </w:tc>
      </w:tr>
      <w:tr w14:paraId="50D8E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319" w:type="dxa"/>
            <w:vAlign w:val="center"/>
          </w:tcPr>
          <w:p w14:paraId="4494F809">
            <w:pPr>
              <w:pStyle w:val="69"/>
              <w:shd w:val="clear"/>
              <w:spacing w:line="360" w:lineRule="exact"/>
              <w:ind w:firstLine="200"/>
              <w:jc w:val="center"/>
              <w:outlineLvl w:val="9"/>
              <w:rPr>
                <w:rFonts w:hint="eastAsia" w:ascii="微软雅黑" w:hAnsi="微软雅黑" w:eastAsia="微软雅黑" w:cs="微软雅黑"/>
                <w:color w:val="auto"/>
                <w:kern w:val="2"/>
                <w:sz w:val="20"/>
                <w:szCs w:val="20"/>
                <w:highlight w:val="none"/>
              </w:rPr>
            </w:pPr>
          </w:p>
        </w:tc>
        <w:tc>
          <w:tcPr>
            <w:tcW w:w="3738" w:type="dxa"/>
            <w:vAlign w:val="center"/>
          </w:tcPr>
          <w:p w14:paraId="449E851A">
            <w:pPr>
              <w:pStyle w:val="69"/>
              <w:shd w:val="clear"/>
              <w:spacing w:line="360" w:lineRule="exact"/>
              <w:ind w:firstLine="200"/>
              <w:jc w:val="center"/>
              <w:outlineLvl w:val="9"/>
              <w:rPr>
                <w:rFonts w:hint="eastAsia" w:ascii="微软雅黑" w:hAnsi="微软雅黑" w:eastAsia="微软雅黑" w:cs="微软雅黑"/>
                <w:color w:val="auto"/>
                <w:kern w:val="2"/>
                <w:sz w:val="20"/>
                <w:szCs w:val="20"/>
                <w:highlight w:val="none"/>
              </w:rPr>
            </w:pPr>
          </w:p>
        </w:tc>
        <w:tc>
          <w:tcPr>
            <w:tcW w:w="2803" w:type="dxa"/>
            <w:vAlign w:val="center"/>
          </w:tcPr>
          <w:p w14:paraId="0A13A060">
            <w:pPr>
              <w:pStyle w:val="69"/>
              <w:shd w:val="clear"/>
              <w:spacing w:line="360" w:lineRule="exact"/>
              <w:ind w:firstLine="200"/>
              <w:jc w:val="center"/>
              <w:outlineLvl w:val="9"/>
              <w:rPr>
                <w:rFonts w:hint="eastAsia" w:ascii="微软雅黑" w:hAnsi="微软雅黑" w:eastAsia="微软雅黑" w:cs="微软雅黑"/>
                <w:color w:val="auto"/>
                <w:kern w:val="2"/>
                <w:sz w:val="20"/>
                <w:szCs w:val="20"/>
                <w:highlight w:val="none"/>
              </w:rPr>
            </w:pPr>
          </w:p>
        </w:tc>
      </w:tr>
      <w:tr w14:paraId="42DF0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5057" w:type="dxa"/>
            <w:gridSpan w:val="2"/>
            <w:vAlign w:val="center"/>
          </w:tcPr>
          <w:p w14:paraId="24041CBD">
            <w:pPr>
              <w:pStyle w:val="69"/>
              <w:shd w:val="clear"/>
              <w:spacing w:line="360" w:lineRule="exact"/>
              <w:ind w:firstLine="200"/>
              <w:jc w:val="center"/>
              <w:outlineLvl w:val="9"/>
              <w:rPr>
                <w:rFonts w:hint="eastAsia" w:ascii="微软雅黑" w:hAnsi="微软雅黑" w:eastAsia="微软雅黑" w:cs="微软雅黑"/>
                <w:color w:val="auto"/>
                <w:kern w:val="2"/>
                <w:sz w:val="20"/>
                <w:szCs w:val="20"/>
                <w:highlight w:val="none"/>
                <w:lang w:eastAsia="zh-CN"/>
              </w:rPr>
            </w:pPr>
            <w:r>
              <w:rPr>
                <w:rFonts w:hint="eastAsia" w:ascii="微软雅黑" w:hAnsi="微软雅黑" w:eastAsia="微软雅黑" w:cs="微软雅黑"/>
                <w:color w:val="auto"/>
                <w:kern w:val="2"/>
                <w:sz w:val="20"/>
                <w:szCs w:val="20"/>
                <w:highlight w:val="none"/>
              </w:rPr>
              <w:t>总价</w:t>
            </w:r>
            <w:r>
              <w:rPr>
                <w:rFonts w:hint="eastAsia" w:ascii="微软雅黑" w:hAnsi="微软雅黑" w:eastAsia="微软雅黑" w:cs="微软雅黑"/>
                <w:color w:val="auto"/>
                <w:kern w:val="2"/>
                <w:sz w:val="20"/>
                <w:szCs w:val="20"/>
                <w:highlight w:val="none"/>
                <w:lang w:eastAsia="zh-CN"/>
              </w:rPr>
              <w:t>（包含税费）</w:t>
            </w:r>
          </w:p>
        </w:tc>
        <w:tc>
          <w:tcPr>
            <w:tcW w:w="2803" w:type="dxa"/>
            <w:vAlign w:val="center"/>
          </w:tcPr>
          <w:p w14:paraId="767C8C56">
            <w:pPr>
              <w:pStyle w:val="69"/>
              <w:shd w:val="clear"/>
              <w:spacing w:line="360" w:lineRule="exact"/>
              <w:ind w:firstLine="200"/>
              <w:jc w:val="center"/>
              <w:outlineLvl w:val="9"/>
              <w:rPr>
                <w:rFonts w:hint="eastAsia" w:ascii="微软雅黑" w:hAnsi="微软雅黑" w:eastAsia="微软雅黑" w:cs="微软雅黑"/>
                <w:color w:val="auto"/>
                <w:kern w:val="2"/>
                <w:sz w:val="20"/>
                <w:szCs w:val="20"/>
                <w:highlight w:val="none"/>
              </w:rPr>
            </w:pPr>
          </w:p>
        </w:tc>
      </w:tr>
    </w:tbl>
    <w:p w14:paraId="5B130B86">
      <w:pPr>
        <w:shd w:val="clear"/>
        <w:spacing w:line="360" w:lineRule="exact"/>
        <w:ind w:firstLine="400" w:firstLineChars="200"/>
        <w:outlineLvl w:val="9"/>
        <w:rPr>
          <w:rFonts w:hint="eastAsia" w:ascii="微软雅黑" w:hAnsi="微软雅黑" w:eastAsia="微软雅黑" w:cs="微软雅黑"/>
          <w:b/>
          <w:color w:val="auto"/>
          <w:sz w:val="20"/>
          <w:szCs w:val="20"/>
          <w:highlight w:val="none"/>
        </w:rPr>
      </w:pPr>
      <w:bookmarkStart w:id="1896" w:name="_Toc25818"/>
      <w:bookmarkStart w:id="1897" w:name="_Toc26112"/>
      <w:bookmarkStart w:id="1898" w:name="_Toc1814"/>
      <w:bookmarkStart w:id="1899" w:name="_Toc15573"/>
      <w:bookmarkStart w:id="1900" w:name="_Toc30643"/>
      <w:bookmarkStart w:id="1901" w:name="_Toc4585"/>
      <w:bookmarkStart w:id="1902" w:name="_Toc21349"/>
      <w:bookmarkStart w:id="1903" w:name="_Toc27654"/>
      <w:bookmarkStart w:id="1904" w:name="_Toc5138"/>
      <w:bookmarkStart w:id="1905" w:name="_Toc24281"/>
      <w:bookmarkStart w:id="1906" w:name="_Toc7801"/>
      <w:bookmarkStart w:id="1907" w:name="_Toc7458"/>
      <w:bookmarkStart w:id="1908" w:name="_Toc5480"/>
      <w:bookmarkStart w:id="1909" w:name="_Toc31015"/>
      <w:bookmarkStart w:id="1910" w:name="_Toc4330"/>
      <w:bookmarkStart w:id="1911" w:name="_Toc22618"/>
      <w:bookmarkStart w:id="1912" w:name="_Toc9279"/>
      <w:bookmarkStart w:id="1913" w:name="_Toc24781"/>
      <w:bookmarkStart w:id="1914" w:name="_Toc7895"/>
      <w:bookmarkStart w:id="1915" w:name="_Toc25237"/>
      <w:bookmarkStart w:id="1916" w:name="_Toc20765"/>
      <w:bookmarkStart w:id="1917" w:name="_Toc26470"/>
      <w:bookmarkStart w:id="1918" w:name="_Toc12160"/>
      <w:bookmarkStart w:id="1919" w:name="_Toc27817"/>
      <w:bookmarkStart w:id="1920" w:name="_Toc5736"/>
      <w:bookmarkStart w:id="1921" w:name="_Toc9108"/>
      <w:bookmarkStart w:id="1922" w:name="_Toc4084"/>
      <w:bookmarkStart w:id="1923" w:name="_Toc4907"/>
      <w:bookmarkStart w:id="1924" w:name="_Toc10086"/>
      <w:bookmarkStart w:id="1925" w:name="_Toc25678"/>
      <w:bookmarkStart w:id="1926" w:name="_Toc30297"/>
      <w:bookmarkStart w:id="1927" w:name="_Toc31962"/>
      <w:bookmarkStart w:id="1928" w:name="_Toc31049"/>
      <w:bookmarkStart w:id="1929" w:name="_Toc17880"/>
      <w:bookmarkStart w:id="1930" w:name="_Toc1944"/>
      <w:bookmarkStart w:id="1931" w:name="_Toc1493"/>
      <w:bookmarkStart w:id="1932" w:name="_Toc10340"/>
      <w:bookmarkStart w:id="1933" w:name="_Toc12094"/>
      <w:bookmarkStart w:id="1934" w:name="_Toc20763"/>
      <w:bookmarkStart w:id="1935" w:name="_Toc28773"/>
      <w:r>
        <w:rPr>
          <w:rFonts w:hint="eastAsia" w:ascii="微软雅黑" w:hAnsi="微软雅黑" w:eastAsia="微软雅黑" w:cs="微软雅黑"/>
          <w:b/>
          <w:color w:val="auto"/>
          <w:sz w:val="20"/>
          <w:szCs w:val="20"/>
          <w:highlight w:val="none"/>
        </w:rPr>
        <w:t>1.4 付款方式和发票开具方式</w:t>
      </w:r>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p>
    <w:p w14:paraId="67F56DF9">
      <w:pPr>
        <w:shd w:val="clear"/>
        <w:spacing w:line="360" w:lineRule="exact"/>
        <w:ind w:firstLine="400" w:firstLineChars="200"/>
        <w:outlineLvl w:val="9"/>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1.4.1 付款方式：</w:t>
      </w:r>
      <w:r>
        <w:rPr>
          <w:rFonts w:hint="eastAsia" w:ascii="微软雅黑" w:hAnsi="微软雅黑" w:eastAsia="微软雅黑" w:cs="微软雅黑"/>
          <w:color w:val="auto"/>
          <w:sz w:val="20"/>
          <w:szCs w:val="20"/>
          <w:highlight w:val="none"/>
          <w:u w:val="single"/>
        </w:rPr>
        <w:t xml:space="preserve">                                                </w:t>
      </w:r>
      <w:r>
        <w:rPr>
          <w:rFonts w:hint="eastAsia" w:ascii="微软雅黑" w:hAnsi="微软雅黑" w:eastAsia="微软雅黑" w:cs="微软雅黑"/>
          <w:color w:val="auto"/>
          <w:sz w:val="20"/>
          <w:szCs w:val="20"/>
          <w:highlight w:val="none"/>
        </w:rPr>
        <w:t>；</w:t>
      </w:r>
    </w:p>
    <w:p w14:paraId="0A0061E4">
      <w:pPr>
        <w:shd w:val="clear"/>
        <w:spacing w:line="360" w:lineRule="exact"/>
        <w:ind w:firstLine="400" w:firstLineChars="200"/>
        <w:outlineLvl w:val="9"/>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1.4.2 发票开具方式：</w:t>
      </w:r>
      <w:r>
        <w:rPr>
          <w:rFonts w:hint="eastAsia" w:ascii="微软雅黑" w:hAnsi="微软雅黑" w:eastAsia="微软雅黑" w:cs="微软雅黑"/>
          <w:color w:val="auto"/>
          <w:sz w:val="20"/>
          <w:szCs w:val="20"/>
          <w:highlight w:val="none"/>
          <w:u w:val="single"/>
        </w:rPr>
        <w:t xml:space="preserve">                                            </w:t>
      </w:r>
      <w:r>
        <w:rPr>
          <w:rFonts w:hint="eastAsia" w:ascii="微软雅黑" w:hAnsi="微软雅黑" w:eastAsia="微软雅黑" w:cs="微软雅黑"/>
          <w:color w:val="auto"/>
          <w:sz w:val="20"/>
          <w:szCs w:val="20"/>
          <w:highlight w:val="none"/>
        </w:rPr>
        <w:t>。</w:t>
      </w:r>
    </w:p>
    <w:p w14:paraId="3374A536">
      <w:pPr>
        <w:shd w:val="clear"/>
        <w:spacing w:line="360" w:lineRule="exact"/>
        <w:ind w:firstLine="400" w:firstLineChars="200"/>
        <w:outlineLvl w:val="9"/>
        <w:rPr>
          <w:rFonts w:hint="eastAsia" w:ascii="微软雅黑" w:hAnsi="微软雅黑" w:eastAsia="微软雅黑" w:cs="微软雅黑"/>
          <w:b/>
          <w:color w:val="auto"/>
          <w:sz w:val="20"/>
          <w:szCs w:val="20"/>
          <w:highlight w:val="none"/>
        </w:rPr>
      </w:pPr>
      <w:bookmarkStart w:id="1936" w:name="_Toc4353"/>
      <w:bookmarkStart w:id="1937" w:name="_Toc32071"/>
      <w:bookmarkStart w:id="1938" w:name="_Toc10276"/>
      <w:bookmarkStart w:id="1939" w:name="_Toc14194"/>
      <w:bookmarkStart w:id="1940" w:name="_Toc10824"/>
      <w:bookmarkStart w:id="1941" w:name="_Toc9478"/>
      <w:bookmarkStart w:id="1942" w:name="_Toc30563"/>
      <w:bookmarkStart w:id="1943" w:name="_Toc19304"/>
      <w:bookmarkStart w:id="1944" w:name="_Toc26187"/>
      <w:bookmarkStart w:id="1945" w:name="_Toc14976"/>
      <w:bookmarkStart w:id="1946" w:name="_Toc2846"/>
      <w:bookmarkStart w:id="1947" w:name="_Toc4292"/>
      <w:bookmarkStart w:id="1948" w:name="_Toc25427"/>
      <w:bookmarkStart w:id="1949" w:name="_Toc23735"/>
      <w:bookmarkStart w:id="1950" w:name="_Toc25278"/>
      <w:bookmarkStart w:id="1951" w:name="_Toc22861"/>
      <w:bookmarkStart w:id="1952" w:name="_Toc4501"/>
      <w:bookmarkStart w:id="1953" w:name="_Toc24174"/>
      <w:bookmarkStart w:id="1954" w:name="_Toc30447"/>
      <w:bookmarkStart w:id="1955" w:name="_Toc27020"/>
      <w:bookmarkStart w:id="1956" w:name="_Toc2342"/>
      <w:bookmarkStart w:id="1957" w:name="_Toc28504"/>
      <w:bookmarkStart w:id="1958" w:name="_Toc11675"/>
      <w:bookmarkStart w:id="1959" w:name="_Toc2048"/>
      <w:bookmarkStart w:id="1960" w:name="_Toc32098"/>
      <w:bookmarkStart w:id="1961" w:name="_Toc17179"/>
      <w:bookmarkStart w:id="1962" w:name="_Toc7017"/>
      <w:bookmarkStart w:id="1963" w:name="_Toc5655"/>
      <w:bookmarkStart w:id="1964" w:name="_Toc20221"/>
      <w:bookmarkStart w:id="1965" w:name="_Toc26095"/>
      <w:bookmarkStart w:id="1966" w:name="_Toc2083"/>
      <w:bookmarkStart w:id="1967" w:name="_Toc17448"/>
      <w:bookmarkStart w:id="1968" w:name="_Toc2852"/>
      <w:bookmarkStart w:id="1969" w:name="_Toc4363"/>
      <w:bookmarkStart w:id="1970" w:name="_Toc6393"/>
      <w:bookmarkStart w:id="1971" w:name="_Toc16823"/>
      <w:bookmarkStart w:id="1972" w:name="_Toc3950"/>
      <w:bookmarkStart w:id="1973" w:name="_Toc30364"/>
      <w:bookmarkStart w:id="1974" w:name="_Toc9475"/>
      <w:bookmarkStart w:id="1975" w:name="_Toc28943"/>
      <w:bookmarkStart w:id="1976" w:name="_Toc3578"/>
      <w:r>
        <w:rPr>
          <w:rFonts w:hint="eastAsia" w:ascii="微软雅黑" w:hAnsi="微软雅黑" w:eastAsia="微软雅黑" w:cs="微软雅黑"/>
          <w:b/>
          <w:color w:val="auto"/>
          <w:sz w:val="20"/>
          <w:szCs w:val="20"/>
          <w:highlight w:val="none"/>
        </w:rPr>
        <w:t>1.5 货物交付期限、地点和方式</w:t>
      </w:r>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p>
    <w:p w14:paraId="5C23691F">
      <w:pPr>
        <w:shd w:val="clear"/>
        <w:spacing w:line="360" w:lineRule="exact"/>
        <w:ind w:firstLine="400" w:firstLineChars="200"/>
        <w:outlineLvl w:val="9"/>
        <w:rPr>
          <w:rFonts w:hint="eastAsia" w:ascii="微软雅黑" w:hAnsi="微软雅黑" w:eastAsia="微软雅黑" w:cs="微软雅黑"/>
          <w:color w:val="auto"/>
          <w:sz w:val="20"/>
          <w:szCs w:val="20"/>
          <w:highlight w:val="none"/>
          <w:u w:val="single"/>
        </w:rPr>
      </w:pPr>
      <w:r>
        <w:rPr>
          <w:rFonts w:hint="eastAsia" w:ascii="微软雅黑" w:hAnsi="微软雅黑" w:eastAsia="微软雅黑" w:cs="微软雅黑"/>
          <w:color w:val="auto"/>
          <w:sz w:val="20"/>
          <w:szCs w:val="20"/>
          <w:highlight w:val="none"/>
        </w:rPr>
        <w:t>1.5.1 交付期限：</w:t>
      </w:r>
      <w:r>
        <w:rPr>
          <w:rFonts w:hint="eastAsia" w:ascii="微软雅黑" w:hAnsi="微软雅黑" w:eastAsia="微软雅黑" w:cs="微软雅黑"/>
          <w:color w:val="auto"/>
          <w:sz w:val="20"/>
          <w:szCs w:val="20"/>
          <w:highlight w:val="none"/>
          <w:u w:val="single"/>
        </w:rPr>
        <w:t xml:space="preserve">                                                </w:t>
      </w:r>
      <w:r>
        <w:rPr>
          <w:rFonts w:hint="eastAsia" w:ascii="微软雅黑" w:hAnsi="微软雅黑" w:eastAsia="微软雅黑" w:cs="微软雅黑"/>
          <w:color w:val="auto"/>
          <w:sz w:val="20"/>
          <w:szCs w:val="20"/>
          <w:highlight w:val="none"/>
        </w:rPr>
        <w:t>；</w:t>
      </w:r>
    </w:p>
    <w:p w14:paraId="4A3EA059">
      <w:pPr>
        <w:shd w:val="clear"/>
        <w:spacing w:line="360" w:lineRule="exact"/>
        <w:ind w:firstLine="400" w:firstLineChars="200"/>
        <w:outlineLvl w:val="9"/>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1.5.2 交付地点：</w:t>
      </w:r>
      <w:r>
        <w:rPr>
          <w:rFonts w:hint="eastAsia" w:ascii="微软雅黑" w:hAnsi="微软雅黑" w:eastAsia="微软雅黑" w:cs="微软雅黑"/>
          <w:color w:val="auto"/>
          <w:sz w:val="20"/>
          <w:szCs w:val="20"/>
          <w:highlight w:val="none"/>
          <w:u w:val="single"/>
        </w:rPr>
        <w:t xml:space="preserve">                                                </w:t>
      </w:r>
      <w:r>
        <w:rPr>
          <w:rFonts w:hint="eastAsia" w:ascii="微软雅黑" w:hAnsi="微软雅黑" w:eastAsia="微软雅黑" w:cs="微软雅黑"/>
          <w:color w:val="auto"/>
          <w:sz w:val="20"/>
          <w:szCs w:val="20"/>
          <w:highlight w:val="none"/>
        </w:rPr>
        <w:t>；</w:t>
      </w:r>
    </w:p>
    <w:p w14:paraId="5FF602BA">
      <w:pPr>
        <w:shd w:val="clear"/>
        <w:spacing w:line="360" w:lineRule="exact"/>
        <w:ind w:firstLine="400" w:firstLineChars="200"/>
        <w:outlineLvl w:val="9"/>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1.5.3 交付方式：</w:t>
      </w:r>
      <w:r>
        <w:rPr>
          <w:rFonts w:hint="eastAsia" w:ascii="微软雅黑" w:hAnsi="微软雅黑" w:eastAsia="微软雅黑" w:cs="微软雅黑"/>
          <w:color w:val="auto"/>
          <w:sz w:val="20"/>
          <w:szCs w:val="20"/>
          <w:highlight w:val="none"/>
          <w:u w:val="single"/>
        </w:rPr>
        <w:t xml:space="preserve">　　　　　　　　　                      　      </w:t>
      </w:r>
      <w:r>
        <w:rPr>
          <w:rFonts w:hint="eastAsia" w:ascii="微软雅黑" w:hAnsi="微软雅黑" w:eastAsia="微软雅黑" w:cs="微软雅黑"/>
          <w:color w:val="auto"/>
          <w:sz w:val="20"/>
          <w:szCs w:val="20"/>
          <w:highlight w:val="none"/>
        </w:rPr>
        <w:t>。</w:t>
      </w:r>
    </w:p>
    <w:p w14:paraId="0E56A4A0">
      <w:pPr>
        <w:shd w:val="clear"/>
        <w:spacing w:line="360" w:lineRule="exact"/>
        <w:ind w:firstLine="400" w:firstLineChars="200"/>
        <w:outlineLvl w:val="9"/>
        <w:rPr>
          <w:rFonts w:hint="eastAsia" w:ascii="微软雅黑" w:hAnsi="微软雅黑" w:eastAsia="微软雅黑" w:cs="微软雅黑"/>
          <w:b/>
          <w:color w:val="auto"/>
          <w:sz w:val="20"/>
          <w:szCs w:val="20"/>
          <w:highlight w:val="none"/>
        </w:rPr>
      </w:pPr>
      <w:bookmarkStart w:id="1977" w:name="_Toc28970"/>
      <w:bookmarkStart w:id="1978" w:name="_Toc12629"/>
      <w:bookmarkStart w:id="1979" w:name="_Toc19554"/>
      <w:bookmarkStart w:id="1980" w:name="_Toc26850"/>
      <w:bookmarkStart w:id="1981" w:name="_Toc1143"/>
      <w:bookmarkStart w:id="1982" w:name="_Toc32088"/>
      <w:bookmarkStart w:id="1983" w:name="_Toc21423"/>
      <w:bookmarkStart w:id="1984" w:name="_Toc22201"/>
      <w:bookmarkStart w:id="1985" w:name="_Toc13569"/>
      <w:bookmarkStart w:id="1986" w:name="_Toc27247"/>
      <w:bookmarkStart w:id="1987" w:name="_Toc20073"/>
      <w:bookmarkStart w:id="1988" w:name="_Toc1835"/>
      <w:bookmarkStart w:id="1989" w:name="_Toc26856"/>
      <w:bookmarkStart w:id="1990" w:name="_Toc5183"/>
      <w:bookmarkStart w:id="1991" w:name="_Toc12753"/>
      <w:bookmarkStart w:id="1992" w:name="_Toc7540"/>
      <w:bookmarkStart w:id="1993" w:name="_Toc32353"/>
      <w:bookmarkStart w:id="1994" w:name="_Toc21261"/>
      <w:bookmarkStart w:id="1995" w:name="_Toc12988"/>
      <w:bookmarkStart w:id="1996" w:name="_Toc18921"/>
      <w:bookmarkStart w:id="1997" w:name="_Toc4190"/>
      <w:bookmarkStart w:id="1998" w:name="_Toc22161"/>
      <w:bookmarkStart w:id="1999" w:name="_Toc11237"/>
      <w:bookmarkStart w:id="2000" w:name="_Toc6841"/>
      <w:bookmarkStart w:id="2001" w:name="_Toc21406"/>
      <w:bookmarkStart w:id="2002" w:name="_Toc8754"/>
      <w:bookmarkStart w:id="2003" w:name="_Toc22088"/>
      <w:bookmarkStart w:id="2004" w:name="_Toc16816"/>
      <w:bookmarkStart w:id="2005" w:name="_Toc1881"/>
      <w:bookmarkStart w:id="2006" w:name="_Toc13970"/>
      <w:bookmarkStart w:id="2007" w:name="_Toc27250"/>
      <w:bookmarkStart w:id="2008" w:name="_Toc29769"/>
      <w:bookmarkStart w:id="2009" w:name="_Toc12495"/>
      <w:bookmarkStart w:id="2010" w:name="_Toc9337"/>
      <w:bookmarkStart w:id="2011" w:name="_Toc14181"/>
      <w:bookmarkStart w:id="2012" w:name="_Toc8541"/>
      <w:bookmarkStart w:id="2013" w:name="_Toc28130"/>
      <w:bookmarkStart w:id="2014" w:name="_Toc15865"/>
      <w:bookmarkStart w:id="2015" w:name="_Toc27320"/>
      <w:bookmarkStart w:id="2016" w:name="_Toc27653"/>
      <w:r>
        <w:rPr>
          <w:rFonts w:hint="eastAsia" w:ascii="微软雅黑" w:hAnsi="微软雅黑" w:eastAsia="微软雅黑" w:cs="微软雅黑"/>
          <w:b/>
          <w:color w:val="auto"/>
          <w:sz w:val="20"/>
          <w:szCs w:val="20"/>
          <w:highlight w:val="none"/>
        </w:rPr>
        <w:t>1.6 违约责任</w:t>
      </w:r>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p>
    <w:p w14:paraId="600CFFB8">
      <w:pPr>
        <w:shd w:val="clear"/>
        <w:spacing w:line="360" w:lineRule="exact"/>
        <w:ind w:firstLine="400" w:firstLineChars="200"/>
        <w:outlineLvl w:val="9"/>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1.6.1 除不可抗力外，如果乙方没有按照本合同约定的期限、地点和方式交付货物，那么甲方可要求乙方支付违约金，违约金按每迟延交付货物一日的应交付而未交付货物价格的</w:t>
      </w:r>
      <w:r>
        <w:rPr>
          <w:rFonts w:hint="eastAsia" w:ascii="微软雅黑" w:hAnsi="微软雅黑" w:eastAsia="微软雅黑" w:cs="微软雅黑"/>
          <w:color w:val="auto"/>
          <w:sz w:val="20"/>
          <w:szCs w:val="20"/>
          <w:highlight w:val="none"/>
          <w:u w:val="single"/>
        </w:rPr>
        <w:t xml:space="preserve">  </w:t>
      </w:r>
      <w:r>
        <w:rPr>
          <w:rFonts w:hint="eastAsia" w:ascii="微软雅黑" w:hAnsi="微软雅黑" w:eastAsia="微软雅黑" w:cs="微软雅黑"/>
          <w:color w:val="auto"/>
          <w:sz w:val="20"/>
          <w:szCs w:val="20"/>
          <w:highlight w:val="none"/>
          <w:u w:val="single"/>
          <w:lang w:val="en-US" w:eastAsia="zh-CN"/>
        </w:rPr>
        <w:t>3</w:t>
      </w:r>
      <w:r>
        <w:rPr>
          <w:rFonts w:hint="eastAsia" w:ascii="微软雅黑" w:hAnsi="微软雅黑" w:eastAsia="微软雅黑" w:cs="微软雅黑"/>
          <w:color w:val="auto"/>
          <w:sz w:val="20"/>
          <w:szCs w:val="20"/>
          <w:highlight w:val="none"/>
          <w:u w:val="single"/>
        </w:rPr>
        <w:t xml:space="preserve"> </w:t>
      </w:r>
      <w:r>
        <w:rPr>
          <w:rFonts w:hint="eastAsia" w:ascii="微软雅黑" w:hAnsi="微软雅黑" w:eastAsia="微软雅黑" w:cs="微软雅黑"/>
          <w:color w:val="auto"/>
          <w:sz w:val="20"/>
          <w:szCs w:val="20"/>
          <w:highlight w:val="none"/>
          <w:lang w:eastAsia="zh-CN"/>
        </w:rPr>
        <w:t>‰</w:t>
      </w:r>
      <w:r>
        <w:rPr>
          <w:rFonts w:hint="eastAsia" w:ascii="微软雅黑" w:hAnsi="微软雅黑" w:eastAsia="微软雅黑" w:cs="微软雅黑"/>
          <w:color w:val="auto"/>
          <w:sz w:val="20"/>
          <w:szCs w:val="20"/>
          <w:highlight w:val="none"/>
        </w:rPr>
        <w:t>计算，最高限额为本合同总价的</w:t>
      </w:r>
      <w:r>
        <w:rPr>
          <w:rFonts w:hint="eastAsia" w:ascii="微软雅黑" w:hAnsi="微软雅黑" w:eastAsia="微软雅黑" w:cs="微软雅黑"/>
          <w:color w:val="auto"/>
          <w:sz w:val="20"/>
          <w:szCs w:val="20"/>
          <w:highlight w:val="none"/>
          <w:u w:val="single"/>
        </w:rPr>
        <w:t xml:space="preserve"> </w:t>
      </w:r>
      <w:r>
        <w:rPr>
          <w:rFonts w:hint="eastAsia" w:ascii="微软雅黑" w:hAnsi="微软雅黑" w:eastAsia="微软雅黑" w:cs="微软雅黑"/>
          <w:color w:val="auto"/>
          <w:sz w:val="20"/>
          <w:szCs w:val="20"/>
          <w:highlight w:val="none"/>
          <w:u w:val="single"/>
          <w:lang w:val="en-US" w:eastAsia="zh-CN"/>
        </w:rPr>
        <w:t>30</w:t>
      </w:r>
      <w:r>
        <w:rPr>
          <w:rFonts w:hint="eastAsia" w:ascii="微软雅黑" w:hAnsi="微软雅黑" w:eastAsia="微软雅黑" w:cs="微软雅黑"/>
          <w:color w:val="auto"/>
          <w:sz w:val="20"/>
          <w:szCs w:val="20"/>
          <w:highlight w:val="none"/>
          <w:u w:val="single"/>
        </w:rPr>
        <w:t xml:space="preserve"> </w:t>
      </w:r>
      <w:r>
        <w:rPr>
          <w:rFonts w:hint="eastAsia" w:ascii="微软雅黑" w:hAnsi="微软雅黑" w:eastAsia="微软雅黑" w:cs="微软雅黑"/>
          <w:color w:val="auto"/>
          <w:sz w:val="20"/>
          <w:szCs w:val="20"/>
          <w:highlight w:val="none"/>
        </w:rPr>
        <w:t>%；迟延交付货物的违约金计算数额达到前述最高限额之日起，甲方有权在要求乙方支付违约金的同时，书面通知乙方解除本合同；</w:t>
      </w:r>
    </w:p>
    <w:p w14:paraId="7CE6269B">
      <w:pPr>
        <w:shd w:val="clear"/>
        <w:spacing w:line="360" w:lineRule="exact"/>
        <w:ind w:firstLine="400" w:firstLineChars="200"/>
        <w:outlineLvl w:val="9"/>
        <w:rPr>
          <w:rFonts w:hint="eastAsia" w:ascii="微软雅黑" w:hAnsi="微软雅黑" w:eastAsia="微软雅黑" w:cs="微软雅黑"/>
          <w:color w:val="auto"/>
          <w:sz w:val="20"/>
          <w:szCs w:val="20"/>
          <w:highlight w:val="none"/>
          <w:lang w:eastAsia="zh-CN"/>
        </w:rPr>
      </w:pPr>
      <w:r>
        <w:rPr>
          <w:rFonts w:hint="eastAsia" w:ascii="微软雅黑" w:hAnsi="微软雅黑" w:eastAsia="微软雅黑" w:cs="微软雅黑"/>
          <w:color w:val="auto"/>
          <w:sz w:val="20"/>
          <w:szCs w:val="20"/>
          <w:highlight w:val="none"/>
        </w:rPr>
        <w:t>1.6.2 除不可抗力外，如果甲方没有按照本合同约定的付款方式付款，那么乙方可要求甲方支付违约金，违约金按每迟延付款一日的应付而未付款的</w:t>
      </w:r>
      <w:r>
        <w:rPr>
          <w:rFonts w:hint="eastAsia" w:ascii="微软雅黑" w:hAnsi="微软雅黑" w:eastAsia="微软雅黑" w:cs="微软雅黑"/>
          <w:color w:val="auto"/>
          <w:sz w:val="20"/>
          <w:szCs w:val="20"/>
          <w:highlight w:val="none"/>
          <w:u w:val="single"/>
        </w:rPr>
        <w:t xml:space="preserve"> </w:t>
      </w:r>
      <w:r>
        <w:rPr>
          <w:rFonts w:hint="eastAsia" w:ascii="微软雅黑" w:hAnsi="微软雅黑" w:eastAsia="微软雅黑" w:cs="微软雅黑"/>
          <w:color w:val="auto"/>
          <w:sz w:val="20"/>
          <w:szCs w:val="20"/>
          <w:highlight w:val="none"/>
          <w:u w:val="single"/>
          <w:lang w:val="en-US" w:eastAsia="zh-CN"/>
        </w:rPr>
        <w:t>3</w:t>
      </w:r>
      <w:r>
        <w:rPr>
          <w:rFonts w:hint="eastAsia" w:ascii="微软雅黑" w:hAnsi="微软雅黑" w:eastAsia="微软雅黑" w:cs="微软雅黑"/>
          <w:color w:val="auto"/>
          <w:sz w:val="20"/>
          <w:szCs w:val="20"/>
          <w:highlight w:val="none"/>
          <w:u w:val="single"/>
        </w:rPr>
        <w:t xml:space="preserve"> </w:t>
      </w:r>
      <w:r>
        <w:rPr>
          <w:rFonts w:hint="eastAsia" w:ascii="微软雅黑" w:hAnsi="微软雅黑" w:eastAsia="微软雅黑" w:cs="微软雅黑"/>
          <w:color w:val="auto"/>
          <w:sz w:val="20"/>
          <w:szCs w:val="20"/>
          <w:highlight w:val="none"/>
          <w:lang w:eastAsia="zh-CN"/>
        </w:rPr>
        <w:t>‰</w:t>
      </w:r>
      <w:r>
        <w:rPr>
          <w:rFonts w:hint="eastAsia" w:ascii="微软雅黑" w:hAnsi="微软雅黑" w:eastAsia="微软雅黑" w:cs="微软雅黑"/>
          <w:color w:val="auto"/>
          <w:sz w:val="20"/>
          <w:szCs w:val="20"/>
          <w:highlight w:val="none"/>
        </w:rPr>
        <w:t>计算，最高限额为本合同总价的</w:t>
      </w:r>
      <w:r>
        <w:rPr>
          <w:rFonts w:hint="eastAsia" w:ascii="微软雅黑" w:hAnsi="微软雅黑" w:eastAsia="微软雅黑" w:cs="微软雅黑"/>
          <w:color w:val="auto"/>
          <w:sz w:val="20"/>
          <w:szCs w:val="20"/>
          <w:highlight w:val="none"/>
          <w:u w:val="single"/>
        </w:rPr>
        <w:t xml:space="preserve"> </w:t>
      </w:r>
      <w:r>
        <w:rPr>
          <w:rFonts w:hint="eastAsia" w:ascii="微软雅黑" w:hAnsi="微软雅黑" w:eastAsia="微软雅黑" w:cs="微软雅黑"/>
          <w:color w:val="auto"/>
          <w:sz w:val="20"/>
          <w:szCs w:val="20"/>
          <w:highlight w:val="none"/>
          <w:u w:val="single"/>
          <w:lang w:val="en-US" w:eastAsia="zh-CN"/>
        </w:rPr>
        <w:t>30</w:t>
      </w:r>
      <w:r>
        <w:rPr>
          <w:rFonts w:hint="eastAsia" w:ascii="微软雅黑" w:hAnsi="微软雅黑" w:eastAsia="微软雅黑" w:cs="微软雅黑"/>
          <w:color w:val="auto"/>
          <w:sz w:val="20"/>
          <w:szCs w:val="20"/>
          <w:highlight w:val="none"/>
          <w:u w:val="single"/>
        </w:rPr>
        <w:t xml:space="preserve"> </w:t>
      </w:r>
      <w:r>
        <w:rPr>
          <w:rFonts w:hint="eastAsia" w:ascii="微软雅黑" w:hAnsi="微软雅黑" w:eastAsia="微软雅黑" w:cs="微软雅黑"/>
          <w:color w:val="auto"/>
          <w:sz w:val="20"/>
          <w:szCs w:val="20"/>
          <w:highlight w:val="none"/>
        </w:rPr>
        <w:t>%；迟延付款的违约金计算数额达到前述最高限额之日起，乙方有权在要求甲方支付违约金的同时，书面通知甲方解除本合同；</w:t>
      </w:r>
      <w:r>
        <w:rPr>
          <w:rFonts w:hint="eastAsia" w:ascii="微软雅黑" w:hAnsi="微软雅黑" w:eastAsia="微软雅黑" w:cs="微软雅黑"/>
          <w:color w:val="auto"/>
          <w:sz w:val="20"/>
          <w:szCs w:val="20"/>
          <w:highlight w:val="none"/>
          <w:lang w:eastAsia="zh-CN"/>
        </w:rPr>
        <w:t>（注：甲方申请资金批复流程时间不算在内。）</w:t>
      </w:r>
    </w:p>
    <w:p w14:paraId="5E443F60">
      <w:pPr>
        <w:shd w:val="clear"/>
        <w:spacing w:line="360" w:lineRule="exact"/>
        <w:ind w:firstLine="400" w:firstLineChars="200"/>
        <w:outlineLvl w:val="9"/>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w:t>
      </w:r>
      <w:r>
        <w:rPr>
          <w:rFonts w:hint="eastAsia" w:ascii="微软雅黑" w:hAnsi="微软雅黑" w:eastAsia="微软雅黑" w:cs="微软雅黑"/>
          <w:color w:val="auto"/>
          <w:sz w:val="20"/>
          <w:szCs w:val="20"/>
          <w:highlight w:val="none"/>
          <w:lang w:eastAsia="zh-CN"/>
        </w:rPr>
        <w:t>有权</w:t>
      </w:r>
      <w:r>
        <w:rPr>
          <w:rFonts w:hint="eastAsia" w:ascii="微软雅黑" w:hAnsi="微软雅黑" w:eastAsia="微软雅黑" w:cs="微软雅黑"/>
          <w:color w:val="auto"/>
          <w:sz w:val="20"/>
          <w:szCs w:val="20"/>
          <w:highlight w:val="none"/>
        </w:rPr>
        <w:t>书面通知违约方解除本合同</w:t>
      </w:r>
      <w:r>
        <w:rPr>
          <w:rFonts w:hint="eastAsia" w:ascii="微软雅黑" w:hAnsi="微软雅黑" w:eastAsia="微软雅黑" w:cs="微软雅黑"/>
          <w:color w:val="auto"/>
          <w:sz w:val="20"/>
          <w:szCs w:val="20"/>
          <w:highlight w:val="none"/>
          <w:lang w:eastAsia="zh-CN"/>
        </w:rPr>
        <w:t>并承担违约责任</w:t>
      </w:r>
      <w:r>
        <w:rPr>
          <w:rFonts w:hint="eastAsia" w:ascii="微软雅黑" w:hAnsi="微软雅黑" w:eastAsia="微软雅黑" w:cs="微软雅黑"/>
          <w:color w:val="auto"/>
          <w:sz w:val="20"/>
          <w:szCs w:val="20"/>
          <w:highlight w:val="none"/>
        </w:rPr>
        <w:t>；</w:t>
      </w:r>
    </w:p>
    <w:p w14:paraId="49D09F3D">
      <w:pPr>
        <w:shd w:val="clear"/>
        <w:spacing w:line="360" w:lineRule="exact"/>
        <w:ind w:firstLine="400" w:firstLineChars="200"/>
        <w:outlineLvl w:val="9"/>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1.6.4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035A60BA">
      <w:pPr>
        <w:shd w:val="clear"/>
        <w:spacing w:line="360" w:lineRule="exact"/>
        <w:ind w:firstLine="400" w:firstLineChars="200"/>
        <w:outlineLvl w:val="9"/>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1.6.5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5D6A1E43">
      <w:pPr>
        <w:shd w:val="clear"/>
        <w:spacing w:line="360" w:lineRule="exact"/>
        <w:ind w:firstLine="400" w:firstLineChars="200"/>
        <w:outlineLvl w:val="9"/>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1.6.6 如果出现政府采购监督管理部门在处理投诉事项期间，书面通知甲方暂停采购活动的情形，或者询问或质疑事项可能影响中标结果的，导致甲方中止履行合同的情形，均不视为甲方违约。</w:t>
      </w:r>
    </w:p>
    <w:p w14:paraId="104C7DD2">
      <w:pPr>
        <w:shd w:val="clear"/>
        <w:spacing w:line="360" w:lineRule="exact"/>
        <w:ind w:firstLine="400" w:firstLineChars="200"/>
        <w:outlineLvl w:val="9"/>
        <w:rPr>
          <w:rFonts w:hint="eastAsia" w:ascii="微软雅黑" w:hAnsi="微软雅黑" w:eastAsia="微软雅黑" w:cs="微软雅黑"/>
          <w:b/>
          <w:color w:val="auto"/>
          <w:sz w:val="20"/>
          <w:szCs w:val="20"/>
          <w:highlight w:val="none"/>
        </w:rPr>
      </w:pPr>
      <w:bookmarkStart w:id="2017" w:name="_Toc8054"/>
      <w:bookmarkStart w:id="2018" w:name="_Toc29338"/>
      <w:bookmarkStart w:id="2019" w:name="_Toc9202"/>
      <w:bookmarkStart w:id="2020" w:name="_Toc7647"/>
      <w:bookmarkStart w:id="2021" w:name="_Toc23654"/>
      <w:bookmarkStart w:id="2022" w:name="_Toc2627"/>
      <w:bookmarkStart w:id="2023" w:name="_Toc15071"/>
      <w:bookmarkStart w:id="2024" w:name="_Toc6660"/>
      <w:bookmarkStart w:id="2025" w:name="_Toc6344"/>
      <w:bookmarkStart w:id="2026" w:name="_Toc32376"/>
      <w:bookmarkStart w:id="2027" w:name="_Toc19011"/>
      <w:bookmarkStart w:id="2028" w:name="_Toc565"/>
      <w:bookmarkStart w:id="2029" w:name="_Toc31626"/>
      <w:bookmarkStart w:id="2030" w:name="_Toc28375"/>
      <w:bookmarkStart w:id="2031" w:name="_Toc11167"/>
      <w:bookmarkStart w:id="2032" w:name="_Toc25915"/>
      <w:bookmarkStart w:id="2033" w:name="_Toc2338"/>
      <w:bookmarkStart w:id="2034" w:name="_Toc16021"/>
      <w:bookmarkStart w:id="2035" w:name="_Toc25793"/>
      <w:bookmarkStart w:id="2036" w:name="_Toc15583"/>
      <w:bookmarkStart w:id="2037" w:name="_Toc20902"/>
      <w:bookmarkStart w:id="2038" w:name="_Toc11493"/>
      <w:bookmarkStart w:id="2039" w:name="_Toc14958"/>
      <w:bookmarkStart w:id="2040" w:name="_Toc24393"/>
      <w:bookmarkStart w:id="2041" w:name="_Toc6448"/>
      <w:bookmarkStart w:id="2042" w:name="_Toc5675"/>
      <w:bookmarkStart w:id="2043" w:name="_Toc29802"/>
      <w:bookmarkStart w:id="2044" w:name="_Toc4061"/>
      <w:bookmarkStart w:id="2045" w:name="_Toc22786"/>
      <w:bookmarkStart w:id="2046" w:name="_Toc19966"/>
      <w:bookmarkStart w:id="2047" w:name="_Toc27762"/>
      <w:bookmarkStart w:id="2048" w:name="_Toc17013"/>
      <w:bookmarkStart w:id="2049" w:name="_Toc20610"/>
      <w:bookmarkStart w:id="2050" w:name="_Toc9253"/>
      <w:bookmarkStart w:id="2051" w:name="_Toc8914"/>
      <w:bookmarkStart w:id="2052" w:name="_Toc27927"/>
      <w:bookmarkStart w:id="2053" w:name="_Toc5482"/>
      <w:bookmarkStart w:id="2054" w:name="_Toc32517"/>
      <w:bookmarkStart w:id="2055" w:name="_Toc13447"/>
      <w:bookmarkStart w:id="2056" w:name="_Toc7216"/>
      <w:bookmarkStart w:id="2057" w:name="_Toc3403"/>
      <w:r>
        <w:rPr>
          <w:rFonts w:hint="eastAsia" w:ascii="微软雅黑" w:hAnsi="微软雅黑" w:eastAsia="微软雅黑" w:cs="微软雅黑"/>
          <w:b/>
          <w:color w:val="auto"/>
          <w:sz w:val="20"/>
          <w:szCs w:val="20"/>
          <w:highlight w:val="none"/>
        </w:rPr>
        <w:t>1.7 合同争议的解决</w:t>
      </w:r>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p>
    <w:p w14:paraId="7B6A647A">
      <w:pPr>
        <w:shd w:val="clear"/>
        <w:spacing w:line="360" w:lineRule="exact"/>
        <w:ind w:firstLine="400" w:firstLineChars="200"/>
        <w:outlineLvl w:val="9"/>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本合同履行过程中发生的任何争议，双方当事人均可通过和解或者调解解决；不愿和解、调解或者和解、调解不成的，可以选择下列第</w:t>
      </w:r>
      <w:r>
        <w:rPr>
          <w:rFonts w:hint="eastAsia" w:ascii="微软雅黑" w:hAnsi="微软雅黑" w:eastAsia="微软雅黑" w:cs="微软雅黑"/>
          <w:color w:val="auto"/>
          <w:sz w:val="20"/>
          <w:szCs w:val="20"/>
          <w:highlight w:val="none"/>
          <w:u w:val="single"/>
        </w:rPr>
        <w:t xml:space="preserve"> </w:t>
      </w:r>
      <w:r>
        <w:rPr>
          <w:rFonts w:hint="eastAsia" w:ascii="微软雅黑" w:hAnsi="微软雅黑" w:eastAsia="微软雅黑" w:cs="微软雅黑"/>
          <w:color w:val="auto"/>
          <w:sz w:val="20"/>
          <w:szCs w:val="20"/>
          <w:highlight w:val="none"/>
          <w:u w:val="single"/>
          <w:lang w:val="en-US" w:eastAsia="zh-CN"/>
        </w:rPr>
        <w:t>2</w:t>
      </w:r>
      <w:r>
        <w:rPr>
          <w:rFonts w:hint="eastAsia" w:ascii="微软雅黑" w:hAnsi="微软雅黑" w:eastAsia="微软雅黑" w:cs="微软雅黑"/>
          <w:color w:val="auto"/>
          <w:sz w:val="20"/>
          <w:szCs w:val="20"/>
          <w:highlight w:val="none"/>
          <w:u w:val="single"/>
        </w:rPr>
        <w:t xml:space="preserve"> </w:t>
      </w:r>
      <w:r>
        <w:rPr>
          <w:rFonts w:hint="eastAsia" w:ascii="微软雅黑" w:hAnsi="微软雅黑" w:eastAsia="微软雅黑" w:cs="微软雅黑"/>
          <w:color w:val="auto"/>
          <w:sz w:val="20"/>
          <w:szCs w:val="20"/>
          <w:highlight w:val="none"/>
        </w:rPr>
        <w:t>种方式解决：</w:t>
      </w:r>
    </w:p>
    <w:p w14:paraId="75BD3B33">
      <w:pPr>
        <w:shd w:val="clear"/>
        <w:spacing w:line="360" w:lineRule="exact"/>
        <w:ind w:firstLine="400" w:firstLineChars="200"/>
        <w:outlineLvl w:val="9"/>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1.7.1 将争议提交</w:t>
      </w:r>
      <w:r>
        <w:rPr>
          <w:rFonts w:hint="eastAsia" w:ascii="微软雅黑" w:hAnsi="微软雅黑" w:eastAsia="微软雅黑" w:cs="微软雅黑"/>
          <w:color w:val="auto"/>
          <w:sz w:val="20"/>
          <w:szCs w:val="20"/>
          <w:highlight w:val="none"/>
          <w:u w:val="single"/>
        </w:rPr>
        <w:t xml:space="preserve">              </w:t>
      </w:r>
      <w:r>
        <w:rPr>
          <w:rFonts w:hint="eastAsia" w:ascii="微软雅黑" w:hAnsi="微软雅黑" w:eastAsia="微软雅黑" w:cs="微软雅黑"/>
          <w:color w:val="auto"/>
          <w:sz w:val="20"/>
          <w:szCs w:val="20"/>
          <w:highlight w:val="none"/>
        </w:rPr>
        <w:t>仲裁委员会依申请仲裁时其现行有效的仲裁规则裁决；</w:t>
      </w:r>
    </w:p>
    <w:p w14:paraId="69BDF2B4">
      <w:pPr>
        <w:shd w:val="clear"/>
        <w:spacing w:line="360" w:lineRule="exact"/>
        <w:ind w:firstLine="400" w:firstLineChars="200"/>
        <w:outlineLvl w:val="9"/>
        <w:rPr>
          <w:rFonts w:hint="eastAsia" w:ascii="微软雅黑" w:hAnsi="微软雅黑" w:eastAsia="微软雅黑" w:cs="微软雅黑"/>
          <w:color w:val="auto"/>
          <w:sz w:val="20"/>
          <w:szCs w:val="20"/>
          <w:highlight w:val="none"/>
          <w:lang w:eastAsia="zh-CN"/>
        </w:rPr>
      </w:pPr>
      <w:r>
        <w:rPr>
          <w:rFonts w:hint="eastAsia" w:ascii="微软雅黑" w:hAnsi="微软雅黑" w:eastAsia="微软雅黑" w:cs="微软雅黑"/>
          <w:color w:val="auto"/>
          <w:sz w:val="20"/>
          <w:szCs w:val="20"/>
          <w:highlight w:val="none"/>
        </w:rPr>
        <w:t>1.7.2 向</w:t>
      </w:r>
      <w:r>
        <w:rPr>
          <w:rFonts w:hint="eastAsia" w:ascii="微软雅黑" w:hAnsi="微软雅黑" w:eastAsia="微软雅黑" w:cs="微软雅黑"/>
          <w:color w:val="auto"/>
          <w:sz w:val="20"/>
          <w:szCs w:val="20"/>
          <w:highlight w:val="none"/>
          <w:u w:val="single"/>
        </w:rPr>
        <w:t xml:space="preserve">       </w:t>
      </w:r>
      <w:r>
        <w:rPr>
          <w:rFonts w:hint="eastAsia" w:ascii="微软雅黑" w:hAnsi="微软雅黑" w:eastAsia="微软雅黑" w:cs="微软雅黑"/>
          <w:color w:val="auto"/>
          <w:sz w:val="20"/>
          <w:szCs w:val="20"/>
          <w:highlight w:val="none"/>
        </w:rPr>
        <w:t>人民法院起诉。</w:t>
      </w:r>
      <w:r>
        <w:rPr>
          <w:rFonts w:hint="eastAsia" w:ascii="微软雅黑" w:hAnsi="微软雅黑" w:eastAsia="微软雅黑" w:cs="微软雅黑"/>
          <w:color w:val="auto"/>
          <w:sz w:val="20"/>
          <w:szCs w:val="20"/>
          <w:highlight w:val="none"/>
          <w:lang w:eastAsia="zh-CN"/>
        </w:rPr>
        <w:t>因诉讼产生的一切费用由败诉方承担，包括但不限于诉讼费、保全保险费、律师费、交通差旅费、评估鉴定费、替代履行的费用及其他合理且必要的支出。</w:t>
      </w:r>
    </w:p>
    <w:p w14:paraId="527568BE">
      <w:pPr>
        <w:shd w:val="clear"/>
        <w:spacing w:line="360" w:lineRule="exact"/>
        <w:ind w:firstLine="400" w:firstLineChars="200"/>
        <w:outlineLvl w:val="9"/>
        <w:rPr>
          <w:rFonts w:hint="eastAsia" w:ascii="微软雅黑" w:hAnsi="微软雅黑" w:eastAsia="微软雅黑" w:cs="微软雅黑"/>
          <w:b/>
          <w:color w:val="auto"/>
          <w:sz w:val="20"/>
          <w:szCs w:val="20"/>
          <w:highlight w:val="none"/>
        </w:rPr>
      </w:pPr>
      <w:bookmarkStart w:id="2058" w:name="_Toc22385"/>
      <w:bookmarkStart w:id="2059" w:name="_Toc11173"/>
      <w:bookmarkStart w:id="2060" w:name="_Toc26897"/>
      <w:bookmarkStart w:id="2061" w:name="_Toc27626"/>
      <w:bookmarkStart w:id="2062" w:name="_Toc25410"/>
      <w:bookmarkStart w:id="2063" w:name="_Toc1647"/>
      <w:bookmarkStart w:id="2064" w:name="_Toc6390"/>
      <w:bookmarkStart w:id="2065" w:name="_Toc13718"/>
      <w:bookmarkStart w:id="2066" w:name="_Toc20905"/>
      <w:bookmarkStart w:id="2067" w:name="_Toc7828"/>
      <w:bookmarkStart w:id="2068" w:name="_Toc21152"/>
      <w:bookmarkStart w:id="2069" w:name="_Toc1662"/>
      <w:bookmarkStart w:id="2070" w:name="_Toc13065"/>
      <w:bookmarkStart w:id="2071" w:name="_Toc7816"/>
      <w:bookmarkStart w:id="2072" w:name="_Toc31123"/>
      <w:bookmarkStart w:id="2073" w:name="_Toc24759"/>
      <w:bookmarkStart w:id="2074" w:name="_Toc30260"/>
      <w:bookmarkStart w:id="2075" w:name="_Toc6001"/>
      <w:bookmarkStart w:id="2076" w:name="_Toc2894"/>
      <w:bookmarkStart w:id="2077" w:name="_Toc27430"/>
      <w:bookmarkStart w:id="2078" w:name="_Toc10429"/>
      <w:bookmarkStart w:id="2079" w:name="_Toc29560"/>
      <w:bookmarkStart w:id="2080" w:name="_Toc29339"/>
      <w:bookmarkStart w:id="2081" w:name="_Toc17113"/>
      <w:bookmarkStart w:id="2082" w:name="_Toc10255"/>
      <w:bookmarkStart w:id="2083" w:name="_Toc6411"/>
      <w:bookmarkStart w:id="2084" w:name="_Toc8071"/>
      <w:bookmarkStart w:id="2085" w:name="_Toc15322"/>
      <w:bookmarkStart w:id="2086" w:name="_Toc16410"/>
      <w:bookmarkStart w:id="2087" w:name="_Toc9582"/>
      <w:bookmarkStart w:id="2088" w:name="_Toc24003"/>
      <w:bookmarkStart w:id="2089" w:name="_Toc518"/>
      <w:bookmarkStart w:id="2090" w:name="_Toc19180"/>
      <w:bookmarkStart w:id="2091" w:name="_Toc2901"/>
      <w:bookmarkStart w:id="2092" w:name="_Toc7245"/>
      <w:bookmarkStart w:id="2093" w:name="_Toc12859"/>
      <w:bookmarkStart w:id="2094" w:name="_Toc9329"/>
      <w:bookmarkStart w:id="2095" w:name="_Toc10043"/>
      <w:bookmarkStart w:id="2096" w:name="_Toc24151"/>
      <w:bookmarkStart w:id="2097" w:name="_Toc20305"/>
      <w:r>
        <w:rPr>
          <w:rFonts w:hint="eastAsia" w:ascii="微软雅黑" w:hAnsi="微软雅黑" w:eastAsia="微软雅黑" w:cs="微软雅黑"/>
          <w:b/>
          <w:color w:val="auto"/>
          <w:sz w:val="20"/>
          <w:szCs w:val="20"/>
          <w:highlight w:val="none"/>
        </w:rPr>
        <w:t>1.8 合同生效</w:t>
      </w:r>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p>
    <w:p w14:paraId="2BD3A778">
      <w:pPr>
        <w:shd w:val="clear"/>
        <w:spacing w:line="360" w:lineRule="exact"/>
        <w:ind w:firstLine="400" w:firstLineChars="200"/>
        <w:outlineLvl w:val="9"/>
        <w:rPr>
          <w:rFonts w:hint="eastAsia" w:ascii="微软雅黑" w:hAnsi="微软雅黑" w:eastAsia="微软雅黑" w:cs="微软雅黑"/>
          <w:b/>
          <w:color w:val="auto"/>
          <w:sz w:val="20"/>
          <w:szCs w:val="20"/>
          <w:highlight w:val="none"/>
        </w:rPr>
      </w:pPr>
      <w:r>
        <w:rPr>
          <w:rFonts w:hint="eastAsia" w:ascii="微软雅黑" w:hAnsi="微软雅黑" w:eastAsia="微软雅黑" w:cs="微软雅黑"/>
          <w:color w:val="auto"/>
          <w:sz w:val="20"/>
          <w:szCs w:val="20"/>
          <w:highlight w:val="none"/>
        </w:rPr>
        <w:t>本合同自双方当事人盖章或者签字时生效。</w:t>
      </w:r>
    </w:p>
    <w:p w14:paraId="448BAF55">
      <w:pPr>
        <w:shd w:val="clear"/>
        <w:autoSpaceDE w:val="0"/>
        <w:autoSpaceDN w:val="0"/>
        <w:adjustRightInd w:val="0"/>
        <w:spacing w:line="360" w:lineRule="exact"/>
        <w:outlineLvl w:val="9"/>
        <w:rPr>
          <w:rFonts w:hint="eastAsia" w:ascii="微软雅黑" w:hAnsi="微软雅黑" w:eastAsia="微软雅黑" w:cs="微软雅黑"/>
          <w:color w:val="auto"/>
          <w:sz w:val="20"/>
          <w:szCs w:val="20"/>
          <w:highlight w:val="none"/>
          <w:lang w:val="zh-CN"/>
        </w:rPr>
      </w:pPr>
    </w:p>
    <w:p w14:paraId="06B4C697">
      <w:pPr>
        <w:outlineLvl w:val="9"/>
        <w:rPr>
          <w:rFonts w:hint="eastAsia" w:ascii="微软雅黑" w:hAnsi="微软雅黑" w:eastAsia="微软雅黑" w:cs="微软雅黑"/>
          <w:b/>
          <w:color w:val="auto"/>
          <w:sz w:val="20"/>
          <w:szCs w:val="20"/>
          <w:highlight w:val="none"/>
          <w:lang w:val="zh-CN"/>
        </w:rPr>
      </w:pPr>
      <w:r>
        <w:rPr>
          <w:rFonts w:hint="eastAsia" w:ascii="微软雅黑" w:hAnsi="微软雅黑" w:eastAsia="微软雅黑" w:cs="微软雅黑"/>
          <w:b/>
          <w:color w:val="auto"/>
          <w:sz w:val="20"/>
          <w:szCs w:val="20"/>
          <w:highlight w:val="none"/>
          <w:lang w:val="zh-CN"/>
        </w:rPr>
        <w:br w:type="page"/>
      </w:r>
    </w:p>
    <w:p w14:paraId="0FF57110">
      <w:pPr>
        <w:shd w:val="clear"/>
        <w:autoSpaceDE w:val="0"/>
        <w:autoSpaceDN w:val="0"/>
        <w:adjustRightInd w:val="0"/>
        <w:spacing w:line="360" w:lineRule="exact"/>
        <w:outlineLvl w:val="9"/>
        <w:rPr>
          <w:rFonts w:hint="eastAsia" w:ascii="微软雅黑" w:hAnsi="微软雅黑" w:eastAsia="微软雅黑" w:cs="微软雅黑"/>
          <w:color w:val="auto"/>
          <w:sz w:val="20"/>
          <w:szCs w:val="20"/>
          <w:highlight w:val="none"/>
          <w:lang w:val="zh-CN"/>
        </w:rPr>
      </w:pPr>
      <w:r>
        <w:rPr>
          <w:rFonts w:hint="eastAsia" w:ascii="微软雅黑" w:hAnsi="微软雅黑" w:eastAsia="微软雅黑" w:cs="微软雅黑"/>
          <w:b/>
          <w:color w:val="auto"/>
          <w:sz w:val="20"/>
          <w:szCs w:val="20"/>
          <w:highlight w:val="none"/>
          <w:lang w:val="zh-CN"/>
        </w:rPr>
        <w:t>甲方</w:t>
      </w:r>
      <w:r>
        <w:rPr>
          <w:rFonts w:hint="eastAsia" w:ascii="微软雅黑" w:hAnsi="微软雅黑" w:eastAsia="微软雅黑" w:cs="微软雅黑"/>
          <w:color w:val="auto"/>
          <w:sz w:val="20"/>
          <w:szCs w:val="20"/>
          <w:highlight w:val="none"/>
          <w:lang w:val="zh-CN"/>
        </w:rPr>
        <w:t xml:space="preserve">：                             </w:t>
      </w:r>
      <w:r>
        <w:rPr>
          <w:rFonts w:hint="eastAsia" w:ascii="微软雅黑" w:hAnsi="微软雅黑" w:eastAsia="微软雅黑" w:cs="微软雅黑"/>
          <w:b/>
          <w:color w:val="auto"/>
          <w:sz w:val="20"/>
          <w:szCs w:val="20"/>
          <w:highlight w:val="none"/>
          <w:lang w:val="zh-CN"/>
        </w:rPr>
        <w:t xml:space="preserve">      乙方</w:t>
      </w:r>
      <w:r>
        <w:rPr>
          <w:rFonts w:hint="eastAsia" w:ascii="微软雅黑" w:hAnsi="微软雅黑" w:eastAsia="微软雅黑" w:cs="微软雅黑"/>
          <w:color w:val="auto"/>
          <w:sz w:val="20"/>
          <w:szCs w:val="20"/>
          <w:highlight w:val="none"/>
          <w:lang w:val="zh-CN"/>
        </w:rPr>
        <w:t>：</w:t>
      </w:r>
    </w:p>
    <w:p w14:paraId="7CBD58D1">
      <w:pPr>
        <w:shd w:val="clear"/>
        <w:autoSpaceDE w:val="0"/>
        <w:autoSpaceDN w:val="0"/>
        <w:adjustRightInd w:val="0"/>
        <w:spacing w:line="360" w:lineRule="exact"/>
        <w:outlineLvl w:val="9"/>
        <w:rPr>
          <w:rFonts w:hint="eastAsia" w:ascii="微软雅黑" w:hAnsi="微软雅黑" w:eastAsia="微软雅黑" w:cs="微软雅黑"/>
          <w:color w:val="auto"/>
          <w:sz w:val="20"/>
          <w:szCs w:val="20"/>
          <w:highlight w:val="none"/>
          <w:lang w:val="zh-CN"/>
        </w:rPr>
      </w:pPr>
      <w:r>
        <w:rPr>
          <w:rFonts w:hint="eastAsia" w:ascii="微软雅黑" w:hAnsi="微软雅黑" w:eastAsia="微软雅黑" w:cs="微软雅黑"/>
          <w:color w:val="auto"/>
          <w:sz w:val="20"/>
          <w:szCs w:val="20"/>
          <w:highlight w:val="none"/>
          <w:lang w:val="zh-CN"/>
        </w:rPr>
        <w:t>统一社会信用代码：                        统一社会信用代码或身份证号码：</w:t>
      </w:r>
    </w:p>
    <w:p w14:paraId="7B0D81C4">
      <w:pPr>
        <w:shd w:val="clear"/>
        <w:autoSpaceDE w:val="0"/>
        <w:autoSpaceDN w:val="0"/>
        <w:adjustRightInd w:val="0"/>
        <w:spacing w:line="360" w:lineRule="exact"/>
        <w:outlineLvl w:val="9"/>
        <w:rPr>
          <w:rFonts w:hint="eastAsia" w:ascii="微软雅黑" w:hAnsi="微软雅黑" w:eastAsia="微软雅黑" w:cs="微软雅黑"/>
          <w:color w:val="auto"/>
          <w:sz w:val="20"/>
          <w:szCs w:val="20"/>
          <w:highlight w:val="none"/>
          <w:lang w:val="zh-CN"/>
        </w:rPr>
      </w:pPr>
    </w:p>
    <w:p w14:paraId="3181F4A7">
      <w:pPr>
        <w:shd w:val="clear"/>
        <w:autoSpaceDE w:val="0"/>
        <w:autoSpaceDN w:val="0"/>
        <w:adjustRightInd w:val="0"/>
        <w:spacing w:line="360" w:lineRule="exact"/>
        <w:outlineLvl w:val="9"/>
        <w:rPr>
          <w:rFonts w:hint="eastAsia" w:ascii="微软雅黑" w:hAnsi="微软雅黑" w:eastAsia="微软雅黑" w:cs="微软雅黑"/>
          <w:color w:val="auto"/>
          <w:sz w:val="20"/>
          <w:szCs w:val="20"/>
          <w:highlight w:val="none"/>
          <w:lang w:val="zh-CN"/>
        </w:rPr>
      </w:pPr>
      <w:r>
        <w:rPr>
          <w:rFonts w:hint="eastAsia" w:ascii="微软雅黑" w:hAnsi="微软雅黑" w:eastAsia="微软雅黑" w:cs="微软雅黑"/>
          <w:color w:val="auto"/>
          <w:sz w:val="20"/>
          <w:szCs w:val="20"/>
          <w:highlight w:val="none"/>
          <w:lang w:val="zh-CN"/>
        </w:rPr>
        <w:t>住所：                                   住所：</w:t>
      </w:r>
    </w:p>
    <w:p w14:paraId="3402C2D8">
      <w:pPr>
        <w:shd w:val="clear"/>
        <w:autoSpaceDE w:val="0"/>
        <w:autoSpaceDN w:val="0"/>
        <w:adjustRightInd w:val="0"/>
        <w:spacing w:line="360" w:lineRule="exact"/>
        <w:outlineLvl w:val="9"/>
        <w:rPr>
          <w:rFonts w:hint="eastAsia" w:ascii="微软雅黑" w:hAnsi="微软雅黑" w:eastAsia="微软雅黑" w:cs="微软雅黑"/>
          <w:color w:val="auto"/>
          <w:sz w:val="20"/>
          <w:szCs w:val="20"/>
          <w:highlight w:val="none"/>
          <w:lang w:val="zh-CN"/>
        </w:rPr>
      </w:pPr>
      <w:r>
        <w:rPr>
          <w:rFonts w:hint="eastAsia" w:ascii="微软雅黑" w:hAnsi="微软雅黑" w:eastAsia="微软雅黑" w:cs="微软雅黑"/>
          <w:color w:val="auto"/>
          <w:sz w:val="20"/>
          <w:szCs w:val="20"/>
          <w:highlight w:val="none"/>
          <w:lang w:val="zh-CN"/>
        </w:rPr>
        <w:t>法定代表人或                             法定代表人</w:t>
      </w:r>
    </w:p>
    <w:p w14:paraId="0D33EA2B">
      <w:pPr>
        <w:shd w:val="clear"/>
        <w:autoSpaceDE w:val="0"/>
        <w:autoSpaceDN w:val="0"/>
        <w:adjustRightInd w:val="0"/>
        <w:spacing w:line="360" w:lineRule="exact"/>
        <w:outlineLvl w:val="9"/>
        <w:rPr>
          <w:rFonts w:hint="eastAsia" w:ascii="微软雅黑" w:hAnsi="微软雅黑" w:eastAsia="微软雅黑" w:cs="微软雅黑"/>
          <w:color w:val="auto"/>
          <w:sz w:val="20"/>
          <w:szCs w:val="20"/>
          <w:highlight w:val="none"/>
          <w:lang w:val="zh-CN"/>
        </w:rPr>
      </w:pPr>
      <w:r>
        <w:rPr>
          <w:rFonts w:hint="eastAsia" w:ascii="微软雅黑" w:hAnsi="微软雅黑" w:eastAsia="微软雅黑" w:cs="微软雅黑"/>
          <w:color w:val="auto"/>
          <w:sz w:val="20"/>
          <w:szCs w:val="20"/>
          <w:highlight w:val="none"/>
          <w:lang w:val="zh-CN"/>
        </w:rPr>
        <w:t xml:space="preserve">授权代表（签字）：                        或授权代表（签字）: </w:t>
      </w:r>
    </w:p>
    <w:p w14:paraId="0095910F">
      <w:pPr>
        <w:shd w:val="clear"/>
        <w:autoSpaceDE w:val="0"/>
        <w:autoSpaceDN w:val="0"/>
        <w:adjustRightInd w:val="0"/>
        <w:spacing w:line="360" w:lineRule="exact"/>
        <w:outlineLvl w:val="9"/>
        <w:rPr>
          <w:rFonts w:hint="eastAsia" w:ascii="微软雅黑" w:hAnsi="微软雅黑" w:eastAsia="微软雅黑" w:cs="微软雅黑"/>
          <w:color w:val="auto"/>
          <w:sz w:val="20"/>
          <w:szCs w:val="20"/>
          <w:highlight w:val="none"/>
          <w:lang w:val="zh-CN"/>
        </w:rPr>
      </w:pPr>
      <w:r>
        <w:rPr>
          <w:rFonts w:hint="eastAsia" w:ascii="微软雅黑" w:hAnsi="微软雅黑" w:eastAsia="微软雅黑" w:cs="微软雅黑"/>
          <w:color w:val="auto"/>
          <w:sz w:val="20"/>
          <w:szCs w:val="20"/>
          <w:highlight w:val="none"/>
          <w:lang w:val="zh-CN"/>
        </w:rPr>
        <w:t>联系人：                                 联系人：</w:t>
      </w:r>
    </w:p>
    <w:p w14:paraId="07956F9E">
      <w:pPr>
        <w:shd w:val="clear"/>
        <w:autoSpaceDE w:val="0"/>
        <w:autoSpaceDN w:val="0"/>
        <w:adjustRightInd w:val="0"/>
        <w:spacing w:line="360" w:lineRule="exact"/>
        <w:outlineLvl w:val="9"/>
        <w:rPr>
          <w:rFonts w:hint="eastAsia" w:ascii="微软雅黑" w:hAnsi="微软雅黑" w:eastAsia="微软雅黑" w:cs="微软雅黑"/>
          <w:color w:val="auto"/>
          <w:sz w:val="20"/>
          <w:szCs w:val="20"/>
          <w:highlight w:val="none"/>
          <w:lang w:val="zh-CN"/>
        </w:rPr>
      </w:pPr>
      <w:r>
        <w:rPr>
          <w:rFonts w:hint="eastAsia" w:ascii="微软雅黑" w:hAnsi="微软雅黑" w:eastAsia="微软雅黑" w:cs="微软雅黑"/>
          <w:color w:val="auto"/>
          <w:sz w:val="20"/>
          <w:szCs w:val="20"/>
          <w:highlight w:val="none"/>
          <w:lang w:val="zh-CN"/>
        </w:rPr>
        <w:t>约定送达地址：                           约定送达地址：</w:t>
      </w:r>
    </w:p>
    <w:p w14:paraId="6E0C5564">
      <w:pPr>
        <w:shd w:val="clear"/>
        <w:autoSpaceDE w:val="0"/>
        <w:autoSpaceDN w:val="0"/>
        <w:adjustRightInd w:val="0"/>
        <w:spacing w:line="360" w:lineRule="exact"/>
        <w:outlineLvl w:val="9"/>
        <w:rPr>
          <w:rFonts w:hint="eastAsia" w:ascii="微软雅黑" w:hAnsi="微软雅黑" w:eastAsia="微软雅黑" w:cs="微软雅黑"/>
          <w:color w:val="auto"/>
          <w:sz w:val="20"/>
          <w:szCs w:val="20"/>
          <w:highlight w:val="none"/>
          <w:lang w:val="zh-CN"/>
        </w:rPr>
      </w:pPr>
      <w:r>
        <w:rPr>
          <w:rFonts w:hint="eastAsia" w:ascii="微软雅黑" w:hAnsi="微软雅黑" w:eastAsia="微软雅黑" w:cs="微软雅黑"/>
          <w:color w:val="auto"/>
          <w:sz w:val="20"/>
          <w:szCs w:val="20"/>
          <w:highlight w:val="none"/>
          <w:lang w:val="zh-CN"/>
        </w:rPr>
        <w:t>邮政编码：                               邮政编码：</w:t>
      </w:r>
    </w:p>
    <w:p w14:paraId="6A571FF1">
      <w:pPr>
        <w:shd w:val="clear"/>
        <w:autoSpaceDE w:val="0"/>
        <w:autoSpaceDN w:val="0"/>
        <w:adjustRightInd w:val="0"/>
        <w:spacing w:line="360" w:lineRule="exact"/>
        <w:outlineLvl w:val="9"/>
        <w:rPr>
          <w:rFonts w:hint="eastAsia" w:ascii="微软雅黑" w:hAnsi="微软雅黑" w:eastAsia="微软雅黑" w:cs="微软雅黑"/>
          <w:color w:val="auto"/>
          <w:sz w:val="20"/>
          <w:szCs w:val="20"/>
          <w:highlight w:val="none"/>
          <w:lang w:val="zh-CN"/>
        </w:rPr>
      </w:pPr>
      <w:r>
        <w:rPr>
          <w:rFonts w:hint="eastAsia" w:ascii="微软雅黑" w:hAnsi="微软雅黑" w:eastAsia="微软雅黑" w:cs="微软雅黑"/>
          <w:color w:val="auto"/>
          <w:sz w:val="20"/>
          <w:szCs w:val="20"/>
          <w:highlight w:val="none"/>
          <w:lang w:val="zh-CN"/>
        </w:rPr>
        <w:t xml:space="preserve">电话:                                    电话: </w:t>
      </w:r>
    </w:p>
    <w:p w14:paraId="6BDE1862">
      <w:pPr>
        <w:shd w:val="clear"/>
        <w:autoSpaceDE w:val="0"/>
        <w:autoSpaceDN w:val="0"/>
        <w:adjustRightInd w:val="0"/>
        <w:spacing w:line="360" w:lineRule="exact"/>
        <w:outlineLvl w:val="9"/>
        <w:rPr>
          <w:rFonts w:hint="eastAsia" w:ascii="微软雅黑" w:hAnsi="微软雅黑" w:eastAsia="微软雅黑" w:cs="微软雅黑"/>
          <w:color w:val="auto"/>
          <w:sz w:val="20"/>
          <w:szCs w:val="20"/>
          <w:highlight w:val="none"/>
          <w:lang w:val="zh-CN"/>
        </w:rPr>
      </w:pPr>
      <w:r>
        <w:rPr>
          <w:rFonts w:hint="eastAsia" w:ascii="微软雅黑" w:hAnsi="微软雅黑" w:eastAsia="微软雅黑" w:cs="微软雅黑"/>
          <w:color w:val="auto"/>
          <w:sz w:val="20"/>
          <w:szCs w:val="20"/>
          <w:highlight w:val="none"/>
          <w:lang w:val="zh-CN"/>
        </w:rPr>
        <w:t>传真:                                    传真:</w:t>
      </w:r>
    </w:p>
    <w:p w14:paraId="16657988">
      <w:pPr>
        <w:shd w:val="clear"/>
        <w:autoSpaceDE w:val="0"/>
        <w:autoSpaceDN w:val="0"/>
        <w:adjustRightInd w:val="0"/>
        <w:spacing w:line="360" w:lineRule="exact"/>
        <w:outlineLvl w:val="9"/>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lang w:val="zh-CN"/>
        </w:rPr>
        <w:t>电子邮箱：                               电子邮箱：</w:t>
      </w:r>
    </w:p>
    <w:p w14:paraId="38562389">
      <w:pPr>
        <w:shd w:val="clear"/>
        <w:autoSpaceDE w:val="0"/>
        <w:autoSpaceDN w:val="0"/>
        <w:adjustRightInd w:val="0"/>
        <w:spacing w:line="360" w:lineRule="exact"/>
        <w:outlineLvl w:val="9"/>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 xml:space="preserve">开户银行：                               开户银行： </w:t>
      </w:r>
    </w:p>
    <w:p w14:paraId="63A7EC7B">
      <w:pPr>
        <w:shd w:val="clear"/>
        <w:autoSpaceDE w:val="0"/>
        <w:autoSpaceDN w:val="0"/>
        <w:adjustRightInd w:val="0"/>
        <w:spacing w:line="360" w:lineRule="exact"/>
        <w:outlineLvl w:val="9"/>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 xml:space="preserve">开户名称：                               开户名称： </w:t>
      </w:r>
    </w:p>
    <w:p w14:paraId="07D13BDD">
      <w:pPr>
        <w:shd w:val="clear"/>
        <w:autoSpaceDE w:val="0"/>
        <w:autoSpaceDN w:val="0"/>
        <w:adjustRightInd w:val="0"/>
        <w:spacing w:line="360" w:lineRule="exact"/>
        <w:outlineLvl w:val="9"/>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开户账号：</w:t>
      </w:r>
      <w:r>
        <w:rPr>
          <w:rFonts w:hint="eastAsia" w:ascii="微软雅黑" w:hAnsi="微软雅黑" w:eastAsia="微软雅黑" w:cs="微软雅黑"/>
          <w:color w:val="auto"/>
          <w:sz w:val="20"/>
          <w:szCs w:val="20"/>
          <w:highlight w:val="none"/>
          <w:lang w:val="zh-CN"/>
        </w:rPr>
        <w:t xml:space="preserve">                               </w:t>
      </w:r>
      <w:r>
        <w:rPr>
          <w:rFonts w:hint="eastAsia" w:ascii="微软雅黑" w:hAnsi="微软雅黑" w:eastAsia="微软雅黑" w:cs="微软雅黑"/>
          <w:color w:val="auto"/>
          <w:sz w:val="20"/>
          <w:szCs w:val="20"/>
          <w:highlight w:val="none"/>
        </w:rPr>
        <w:t>开户账号：</w:t>
      </w:r>
    </w:p>
    <w:p w14:paraId="582DDCF6">
      <w:pPr>
        <w:widowControl/>
        <w:shd w:val="clear"/>
        <w:spacing w:line="360" w:lineRule="exact"/>
        <w:jc w:val="left"/>
        <w:outlineLvl w:val="9"/>
        <w:rPr>
          <w:rFonts w:hint="eastAsia" w:ascii="微软雅黑" w:hAnsi="微软雅黑" w:eastAsia="微软雅黑" w:cs="微软雅黑"/>
          <w:b/>
          <w:color w:val="auto"/>
          <w:sz w:val="20"/>
          <w:szCs w:val="20"/>
          <w:highlight w:val="none"/>
        </w:rPr>
      </w:pPr>
      <w:bookmarkStart w:id="2098" w:name="_Toc331685783"/>
    </w:p>
    <w:p w14:paraId="26CADE0D">
      <w:pPr>
        <w:widowControl/>
        <w:shd w:val="clear"/>
        <w:spacing w:line="360" w:lineRule="exact"/>
        <w:jc w:val="left"/>
        <w:outlineLvl w:val="9"/>
        <w:rPr>
          <w:rFonts w:hint="eastAsia" w:ascii="微软雅黑" w:hAnsi="微软雅黑" w:eastAsia="微软雅黑" w:cs="微软雅黑"/>
          <w:b/>
          <w:color w:val="auto"/>
          <w:sz w:val="20"/>
          <w:szCs w:val="20"/>
          <w:highlight w:val="none"/>
        </w:rPr>
      </w:pPr>
    </w:p>
    <w:p w14:paraId="1D6F03B7">
      <w:pPr>
        <w:pStyle w:val="67"/>
        <w:shd w:val="clear"/>
        <w:spacing w:line="360" w:lineRule="exact"/>
        <w:ind w:firstLine="200"/>
        <w:jc w:val="center"/>
        <w:outlineLvl w:val="9"/>
        <w:rPr>
          <w:rFonts w:hint="eastAsia" w:ascii="微软雅黑" w:hAnsi="微软雅黑" w:eastAsia="微软雅黑" w:cs="微软雅黑"/>
          <w:b/>
          <w:color w:val="auto"/>
          <w:sz w:val="20"/>
          <w:szCs w:val="20"/>
          <w:highlight w:val="none"/>
        </w:rPr>
      </w:pPr>
      <w:r>
        <w:rPr>
          <w:rFonts w:hint="eastAsia" w:ascii="微软雅黑" w:hAnsi="微软雅黑" w:eastAsia="微软雅黑" w:cs="微软雅黑"/>
          <w:b/>
          <w:color w:val="auto"/>
          <w:sz w:val="20"/>
          <w:szCs w:val="20"/>
          <w:highlight w:val="none"/>
        </w:rPr>
        <w:t>第二部分 合同一般条款</w:t>
      </w:r>
      <w:bookmarkEnd w:id="2098"/>
    </w:p>
    <w:p w14:paraId="61665DC2">
      <w:pPr>
        <w:shd w:val="clear"/>
        <w:spacing w:line="360" w:lineRule="exact"/>
        <w:ind w:firstLine="400" w:firstLineChars="200"/>
        <w:outlineLvl w:val="9"/>
        <w:rPr>
          <w:rFonts w:hint="eastAsia" w:ascii="微软雅黑" w:hAnsi="微软雅黑" w:eastAsia="微软雅黑" w:cs="微软雅黑"/>
          <w:b/>
          <w:color w:val="auto"/>
          <w:sz w:val="20"/>
          <w:szCs w:val="20"/>
          <w:highlight w:val="none"/>
        </w:rPr>
      </w:pPr>
      <w:bookmarkStart w:id="2099" w:name="_Ref467378404"/>
      <w:bookmarkStart w:id="2100" w:name="_Toc16593"/>
      <w:bookmarkStart w:id="2101" w:name="_Toc28862"/>
      <w:bookmarkStart w:id="2102" w:name="_Toc3517"/>
      <w:bookmarkStart w:id="2103" w:name="_Ref467379195"/>
      <w:bookmarkStart w:id="2104" w:name="_Toc26415"/>
      <w:bookmarkStart w:id="2105" w:name="_Ref467379094"/>
      <w:bookmarkStart w:id="2106" w:name="_Toc28763"/>
      <w:bookmarkStart w:id="2107" w:name="_Ref467379205"/>
      <w:bookmarkStart w:id="2108" w:name="_Toc1241"/>
      <w:bookmarkStart w:id="2109" w:name="_Toc16917"/>
      <w:bookmarkStart w:id="2110" w:name="_Toc15647"/>
      <w:bookmarkStart w:id="2111" w:name="_Toc8206"/>
      <w:bookmarkStart w:id="2112" w:name="_Toc28547"/>
      <w:bookmarkStart w:id="2113" w:name="_Toc259093669"/>
      <w:bookmarkStart w:id="2114" w:name="_Toc26822"/>
      <w:bookmarkStart w:id="2115" w:name="_Toc510"/>
      <w:bookmarkStart w:id="2116" w:name="_Toc32624"/>
      <w:bookmarkStart w:id="2117" w:name="_Toc26936"/>
      <w:bookmarkStart w:id="2118" w:name="_Toc16687"/>
      <w:bookmarkStart w:id="2119" w:name="_Toc20709"/>
      <w:bookmarkStart w:id="2120" w:name="_Toc19614"/>
      <w:bookmarkStart w:id="2121" w:name="_Toc28113"/>
      <w:bookmarkStart w:id="2122" w:name="_Toc29711"/>
      <w:bookmarkStart w:id="2123" w:name="_Toc29821"/>
      <w:bookmarkStart w:id="2124" w:name="_Ref467378463"/>
      <w:bookmarkStart w:id="2125" w:name="_Toc3091"/>
      <w:bookmarkStart w:id="2126" w:name="_Toc2485"/>
      <w:bookmarkStart w:id="2127" w:name="_Ref467378499"/>
      <w:bookmarkStart w:id="2128" w:name="_Toc115"/>
      <w:bookmarkStart w:id="2129" w:name="_Toc17718"/>
      <w:bookmarkStart w:id="2130" w:name="_Toc18165"/>
      <w:bookmarkStart w:id="2131" w:name="_Toc14152"/>
      <w:bookmarkStart w:id="2132" w:name="_Toc25554"/>
      <w:bookmarkStart w:id="2133" w:name="_Toc14065"/>
      <w:bookmarkStart w:id="2134" w:name="_Toc22994"/>
      <w:bookmarkStart w:id="2135" w:name="_Toc29659"/>
      <w:bookmarkStart w:id="2136" w:name="_Toc5579"/>
      <w:bookmarkStart w:id="2137" w:name="_Toc6280"/>
      <w:bookmarkStart w:id="2138" w:name="_Toc2426"/>
      <w:bookmarkStart w:id="2139" w:name="_Toc1596"/>
      <w:bookmarkStart w:id="2140" w:name="_Ref467379214"/>
      <w:bookmarkStart w:id="2141" w:name="_Toc14827"/>
      <w:bookmarkStart w:id="2142" w:name="_Toc487900349"/>
      <w:bookmarkStart w:id="2143" w:name="_Toc279701240"/>
      <w:bookmarkStart w:id="2144" w:name="_Ref467379101"/>
      <w:bookmarkStart w:id="2145" w:name="_Ref467379225"/>
      <w:bookmarkStart w:id="2146" w:name="_Toc2034"/>
      <w:bookmarkStart w:id="2147" w:name="_Toc27133"/>
      <w:bookmarkStart w:id="2148" w:name="_Toc28992"/>
      <w:bookmarkStart w:id="2149" w:name="_Toc8760"/>
      <w:bookmarkStart w:id="2150" w:name="_Ref467379109"/>
      <w:bookmarkStart w:id="2151" w:name="_Toc12488"/>
      <w:bookmarkStart w:id="2152" w:name="_Toc31417"/>
      <w:bookmarkStart w:id="2153" w:name="_Toc31535"/>
      <w:r>
        <w:rPr>
          <w:rFonts w:hint="eastAsia" w:ascii="微软雅黑" w:hAnsi="微软雅黑" w:eastAsia="微软雅黑" w:cs="微软雅黑"/>
          <w:b/>
          <w:color w:val="auto"/>
          <w:sz w:val="20"/>
          <w:szCs w:val="20"/>
          <w:highlight w:val="none"/>
        </w:rPr>
        <w:t>2.1 定义</w:t>
      </w:r>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p>
    <w:p w14:paraId="793FE787">
      <w:pPr>
        <w:shd w:val="clear"/>
        <w:spacing w:line="360" w:lineRule="exact"/>
        <w:ind w:firstLine="400" w:firstLineChars="200"/>
        <w:outlineLvl w:val="9"/>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本合同中的下列词语应按以下内容进行解释：</w:t>
      </w:r>
    </w:p>
    <w:p w14:paraId="03CF9AE9">
      <w:pPr>
        <w:shd w:val="clear"/>
        <w:spacing w:line="360" w:lineRule="exact"/>
        <w:ind w:firstLine="400" w:firstLineChars="200"/>
        <w:outlineLvl w:val="9"/>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2.1.1 “合同”系指采购人和中标供应商签订的载明双方当事人所达成的协议，并包括所有的附件、附录和构成合同的其他文件。</w:t>
      </w:r>
    </w:p>
    <w:p w14:paraId="7D9FE50A">
      <w:pPr>
        <w:shd w:val="clear"/>
        <w:spacing w:line="360" w:lineRule="exact"/>
        <w:ind w:firstLine="400" w:firstLineChars="200"/>
        <w:outlineLvl w:val="9"/>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2.1.2 “合同价”系指根据合同约定，中标供应商在完全履行合同义务后，采购人应支付给中标供应商的价格。</w:t>
      </w:r>
    </w:p>
    <w:p w14:paraId="7CE9AEC3">
      <w:pPr>
        <w:shd w:val="clear"/>
        <w:spacing w:line="360" w:lineRule="exact"/>
        <w:ind w:firstLine="400" w:firstLineChars="200"/>
        <w:outlineLvl w:val="9"/>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2.1.3 “货物”系指中标供应商根据合同约定应向采购人交付的一切各种形态和种类的物品，包括原材料、燃料、设备、机械、仪表、备件、计算机软件、产品等，并包括工具、手册等其他相关资料。</w:t>
      </w:r>
    </w:p>
    <w:p w14:paraId="20F53793">
      <w:pPr>
        <w:shd w:val="clear"/>
        <w:spacing w:line="360" w:lineRule="exact"/>
        <w:ind w:firstLine="400" w:firstLineChars="200"/>
        <w:outlineLvl w:val="9"/>
        <w:rPr>
          <w:rFonts w:hint="eastAsia" w:ascii="微软雅黑" w:hAnsi="微软雅黑" w:eastAsia="微软雅黑" w:cs="微软雅黑"/>
          <w:color w:val="auto"/>
          <w:sz w:val="20"/>
          <w:szCs w:val="20"/>
          <w:highlight w:val="none"/>
        </w:rPr>
      </w:pPr>
      <w:bookmarkStart w:id="2154" w:name="_Ref467378840"/>
      <w:r>
        <w:rPr>
          <w:rFonts w:hint="eastAsia" w:ascii="微软雅黑" w:hAnsi="微软雅黑" w:eastAsia="微软雅黑" w:cs="微软雅黑"/>
          <w:color w:val="auto"/>
          <w:sz w:val="20"/>
          <w:szCs w:val="20"/>
          <w:highlight w:val="none"/>
        </w:rPr>
        <w:t>2.1.4 “甲方”系指与中标供应商签署合同的采购人</w:t>
      </w:r>
      <w:bookmarkEnd w:id="2154"/>
      <w:r>
        <w:rPr>
          <w:rFonts w:hint="eastAsia" w:ascii="微软雅黑" w:hAnsi="微软雅黑" w:eastAsia="微软雅黑" w:cs="微软雅黑"/>
          <w:color w:val="auto"/>
          <w:sz w:val="20"/>
          <w:szCs w:val="20"/>
          <w:highlight w:val="none"/>
        </w:rPr>
        <w:t>；采购人委托采购代理机构代表其与乙方签订合同的，采购人的授权委托书作为合同附件。</w:t>
      </w:r>
    </w:p>
    <w:p w14:paraId="002A1F22">
      <w:pPr>
        <w:shd w:val="clear"/>
        <w:spacing w:line="360" w:lineRule="exact"/>
        <w:ind w:firstLine="400" w:firstLineChars="200"/>
        <w:outlineLvl w:val="9"/>
        <w:rPr>
          <w:rFonts w:hint="eastAsia" w:ascii="微软雅黑" w:hAnsi="微软雅黑" w:eastAsia="微软雅黑" w:cs="微软雅黑"/>
          <w:color w:val="auto"/>
          <w:sz w:val="20"/>
          <w:szCs w:val="20"/>
          <w:highlight w:val="none"/>
        </w:rPr>
      </w:pPr>
      <w:bookmarkStart w:id="2155" w:name="_Ref467379400"/>
      <w:r>
        <w:rPr>
          <w:rFonts w:hint="eastAsia" w:ascii="微软雅黑" w:hAnsi="微软雅黑" w:eastAsia="微软雅黑" w:cs="微软雅黑"/>
          <w:color w:val="auto"/>
          <w:sz w:val="20"/>
          <w:szCs w:val="20"/>
          <w:highlight w:val="none"/>
        </w:rPr>
        <w:t>2.1.5 “乙方”系指根据合同约定交付货物的中标供应商</w:t>
      </w:r>
      <w:bookmarkEnd w:id="2155"/>
      <w:r>
        <w:rPr>
          <w:rFonts w:hint="eastAsia" w:ascii="微软雅黑" w:hAnsi="微软雅黑" w:eastAsia="微软雅黑" w:cs="微软雅黑"/>
          <w:color w:val="auto"/>
          <w:sz w:val="20"/>
          <w:szCs w:val="20"/>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697D0BA9">
      <w:pPr>
        <w:shd w:val="clear"/>
        <w:spacing w:line="360" w:lineRule="exact"/>
        <w:ind w:firstLine="400" w:firstLineChars="200"/>
        <w:outlineLvl w:val="9"/>
        <w:rPr>
          <w:rFonts w:hint="eastAsia" w:ascii="微软雅黑" w:hAnsi="微软雅黑" w:eastAsia="微软雅黑" w:cs="微软雅黑"/>
          <w:color w:val="auto"/>
          <w:sz w:val="20"/>
          <w:szCs w:val="20"/>
          <w:highlight w:val="none"/>
        </w:rPr>
      </w:pPr>
      <w:bookmarkStart w:id="2156" w:name="_Ref467379436"/>
      <w:r>
        <w:rPr>
          <w:rFonts w:hint="eastAsia" w:ascii="微软雅黑" w:hAnsi="微软雅黑" w:eastAsia="微软雅黑" w:cs="微软雅黑"/>
          <w:color w:val="auto"/>
          <w:sz w:val="20"/>
          <w:szCs w:val="20"/>
          <w:highlight w:val="none"/>
        </w:rPr>
        <w:t>2.1.6 “现场”系指合同约定货物将要运至或者安装的地点。</w:t>
      </w:r>
      <w:bookmarkEnd w:id="2156"/>
    </w:p>
    <w:p w14:paraId="2EA87796">
      <w:pPr>
        <w:shd w:val="clear"/>
        <w:spacing w:line="360" w:lineRule="exact"/>
        <w:ind w:firstLine="400" w:firstLineChars="200"/>
        <w:outlineLvl w:val="9"/>
        <w:rPr>
          <w:rFonts w:hint="eastAsia" w:ascii="微软雅黑" w:hAnsi="微软雅黑" w:eastAsia="微软雅黑" w:cs="微软雅黑"/>
          <w:b/>
          <w:color w:val="auto"/>
          <w:sz w:val="20"/>
          <w:szCs w:val="20"/>
          <w:highlight w:val="none"/>
        </w:rPr>
      </w:pPr>
      <w:bookmarkStart w:id="2157" w:name="_Toc22122"/>
      <w:bookmarkStart w:id="2158" w:name="_Toc13511"/>
      <w:bookmarkStart w:id="2159" w:name="_Toc25266"/>
      <w:bookmarkStart w:id="2160" w:name="_Toc259093670"/>
      <w:bookmarkStart w:id="2161" w:name="_Toc15174"/>
      <w:bookmarkStart w:id="2162" w:name="_Toc16045"/>
      <w:bookmarkStart w:id="2163" w:name="_Toc1183"/>
      <w:bookmarkStart w:id="2164" w:name="_Toc15321"/>
      <w:bookmarkStart w:id="2165" w:name="_Toc829"/>
      <w:bookmarkStart w:id="2166" w:name="_Toc1221"/>
      <w:bookmarkStart w:id="2167" w:name="_Toc21145"/>
      <w:bookmarkStart w:id="2168" w:name="_Toc22630"/>
      <w:bookmarkStart w:id="2169" w:name="_Toc6897"/>
      <w:bookmarkStart w:id="2170" w:name="_Toc24448"/>
      <w:bookmarkStart w:id="2171" w:name="_Toc10855"/>
      <w:bookmarkStart w:id="2172" w:name="_Toc22104"/>
      <w:bookmarkStart w:id="2173" w:name="_Toc7130"/>
      <w:bookmarkStart w:id="2174" w:name="_Toc15848"/>
      <w:bookmarkStart w:id="2175" w:name="_Toc16564"/>
      <w:bookmarkStart w:id="2176" w:name="_Toc279701241"/>
      <w:bookmarkStart w:id="2177" w:name="_Toc3949"/>
      <w:bookmarkStart w:id="2178" w:name="_Toc24523"/>
      <w:bookmarkStart w:id="2179" w:name="_Toc23633"/>
      <w:bookmarkStart w:id="2180" w:name="_Toc7416"/>
      <w:bookmarkStart w:id="2181" w:name="_Toc487900350"/>
      <w:bookmarkStart w:id="2182" w:name="_Toc29311"/>
      <w:bookmarkStart w:id="2183" w:name="_Toc11142"/>
      <w:bookmarkStart w:id="2184" w:name="_Toc13336"/>
      <w:bookmarkStart w:id="2185" w:name="_Toc20726"/>
      <w:bookmarkStart w:id="2186" w:name="_Toc1352"/>
      <w:bookmarkStart w:id="2187" w:name="_Toc30515"/>
      <w:bookmarkStart w:id="2188" w:name="_Toc5592"/>
      <w:bookmarkStart w:id="2189" w:name="_Toc20046"/>
      <w:bookmarkStart w:id="2190" w:name="_Toc8315"/>
      <w:bookmarkStart w:id="2191" w:name="_Toc17151"/>
      <w:bookmarkStart w:id="2192" w:name="_Toc18849"/>
      <w:bookmarkStart w:id="2193" w:name="_Toc24792"/>
      <w:bookmarkStart w:id="2194" w:name="_Toc24205"/>
      <w:bookmarkStart w:id="2195" w:name="_Toc4183"/>
      <w:bookmarkStart w:id="2196" w:name="_Toc32504"/>
      <w:bookmarkStart w:id="2197" w:name="_Toc10183"/>
      <w:bookmarkStart w:id="2198" w:name="_Toc19439"/>
      <w:bookmarkStart w:id="2199" w:name="_Toc23689"/>
      <w:bookmarkStart w:id="2200" w:name="_Toc27635"/>
      <w:bookmarkStart w:id="2201" w:name="_Toc1447"/>
      <w:r>
        <w:rPr>
          <w:rFonts w:hint="eastAsia" w:ascii="微软雅黑" w:hAnsi="微软雅黑" w:eastAsia="微软雅黑" w:cs="微软雅黑"/>
          <w:b/>
          <w:color w:val="auto"/>
          <w:sz w:val="20"/>
          <w:szCs w:val="20"/>
          <w:highlight w:val="none"/>
        </w:rPr>
        <w:t>2.2 技术规范</w:t>
      </w:r>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p>
    <w:p w14:paraId="1B7632AA">
      <w:pPr>
        <w:shd w:val="clear"/>
        <w:spacing w:line="360" w:lineRule="exact"/>
        <w:ind w:firstLine="400" w:firstLineChars="200"/>
        <w:outlineLvl w:val="9"/>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7D96907E">
      <w:pPr>
        <w:shd w:val="clear"/>
        <w:spacing w:line="360" w:lineRule="exact"/>
        <w:ind w:firstLine="400" w:firstLineChars="200"/>
        <w:outlineLvl w:val="9"/>
        <w:rPr>
          <w:rFonts w:hint="eastAsia" w:ascii="微软雅黑" w:hAnsi="微软雅黑" w:eastAsia="微软雅黑" w:cs="微软雅黑"/>
          <w:b/>
          <w:color w:val="auto"/>
          <w:sz w:val="20"/>
          <w:szCs w:val="20"/>
          <w:highlight w:val="none"/>
        </w:rPr>
      </w:pPr>
      <w:bookmarkStart w:id="2202" w:name="_Toc4029"/>
      <w:bookmarkStart w:id="2203" w:name="_Toc8172"/>
      <w:bookmarkStart w:id="2204" w:name="_Toc14993"/>
      <w:bookmarkStart w:id="2205" w:name="_Toc6121"/>
      <w:bookmarkStart w:id="2206" w:name="_Toc9829"/>
      <w:bookmarkStart w:id="2207" w:name="_Toc16067"/>
      <w:bookmarkStart w:id="2208" w:name="_Toc5708"/>
      <w:bookmarkStart w:id="2209" w:name="_Toc487900351"/>
      <w:bookmarkStart w:id="2210" w:name="_Toc259093671"/>
      <w:bookmarkStart w:id="2211" w:name="_Toc30552"/>
      <w:bookmarkStart w:id="2212" w:name="_Toc23687"/>
      <w:bookmarkStart w:id="2213" w:name="_Toc30287"/>
      <w:bookmarkStart w:id="2214" w:name="_Toc16008"/>
      <w:bookmarkStart w:id="2215" w:name="_Toc4916"/>
      <w:bookmarkStart w:id="2216" w:name="_Toc23791"/>
      <w:bookmarkStart w:id="2217" w:name="_Toc16721"/>
      <w:bookmarkStart w:id="2218" w:name="_Toc22280"/>
      <w:bookmarkStart w:id="2219" w:name="_Toc24940"/>
      <w:bookmarkStart w:id="2220" w:name="_Toc975"/>
      <w:bookmarkStart w:id="2221" w:name="_Toc3854"/>
      <w:bookmarkStart w:id="2222" w:name="_Toc10474"/>
      <w:bookmarkStart w:id="2223" w:name="_Toc30700"/>
      <w:bookmarkStart w:id="2224" w:name="_Toc19084"/>
      <w:bookmarkStart w:id="2225" w:name="_Toc15733"/>
      <w:bookmarkStart w:id="2226" w:name="_Toc27853"/>
      <w:bookmarkStart w:id="2227" w:name="_Toc16609"/>
      <w:bookmarkStart w:id="2228" w:name="_Toc20615"/>
      <w:bookmarkStart w:id="2229" w:name="_Toc24537"/>
      <w:bookmarkStart w:id="2230" w:name="_Toc14978"/>
      <w:bookmarkStart w:id="2231" w:name="_Toc14437"/>
      <w:bookmarkStart w:id="2232" w:name="_Toc7722"/>
      <w:bookmarkStart w:id="2233" w:name="_Toc28070"/>
      <w:bookmarkStart w:id="2234" w:name="_Toc14632"/>
      <w:bookmarkStart w:id="2235" w:name="_Toc31634"/>
      <w:bookmarkStart w:id="2236" w:name="_Toc27983"/>
      <w:bookmarkStart w:id="2237" w:name="_Toc32048"/>
      <w:bookmarkStart w:id="2238" w:name="_Toc10732"/>
      <w:bookmarkStart w:id="2239" w:name="_Toc24568"/>
      <w:bookmarkStart w:id="2240" w:name="_Toc6581"/>
      <w:bookmarkStart w:id="2241" w:name="_Toc25750"/>
      <w:bookmarkStart w:id="2242" w:name="_Toc30527"/>
      <w:bookmarkStart w:id="2243" w:name="_Toc279701242"/>
      <w:bookmarkStart w:id="2244" w:name="_Toc23649"/>
      <w:bookmarkStart w:id="2245" w:name="_Toc20130"/>
      <w:bookmarkStart w:id="2246" w:name="_Toc994"/>
      <w:r>
        <w:rPr>
          <w:rFonts w:hint="eastAsia" w:ascii="微软雅黑" w:hAnsi="微软雅黑" w:eastAsia="微软雅黑" w:cs="微软雅黑"/>
          <w:b/>
          <w:color w:val="auto"/>
          <w:sz w:val="20"/>
          <w:szCs w:val="20"/>
          <w:highlight w:val="none"/>
        </w:rPr>
        <w:t>2.3 知识产权</w:t>
      </w:r>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p>
    <w:p w14:paraId="5282AA25">
      <w:pPr>
        <w:shd w:val="clear"/>
        <w:spacing w:line="360" w:lineRule="exact"/>
        <w:ind w:firstLine="400" w:firstLineChars="200"/>
        <w:outlineLvl w:val="9"/>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14:paraId="1DA1473C">
      <w:pPr>
        <w:shd w:val="clear"/>
        <w:spacing w:line="360" w:lineRule="exact"/>
        <w:ind w:firstLine="400" w:firstLineChars="200"/>
        <w:outlineLvl w:val="9"/>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2.3.2具有知识产权的计算机软件等货物的知识产权归属，详见</w:t>
      </w:r>
      <w:r>
        <w:rPr>
          <w:rFonts w:hint="eastAsia" w:ascii="微软雅黑" w:hAnsi="微软雅黑" w:eastAsia="微软雅黑" w:cs="微软雅黑"/>
          <w:b/>
          <w:i/>
          <w:color w:val="auto"/>
          <w:sz w:val="20"/>
          <w:szCs w:val="20"/>
          <w:highlight w:val="none"/>
          <w:u w:val="single"/>
        </w:rPr>
        <w:t>合同专用条款</w:t>
      </w:r>
      <w:r>
        <w:rPr>
          <w:rFonts w:hint="eastAsia" w:ascii="微软雅黑" w:hAnsi="微软雅黑" w:eastAsia="微软雅黑" w:cs="微软雅黑"/>
          <w:color w:val="auto"/>
          <w:sz w:val="20"/>
          <w:szCs w:val="20"/>
          <w:highlight w:val="none"/>
        </w:rPr>
        <w:t>。</w:t>
      </w:r>
    </w:p>
    <w:p w14:paraId="0D72F158">
      <w:pPr>
        <w:shd w:val="clear"/>
        <w:spacing w:line="360" w:lineRule="exact"/>
        <w:ind w:firstLine="400" w:firstLineChars="200"/>
        <w:outlineLvl w:val="9"/>
        <w:rPr>
          <w:rFonts w:hint="eastAsia" w:ascii="微软雅黑" w:hAnsi="微软雅黑" w:eastAsia="微软雅黑" w:cs="微软雅黑"/>
          <w:b/>
          <w:color w:val="auto"/>
          <w:sz w:val="20"/>
          <w:szCs w:val="20"/>
          <w:highlight w:val="none"/>
        </w:rPr>
      </w:pPr>
      <w:bookmarkStart w:id="2247" w:name="_Toc16949"/>
      <w:bookmarkStart w:id="2248" w:name="_Toc20620"/>
      <w:bookmarkStart w:id="2249" w:name="_Toc31163"/>
      <w:bookmarkStart w:id="2250" w:name="_Toc19638"/>
      <w:bookmarkStart w:id="2251" w:name="_Toc391"/>
      <w:bookmarkStart w:id="2252" w:name="_Toc28714"/>
      <w:bookmarkStart w:id="2253" w:name="_Toc3486"/>
      <w:bookmarkStart w:id="2254" w:name="_Toc5819"/>
      <w:bookmarkStart w:id="2255" w:name="_Toc26731"/>
      <w:bookmarkStart w:id="2256" w:name="_Toc21761"/>
      <w:bookmarkStart w:id="2257" w:name="_Toc17680"/>
      <w:bookmarkStart w:id="2258" w:name="_Toc8260"/>
      <w:bookmarkStart w:id="2259" w:name="_Toc28684"/>
      <w:bookmarkStart w:id="2260" w:name="_Toc25460"/>
      <w:bookmarkStart w:id="2261" w:name="_Toc3525"/>
      <w:bookmarkStart w:id="2262" w:name="_Toc25767"/>
      <w:bookmarkStart w:id="2263" w:name="_Toc29149"/>
      <w:bookmarkStart w:id="2264" w:name="_Toc64"/>
      <w:bookmarkStart w:id="2265" w:name="_Toc11241"/>
      <w:bookmarkStart w:id="2266" w:name="_Toc17080"/>
      <w:bookmarkStart w:id="2267" w:name="_Toc23105"/>
      <w:bookmarkStart w:id="2268" w:name="_Toc3025"/>
      <w:bookmarkStart w:id="2269" w:name="_Toc20934"/>
      <w:bookmarkStart w:id="2270" w:name="_Toc30621"/>
      <w:bookmarkStart w:id="2271" w:name="_Toc10970"/>
      <w:bookmarkStart w:id="2272" w:name="_Toc11932"/>
      <w:bookmarkStart w:id="2273" w:name="_Toc18554"/>
      <w:bookmarkStart w:id="2274" w:name="_Toc10546"/>
      <w:bookmarkStart w:id="2275" w:name="_Toc7492"/>
      <w:bookmarkStart w:id="2276" w:name="_Toc7771"/>
      <w:bookmarkStart w:id="2277" w:name="_Toc7613"/>
      <w:bookmarkStart w:id="2278" w:name="_Toc8425"/>
      <w:bookmarkStart w:id="2279" w:name="_Toc16163"/>
      <w:bookmarkStart w:id="2280" w:name="_Toc17661"/>
      <w:bookmarkStart w:id="2281" w:name="_Toc6781"/>
      <w:bookmarkStart w:id="2282" w:name="_Toc12219"/>
      <w:bookmarkStart w:id="2283" w:name="_Toc12105"/>
      <w:bookmarkStart w:id="2284" w:name="_Toc32702"/>
      <w:bookmarkStart w:id="2285" w:name="_Toc5395"/>
      <w:bookmarkStart w:id="2286" w:name="_Toc4194"/>
      <w:bookmarkStart w:id="2287" w:name="_Toc20378"/>
      <w:bookmarkStart w:id="2288" w:name="_Toc9470"/>
      <w:r>
        <w:rPr>
          <w:rFonts w:hint="eastAsia" w:ascii="微软雅黑" w:hAnsi="微软雅黑" w:eastAsia="微软雅黑" w:cs="微软雅黑"/>
          <w:b/>
          <w:color w:val="auto"/>
          <w:sz w:val="20"/>
          <w:szCs w:val="20"/>
          <w:highlight w:val="none"/>
        </w:rPr>
        <w:t>2.4 包装和装运</w:t>
      </w:r>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p>
    <w:p w14:paraId="12549460">
      <w:pPr>
        <w:shd w:val="clear"/>
        <w:spacing w:line="360" w:lineRule="exact"/>
        <w:ind w:firstLine="400" w:firstLineChars="200"/>
        <w:outlineLvl w:val="9"/>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2.4.1除</w:t>
      </w:r>
      <w:r>
        <w:rPr>
          <w:rFonts w:hint="eastAsia" w:ascii="微软雅黑" w:hAnsi="微软雅黑" w:eastAsia="微软雅黑" w:cs="微软雅黑"/>
          <w:b/>
          <w:i/>
          <w:color w:val="auto"/>
          <w:sz w:val="20"/>
          <w:szCs w:val="20"/>
          <w:highlight w:val="none"/>
          <w:u w:val="single"/>
        </w:rPr>
        <w:t>合同专用条款</w:t>
      </w:r>
      <w:r>
        <w:rPr>
          <w:rFonts w:hint="eastAsia" w:ascii="微软雅黑" w:hAnsi="微软雅黑" w:eastAsia="微软雅黑" w:cs="微软雅黑"/>
          <w:color w:val="auto"/>
          <w:sz w:val="20"/>
          <w:szCs w:val="20"/>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47D688B5">
      <w:pPr>
        <w:shd w:val="clear"/>
        <w:spacing w:line="360" w:lineRule="exact"/>
        <w:ind w:firstLine="400" w:firstLineChars="200"/>
        <w:outlineLvl w:val="9"/>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2.4.2 装运货物的要求和通知，详见</w:t>
      </w:r>
      <w:r>
        <w:rPr>
          <w:rFonts w:hint="eastAsia" w:ascii="微软雅黑" w:hAnsi="微软雅黑" w:eastAsia="微软雅黑" w:cs="微软雅黑"/>
          <w:b/>
          <w:i/>
          <w:color w:val="auto"/>
          <w:sz w:val="20"/>
          <w:szCs w:val="20"/>
          <w:highlight w:val="none"/>
          <w:u w:val="single"/>
        </w:rPr>
        <w:t>合同专用条款</w:t>
      </w:r>
      <w:r>
        <w:rPr>
          <w:rFonts w:hint="eastAsia" w:ascii="微软雅黑" w:hAnsi="微软雅黑" w:eastAsia="微软雅黑" w:cs="微软雅黑"/>
          <w:color w:val="auto"/>
          <w:sz w:val="20"/>
          <w:szCs w:val="20"/>
          <w:highlight w:val="none"/>
        </w:rPr>
        <w:t>。</w:t>
      </w:r>
    </w:p>
    <w:p w14:paraId="75C68A04">
      <w:pPr>
        <w:shd w:val="clear"/>
        <w:spacing w:line="360" w:lineRule="exact"/>
        <w:ind w:firstLine="400" w:firstLineChars="200"/>
        <w:outlineLvl w:val="9"/>
        <w:rPr>
          <w:rFonts w:hint="eastAsia" w:ascii="微软雅黑" w:hAnsi="微软雅黑" w:eastAsia="微软雅黑" w:cs="微软雅黑"/>
          <w:b/>
          <w:color w:val="auto"/>
          <w:sz w:val="20"/>
          <w:szCs w:val="20"/>
          <w:highlight w:val="none"/>
        </w:rPr>
      </w:pPr>
      <w:bookmarkStart w:id="2289" w:name="_Toc279701245"/>
      <w:bookmarkStart w:id="2290" w:name="_Ref467378541"/>
      <w:bookmarkStart w:id="2291" w:name="_Ref467379542"/>
      <w:bookmarkStart w:id="2292" w:name="_Toc259093674"/>
      <w:bookmarkStart w:id="2293" w:name="_Ref467378591"/>
      <w:bookmarkStart w:id="2294" w:name="_Toc487900354"/>
      <w:bookmarkStart w:id="2295" w:name="_Ref467379527"/>
      <w:bookmarkStart w:id="2296" w:name="_Ref467379536"/>
      <w:bookmarkStart w:id="2297" w:name="_Toc3427"/>
      <w:bookmarkStart w:id="2298" w:name="_Toc13671"/>
      <w:bookmarkStart w:id="2299" w:name="_Toc26182"/>
      <w:bookmarkStart w:id="2300" w:name="_Toc19536"/>
      <w:bookmarkStart w:id="2301" w:name="_Toc21198"/>
      <w:bookmarkStart w:id="2302" w:name="_Toc30516"/>
      <w:bookmarkStart w:id="2303" w:name="_Toc25149"/>
      <w:bookmarkStart w:id="2304" w:name="_Toc19074"/>
      <w:bookmarkStart w:id="2305" w:name="_Toc31400"/>
      <w:bookmarkStart w:id="2306" w:name="_Toc7292"/>
      <w:bookmarkStart w:id="2307" w:name="_Toc5927"/>
      <w:bookmarkStart w:id="2308" w:name="_Toc21410"/>
      <w:bookmarkStart w:id="2309" w:name="_Toc27540"/>
      <w:bookmarkStart w:id="2310" w:name="_Toc13458"/>
      <w:bookmarkStart w:id="2311" w:name="_Toc18515"/>
      <w:bookmarkStart w:id="2312" w:name="_Toc28937"/>
      <w:bookmarkStart w:id="2313" w:name="_Toc22734"/>
      <w:bookmarkStart w:id="2314" w:name="_Toc12428"/>
      <w:bookmarkStart w:id="2315" w:name="_Toc6692"/>
      <w:bookmarkStart w:id="2316" w:name="_Toc28324"/>
      <w:bookmarkStart w:id="2317" w:name="_Toc7291"/>
      <w:bookmarkStart w:id="2318" w:name="_Toc18162"/>
      <w:bookmarkStart w:id="2319" w:name="_Toc15512"/>
      <w:bookmarkStart w:id="2320" w:name="_Toc30272"/>
      <w:bookmarkStart w:id="2321" w:name="_Toc14904"/>
      <w:bookmarkStart w:id="2322" w:name="_Toc1336"/>
      <w:bookmarkStart w:id="2323" w:name="_Toc28303"/>
      <w:bookmarkStart w:id="2324" w:name="_Toc15035"/>
      <w:bookmarkStart w:id="2325" w:name="_Toc2815"/>
      <w:bookmarkStart w:id="2326" w:name="_Toc17346"/>
      <w:bookmarkStart w:id="2327" w:name="_Toc3224"/>
      <w:bookmarkStart w:id="2328" w:name="_Toc24299"/>
      <w:bookmarkStart w:id="2329" w:name="_Toc18834"/>
      <w:bookmarkStart w:id="2330" w:name="_Toc4831"/>
      <w:bookmarkStart w:id="2331" w:name="_Toc24935"/>
      <w:bookmarkStart w:id="2332" w:name="_Toc17028"/>
      <w:bookmarkStart w:id="2333" w:name="_Toc7299"/>
      <w:bookmarkStart w:id="2334" w:name="_Toc2628"/>
      <w:bookmarkStart w:id="2335" w:name="_Toc18307"/>
      <w:bookmarkStart w:id="2336" w:name="_Toc8711"/>
      <w:bookmarkStart w:id="2337" w:name="_Toc22648"/>
      <w:r>
        <w:rPr>
          <w:rFonts w:hint="eastAsia" w:ascii="微软雅黑" w:hAnsi="微软雅黑" w:eastAsia="微软雅黑" w:cs="微软雅黑"/>
          <w:b/>
          <w:color w:val="auto"/>
          <w:sz w:val="20"/>
          <w:szCs w:val="20"/>
          <w:highlight w:val="none"/>
        </w:rPr>
        <w:t>2.</w:t>
      </w:r>
      <w:bookmarkEnd w:id="2289"/>
      <w:bookmarkEnd w:id="2290"/>
      <w:bookmarkEnd w:id="2291"/>
      <w:bookmarkEnd w:id="2292"/>
      <w:bookmarkEnd w:id="2293"/>
      <w:bookmarkEnd w:id="2294"/>
      <w:bookmarkEnd w:id="2295"/>
      <w:bookmarkEnd w:id="2296"/>
      <w:r>
        <w:rPr>
          <w:rFonts w:hint="eastAsia" w:ascii="微软雅黑" w:hAnsi="微软雅黑" w:eastAsia="微软雅黑" w:cs="微软雅黑"/>
          <w:b/>
          <w:color w:val="auto"/>
          <w:sz w:val="20"/>
          <w:szCs w:val="20"/>
          <w:highlight w:val="none"/>
        </w:rPr>
        <w:t>5 履约检查和问题反馈</w:t>
      </w:r>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p>
    <w:p w14:paraId="5E1DC24C">
      <w:pPr>
        <w:shd w:val="clear"/>
        <w:spacing w:line="360" w:lineRule="exact"/>
        <w:ind w:firstLine="400" w:firstLineChars="200"/>
        <w:outlineLvl w:val="9"/>
        <w:rPr>
          <w:rFonts w:hint="eastAsia" w:ascii="微软雅黑" w:hAnsi="微软雅黑" w:eastAsia="微软雅黑" w:cs="微软雅黑"/>
          <w:color w:val="auto"/>
          <w:sz w:val="20"/>
          <w:szCs w:val="20"/>
          <w:highlight w:val="none"/>
        </w:rPr>
      </w:pPr>
      <w:bookmarkStart w:id="2338" w:name="_Ref467379657"/>
      <w:r>
        <w:rPr>
          <w:rFonts w:hint="eastAsia" w:ascii="微软雅黑" w:hAnsi="微软雅黑" w:eastAsia="微软雅黑" w:cs="微软雅黑"/>
          <w:color w:val="auto"/>
          <w:sz w:val="20"/>
          <w:szCs w:val="20"/>
          <w:highlight w:val="none"/>
        </w:rPr>
        <w:t>2.5.1</w:t>
      </w:r>
      <w:bookmarkEnd w:id="2338"/>
      <w:bookmarkStart w:id="2339" w:name="_Toc186431854"/>
      <w:bookmarkStart w:id="2340" w:name="_Toc259093676"/>
      <w:bookmarkStart w:id="2341" w:name="_Toc279701247"/>
      <w:bookmarkStart w:id="2342" w:name="_Ref467379807"/>
      <w:bookmarkStart w:id="2343" w:name="_Toc487900357"/>
      <w:bookmarkStart w:id="2344" w:name="_Ref467379793"/>
      <w:r>
        <w:rPr>
          <w:rFonts w:hint="eastAsia" w:ascii="微软雅黑" w:hAnsi="微软雅黑" w:eastAsia="微软雅黑" w:cs="微软雅黑"/>
          <w:color w:val="auto"/>
          <w:sz w:val="20"/>
          <w:szCs w:val="20"/>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14:paraId="165752C5">
      <w:pPr>
        <w:shd w:val="clear"/>
        <w:spacing w:line="360" w:lineRule="exact"/>
        <w:ind w:firstLine="400" w:firstLineChars="200"/>
        <w:outlineLvl w:val="9"/>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2.5.2 合同履行期间，甲方有权将履行过程中出现的问题反馈给乙方，双方当事人应以书面形式约定需要完善和改进的内容</w:t>
      </w:r>
      <w:bookmarkEnd w:id="2339"/>
      <w:bookmarkStart w:id="2345" w:name="_Toc186431855"/>
      <w:r>
        <w:rPr>
          <w:rFonts w:hint="eastAsia" w:ascii="微软雅黑" w:hAnsi="微软雅黑" w:eastAsia="微软雅黑" w:cs="微软雅黑"/>
          <w:color w:val="auto"/>
          <w:sz w:val="20"/>
          <w:szCs w:val="20"/>
          <w:highlight w:val="none"/>
        </w:rPr>
        <w:t>。</w:t>
      </w:r>
    </w:p>
    <w:bookmarkEnd w:id="2345"/>
    <w:p w14:paraId="305F28F7">
      <w:pPr>
        <w:shd w:val="clear"/>
        <w:spacing w:line="360" w:lineRule="exact"/>
        <w:ind w:firstLine="400" w:firstLineChars="200"/>
        <w:outlineLvl w:val="9"/>
        <w:rPr>
          <w:rFonts w:hint="eastAsia" w:ascii="微软雅黑" w:hAnsi="微软雅黑" w:eastAsia="微软雅黑" w:cs="微软雅黑"/>
          <w:b/>
          <w:color w:val="auto"/>
          <w:sz w:val="20"/>
          <w:szCs w:val="20"/>
          <w:highlight w:val="none"/>
        </w:rPr>
      </w:pPr>
      <w:bookmarkStart w:id="2346" w:name="_Toc9092"/>
      <w:bookmarkStart w:id="2347" w:name="_Toc10980"/>
      <w:bookmarkStart w:id="2348" w:name="_Toc30345"/>
      <w:bookmarkStart w:id="2349" w:name="_Toc5304"/>
      <w:bookmarkStart w:id="2350" w:name="_Toc32592"/>
      <w:bookmarkStart w:id="2351" w:name="_Toc17283"/>
      <w:bookmarkStart w:id="2352" w:name="_Toc23261"/>
      <w:bookmarkStart w:id="2353" w:name="_Toc26298"/>
      <w:bookmarkStart w:id="2354" w:name="_Toc567"/>
      <w:bookmarkStart w:id="2355" w:name="_Toc22074"/>
      <w:bookmarkStart w:id="2356" w:name="_Toc12377"/>
      <w:bookmarkStart w:id="2357" w:name="_Toc2067"/>
      <w:bookmarkStart w:id="2358" w:name="_Toc24376"/>
      <w:bookmarkStart w:id="2359" w:name="_Toc4239"/>
      <w:bookmarkStart w:id="2360" w:name="_Toc234"/>
      <w:bookmarkStart w:id="2361" w:name="_Toc7836"/>
      <w:bookmarkStart w:id="2362" w:name="_Toc9148"/>
      <w:bookmarkStart w:id="2363" w:name="_Toc11270"/>
      <w:bookmarkStart w:id="2364" w:name="_Toc9769"/>
      <w:bookmarkStart w:id="2365" w:name="_Toc25745"/>
      <w:bookmarkStart w:id="2366" w:name="_Toc23553"/>
      <w:bookmarkStart w:id="2367" w:name="_Toc31520"/>
      <w:bookmarkStart w:id="2368" w:name="_Toc12972"/>
      <w:bookmarkStart w:id="2369" w:name="_Toc19219"/>
      <w:bookmarkStart w:id="2370" w:name="_Toc10916"/>
      <w:bookmarkStart w:id="2371" w:name="_Toc582"/>
      <w:bookmarkStart w:id="2372" w:name="_Toc31711"/>
      <w:bookmarkStart w:id="2373" w:name="_Toc23408"/>
      <w:bookmarkStart w:id="2374" w:name="_Toc26232"/>
      <w:bookmarkStart w:id="2375" w:name="_Toc8304"/>
      <w:bookmarkStart w:id="2376" w:name="_Toc31014"/>
      <w:bookmarkStart w:id="2377" w:name="_Toc6603"/>
      <w:bookmarkStart w:id="2378" w:name="_Toc11522"/>
      <w:bookmarkStart w:id="2379" w:name="_Toc7169"/>
      <w:bookmarkStart w:id="2380" w:name="_Toc31002"/>
      <w:bookmarkStart w:id="2381" w:name="_Toc25739"/>
      <w:bookmarkStart w:id="2382" w:name="_Toc25227"/>
      <w:bookmarkStart w:id="2383" w:name="_Toc14039"/>
      <w:bookmarkStart w:id="2384" w:name="_Toc12360"/>
      <w:bookmarkStart w:id="2385" w:name="_Toc24251"/>
      <w:r>
        <w:rPr>
          <w:rFonts w:hint="eastAsia" w:ascii="微软雅黑" w:hAnsi="微软雅黑" w:eastAsia="微软雅黑" w:cs="微软雅黑"/>
          <w:b/>
          <w:color w:val="auto"/>
          <w:sz w:val="20"/>
          <w:szCs w:val="20"/>
          <w:highlight w:val="none"/>
        </w:rPr>
        <w:t>2.6 结算方式和付款条件</w:t>
      </w:r>
      <w:bookmarkEnd w:id="2340"/>
      <w:bookmarkEnd w:id="2341"/>
      <w:bookmarkEnd w:id="2342"/>
      <w:bookmarkEnd w:id="2343"/>
      <w:bookmarkEnd w:id="2344"/>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p>
    <w:p w14:paraId="36527785">
      <w:pPr>
        <w:shd w:val="clear"/>
        <w:spacing w:line="360" w:lineRule="exact"/>
        <w:ind w:firstLine="400" w:firstLineChars="200"/>
        <w:outlineLvl w:val="9"/>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详见</w:t>
      </w:r>
      <w:r>
        <w:rPr>
          <w:rFonts w:hint="eastAsia" w:ascii="微软雅黑" w:hAnsi="微软雅黑" w:eastAsia="微软雅黑" w:cs="微软雅黑"/>
          <w:b/>
          <w:i/>
          <w:color w:val="auto"/>
          <w:sz w:val="20"/>
          <w:szCs w:val="20"/>
          <w:highlight w:val="none"/>
          <w:u w:val="single"/>
        </w:rPr>
        <w:t>合同专用条款</w:t>
      </w:r>
      <w:r>
        <w:rPr>
          <w:rFonts w:hint="eastAsia" w:ascii="微软雅黑" w:hAnsi="微软雅黑" w:eastAsia="微软雅黑" w:cs="微软雅黑"/>
          <w:color w:val="auto"/>
          <w:sz w:val="20"/>
          <w:szCs w:val="20"/>
          <w:highlight w:val="none"/>
        </w:rPr>
        <w:t>。</w:t>
      </w:r>
    </w:p>
    <w:p w14:paraId="3B79F19C">
      <w:pPr>
        <w:shd w:val="clear"/>
        <w:spacing w:line="360" w:lineRule="exact"/>
        <w:ind w:firstLine="400" w:firstLineChars="200"/>
        <w:outlineLvl w:val="9"/>
        <w:rPr>
          <w:rFonts w:hint="eastAsia" w:ascii="微软雅黑" w:hAnsi="微软雅黑" w:eastAsia="微软雅黑" w:cs="微软雅黑"/>
          <w:b/>
          <w:color w:val="auto"/>
          <w:sz w:val="20"/>
          <w:szCs w:val="20"/>
          <w:highlight w:val="none"/>
        </w:rPr>
      </w:pPr>
      <w:bookmarkStart w:id="2386" w:name="_Toc487900358"/>
      <w:bookmarkStart w:id="2387" w:name="_Ref467379923"/>
      <w:bookmarkStart w:id="2388" w:name="_Toc279701248"/>
      <w:bookmarkStart w:id="2389" w:name="_Ref467379852"/>
      <w:bookmarkStart w:id="2390" w:name="_Ref467379863"/>
      <w:bookmarkStart w:id="2391" w:name="_Toc259093677"/>
      <w:bookmarkStart w:id="2392" w:name="_Toc9845"/>
      <w:bookmarkStart w:id="2393" w:name="_Toc29885"/>
      <w:bookmarkStart w:id="2394" w:name="_Toc17630"/>
      <w:bookmarkStart w:id="2395" w:name="_Toc22305"/>
      <w:bookmarkStart w:id="2396" w:name="_Toc25085"/>
      <w:bookmarkStart w:id="2397" w:name="_Toc1200"/>
      <w:bookmarkStart w:id="2398" w:name="_Toc6537"/>
      <w:bookmarkStart w:id="2399" w:name="_Toc2741"/>
      <w:bookmarkStart w:id="2400" w:name="_Toc12169"/>
      <w:bookmarkStart w:id="2401" w:name="_Toc13023"/>
      <w:bookmarkStart w:id="2402" w:name="_Toc25200"/>
      <w:bookmarkStart w:id="2403" w:name="_Toc23436"/>
      <w:bookmarkStart w:id="2404" w:name="_Toc11615"/>
      <w:bookmarkStart w:id="2405" w:name="_Toc26143"/>
      <w:bookmarkStart w:id="2406" w:name="_Toc32573"/>
      <w:bookmarkStart w:id="2407" w:name="_Toc13711"/>
      <w:bookmarkStart w:id="2408" w:name="_Toc5979"/>
      <w:bookmarkStart w:id="2409" w:name="_Toc28673"/>
      <w:bookmarkStart w:id="2410" w:name="_Toc6350"/>
      <w:bookmarkStart w:id="2411" w:name="_Toc29030"/>
      <w:bookmarkStart w:id="2412" w:name="_Toc30137"/>
      <w:bookmarkStart w:id="2413" w:name="_Toc17051"/>
      <w:bookmarkStart w:id="2414" w:name="_Toc17607"/>
      <w:bookmarkStart w:id="2415" w:name="_Toc27514"/>
      <w:bookmarkStart w:id="2416" w:name="_Toc30098"/>
      <w:bookmarkStart w:id="2417" w:name="_Toc11236"/>
      <w:bookmarkStart w:id="2418" w:name="_Toc10114"/>
      <w:bookmarkStart w:id="2419" w:name="_Toc10595"/>
      <w:bookmarkStart w:id="2420" w:name="_Toc31305"/>
      <w:bookmarkStart w:id="2421" w:name="_Toc21848"/>
      <w:bookmarkStart w:id="2422" w:name="_Toc14491"/>
      <w:bookmarkStart w:id="2423" w:name="_Toc3225"/>
      <w:bookmarkStart w:id="2424" w:name="_Toc16110"/>
      <w:bookmarkStart w:id="2425" w:name="_Toc27454"/>
      <w:bookmarkStart w:id="2426" w:name="_Toc31971"/>
      <w:bookmarkStart w:id="2427" w:name="_Toc8995"/>
      <w:bookmarkStart w:id="2428" w:name="_Toc774"/>
      <w:bookmarkStart w:id="2429" w:name="_Toc16251"/>
      <w:bookmarkStart w:id="2430" w:name="_Toc17136"/>
      <w:bookmarkStart w:id="2431" w:name="_Toc28781"/>
      <w:bookmarkStart w:id="2432" w:name="_Toc29616"/>
      <w:bookmarkStart w:id="2433" w:name="_Toc21436"/>
      <w:r>
        <w:rPr>
          <w:rFonts w:hint="eastAsia" w:ascii="微软雅黑" w:hAnsi="微软雅黑" w:eastAsia="微软雅黑" w:cs="微软雅黑"/>
          <w:b/>
          <w:color w:val="auto"/>
          <w:sz w:val="20"/>
          <w:szCs w:val="20"/>
          <w:highlight w:val="none"/>
        </w:rPr>
        <w:t>2.7 技术资料</w:t>
      </w:r>
      <w:bookmarkEnd w:id="2386"/>
      <w:bookmarkEnd w:id="2387"/>
      <w:bookmarkEnd w:id="2388"/>
      <w:bookmarkEnd w:id="2389"/>
      <w:bookmarkEnd w:id="2390"/>
      <w:bookmarkEnd w:id="2391"/>
      <w:r>
        <w:rPr>
          <w:rFonts w:hint="eastAsia" w:ascii="微软雅黑" w:hAnsi="微软雅黑" w:eastAsia="微软雅黑" w:cs="微软雅黑"/>
          <w:b/>
          <w:color w:val="auto"/>
          <w:sz w:val="20"/>
          <w:szCs w:val="20"/>
          <w:highlight w:val="none"/>
        </w:rPr>
        <w:t>和保密义务</w:t>
      </w:r>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p>
    <w:p w14:paraId="7C6F0E3D">
      <w:pPr>
        <w:shd w:val="clear"/>
        <w:spacing w:line="360" w:lineRule="exact"/>
        <w:ind w:firstLine="400" w:firstLineChars="200"/>
        <w:outlineLvl w:val="9"/>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2.7.1 乙方有权依据合同约定和项目需要，向甲方了解有关情况，调阅有关资料等，甲方应予积极配合；</w:t>
      </w:r>
    </w:p>
    <w:p w14:paraId="7449A74C">
      <w:pPr>
        <w:shd w:val="clear"/>
        <w:spacing w:line="360" w:lineRule="exact"/>
        <w:ind w:firstLine="400" w:firstLineChars="200"/>
        <w:outlineLvl w:val="9"/>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2.7.2 乙方有义务妥善保管和保护由甲方提供的前款信息和资料等；</w:t>
      </w:r>
    </w:p>
    <w:p w14:paraId="67A4160A">
      <w:pPr>
        <w:shd w:val="clear"/>
        <w:spacing w:line="360" w:lineRule="exact"/>
        <w:ind w:firstLine="400" w:firstLineChars="200"/>
        <w:outlineLvl w:val="9"/>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2.7.3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5EB012C6">
      <w:pPr>
        <w:shd w:val="clear"/>
        <w:spacing w:line="360" w:lineRule="exact"/>
        <w:ind w:firstLine="400" w:firstLineChars="200"/>
        <w:outlineLvl w:val="9"/>
        <w:rPr>
          <w:rFonts w:hint="eastAsia" w:ascii="微软雅黑" w:hAnsi="微软雅黑" w:eastAsia="微软雅黑" w:cs="微软雅黑"/>
          <w:b/>
          <w:color w:val="auto"/>
          <w:sz w:val="20"/>
          <w:szCs w:val="20"/>
          <w:highlight w:val="none"/>
        </w:rPr>
      </w:pPr>
      <w:bookmarkStart w:id="2434" w:name="_Toc19122"/>
      <w:bookmarkStart w:id="2435" w:name="_Toc7374"/>
      <w:bookmarkStart w:id="2436" w:name="_Toc11530"/>
      <w:bookmarkStart w:id="2437" w:name="_Toc21267"/>
      <w:bookmarkStart w:id="2438" w:name="_Toc30477"/>
      <w:bookmarkStart w:id="2439" w:name="_Toc4606"/>
      <w:bookmarkStart w:id="2440" w:name="_Toc3156"/>
      <w:bookmarkStart w:id="2441" w:name="_Toc24921"/>
      <w:bookmarkStart w:id="2442" w:name="_Toc19865"/>
      <w:bookmarkStart w:id="2443" w:name="_Toc27962"/>
      <w:bookmarkStart w:id="2444" w:name="_Toc8288"/>
      <w:bookmarkStart w:id="2445" w:name="_Toc18551"/>
      <w:bookmarkStart w:id="2446" w:name="_Toc11328"/>
      <w:bookmarkStart w:id="2447" w:name="_Toc30503"/>
      <w:bookmarkStart w:id="2448" w:name="_Toc7328"/>
      <w:bookmarkStart w:id="2449" w:name="_Toc30324"/>
      <w:bookmarkStart w:id="2450" w:name="_Toc27453"/>
      <w:bookmarkStart w:id="2451" w:name="_Toc16190"/>
      <w:bookmarkStart w:id="2452" w:name="_Toc26262"/>
      <w:bookmarkStart w:id="2453" w:name="_Toc53"/>
      <w:bookmarkStart w:id="2454" w:name="_Toc30167"/>
      <w:bookmarkStart w:id="2455" w:name="_Toc25567"/>
      <w:bookmarkStart w:id="2456" w:name="_Toc4587"/>
      <w:bookmarkStart w:id="2457" w:name="_Toc14306"/>
      <w:bookmarkStart w:id="2458" w:name="_Toc5200"/>
      <w:bookmarkStart w:id="2459" w:name="_Toc7676"/>
      <w:bookmarkStart w:id="2460" w:name="_Toc4354"/>
      <w:bookmarkStart w:id="2461" w:name="_Toc8928"/>
      <w:bookmarkStart w:id="2462" w:name="_Toc5477"/>
      <w:bookmarkStart w:id="2463" w:name="_Toc28693"/>
      <w:bookmarkStart w:id="2464" w:name="_Toc899"/>
      <w:bookmarkStart w:id="2465" w:name="_Toc5321"/>
      <w:bookmarkStart w:id="2466" w:name="_Toc10326"/>
      <w:bookmarkStart w:id="2467" w:name="_Toc13981"/>
      <w:bookmarkStart w:id="2468" w:name="_Toc14935"/>
      <w:bookmarkStart w:id="2469" w:name="_Toc18231"/>
      <w:bookmarkStart w:id="2470" w:name="_Toc23498"/>
      <w:bookmarkStart w:id="2471" w:name="_Toc23081"/>
      <w:bookmarkStart w:id="2472" w:name="_Toc7860"/>
      <w:r>
        <w:rPr>
          <w:rFonts w:hint="eastAsia" w:ascii="微软雅黑" w:hAnsi="微软雅黑" w:eastAsia="微软雅黑" w:cs="微软雅黑"/>
          <w:b/>
          <w:color w:val="auto"/>
          <w:sz w:val="20"/>
          <w:szCs w:val="20"/>
          <w:highlight w:val="none"/>
        </w:rPr>
        <w:t>2.8 质量保证</w:t>
      </w:r>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p>
    <w:p w14:paraId="22AE4D6D">
      <w:pPr>
        <w:shd w:val="clear"/>
        <w:spacing w:line="360" w:lineRule="exact"/>
        <w:ind w:firstLine="400" w:firstLineChars="200"/>
        <w:outlineLvl w:val="9"/>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2.8.1 乙方应建立和完善履行合同的内部质量保证体系，并提供相关内部规章制度给甲方，以便甲方进行监督检查；</w:t>
      </w:r>
    </w:p>
    <w:p w14:paraId="02011A02">
      <w:pPr>
        <w:shd w:val="clear"/>
        <w:spacing w:line="360" w:lineRule="exact"/>
        <w:ind w:firstLine="400" w:firstLineChars="200"/>
        <w:outlineLvl w:val="9"/>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2.8.2 乙方应保证履行合同的人员数量和素质、软件和硬件设备的配置、场地、环境和设施等满足全面履行合同的要求，并应接受甲方的监督检查。</w:t>
      </w:r>
    </w:p>
    <w:p w14:paraId="44949C8B">
      <w:pPr>
        <w:shd w:val="clear"/>
        <w:spacing w:line="360" w:lineRule="exact"/>
        <w:ind w:firstLine="400" w:firstLineChars="200"/>
        <w:outlineLvl w:val="9"/>
        <w:rPr>
          <w:rFonts w:hint="eastAsia" w:ascii="微软雅黑" w:hAnsi="微软雅黑" w:eastAsia="微软雅黑" w:cs="微软雅黑"/>
          <w:b/>
          <w:color w:val="auto"/>
          <w:sz w:val="20"/>
          <w:szCs w:val="20"/>
          <w:highlight w:val="none"/>
        </w:rPr>
      </w:pPr>
      <w:bookmarkStart w:id="2473" w:name="_Toc11751"/>
      <w:bookmarkStart w:id="2474" w:name="_Toc18817"/>
      <w:bookmarkStart w:id="2475" w:name="_Toc23172"/>
      <w:bookmarkStart w:id="2476" w:name="_Toc812"/>
      <w:bookmarkStart w:id="2477" w:name="_Toc16615"/>
      <w:bookmarkStart w:id="2478" w:name="_Toc18105"/>
      <w:bookmarkStart w:id="2479" w:name="_Toc31920"/>
      <w:bookmarkStart w:id="2480" w:name="_Toc22330"/>
      <w:bookmarkStart w:id="2481" w:name="_Toc13812"/>
      <w:bookmarkStart w:id="2482" w:name="_Toc14663"/>
      <w:bookmarkStart w:id="2483" w:name="_Toc1223"/>
      <w:bookmarkStart w:id="2484" w:name="_Toc28497"/>
      <w:bookmarkStart w:id="2485" w:name="_Toc27238"/>
      <w:bookmarkStart w:id="2486" w:name="_Toc17497"/>
      <w:bookmarkStart w:id="2487" w:name="_Toc25529"/>
      <w:bookmarkStart w:id="2488" w:name="_Toc17032"/>
      <w:bookmarkStart w:id="2489" w:name="_Toc17030"/>
      <w:bookmarkStart w:id="2490" w:name="_Toc7598"/>
      <w:bookmarkStart w:id="2491" w:name="_Toc14596"/>
      <w:bookmarkStart w:id="2492" w:name="_Toc7046"/>
      <w:bookmarkStart w:id="2493" w:name="_Toc12010"/>
      <w:bookmarkStart w:id="2494" w:name="_Toc31839"/>
      <w:bookmarkStart w:id="2495" w:name="_Toc1637"/>
      <w:bookmarkStart w:id="2496" w:name="_Toc26555"/>
      <w:bookmarkStart w:id="2497" w:name="_Toc22293"/>
      <w:bookmarkStart w:id="2498" w:name="_Toc23417"/>
      <w:bookmarkStart w:id="2499" w:name="_Toc30757"/>
      <w:bookmarkStart w:id="2500" w:name="_Toc17244"/>
      <w:bookmarkStart w:id="2501" w:name="_Toc2473"/>
      <w:bookmarkStart w:id="2502" w:name="_Toc27234"/>
      <w:bookmarkStart w:id="2503" w:name="_Toc19079"/>
      <w:bookmarkStart w:id="2504" w:name="_Toc16901"/>
      <w:bookmarkStart w:id="2505" w:name="_Toc6284"/>
      <w:bookmarkStart w:id="2506" w:name="_Toc22016"/>
      <w:bookmarkStart w:id="2507" w:name="_Toc25549"/>
      <w:bookmarkStart w:id="2508" w:name="_Toc11254"/>
      <w:bookmarkStart w:id="2509" w:name="_Toc9692"/>
      <w:bookmarkStart w:id="2510" w:name="_Toc12966"/>
      <w:bookmarkStart w:id="2511" w:name="_Toc22464"/>
      <w:bookmarkStart w:id="2512" w:name="_Toc259093681"/>
      <w:bookmarkStart w:id="2513" w:name="_Toc487900362"/>
      <w:bookmarkStart w:id="2514" w:name="_Toc279701252"/>
      <w:r>
        <w:rPr>
          <w:rFonts w:hint="eastAsia" w:ascii="微软雅黑" w:hAnsi="微软雅黑" w:eastAsia="微软雅黑" w:cs="微软雅黑"/>
          <w:b/>
          <w:color w:val="auto"/>
          <w:sz w:val="20"/>
          <w:szCs w:val="20"/>
          <w:highlight w:val="none"/>
        </w:rPr>
        <w:t>2.9 货物的风险负担</w:t>
      </w:r>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p>
    <w:p w14:paraId="0579DF91">
      <w:pPr>
        <w:shd w:val="clear"/>
        <w:spacing w:line="360" w:lineRule="exact"/>
        <w:ind w:firstLine="400" w:firstLineChars="200"/>
        <w:outlineLvl w:val="9"/>
        <w:rPr>
          <w:rFonts w:hint="eastAsia" w:ascii="微软雅黑" w:hAnsi="微软雅黑" w:eastAsia="微软雅黑" w:cs="微软雅黑"/>
          <w:b/>
          <w:color w:val="auto"/>
          <w:sz w:val="20"/>
          <w:szCs w:val="20"/>
          <w:highlight w:val="none"/>
        </w:rPr>
      </w:pPr>
      <w:r>
        <w:rPr>
          <w:rFonts w:hint="eastAsia" w:ascii="微软雅黑" w:hAnsi="微软雅黑" w:eastAsia="微软雅黑" w:cs="微软雅黑"/>
          <w:color w:val="auto"/>
          <w:sz w:val="20"/>
          <w:szCs w:val="20"/>
          <w:highlight w:val="none"/>
        </w:rPr>
        <w:t>货物或者在途货物或者交付给第一承运人后的货物毁损、灭失的风险负担详见</w:t>
      </w:r>
      <w:r>
        <w:rPr>
          <w:rFonts w:hint="eastAsia" w:ascii="微软雅黑" w:hAnsi="微软雅黑" w:eastAsia="微软雅黑" w:cs="微软雅黑"/>
          <w:b/>
          <w:i/>
          <w:color w:val="auto"/>
          <w:sz w:val="20"/>
          <w:szCs w:val="20"/>
          <w:highlight w:val="none"/>
          <w:u w:val="single"/>
        </w:rPr>
        <w:t>合同专用条款</w:t>
      </w:r>
      <w:r>
        <w:rPr>
          <w:rFonts w:hint="eastAsia" w:ascii="微软雅黑" w:hAnsi="微软雅黑" w:eastAsia="微软雅黑" w:cs="微软雅黑"/>
          <w:color w:val="auto"/>
          <w:sz w:val="20"/>
          <w:szCs w:val="20"/>
          <w:highlight w:val="none"/>
        </w:rPr>
        <w:t>。</w:t>
      </w:r>
    </w:p>
    <w:p w14:paraId="74704ADD">
      <w:pPr>
        <w:shd w:val="clear"/>
        <w:spacing w:line="360" w:lineRule="exact"/>
        <w:ind w:firstLine="400" w:firstLineChars="200"/>
        <w:outlineLvl w:val="9"/>
        <w:rPr>
          <w:rFonts w:hint="eastAsia" w:ascii="微软雅黑" w:hAnsi="微软雅黑" w:eastAsia="微软雅黑" w:cs="微软雅黑"/>
          <w:b/>
          <w:color w:val="auto"/>
          <w:sz w:val="20"/>
          <w:szCs w:val="20"/>
          <w:highlight w:val="none"/>
          <w:lang w:eastAsia="zh-CN"/>
        </w:rPr>
      </w:pPr>
      <w:bookmarkStart w:id="2515" w:name="_Toc14055"/>
      <w:bookmarkStart w:id="2516" w:name="_Toc22674"/>
      <w:bookmarkStart w:id="2517" w:name="_Toc6602"/>
      <w:bookmarkStart w:id="2518" w:name="_Toc2791"/>
      <w:bookmarkStart w:id="2519" w:name="_Toc15465"/>
      <w:bookmarkStart w:id="2520" w:name="_Toc8328"/>
      <w:bookmarkStart w:id="2521" w:name="_Toc7986"/>
      <w:bookmarkStart w:id="2522" w:name="_Toc19684"/>
      <w:bookmarkStart w:id="2523" w:name="_Toc22377"/>
      <w:bookmarkStart w:id="2524" w:name="_Toc26567"/>
      <w:bookmarkStart w:id="2525" w:name="_Toc15972"/>
      <w:bookmarkStart w:id="2526" w:name="_Toc25663"/>
      <w:bookmarkStart w:id="2527" w:name="_Toc29192"/>
      <w:bookmarkStart w:id="2528" w:name="_Toc14698"/>
      <w:bookmarkStart w:id="2529" w:name="_Toc2"/>
      <w:bookmarkStart w:id="2530" w:name="_Toc29837"/>
      <w:bookmarkStart w:id="2531" w:name="_Toc11963"/>
      <w:bookmarkStart w:id="2532" w:name="_Toc5196"/>
      <w:bookmarkStart w:id="2533" w:name="_Toc30533"/>
      <w:bookmarkStart w:id="2534" w:name="_Toc9067"/>
      <w:bookmarkStart w:id="2535" w:name="_Toc6894"/>
      <w:bookmarkStart w:id="2536" w:name="_Toc1164"/>
      <w:bookmarkStart w:id="2537" w:name="_Toc13218"/>
      <w:bookmarkStart w:id="2538" w:name="_Toc29850"/>
      <w:bookmarkStart w:id="2539" w:name="_Toc10280"/>
      <w:bookmarkStart w:id="2540" w:name="_Toc1742"/>
      <w:bookmarkStart w:id="2541" w:name="_Toc3369"/>
      <w:bookmarkStart w:id="2542" w:name="_Toc4719"/>
      <w:bookmarkStart w:id="2543" w:name="_Toc31819"/>
      <w:bookmarkStart w:id="2544" w:name="_Toc16633"/>
      <w:bookmarkStart w:id="2545" w:name="_Toc10328"/>
      <w:bookmarkStart w:id="2546" w:name="_Toc24129"/>
      <w:bookmarkStart w:id="2547" w:name="_Toc22939"/>
      <w:bookmarkStart w:id="2548" w:name="_Toc7128"/>
      <w:bookmarkStart w:id="2549" w:name="_Toc4926"/>
      <w:bookmarkStart w:id="2550" w:name="_Toc22259"/>
      <w:bookmarkStart w:id="2551" w:name="_Toc552"/>
      <w:bookmarkStart w:id="2552" w:name="_Toc24320"/>
      <w:bookmarkStart w:id="2553" w:name="_Toc25703"/>
      <w:r>
        <w:rPr>
          <w:rFonts w:hint="eastAsia" w:ascii="微软雅黑" w:hAnsi="微软雅黑" w:eastAsia="微软雅黑" w:cs="微软雅黑"/>
          <w:b/>
          <w:color w:val="auto"/>
          <w:sz w:val="20"/>
          <w:szCs w:val="20"/>
          <w:highlight w:val="none"/>
        </w:rPr>
        <w:t>2.10 延迟</w:t>
      </w:r>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r>
        <w:rPr>
          <w:rFonts w:hint="eastAsia" w:ascii="微软雅黑" w:hAnsi="微软雅黑" w:eastAsia="微软雅黑" w:cs="微软雅黑"/>
          <w:b/>
          <w:color w:val="auto"/>
          <w:sz w:val="20"/>
          <w:szCs w:val="20"/>
          <w:highlight w:val="none"/>
          <w:lang w:eastAsia="zh-CN"/>
        </w:rPr>
        <w:t>供货</w:t>
      </w:r>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p>
    <w:p w14:paraId="03C9B7EE">
      <w:pPr>
        <w:shd w:val="clear"/>
        <w:spacing w:line="360" w:lineRule="exact"/>
        <w:ind w:firstLine="400" w:firstLineChars="200"/>
        <w:outlineLvl w:val="9"/>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在合同履行过程中，如果乙方遇到不能按时交付货物的情况，应及时以书面形式将不能按时交付货物的理由、预期延误时间通知甲方；甲方收到乙方通知后，认为其理由正当的，可以书面形式酌情同意乙方可以延长</w:t>
      </w:r>
      <w:r>
        <w:rPr>
          <w:rFonts w:hint="eastAsia" w:ascii="微软雅黑" w:hAnsi="微软雅黑" w:eastAsia="微软雅黑" w:cs="微软雅黑"/>
          <w:color w:val="auto"/>
          <w:sz w:val="20"/>
          <w:szCs w:val="20"/>
          <w:highlight w:val="none"/>
          <w:lang w:eastAsia="zh-CN"/>
        </w:rPr>
        <w:t>供货</w:t>
      </w:r>
      <w:r>
        <w:rPr>
          <w:rFonts w:hint="eastAsia" w:ascii="微软雅黑" w:hAnsi="微软雅黑" w:eastAsia="微软雅黑" w:cs="微软雅黑"/>
          <w:color w:val="auto"/>
          <w:sz w:val="20"/>
          <w:szCs w:val="20"/>
          <w:highlight w:val="none"/>
        </w:rPr>
        <w:t>的具体时间。</w:t>
      </w:r>
    </w:p>
    <w:p w14:paraId="12200680">
      <w:pPr>
        <w:shd w:val="clear"/>
        <w:spacing w:line="360" w:lineRule="exact"/>
        <w:ind w:firstLine="400" w:firstLineChars="200"/>
        <w:outlineLvl w:val="9"/>
        <w:rPr>
          <w:rFonts w:hint="eastAsia" w:ascii="微软雅黑" w:hAnsi="微软雅黑" w:eastAsia="微软雅黑" w:cs="微软雅黑"/>
          <w:b/>
          <w:color w:val="auto"/>
          <w:sz w:val="20"/>
          <w:szCs w:val="20"/>
          <w:highlight w:val="none"/>
        </w:rPr>
      </w:pPr>
      <w:bookmarkStart w:id="2554" w:name="_Toc1969"/>
      <w:bookmarkStart w:id="2555" w:name="_Toc5521"/>
      <w:bookmarkStart w:id="2556" w:name="_Toc32032"/>
      <w:bookmarkStart w:id="2557" w:name="_Toc15143"/>
      <w:bookmarkStart w:id="2558" w:name="_Toc10685"/>
      <w:bookmarkStart w:id="2559" w:name="_Toc10995"/>
      <w:bookmarkStart w:id="2560" w:name="_Toc28031"/>
      <w:bookmarkStart w:id="2561" w:name="_Toc8469"/>
      <w:bookmarkStart w:id="2562" w:name="_Toc10956"/>
      <w:bookmarkStart w:id="2563" w:name="_Toc16810"/>
      <w:bookmarkStart w:id="2564" w:name="_Toc14851"/>
      <w:bookmarkStart w:id="2565" w:name="_Toc12175"/>
      <w:bookmarkStart w:id="2566" w:name="_Toc20553"/>
      <w:bookmarkStart w:id="2567" w:name="_Toc1184"/>
      <w:bookmarkStart w:id="2568" w:name="_Toc7444"/>
      <w:bookmarkStart w:id="2569" w:name="_Toc7502"/>
      <w:bookmarkStart w:id="2570" w:name="_Toc2858"/>
      <w:bookmarkStart w:id="2571" w:name="_Toc8848"/>
      <w:bookmarkStart w:id="2572" w:name="_Toc507"/>
      <w:bookmarkStart w:id="2573" w:name="_Toc27518"/>
      <w:bookmarkStart w:id="2574" w:name="_Toc3064"/>
      <w:bookmarkStart w:id="2575" w:name="_Toc24278"/>
      <w:bookmarkStart w:id="2576" w:name="_Toc17237"/>
      <w:bookmarkStart w:id="2577" w:name="_Toc1280"/>
      <w:bookmarkStart w:id="2578" w:name="_Toc25717"/>
      <w:bookmarkStart w:id="2579" w:name="_Toc25308"/>
      <w:bookmarkStart w:id="2580" w:name="_Toc15351"/>
      <w:bookmarkStart w:id="2581" w:name="_Toc4897"/>
      <w:bookmarkStart w:id="2582" w:name="_Toc31403"/>
      <w:bookmarkStart w:id="2583" w:name="_Toc4586"/>
      <w:bookmarkStart w:id="2584" w:name="_Toc6293"/>
      <w:bookmarkStart w:id="2585" w:name="_Toc29608"/>
      <w:bookmarkStart w:id="2586" w:name="_Toc25023"/>
      <w:bookmarkStart w:id="2587" w:name="_Toc31857"/>
      <w:bookmarkStart w:id="2588" w:name="_Toc8441"/>
      <w:bookmarkStart w:id="2589" w:name="_Toc16528"/>
      <w:bookmarkStart w:id="2590" w:name="_Toc18704"/>
      <w:bookmarkStart w:id="2591" w:name="_Toc15931"/>
      <w:bookmarkStart w:id="2592" w:name="_Toc14772"/>
      <w:bookmarkStart w:id="2593" w:name="_Toc15877"/>
      <w:bookmarkStart w:id="2594" w:name="_Ref467378121"/>
      <w:bookmarkStart w:id="2595" w:name="_Toc259093683"/>
      <w:bookmarkStart w:id="2596" w:name="_Toc279701254"/>
      <w:bookmarkStart w:id="2597" w:name="_Toc487900364"/>
      <w:r>
        <w:rPr>
          <w:rFonts w:hint="eastAsia" w:ascii="微软雅黑" w:hAnsi="微软雅黑" w:eastAsia="微软雅黑" w:cs="微软雅黑"/>
          <w:b/>
          <w:color w:val="auto"/>
          <w:sz w:val="20"/>
          <w:szCs w:val="20"/>
          <w:highlight w:val="none"/>
        </w:rPr>
        <w:t>2.11 合同变更</w:t>
      </w:r>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p>
    <w:p w14:paraId="500CD7AB">
      <w:pPr>
        <w:shd w:val="clear"/>
        <w:spacing w:line="360" w:lineRule="exact"/>
        <w:ind w:firstLine="400" w:firstLineChars="200"/>
        <w:outlineLvl w:val="9"/>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2.11.1双方当事人协商一致，可以签订书面补充合同的形式变更合同，但不得违背采购文件确定的事项，且如果系追加与合同标的相同的货物的，那么所有补充合同的采购金额不得超过原合同价的10%；</w:t>
      </w:r>
    </w:p>
    <w:p w14:paraId="3184DD6A">
      <w:pPr>
        <w:shd w:val="clear"/>
        <w:spacing w:line="360" w:lineRule="exact"/>
        <w:ind w:firstLine="400" w:firstLineChars="200"/>
        <w:outlineLvl w:val="9"/>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2.11.2 合同继续履行将损害国家利益和社会公共利益的，双方当事人应当以书面形式变更合同。有过错的一方应当承担赔偿责任，双方当事人都有过错的，各自承担相应的责任。</w:t>
      </w:r>
      <w:bookmarkStart w:id="2598" w:name="_Toc259093688"/>
      <w:bookmarkStart w:id="2599" w:name="_Toc487900369"/>
      <w:bookmarkStart w:id="2600" w:name="_Toc279701259"/>
    </w:p>
    <w:p w14:paraId="1A4D59F3">
      <w:pPr>
        <w:shd w:val="clear"/>
        <w:spacing w:line="360" w:lineRule="exact"/>
        <w:ind w:firstLine="400" w:firstLineChars="200"/>
        <w:outlineLvl w:val="9"/>
        <w:rPr>
          <w:rFonts w:hint="eastAsia" w:ascii="微软雅黑" w:hAnsi="微软雅黑" w:eastAsia="微软雅黑" w:cs="微软雅黑"/>
          <w:b/>
          <w:color w:val="auto"/>
          <w:sz w:val="20"/>
          <w:szCs w:val="20"/>
          <w:highlight w:val="none"/>
        </w:rPr>
      </w:pPr>
      <w:bookmarkStart w:id="2601" w:name="_Toc11626"/>
      <w:bookmarkStart w:id="2602" w:name="_Toc9984"/>
      <w:bookmarkStart w:id="2603" w:name="_Toc2969"/>
      <w:bookmarkStart w:id="2604" w:name="_Toc21554"/>
      <w:bookmarkStart w:id="2605" w:name="_Toc29703"/>
      <w:bookmarkStart w:id="2606" w:name="_Toc4389"/>
      <w:bookmarkStart w:id="2607" w:name="_Toc13500"/>
      <w:bookmarkStart w:id="2608" w:name="_Toc3931"/>
      <w:bookmarkStart w:id="2609" w:name="_Toc29865"/>
      <w:bookmarkStart w:id="2610" w:name="_Toc10366"/>
      <w:bookmarkStart w:id="2611" w:name="_Toc17873"/>
      <w:bookmarkStart w:id="2612" w:name="_Toc26224"/>
      <w:bookmarkStart w:id="2613" w:name="_Toc19380"/>
      <w:bookmarkStart w:id="2614" w:name="_Toc9031"/>
      <w:bookmarkStart w:id="2615" w:name="_Toc21525"/>
      <w:bookmarkStart w:id="2616" w:name="_Toc31619"/>
      <w:bookmarkStart w:id="2617" w:name="_Toc11510"/>
      <w:bookmarkStart w:id="2618" w:name="_Toc6988"/>
      <w:bookmarkStart w:id="2619" w:name="_Toc19406"/>
      <w:bookmarkStart w:id="2620" w:name="_Toc10537"/>
      <w:bookmarkStart w:id="2621" w:name="_Toc14895"/>
      <w:bookmarkStart w:id="2622" w:name="_Toc15237"/>
      <w:bookmarkStart w:id="2623" w:name="_Toc25294"/>
      <w:bookmarkStart w:id="2624" w:name="_Toc24511"/>
      <w:bookmarkStart w:id="2625" w:name="_Toc24275"/>
      <w:bookmarkStart w:id="2626" w:name="_Toc32277"/>
      <w:bookmarkStart w:id="2627" w:name="_Toc3928"/>
      <w:bookmarkStart w:id="2628" w:name="_Toc8431"/>
      <w:bookmarkStart w:id="2629" w:name="_Toc24755"/>
      <w:bookmarkStart w:id="2630" w:name="_Toc1951"/>
      <w:bookmarkStart w:id="2631" w:name="_Toc27584"/>
      <w:bookmarkStart w:id="2632" w:name="_Toc2157"/>
      <w:bookmarkStart w:id="2633" w:name="_Toc23079"/>
      <w:bookmarkStart w:id="2634" w:name="_Toc21146"/>
      <w:bookmarkStart w:id="2635" w:name="_Toc26864"/>
      <w:bookmarkStart w:id="2636" w:name="_Toc22955"/>
      <w:bookmarkStart w:id="2637" w:name="_Toc11573"/>
      <w:bookmarkStart w:id="2638" w:name="_Toc3825"/>
      <w:bookmarkStart w:id="2639" w:name="_Toc13446"/>
      <w:r>
        <w:rPr>
          <w:rFonts w:hint="eastAsia" w:ascii="微软雅黑" w:hAnsi="微软雅黑" w:eastAsia="微软雅黑" w:cs="微软雅黑"/>
          <w:b/>
          <w:color w:val="auto"/>
          <w:sz w:val="20"/>
          <w:szCs w:val="20"/>
          <w:highlight w:val="none"/>
        </w:rPr>
        <w:t>2.12 合同转让</w:t>
      </w:r>
      <w:bookmarkEnd w:id="2598"/>
      <w:bookmarkEnd w:id="2599"/>
      <w:bookmarkEnd w:id="2600"/>
      <w:r>
        <w:rPr>
          <w:rFonts w:hint="eastAsia" w:ascii="微软雅黑" w:hAnsi="微软雅黑" w:eastAsia="微软雅黑" w:cs="微软雅黑"/>
          <w:b/>
          <w:color w:val="auto"/>
          <w:sz w:val="20"/>
          <w:szCs w:val="20"/>
          <w:highlight w:val="none"/>
        </w:rPr>
        <w:t>和分包</w:t>
      </w:r>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p>
    <w:p w14:paraId="5D8AB9DB">
      <w:pPr>
        <w:shd w:val="clear"/>
        <w:spacing w:line="360" w:lineRule="exact"/>
        <w:ind w:firstLine="400" w:firstLineChars="200"/>
        <w:outlineLvl w:val="9"/>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4C630873">
      <w:pPr>
        <w:shd w:val="clear"/>
        <w:spacing w:line="360" w:lineRule="exact"/>
        <w:ind w:firstLine="400" w:firstLineChars="200"/>
        <w:outlineLvl w:val="9"/>
        <w:rPr>
          <w:rFonts w:hint="eastAsia" w:ascii="微软雅黑" w:hAnsi="微软雅黑" w:eastAsia="微软雅黑" w:cs="微软雅黑"/>
          <w:b/>
          <w:color w:val="auto"/>
          <w:sz w:val="20"/>
          <w:szCs w:val="20"/>
          <w:highlight w:val="none"/>
        </w:rPr>
      </w:pPr>
      <w:bookmarkStart w:id="2640" w:name="_Toc13570"/>
      <w:bookmarkStart w:id="2641" w:name="_Toc18167"/>
      <w:bookmarkStart w:id="2642" w:name="_Toc8480"/>
      <w:bookmarkStart w:id="2643" w:name="_Toc2586"/>
      <w:bookmarkStart w:id="2644" w:name="_Toc19610"/>
      <w:bookmarkStart w:id="2645" w:name="_Toc24741"/>
      <w:bookmarkStart w:id="2646" w:name="_Toc17643"/>
      <w:bookmarkStart w:id="2647" w:name="_Toc11104"/>
      <w:bookmarkStart w:id="2648" w:name="_Toc28491"/>
      <w:bookmarkStart w:id="2649" w:name="_Toc14752"/>
      <w:bookmarkStart w:id="2650" w:name="_Toc3533"/>
      <w:bookmarkStart w:id="2651" w:name="_Toc18376"/>
      <w:bookmarkStart w:id="2652" w:name="_Toc20380"/>
      <w:bookmarkStart w:id="2653" w:name="_Toc5484"/>
      <w:bookmarkStart w:id="2654" w:name="_Toc9434"/>
      <w:bookmarkStart w:id="2655" w:name="_Toc16893"/>
      <w:bookmarkStart w:id="2656" w:name="_Toc15741"/>
      <w:bookmarkStart w:id="2657" w:name="_Toc14066"/>
      <w:bookmarkStart w:id="2658" w:name="_Toc6918"/>
      <w:bookmarkStart w:id="2659" w:name="_Toc31101"/>
      <w:bookmarkStart w:id="2660" w:name="_Toc2908"/>
      <w:bookmarkStart w:id="2661" w:name="_Toc17498"/>
      <w:bookmarkStart w:id="2662" w:name="_Toc25330"/>
      <w:bookmarkStart w:id="2663" w:name="_Toc509"/>
      <w:bookmarkStart w:id="2664" w:name="_Toc13557"/>
      <w:bookmarkStart w:id="2665" w:name="_Toc32109"/>
      <w:bookmarkStart w:id="2666" w:name="_Toc12809"/>
      <w:bookmarkStart w:id="2667" w:name="_Toc32515"/>
      <w:bookmarkStart w:id="2668" w:name="_Toc22456"/>
      <w:bookmarkStart w:id="2669" w:name="_Toc8114"/>
      <w:bookmarkStart w:id="2670" w:name="_Toc17251"/>
      <w:bookmarkStart w:id="2671" w:name="_Toc2540"/>
      <w:bookmarkStart w:id="2672" w:name="_Toc27813"/>
      <w:bookmarkStart w:id="2673" w:name="_Toc17819"/>
      <w:bookmarkStart w:id="2674" w:name="_Toc7942"/>
      <w:bookmarkStart w:id="2675" w:name="_Toc4540"/>
      <w:bookmarkStart w:id="2676" w:name="_Toc16508"/>
      <w:bookmarkStart w:id="2677" w:name="_Toc11767"/>
      <w:bookmarkStart w:id="2678" w:name="_Toc584"/>
      <w:bookmarkStart w:id="2679" w:name="_Toc24853"/>
      <w:r>
        <w:rPr>
          <w:rFonts w:hint="eastAsia" w:ascii="微软雅黑" w:hAnsi="微软雅黑" w:eastAsia="微软雅黑" w:cs="微软雅黑"/>
          <w:b/>
          <w:color w:val="auto"/>
          <w:sz w:val="20"/>
          <w:szCs w:val="20"/>
          <w:highlight w:val="none"/>
        </w:rPr>
        <w:t>2.13 不可抗力</w:t>
      </w:r>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p>
    <w:p w14:paraId="500D8170">
      <w:pPr>
        <w:shd w:val="clear"/>
        <w:spacing w:line="360" w:lineRule="exact"/>
        <w:ind w:firstLine="400" w:firstLineChars="200"/>
        <w:outlineLvl w:val="9"/>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2.13.1如果任何一方遭遇法律规定的不可抗力，致使合同履行受阻时，履行合同的期限应予延长，延长的期限应相当于不可抗力所影响的时间；</w:t>
      </w:r>
    </w:p>
    <w:p w14:paraId="7161146C">
      <w:pPr>
        <w:shd w:val="clear"/>
        <w:spacing w:line="360" w:lineRule="exact"/>
        <w:ind w:firstLine="400" w:firstLineChars="200"/>
        <w:outlineLvl w:val="9"/>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2.13.2 因不可抗力致使不能实现合同目的的，当事人可以解除合同；</w:t>
      </w:r>
    </w:p>
    <w:p w14:paraId="4B56A737">
      <w:pPr>
        <w:shd w:val="clear"/>
        <w:spacing w:line="360" w:lineRule="exact"/>
        <w:ind w:firstLine="400" w:firstLineChars="200"/>
        <w:outlineLvl w:val="9"/>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2.13.3 因不可抗力致使合同有变更必要的，双方当事人应在</w:t>
      </w:r>
      <w:r>
        <w:rPr>
          <w:rFonts w:hint="eastAsia" w:ascii="微软雅黑" w:hAnsi="微软雅黑" w:eastAsia="微软雅黑" w:cs="微软雅黑"/>
          <w:b/>
          <w:i/>
          <w:color w:val="auto"/>
          <w:sz w:val="20"/>
          <w:szCs w:val="20"/>
          <w:highlight w:val="none"/>
          <w:u w:val="single"/>
        </w:rPr>
        <w:t>合同专用条款</w:t>
      </w:r>
      <w:r>
        <w:rPr>
          <w:rFonts w:hint="eastAsia" w:ascii="微软雅黑" w:hAnsi="微软雅黑" w:eastAsia="微软雅黑" w:cs="微软雅黑"/>
          <w:color w:val="auto"/>
          <w:sz w:val="20"/>
          <w:szCs w:val="20"/>
          <w:highlight w:val="none"/>
        </w:rPr>
        <w:t>约定时间内以书面形式变更合同；</w:t>
      </w:r>
    </w:p>
    <w:p w14:paraId="72305700">
      <w:pPr>
        <w:shd w:val="clear"/>
        <w:spacing w:line="360" w:lineRule="exact"/>
        <w:ind w:firstLine="400" w:firstLineChars="200"/>
        <w:outlineLvl w:val="9"/>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2.13.4受不可抗力影响的一方在不可抗力发生后，应在</w:t>
      </w:r>
      <w:r>
        <w:rPr>
          <w:rFonts w:hint="eastAsia" w:ascii="微软雅黑" w:hAnsi="微软雅黑" w:eastAsia="微软雅黑" w:cs="微软雅黑"/>
          <w:b/>
          <w:i/>
          <w:color w:val="auto"/>
          <w:sz w:val="20"/>
          <w:szCs w:val="20"/>
          <w:highlight w:val="none"/>
          <w:u w:val="single"/>
        </w:rPr>
        <w:t>合同专用条款</w:t>
      </w:r>
      <w:r>
        <w:rPr>
          <w:rFonts w:hint="eastAsia" w:ascii="微软雅黑" w:hAnsi="微软雅黑" w:eastAsia="微软雅黑" w:cs="微软雅黑"/>
          <w:color w:val="auto"/>
          <w:sz w:val="20"/>
          <w:szCs w:val="20"/>
          <w:highlight w:val="none"/>
        </w:rPr>
        <w:t>约定时间内以书面形式通知对方当事人，并在</w:t>
      </w:r>
      <w:r>
        <w:rPr>
          <w:rFonts w:hint="eastAsia" w:ascii="微软雅黑" w:hAnsi="微软雅黑" w:eastAsia="微软雅黑" w:cs="微软雅黑"/>
          <w:b/>
          <w:i/>
          <w:color w:val="auto"/>
          <w:sz w:val="20"/>
          <w:szCs w:val="20"/>
          <w:highlight w:val="none"/>
          <w:u w:val="single"/>
        </w:rPr>
        <w:t>合同专用条款</w:t>
      </w:r>
      <w:r>
        <w:rPr>
          <w:rFonts w:hint="eastAsia" w:ascii="微软雅黑" w:hAnsi="微软雅黑" w:eastAsia="微软雅黑" w:cs="微软雅黑"/>
          <w:color w:val="auto"/>
          <w:sz w:val="20"/>
          <w:szCs w:val="20"/>
          <w:highlight w:val="none"/>
        </w:rPr>
        <w:t>约定时间内，将有关部门出具的证明文件送达对方当事人。</w:t>
      </w:r>
    </w:p>
    <w:p w14:paraId="605A1C9B">
      <w:pPr>
        <w:pStyle w:val="5"/>
        <w:shd w:val="clear"/>
        <w:outlineLvl w:val="9"/>
        <w:rPr>
          <w:rFonts w:hint="eastAsia" w:ascii="微软雅黑" w:hAnsi="微软雅黑" w:eastAsia="微软雅黑" w:cs="微软雅黑"/>
          <w:color w:val="auto"/>
          <w:sz w:val="22"/>
          <w:szCs w:val="18"/>
          <w:highlight w:val="none"/>
        </w:rPr>
      </w:pPr>
      <w:r>
        <w:rPr>
          <w:rFonts w:hint="eastAsia" w:ascii="微软雅黑" w:hAnsi="微软雅黑" w:eastAsia="微软雅黑" w:cs="微软雅黑"/>
          <w:color w:val="auto"/>
          <w:sz w:val="20"/>
          <w:szCs w:val="20"/>
          <w:highlight w:val="none"/>
        </w:rPr>
        <w:t>2.13.5如遇到像新冠疫情等情势变更的情形，请参照2.13</w:t>
      </w:r>
      <w:r>
        <w:rPr>
          <w:rFonts w:hint="eastAsia" w:ascii="微软雅黑" w:hAnsi="微软雅黑" w:eastAsia="微软雅黑" w:cs="微软雅黑"/>
          <w:b/>
          <w:color w:val="auto"/>
          <w:sz w:val="20"/>
          <w:szCs w:val="20"/>
          <w:highlight w:val="none"/>
        </w:rPr>
        <w:t>不可抗力的条款。</w:t>
      </w:r>
    </w:p>
    <w:p w14:paraId="05456F49">
      <w:pPr>
        <w:shd w:val="clear"/>
        <w:spacing w:line="360" w:lineRule="exact"/>
        <w:ind w:firstLine="400" w:firstLineChars="200"/>
        <w:outlineLvl w:val="9"/>
        <w:rPr>
          <w:rFonts w:hint="eastAsia" w:ascii="微软雅黑" w:hAnsi="微软雅黑" w:eastAsia="微软雅黑" w:cs="微软雅黑"/>
          <w:b/>
          <w:color w:val="auto"/>
          <w:sz w:val="20"/>
          <w:szCs w:val="20"/>
          <w:highlight w:val="none"/>
        </w:rPr>
      </w:pPr>
      <w:bookmarkStart w:id="2680" w:name="_Toc19677"/>
      <w:bookmarkStart w:id="2681" w:name="_Toc6141"/>
      <w:bookmarkStart w:id="2682" w:name="_Toc23578"/>
      <w:bookmarkStart w:id="2683" w:name="_Toc22930"/>
      <w:bookmarkStart w:id="2684" w:name="_Toc11423"/>
      <w:bookmarkStart w:id="2685" w:name="_Toc14974"/>
      <w:bookmarkStart w:id="2686" w:name="_Toc30827"/>
      <w:bookmarkStart w:id="2687" w:name="_Toc29330"/>
      <w:bookmarkStart w:id="2688" w:name="_Toc7145"/>
      <w:bookmarkStart w:id="2689" w:name="_Toc4510"/>
      <w:bookmarkStart w:id="2690" w:name="_Toc11263"/>
      <w:bookmarkStart w:id="2691" w:name="_Toc30676"/>
      <w:bookmarkStart w:id="2692" w:name="_Toc11876"/>
      <w:bookmarkStart w:id="2693" w:name="_Toc487900365"/>
      <w:bookmarkStart w:id="2694" w:name="_Toc26981"/>
      <w:bookmarkStart w:id="2695" w:name="_Toc279701255"/>
      <w:bookmarkStart w:id="2696" w:name="_Toc26812"/>
      <w:bookmarkStart w:id="2697" w:name="_Toc4006"/>
      <w:bookmarkStart w:id="2698" w:name="_Toc6047"/>
      <w:bookmarkStart w:id="2699" w:name="_Toc6676"/>
      <w:bookmarkStart w:id="2700" w:name="_Toc10528"/>
      <w:bookmarkStart w:id="2701" w:name="_Toc10324"/>
      <w:bookmarkStart w:id="2702" w:name="_Toc32551"/>
      <w:bookmarkStart w:id="2703" w:name="_Toc31597"/>
      <w:bookmarkStart w:id="2704" w:name="_Toc19306"/>
      <w:bookmarkStart w:id="2705" w:name="_Toc9256"/>
      <w:bookmarkStart w:id="2706" w:name="_Toc28117"/>
      <w:bookmarkStart w:id="2707" w:name="_Toc6969"/>
      <w:bookmarkStart w:id="2708" w:name="_Toc1584"/>
      <w:bookmarkStart w:id="2709" w:name="_Toc689"/>
      <w:bookmarkStart w:id="2710" w:name="_Toc6288"/>
      <w:bookmarkStart w:id="2711" w:name="_Toc20465"/>
      <w:bookmarkStart w:id="2712" w:name="_Toc259093684"/>
      <w:bookmarkStart w:id="2713" w:name="_Toc13910"/>
      <w:bookmarkStart w:id="2714" w:name="_Toc27386"/>
      <w:bookmarkStart w:id="2715" w:name="_Toc13175"/>
      <w:bookmarkStart w:id="2716" w:name="_Toc17152"/>
      <w:bookmarkStart w:id="2717" w:name="_Toc6243"/>
      <w:bookmarkStart w:id="2718" w:name="_Toc15258"/>
      <w:bookmarkStart w:id="2719" w:name="_Toc26085"/>
      <w:bookmarkStart w:id="2720" w:name="_Toc28"/>
      <w:bookmarkStart w:id="2721" w:name="_Toc16229"/>
      <w:bookmarkStart w:id="2722" w:name="_Toc9389"/>
      <w:bookmarkStart w:id="2723" w:name="_Toc6224"/>
      <w:bookmarkStart w:id="2724" w:name="_Toc357"/>
      <w:r>
        <w:rPr>
          <w:rFonts w:hint="eastAsia" w:ascii="微软雅黑" w:hAnsi="微软雅黑" w:eastAsia="微软雅黑" w:cs="微软雅黑"/>
          <w:b/>
          <w:color w:val="auto"/>
          <w:sz w:val="20"/>
          <w:szCs w:val="20"/>
          <w:highlight w:val="none"/>
        </w:rPr>
        <w:t>2.14 税费</w:t>
      </w:r>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p>
    <w:p w14:paraId="1A4D8417">
      <w:pPr>
        <w:shd w:val="clear"/>
        <w:spacing w:line="360" w:lineRule="exact"/>
        <w:ind w:firstLine="400" w:firstLineChars="200"/>
        <w:outlineLvl w:val="9"/>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与合同有关的一切税费，均按照中华人民共和国法律的相关规定。</w:t>
      </w:r>
    </w:p>
    <w:p w14:paraId="2E126779">
      <w:pPr>
        <w:shd w:val="clear"/>
        <w:spacing w:line="360" w:lineRule="exact"/>
        <w:ind w:firstLine="400" w:firstLineChars="200"/>
        <w:outlineLvl w:val="9"/>
        <w:rPr>
          <w:rFonts w:hint="eastAsia" w:ascii="微软雅黑" w:hAnsi="微软雅黑" w:eastAsia="微软雅黑" w:cs="微软雅黑"/>
          <w:b/>
          <w:color w:val="auto"/>
          <w:sz w:val="20"/>
          <w:szCs w:val="20"/>
          <w:highlight w:val="none"/>
        </w:rPr>
      </w:pPr>
      <w:bookmarkStart w:id="2725" w:name="_Toc6950"/>
      <w:bookmarkStart w:id="2726" w:name="_Toc515"/>
      <w:bookmarkStart w:id="2727" w:name="_Toc259093687"/>
      <w:bookmarkStart w:id="2728" w:name="_Toc25260"/>
      <w:bookmarkStart w:id="2729" w:name="_Toc8298"/>
      <w:bookmarkStart w:id="2730" w:name="_Toc12594"/>
      <w:bookmarkStart w:id="2731" w:name="_Toc14549"/>
      <w:bookmarkStart w:id="2732" w:name="_Toc22239"/>
      <w:bookmarkStart w:id="2733" w:name="_Toc4812"/>
      <w:bookmarkStart w:id="2734" w:name="_Toc4260"/>
      <w:bookmarkStart w:id="2735" w:name="_Toc11308"/>
      <w:bookmarkStart w:id="2736" w:name="_Toc32686"/>
      <w:bookmarkStart w:id="2737" w:name="_Toc279701258"/>
      <w:bookmarkStart w:id="2738" w:name="_Toc8934"/>
      <w:bookmarkStart w:id="2739" w:name="_Toc7102"/>
      <w:bookmarkStart w:id="2740" w:name="_Toc23220"/>
      <w:bookmarkStart w:id="2741" w:name="_Toc23266"/>
      <w:bookmarkStart w:id="2742" w:name="_Toc29188"/>
      <w:bookmarkStart w:id="2743" w:name="_Toc15722"/>
      <w:bookmarkStart w:id="2744" w:name="_Toc9300"/>
      <w:bookmarkStart w:id="2745" w:name="_Toc2043"/>
      <w:bookmarkStart w:id="2746" w:name="_Toc14348"/>
      <w:bookmarkStart w:id="2747" w:name="_Toc12141"/>
      <w:bookmarkStart w:id="2748" w:name="_Toc13012"/>
      <w:bookmarkStart w:id="2749" w:name="_Toc29993"/>
      <w:bookmarkStart w:id="2750" w:name="_Toc6688"/>
      <w:bookmarkStart w:id="2751" w:name="_Toc17217"/>
      <w:bookmarkStart w:id="2752" w:name="_Toc28905"/>
      <w:bookmarkStart w:id="2753" w:name="_Toc30768"/>
      <w:bookmarkStart w:id="2754" w:name="_Toc6037"/>
      <w:bookmarkStart w:id="2755" w:name="_Toc16959"/>
      <w:bookmarkStart w:id="2756" w:name="_Toc15720"/>
      <w:bookmarkStart w:id="2757" w:name="_Toc31088"/>
      <w:bookmarkStart w:id="2758" w:name="_Toc19952"/>
      <w:bookmarkStart w:id="2759" w:name="_Toc487900368"/>
      <w:bookmarkStart w:id="2760" w:name="_Toc27763"/>
      <w:bookmarkStart w:id="2761" w:name="_Toc24216"/>
      <w:bookmarkStart w:id="2762" w:name="_Toc14403"/>
      <w:bookmarkStart w:id="2763" w:name="_Toc7117"/>
      <w:bookmarkStart w:id="2764" w:name="_Toc4792"/>
      <w:bookmarkStart w:id="2765" w:name="_Toc21290"/>
      <w:bookmarkStart w:id="2766" w:name="_Toc20594"/>
      <w:bookmarkStart w:id="2767" w:name="_Toc21314"/>
      <w:bookmarkStart w:id="2768" w:name="_Toc13626"/>
      <w:bookmarkStart w:id="2769" w:name="_Toc29869"/>
      <w:r>
        <w:rPr>
          <w:rFonts w:hint="eastAsia" w:ascii="微软雅黑" w:hAnsi="微软雅黑" w:eastAsia="微软雅黑" w:cs="微软雅黑"/>
          <w:b/>
          <w:color w:val="auto"/>
          <w:sz w:val="20"/>
          <w:szCs w:val="20"/>
          <w:highlight w:val="none"/>
        </w:rPr>
        <w:t>2.15 乙方破产</w:t>
      </w:r>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p>
    <w:p w14:paraId="035D4B7F">
      <w:pPr>
        <w:shd w:val="clear"/>
        <w:spacing w:line="360" w:lineRule="exact"/>
        <w:ind w:firstLine="400" w:firstLineChars="200"/>
        <w:outlineLvl w:val="9"/>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20EDD39D">
      <w:pPr>
        <w:shd w:val="clear"/>
        <w:spacing w:line="360" w:lineRule="exact"/>
        <w:ind w:firstLine="400" w:firstLineChars="200"/>
        <w:outlineLvl w:val="9"/>
        <w:rPr>
          <w:rFonts w:hint="eastAsia" w:ascii="微软雅黑" w:hAnsi="微软雅黑" w:eastAsia="微软雅黑" w:cs="微软雅黑"/>
          <w:b/>
          <w:color w:val="auto"/>
          <w:sz w:val="20"/>
          <w:szCs w:val="20"/>
          <w:highlight w:val="none"/>
        </w:rPr>
      </w:pPr>
      <w:bookmarkStart w:id="2770" w:name="_Toc29333"/>
      <w:bookmarkStart w:id="2771" w:name="_Toc27106"/>
      <w:bookmarkStart w:id="2772" w:name="_Toc26255"/>
      <w:bookmarkStart w:id="2773" w:name="_Toc12868"/>
      <w:bookmarkStart w:id="2774" w:name="_Toc24066"/>
      <w:bookmarkStart w:id="2775" w:name="_Toc15387"/>
      <w:bookmarkStart w:id="2776" w:name="_Toc2211"/>
      <w:bookmarkStart w:id="2777" w:name="_Toc5463"/>
      <w:bookmarkStart w:id="2778" w:name="_Toc8188"/>
      <w:bookmarkStart w:id="2779" w:name="_Toc6641"/>
      <w:bookmarkStart w:id="2780" w:name="_Toc20409"/>
      <w:bookmarkStart w:id="2781" w:name="_Toc21836"/>
      <w:bookmarkStart w:id="2782" w:name="_Toc7369"/>
      <w:bookmarkStart w:id="2783" w:name="_Toc2374"/>
      <w:bookmarkStart w:id="2784" w:name="_Toc12337"/>
      <w:bookmarkStart w:id="2785" w:name="_Toc6134"/>
      <w:bookmarkStart w:id="2786" w:name="_Toc26246"/>
      <w:bookmarkStart w:id="2787" w:name="_Toc24976"/>
      <w:bookmarkStart w:id="2788" w:name="_Toc15605"/>
      <w:bookmarkStart w:id="2789" w:name="_Toc9957"/>
      <w:bookmarkStart w:id="2790" w:name="_Toc5149"/>
      <w:bookmarkStart w:id="2791" w:name="_Toc20974"/>
      <w:bookmarkStart w:id="2792" w:name="_Toc5182"/>
      <w:bookmarkStart w:id="2793" w:name="_Toc818"/>
      <w:bookmarkStart w:id="2794" w:name="_Toc24424"/>
      <w:bookmarkStart w:id="2795" w:name="_Toc31639"/>
      <w:bookmarkStart w:id="2796" w:name="_Toc8947"/>
      <w:bookmarkStart w:id="2797" w:name="_Toc15445"/>
      <w:bookmarkStart w:id="2798" w:name="_Toc4227"/>
      <w:bookmarkStart w:id="2799" w:name="_Toc1542"/>
      <w:bookmarkStart w:id="2800" w:name="_Toc31502"/>
      <w:bookmarkStart w:id="2801" w:name="_Toc28680"/>
      <w:bookmarkStart w:id="2802" w:name="_Toc1303"/>
      <w:bookmarkStart w:id="2803" w:name="_Toc25972"/>
      <w:bookmarkStart w:id="2804" w:name="_Toc2967"/>
      <w:bookmarkStart w:id="2805" w:name="_Toc29764"/>
      <w:bookmarkStart w:id="2806" w:name="_Toc32508"/>
      <w:bookmarkStart w:id="2807" w:name="_Toc24867"/>
      <w:bookmarkStart w:id="2808" w:name="_Toc9318"/>
      <w:bookmarkStart w:id="2809" w:name="_Toc14797"/>
      <w:bookmarkStart w:id="2810" w:name="_Toc12606"/>
      <w:r>
        <w:rPr>
          <w:rFonts w:hint="eastAsia" w:ascii="微软雅黑" w:hAnsi="微软雅黑" w:eastAsia="微软雅黑" w:cs="微软雅黑"/>
          <w:b/>
          <w:color w:val="auto"/>
          <w:sz w:val="20"/>
          <w:szCs w:val="20"/>
          <w:highlight w:val="none"/>
        </w:rPr>
        <w:t>2.16 合同中止、终止</w:t>
      </w:r>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p>
    <w:p w14:paraId="12772ED9">
      <w:pPr>
        <w:shd w:val="clear"/>
        <w:spacing w:line="360" w:lineRule="exact"/>
        <w:ind w:firstLine="400" w:firstLineChars="200"/>
        <w:outlineLvl w:val="9"/>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2.16.1 双方当事人不得擅自中止或者终止合同；</w:t>
      </w:r>
    </w:p>
    <w:p w14:paraId="2204F24A">
      <w:pPr>
        <w:shd w:val="clear"/>
        <w:spacing w:line="360" w:lineRule="exact"/>
        <w:ind w:firstLine="400" w:firstLineChars="200"/>
        <w:outlineLvl w:val="9"/>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2.16.2合同继续履行将损害国家利益和社会公共利益的，双方当事人应当中止或者终止合同。有过错的一方应当承担赔偿责任，双方当事人都有过错的，各自承担相应的责任。</w:t>
      </w:r>
    </w:p>
    <w:p w14:paraId="0A5081F2">
      <w:pPr>
        <w:shd w:val="clear"/>
        <w:spacing w:line="360" w:lineRule="exact"/>
        <w:ind w:firstLine="400" w:firstLineChars="200"/>
        <w:outlineLvl w:val="9"/>
        <w:rPr>
          <w:rFonts w:hint="eastAsia" w:ascii="微软雅黑" w:hAnsi="微软雅黑" w:eastAsia="微软雅黑" w:cs="微软雅黑"/>
          <w:b/>
          <w:color w:val="auto"/>
          <w:sz w:val="20"/>
          <w:szCs w:val="20"/>
          <w:highlight w:val="none"/>
        </w:rPr>
      </w:pPr>
      <w:bookmarkStart w:id="2811" w:name="_Toc30958"/>
      <w:bookmarkStart w:id="2812" w:name="_Toc25416"/>
      <w:bookmarkStart w:id="2813" w:name="_Toc19755"/>
      <w:bookmarkStart w:id="2814" w:name="_Toc24731"/>
      <w:bookmarkStart w:id="2815" w:name="_Toc7005"/>
      <w:bookmarkStart w:id="2816" w:name="_Toc22561"/>
      <w:bookmarkStart w:id="2817" w:name="_Toc13150"/>
      <w:bookmarkStart w:id="2818" w:name="_Toc9695"/>
      <w:bookmarkStart w:id="2819" w:name="_Toc12602"/>
      <w:bookmarkStart w:id="2820" w:name="_Toc18411"/>
      <w:bookmarkStart w:id="2821" w:name="_Toc29829"/>
      <w:bookmarkStart w:id="2822" w:name="_Toc207"/>
      <w:bookmarkStart w:id="2823" w:name="_Toc4111"/>
      <w:bookmarkStart w:id="2824" w:name="_Toc25836"/>
      <w:bookmarkStart w:id="2825" w:name="_Toc1128"/>
      <w:bookmarkStart w:id="2826" w:name="_Toc14563"/>
      <w:bookmarkStart w:id="2827" w:name="_Toc22451"/>
      <w:bookmarkStart w:id="2828" w:name="_Toc27227"/>
      <w:bookmarkStart w:id="2829" w:name="_Toc19324"/>
      <w:bookmarkStart w:id="2830" w:name="_Toc21636"/>
      <w:bookmarkStart w:id="2831" w:name="_Toc16623"/>
      <w:bookmarkStart w:id="2832" w:name="_Toc11060"/>
      <w:bookmarkStart w:id="2833" w:name="_Toc20145"/>
      <w:bookmarkStart w:id="2834" w:name="_Toc30133"/>
      <w:bookmarkStart w:id="2835" w:name="_Toc27954"/>
      <w:bookmarkStart w:id="2836" w:name="_Toc11381"/>
      <w:bookmarkStart w:id="2837" w:name="_Toc11658"/>
      <w:bookmarkStart w:id="2838" w:name="_Toc25710"/>
      <w:bookmarkStart w:id="2839" w:name="_Toc13756"/>
      <w:bookmarkStart w:id="2840" w:name="_Toc19328"/>
      <w:bookmarkStart w:id="2841" w:name="_Toc9282"/>
      <w:bookmarkStart w:id="2842" w:name="_Toc21882"/>
      <w:bookmarkStart w:id="2843" w:name="_Toc28047"/>
      <w:bookmarkStart w:id="2844" w:name="_Toc22093"/>
      <w:bookmarkStart w:id="2845" w:name="_Toc25358"/>
      <w:bookmarkStart w:id="2846" w:name="_Toc1125"/>
      <w:bookmarkStart w:id="2847" w:name="_Toc14890"/>
      <w:bookmarkStart w:id="2848" w:name="_Toc30476"/>
      <w:bookmarkStart w:id="2849" w:name="_Toc23635"/>
      <w:bookmarkStart w:id="2850" w:name="_Toc22455"/>
      <w:bookmarkStart w:id="2851" w:name="_Toc6596"/>
      <w:r>
        <w:rPr>
          <w:rFonts w:hint="eastAsia" w:ascii="微软雅黑" w:hAnsi="微软雅黑" w:eastAsia="微软雅黑" w:cs="微软雅黑"/>
          <w:b/>
          <w:color w:val="auto"/>
          <w:sz w:val="20"/>
          <w:szCs w:val="20"/>
          <w:highlight w:val="none"/>
        </w:rPr>
        <w:t>2.17 检验和验收</w:t>
      </w:r>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p>
    <w:p w14:paraId="6CBCFED8">
      <w:pPr>
        <w:shd w:val="clear"/>
        <w:tabs>
          <w:tab w:val="left" w:pos="360"/>
          <w:tab w:val="left" w:pos="540"/>
          <w:tab w:val="left" w:pos="1080"/>
        </w:tabs>
        <w:spacing w:line="360" w:lineRule="exact"/>
        <w:ind w:firstLine="400" w:firstLineChars="200"/>
        <w:outlineLvl w:val="9"/>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2.17.1货物交付前，乙方应对货物的质量、数量等方面进行详细、全面的检验，并向甲方出具证明货物符合合同约定的文件；货物交付时，乙方在</w:t>
      </w:r>
      <w:r>
        <w:rPr>
          <w:rFonts w:hint="eastAsia" w:ascii="微软雅黑" w:hAnsi="微软雅黑" w:eastAsia="微软雅黑" w:cs="微软雅黑"/>
          <w:b/>
          <w:i/>
          <w:color w:val="auto"/>
          <w:sz w:val="20"/>
          <w:szCs w:val="20"/>
          <w:highlight w:val="none"/>
          <w:u w:val="single"/>
        </w:rPr>
        <w:t>合同专用条款</w:t>
      </w:r>
      <w:r>
        <w:rPr>
          <w:rFonts w:hint="eastAsia" w:ascii="微软雅黑" w:hAnsi="微软雅黑" w:eastAsia="微软雅黑" w:cs="微软雅黑"/>
          <w:color w:val="auto"/>
          <w:sz w:val="20"/>
          <w:szCs w:val="20"/>
          <w:highlight w:val="none"/>
        </w:rPr>
        <w:t>约定时间内组织验收，并可依法邀请相关方参加，验收应出具验收书。</w:t>
      </w:r>
    </w:p>
    <w:p w14:paraId="34D38C24">
      <w:pPr>
        <w:shd w:val="clear"/>
        <w:tabs>
          <w:tab w:val="left" w:pos="360"/>
          <w:tab w:val="left" w:pos="540"/>
          <w:tab w:val="left" w:pos="1080"/>
        </w:tabs>
        <w:spacing w:line="360" w:lineRule="exact"/>
        <w:ind w:firstLine="400" w:firstLineChars="200"/>
        <w:outlineLvl w:val="9"/>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2.17.2</w:t>
      </w:r>
      <w:r>
        <w:rPr>
          <w:rFonts w:hint="eastAsia" w:ascii="微软雅黑" w:hAnsi="微软雅黑" w:eastAsia="微软雅黑" w:cs="微软雅黑"/>
          <w:color w:val="auto"/>
          <w:sz w:val="20"/>
          <w:szCs w:val="20"/>
          <w:highlight w:val="none"/>
          <w:lang w:eastAsia="zh-CN"/>
        </w:rPr>
        <w:t>交货期</w:t>
      </w:r>
      <w:r>
        <w:rPr>
          <w:rFonts w:hint="eastAsia" w:ascii="微软雅黑" w:hAnsi="微软雅黑" w:eastAsia="微软雅黑" w:cs="微软雅黑"/>
          <w:color w:val="auto"/>
          <w:sz w:val="20"/>
          <w:szCs w:val="20"/>
          <w:highlight w:val="none"/>
        </w:rPr>
        <w:t>满或者履行完毕后，甲方有权组织（包括依法邀请国家认可的质量检测机构参加）对乙方履约的验收，即：按照合同约定的技术、服务、安全标准，组织对每一项技术、服务、安全标准的履约情况的验收，并出具验收书。</w:t>
      </w:r>
    </w:p>
    <w:p w14:paraId="3BD7F4C1">
      <w:pPr>
        <w:shd w:val="clear"/>
        <w:tabs>
          <w:tab w:val="left" w:pos="360"/>
          <w:tab w:val="left" w:pos="540"/>
          <w:tab w:val="left" w:pos="1080"/>
        </w:tabs>
        <w:spacing w:line="360" w:lineRule="exact"/>
        <w:ind w:firstLine="400" w:firstLineChars="200"/>
        <w:outlineLvl w:val="9"/>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2.17.3 检验和验收标准、程序等具体内容以及前述验收书的效力详见</w:t>
      </w:r>
      <w:r>
        <w:rPr>
          <w:rFonts w:hint="eastAsia" w:ascii="微软雅黑" w:hAnsi="微软雅黑" w:eastAsia="微软雅黑" w:cs="微软雅黑"/>
          <w:b/>
          <w:i/>
          <w:color w:val="auto"/>
          <w:sz w:val="20"/>
          <w:szCs w:val="20"/>
          <w:highlight w:val="none"/>
          <w:u w:val="single"/>
        </w:rPr>
        <w:t>合同专用条款</w:t>
      </w:r>
      <w:r>
        <w:rPr>
          <w:rFonts w:hint="eastAsia" w:ascii="微软雅黑" w:hAnsi="微软雅黑" w:eastAsia="微软雅黑" w:cs="微软雅黑"/>
          <w:i/>
          <w:color w:val="auto"/>
          <w:sz w:val="20"/>
          <w:szCs w:val="20"/>
          <w:highlight w:val="none"/>
        </w:rPr>
        <w:t>。</w:t>
      </w:r>
    </w:p>
    <w:bookmarkEnd w:id="2594"/>
    <w:bookmarkEnd w:id="2595"/>
    <w:bookmarkEnd w:id="2596"/>
    <w:bookmarkEnd w:id="2597"/>
    <w:p w14:paraId="2F641342">
      <w:pPr>
        <w:shd w:val="clear"/>
        <w:spacing w:line="360" w:lineRule="exact"/>
        <w:ind w:firstLine="400" w:firstLineChars="200"/>
        <w:outlineLvl w:val="9"/>
        <w:rPr>
          <w:rFonts w:hint="eastAsia" w:ascii="微软雅黑" w:hAnsi="微软雅黑" w:eastAsia="微软雅黑" w:cs="微软雅黑"/>
          <w:b/>
          <w:color w:val="auto"/>
          <w:sz w:val="20"/>
          <w:szCs w:val="20"/>
          <w:highlight w:val="none"/>
        </w:rPr>
      </w:pPr>
      <w:bookmarkStart w:id="2852" w:name="_Toc279701261"/>
      <w:bookmarkStart w:id="2853" w:name="_Toc487900371"/>
      <w:bookmarkStart w:id="2854" w:name="_Toc259093690"/>
      <w:bookmarkStart w:id="2855" w:name="_Toc14242"/>
      <w:bookmarkStart w:id="2856" w:name="_Toc10130"/>
      <w:bookmarkStart w:id="2857" w:name="_Toc25315"/>
      <w:bookmarkStart w:id="2858" w:name="_Toc1000"/>
      <w:bookmarkStart w:id="2859" w:name="_Toc5462"/>
      <w:bookmarkStart w:id="2860" w:name="_Toc26892"/>
      <w:bookmarkStart w:id="2861" w:name="_Toc734"/>
      <w:bookmarkStart w:id="2862" w:name="_Toc27110"/>
      <w:bookmarkStart w:id="2863" w:name="_Toc21172"/>
      <w:bookmarkStart w:id="2864" w:name="_Toc24642"/>
      <w:bookmarkStart w:id="2865" w:name="_Toc8096"/>
      <w:bookmarkStart w:id="2866" w:name="_Toc21849"/>
      <w:bookmarkStart w:id="2867" w:name="_Toc11065"/>
      <w:bookmarkStart w:id="2868" w:name="_Toc220"/>
      <w:bookmarkStart w:id="2869" w:name="_Toc15285"/>
      <w:bookmarkStart w:id="2870" w:name="_Toc17313"/>
      <w:bookmarkStart w:id="2871" w:name="_Toc725"/>
      <w:bookmarkStart w:id="2872" w:name="_Toc26823"/>
      <w:bookmarkStart w:id="2873" w:name="_Toc15037"/>
      <w:bookmarkStart w:id="2874" w:name="_Toc19604"/>
      <w:bookmarkStart w:id="2875" w:name="_Toc19636"/>
      <w:bookmarkStart w:id="2876" w:name="_Toc3049"/>
      <w:bookmarkStart w:id="2877" w:name="_Toc13220"/>
      <w:bookmarkStart w:id="2878" w:name="_Toc3974"/>
      <w:bookmarkStart w:id="2879" w:name="_Toc17270"/>
      <w:bookmarkStart w:id="2880" w:name="_Toc2040"/>
      <w:bookmarkStart w:id="2881" w:name="_Toc19091"/>
      <w:bookmarkStart w:id="2882" w:name="_Toc29229"/>
      <w:bookmarkStart w:id="2883" w:name="_Toc4983"/>
      <w:bookmarkStart w:id="2884" w:name="_Toc11284"/>
      <w:bookmarkStart w:id="2885" w:name="_Toc27621"/>
      <w:bookmarkStart w:id="2886" w:name="_Toc29995"/>
      <w:bookmarkStart w:id="2887" w:name="_Toc8941"/>
      <w:bookmarkStart w:id="2888" w:name="_Toc12493"/>
      <w:bookmarkStart w:id="2889" w:name="_Toc29075"/>
      <w:bookmarkStart w:id="2890" w:name="_Toc8866"/>
      <w:bookmarkStart w:id="2891" w:name="_Toc21518"/>
      <w:bookmarkStart w:id="2892" w:name="_Toc9266"/>
      <w:bookmarkStart w:id="2893" w:name="_Toc25182"/>
      <w:r>
        <w:rPr>
          <w:rFonts w:hint="eastAsia" w:ascii="微软雅黑" w:hAnsi="微软雅黑" w:eastAsia="微软雅黑" w:cs="微软雅黑"/>
          <w:b/>
          <w:color w:val="auto"/>
          <w:sz w:val="20"/>
          <w:szCs w:val="20"/>
          <w:highlight w:val="none"/>
        </w:rPr>
        <w:t>2.18 通知</w:t>
      </w:r>
      <w:bookmarkEnd w:id="2852"/>
      <w:bookmarkEnd w:id="2853"/>
      <w:bookmarkEnd w:id="2854"/>
      <w:r>
        <w:rPr>
          <w:rFonts w:hint="eastAsia" w:ascii="微软雅黑" w:hAnsi="微软雅黑" w:eastAsia="微软雅黑" w:cs="微软雅黑"/>
          <w:b/>
          <w:color w:val="auto"/>
          <w:sz w:val="20"/>
          <w:szCs w:val="20"/>
          <w:highlight w:val="none"/>
        </w:rPr>
        <w:t>和送达</w:t>
      </w:r>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p>
    <w:p w14:paraId="4F6080F8">
      <w:pPr>
        <w:shd w:val="clear"/>
        <w:spacing w:line="360" w:lineRule="exact"/>
        <w:ind w:firstLine="400" w:firstLineChars="200"/>
        <w:outlineLvl w:val="9"/>
        <w:rPr>
          <w:rFonts w:hint="eastAsia" w:ascii="微软雅黑" w:hAnsi="微软雅黑" w:eastAsia="微软雅黑" w:cs="微软雅黑"/>
          <w:color w:val="auto"/>
          <w:sz w:val="20"/>
          <w:szCs w:val="20"/>
          <w:highlight w:val="none"/>
        </w:rPr>
      </w:pPr>
      <w:bookmarkStart w:id="2894" w:name="_Toc3135"/>
      <w:bookmarkStart w:id="2895" w:name="_Toc6698"/>
      <w:bookmarkStart w:id="2896" w:name="_Toc279701262"/>
      <w:bookmarkStart w:id="2897" w:name="_Toc487900372"/>
      <w:bookmarkStart w:id="2898" w:name="_Toc259093691"/>
      <w:r>
        <w:rPr>
          <w:rFonts w:hint="eastAsia" w:ascii="微软雅黑" w:hAnsi="微软雅黑" w:eastAsia="微软雅黑" w:cs="微软雅黑"/>
          <w:color w:val="auto"/>
          <w:sz w:val="20"/>
          <w:szCs w:val="20"/>
          <w:highlight w:val="none"/>
        </w:rPr>
        <w:t>2.18.1 任何一方因履行合同而以合同第一部分尾部所列明的</w:t>
      </w:r>
      <w:r>
        <w:rPr>
          <w:rFonts w:hint="eastAsia" w:ascii="微软雅黑" w:hAnsi="微软雅黑" w:eastAsia="微软雅黑" w:cs="微软雅黑"/>
          <w:color w:val="auto"/>
          <w:sz w:val="20"/>
          <w:szCs w:val="20"/>
          <w:highlight w:val="none"/>
          <w:u w:val="single"/>
        </w:rPr>
        <w:t xml:space="preserve">          </w:t>
      </w:r>
      <w:r>
        <w:rPr>
          <w:rFonts w:hint="eastAsia" w:ascii="微软雅黑" w:hAnsi="微软雅黑" w:eastAsia="微软雅黑" w:cs="微软雅黑"/>
          <w:color w:val="auto"/>
          <w:sz w:val="20"/>
          <w:szCs w:val="20"/>
          <w:highlight w:val="none"/>
        </w:rPr>
        <w:t>发出的所有通知、文件、材料，均视为已向对方当事人送达；任何一方变更上述送达方式或者地址的，应于</w:t>
      </w:r>
      <w:r>
        <w:rPr>
          <w:rFonts w:hint="eastAsia" w:ascii="微软雅黑" w:hAnsi="微软雅黑" w:eastAsia="微软雅黑" w:cs="微软雅黑"/>
          <w:color w:val="auto"/>
          <w:sz w:val="20"/>
          <w:szCs w:val="20"/>
          <w:highlight w:val="none"/>
          <w:u w:val="single"/>
        </w:rPr>
        <w:t xml:space="preserve"> </w:t>
      </w:r>
      <w:r>
        <w:rPr>
          <w:rFonts w:hint="eastAsia" w:ascii="微软雅黑" w:hAnsi="微软雅黑" w:eastAsia="微软雅黑" w:cs="微软雅黑"/>
          <w:color w:val="auto"/>
          <w:sz w:val="20"/>
          <w:szCs w:val="20"/>
          <w:highlight w:val="none"/>
          <w:u w:val="single"/>
          <w:lang w:val="en-US" w:eastAsia="zh-CN"/>
        </w:rPr>
        <w:t>3</w:t>
      </w:r>
      <w:r>
        <w:rPr>
          <w:rFonts w:hint="eastAsia" w:ascii="微软雅黑" w:hAnsi="微软雅黑" w:eastAsia="微软雅黑" w:cs="微软雅黑"/>
          <w:color w:val="auto"/>
          <w:sz w:val="20"/>
          <w:szCs w:val="20"/>
          <w:highlight w:val="none"/>
          <w:u w:val="single"/>
        </w:rPr>
        <w:t xml:space="preserve"> </w:t>
      </w:r>
      <w:r>
        <w:rPr>
          <w:rFonts w:hint="eastAsia" w:ascii="微软雅黑" w:hAnsi="微软雅黑" w:eastAsia="微软雅黑" w:cs="微软雅黑"/>
          <w:color w:val="auto"/>
          <w:sz w:val="20"/>
          <w:szCs w:val="20"/>
          <w:highlight w:val="none"/>
        </w:rPr>
        <w:t>个工作日内书面通知对方当事人，在对方当事人收到有关变更通知之前，变更前的约定送达方式或者地址仍视为有效。</w:t>
      </w:r>
      <w:bookmarkEnd w:id="2894"/>
      <w:bookmarkEnd w:id="2895"/>
    </w:p>
    <w:p w14:paraId="1BED7873">
      <w:pPr>
        <w:shd w:val="clear"/>
        <w:spacing w:line="360" w:lineRule="exact"/>
        <w:ind w:firstLine="400" w:firstLineChars="200"/>
        <w:outlineLvl w:val="9"/>
        <w:rPr>
          <w:rFonts w:hint="eastAsia" w:ascii="微软雅黑" w:hAnsi="微软雅黑" w:eastAsia="微软雅黑" w:cs="微软雅黑"/>
          <w:color w:val="auto"/>
          <w:sz w:val="20"/>
          <w:szCs w:val="20"/>
          <w:highlight w:val="none"/>
        </w:rPr>
      </w:pPr>
      <w:bookmarkStart w:id="2899" w:name="_Toc23294"/>
      <w:bookmarkStart w:id="2900" w:name="_Toc23128"/>
      <w:r>
        <w:rPr>
          <w:rFonts w:hint="eastAsia" w:ascii="微软雅黑" w:hAnsi="微软雅黑" w:eastAsia="微软雅黑" w:cs="微软雅黑"/>
          <w:color w:val="auto"/>
          <w:sz w:val="20"/>
          <w:szCs w:val="20"/>
          <w:highlight w:val="none"/>
        </w:rPr>
        <w:t>2.18.2以当面交付方式送达的，交付之时视为送达；以电子邮件方式送达的，发出电子邮件之时视为送达；以传真方式送达的，发出传真之时视为送达；以邮寄方式送达的，邮件挂号寄出或者交邮之日之次日视为送达。</w:t>
      </w:r>
      <w:bookmarkEnd w:id="2899"/>
      <w:bookmarkEnd w:id="2900"/>
    </w:p>
    <w:p w14:paraId="6BBDF9B0">
      <w:pPr>
        <w:shd w:val="clear"/>
        <w:spacing w:line="360" w:lineRule="exact"/>
        <w:ind w:firstLine="400" w:firstLineChars="200"/>
        <w:outlineLvl w:val="9"/>
        <w:rPr>
          <w:rFonts w:hint="eastAsia" w:ascii="微软雅黑" w:hAnsi="微软雅黑" w:eastAsia="微软雅黑" w:cs="微软雅黑"/>
          <w:b/>
          <w:color w:val="auto"/>
          <w:sz w:val="20"/>
          <w:szCs w:val="20"/>
          <w:highlight w:val="none"/>
        </w:rPr>
      </w:pPr>
      <w:bookmarkStart w:id="2901" w:name="_Toc31861"/>
      <w:bookmarkStart w:id="2902" w:name="_Toc4355"/>
      <w:bookmarkStart w:id="2903" w:name="_Toc11892"/>
      <w:bookmarkStart w:id="2904" w:name="_Toc10932"/>
      <w:bookmarkStart w:id="2905" w:name="_Toc4241"/>
      <w:bookmarkStart w:id="2906" w:name="_Toc27038"/>
      <w:bookmarkStart w:id="2907" w:name="_Toc12721"/>
      <w:bookmarkStart w:id="2908" w:name="_Toc18540"/>
      <w:bookmarkStart w:id="2909" w:name="_Toc14810"/>
      <w:bookmarkStart w:id="2910" w:name="_Toc25675"/>
      <w:bookmarkStart w:id="2911" w:name="_Toc4874"/>
      <w:bookmarkStart w:id="2912" w:name="_Toc1444"/>
      <w:bookmarkStart w:id="2913" w:name="_Toc2623"/>
      <w:bookmarkStart w:id="2914" w:name="_Toc546"/>
      <w:bookmarkStart w:id="2915" w:name="_Toc21245"/>
      <w:bookmarkStart w:id="2916" w:name="_Toc9456"/>
      <w:bookmarkStart w:id="2917" w:name="_Toc22532"/>
      <w:bookmarkStart w:id="2918" w:name="_Toc5312"/>
      <w:bookmarkStart w:id="2919" w:name="_Toc19958"/>
      <w:bookmarkStart w:id="2920" w:name="_Toc16010"/>
      <w:bookmarkStart w:id="2921" w:name="_Toc14430"/>
      <w:bookmarkStart w:id="2922" w:name="_Toc21923"/>
      <w:bookmarkStart w:id="2923" w:name="_Toc30497"/>
      <w:bookmarkStart w:id="2924" w:name="_Toc30599"/>
      <w:bookmarkStart w:id="2925" w:name="_Toc10755"/>
      <w:bookmarkStart w:id="2926" w:name="_Toc4747"/>
      <w:bookmarkStart w:id="2927" w:name="_Toc29028"/>
      <w:bookmarkStart w:id="2928" w:name="_Toc16493"/>
      <w:bookmarkStart w:id="2929" w:name="_Toc30299"/>
      <w:bookmarkStart w:id="2930" w:name="_Toc22798"/>
      <w:bookmarkStart w:id="2931" w:name="_Toc1121"/>
      <w:bookmarkStart w:id="2932" w:name="_Toc4435"/>
      <w:bookmarkStart w:id="2933" w:name="_Toc18605"/>
      <w:bookmarkStart w:id="2934" w:name="_Toc20989"/>
      <w:bookmarkStart w:id="2935" w:name="_Toc9371"/>
      <w:bookmarkStart w:id="2936" w:name="_Toc20309"/>
      <w:bookmarkStart w:id="2937" w:name="_Toc28855"/>
      <w:bookmarkStart w:id="2938" w:name="_Toc20914"/>
      <w:bookmarkStart w:id="2939" w:name="_Toc29312"/>
      <w:bookmarkStart w:id="2940" w:name="_Toc11585"/>
      <w:bookmarkStart w:id="2941" w:name="_Toc25198"/>
      <w:bookmarkStart w:id="2942" w:name="_Toc19314"/>
      <w:r>
        <w:rPr>
          <w:rFonts w:hint="eastAsia" w:ascii="微软雅黑" w:hAnsi="微软雅黑" w:eastAsia="微软雅黑" w:cs="微软雅黑"/>
          <w:b/>
          <w:color w:val="auto"/>
          <w:sz w:val="20"/>
          <w:szCs w:val="20"/>
          <w:highlight w:val="none"/>
        </w:rPr>
        <w:t>2.19 计量单位</w:t>
      </w:r>
      <w:bookmarkEnd w:id="2896"/>
      <w:bookmarkEnd w:id="2897"/>
      <w:bookmarkEnd w:id="2898"/>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p>
    <w:p w14:paraId="46A1336D">
      <w:pPr>
        <w:shd w:val="clear"/>
        <w:spacing w:line="360" w:lineRule="exact"/>
        <w:ind w:firstLine="400" w:firstLineChars="200"/>
        <w:outlineLvl w:val="9"/>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除技术规范中另有规定外,合同的计量单位均使用国家法定计量单位。</w:t>
      </w:r>
    </w:p>
    <w:p w14:paraId="1B11C7F6">
      <w:pPr>
        <w:shd w:val="clear"/>
        <w:spacing w:line="360" w:lineRule="exact"/>
        <w:ind w:firstLine="400" w:firstLineChars="200"/>
        <w:outlineLvl w:val="9"/>
        <w:rPr>
          <w:rFonts w:hint="eastAsia" w:ascii="微软雅黑" w:hAnsi="微软雅黑" w:eastAsia="微软雅黑" w:cs="微软雅黑"/>
          <w:b/>
          <w:color w:val="auto"/>
          <w:sz w:val="20"/>
          <w:szCs w:val="20"/>
          <w:highlight w:val="none"/>
        </w:rPr>
      </w:pPr>
      <w:bookmarkStart w:id="2943" w:name="_Toc7172"/>
      <w:bookmarkStart w:id="2944" w:name="_Toc5796"/>
      <w:bookmarkStart w:id="2945" w:name="_Toc12773"/>
      <w:bookmarkStart w:id="2946" w:name="_Toc10198"/>
      <w:bookmarkStart w:id="2947" w:name="_Toc18634"/>
      <w:bookmarkStart w:id="2948" w:name="_Toc18567"/>
      <w:bookmarkStart w:id="2949" w:name="_Toc10830"/>
      <w:bookmarkStart w:id="2950" w:name="_Toc259093692"/>
      <w:bookmarkStart w:id="2951" w:name="_Toc1736"/>
      <w:bookmarkStart w:id="2952" w:name="_Toc6343"/>
      <w:bookmarkStart w:id="2953" w:name="_Toc2161"/>
      <w:bookmarkStart w:id="2954" w:name="_Toc12547"/>
      <w:bookmarkStart w:id="2955" w:name="_Toc9331"/>
      <w:bookmarkStart w:id="2956" w:name="_Toc24115"/>
      <w:bookmarkStart w:id="2957" w:name="_Toc6558"/>
      <w:bookmarkStart w:id="2958" w:name="_Toc20624"/>
      <w:bookmarkStart w:id="2959" w:name="_Toc32562"/>
      <w:bookmarkStart w:id="2960" w:name="_Toc15271"/>
      <w:bookmarkStart w:id="2961" w:name="_Toc16821"/>
      <w:bookmarkStart w:id="2962" w:name="_Toc17633"/>
      <w:bookmarkStart w:id="2963" w:name="_Toc15428"/>
      <w:bookmarkStart w:id="2964" w:name="_Toc487900373"/>
      <w:bookmarkStart w:id="2965" w:name="_Toc6315"/>
      <w:bookmarkStart w:id="2966" w:name="_Toc26340"/>
      <w:bookmarkStart w:id="2967" w:name="_Toc279701263"/>
      <w:bookmarkStart w:id="2968" w:name="_Toc13131"/>
      <w:bookmarkStart w:id="2969" w:name="_Toc32583"/>
      <w:bookmarkStart w:id="2970" w:name="_Toc27589"/>
      <w:bookmarkStart w:id="2971" w:name="_Toc19978"/>
      <w:bookmarkStart w:id="2972" w:name="_Toc16880"/>
      <w:bookmarkStart w:id="2973" w:name="_Toc24231"/>
      <w:bookmarkStart w:id="2974" w:name="_Toc15868"/>
      <w:bookmarkStart w:id="2975" w:name="_Toc17517"/>
      <w:bookmarkStart w:id="2976" w:name="_Toc28784"/>
      <w:bookmarkStart w:id="2977" w:name="_Toc11613"/>
      <w:bookmarkStart w:id="2978" w:name="_Toc11130"/>
      <w:bookmarkStart w:id="2979" w:name="_Toc19154"/>
      <w:bookmarkStart w:id="2980" w:name="_Toc7567"/>
      <w:bookmarkStart w:id="2981" w:name="_Toc23641"/>
      <w:bookmarkStart w:id="2982" w:name="_Toc10330"/>
      <w:bookmarkStart w:id="2983" w:name="_Toc30870"/>
      <w:bookmarkStart w:id="2984" w:name="_Toc18716"/>
      <w:r>
        <w:rPr>
          <w:rFonts w:hint="eastAsia" w:ascii="微软雅黑" w:hAnsi="微软雅黑" w:eastAsia="微软雅黑" w:cs="微软雅黑"/>
          <w:b/>
          <w:color w:val="auto"/>
          <w:sz w:val="20"/>
          <w:szCs w:val="20"/>
          <w:highlight w:val="none"/>
        </w:rPr>
        <w:t>2.20 合同使用的文字和适用的法律</w:t>
      </w:r>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p>
    <w:p w14:paraId="658B4ED5">
      <w:pPr>
        <w:shd w:val="clear"/>
        <w:spacing w:line="360" w:lineRule="exact"/>
        <w:ind w:firstLine="400" w:firstLineChars="200"/>
        <w:outlineLvl w:val="9"/>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2.20.1 合同使用汉语书就、变更和解释；</w:t>
      </w:r>
    </w:p>
    <w:p w14:paraId="06CC79A3">
      <w:pPr>
        <w:shd w:val="clear"/>
        <w:spacing w:line="360" w:lineRule="exact"/>
        <w:ind w:firstLine="400" w:firstLineChars="200"/>
        <w:outlineLvl w:val="9"/>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2.20.2 合同适用中华人民共和国法律。</w:t>
      </w:r>
    </w:p>
    <w:p w14:paraId="42DFE9A2">
      <w:pPr>
        <w:shd w:val="clear"/>
        <w:spacing w:line="360" w:lineRule="exact"/>
        <w:ind w:firstLine="400" w:firstLineChars="200"/>
        <w:outlineLvl w:val="9"/>
        <w:rPr>
          <w:rFonts w:hint="eastAsia" w:ascii="微软雅黑" w:hAnsi="微软雅黑" w:eastAsia="微软雅黑" w:cs="微软雅黑"/>
          <w:b/>
          <w:color w:val="auto"/>
          <w:sz w:val="20"/>
          <w:szCs w:val="20"/>
          <w:highlight w:val="none"/>
        </w:rPr>
      </w:pPr>
      <w:bookmarkStart w:id="2985" w:name="_Toc420"/>
      <w:bookmarkStart w:id="2986" w:name="_Toc32497"/>
      <w:bookmarkStart w:id="2987" w:name="_Toc23015"/>
      <w:bookmarkStart w:id="2988" w:name="_Toc18281"/>
      <w:bookmarkStart w:id="2989" w:name="_Toc1670"/>
      <w:bookmarkStart w:id="2990" w:name="_Toc279701264"/>
      <w:bookmarkStart w:id="2991" w:name="_Toc1396"/>
      <w:bookmarkStart w:id="2992" w:name="_Toc26372"/>
      <w:bookmarkStart w:id="2993" w:name="_Toc3112"/>
      <w:bookmarkStart w:id="2994" w:name="_Toc13924"/>
      <w:bookmarkStart w:id="2995" w:name="_Toc29073"/>
      <w:bookmarkStart w:id="2996" w:name="_Toc14308"/>
      <w:bookmarkStart w:id="2997" w:name="_Toc16673"/>
      <w:bookmarkStart w:id="2998" w:name="_Toc31560"/>
      <w:bookmarkStart w:id="2999" w:name="_Toc23464"/>
      <w:bookmarkStart w:id="3000" w:name="_Toc638"/>
      <w:bookmarkStart w:id="3001" w:name="_Toc21915"/>
      <w:bookmarkStart w:id="3002" w:name="_Toc3148"/>
      <w:bookmarkStart w:id="3003" w:name="_Toc1536"/>
      <w:bookmarkStart w:id="3004" w:name="_Toc3165"/>
      <w:bookmarkStart w:id="3005" w:name="_Toc16658"/>
      <w:bookmarkStart w:id="3006" w:name="_Toc14964"/>
      <w:bookmarkStart w:id="3007" w:name="_Toc11628"/>
      <w:bookmarkStart w:id="3008" w:name="_Toc16113"/>
      <w:bookmarkStart w:id="3009" w:name="_Toc25551"/>
      <w:bookmarkStart w:id="3010" w:name="_Toc14025"/>
      <w:bookmarkStart w:id="3011" w:name="_Toc18845"/>
      <w:bookmarkStart w:id="3012" w:name="_Toc21851"/>
      <w:bookmarkStart w:id="3013" w:name="_Toc12004"/>
      <w:bookmarkStart w:id="3014" w:name="_Toc18838"/>
      <w:bookmarkStart w:id="3015" w:name="_Toc259093693"/>
      <w:bookmarkStart w:id="3016" w:name="_Toc17743"/>
      <w:bookmarkStart w:id="3017" w:name="_Toc19409"/>
      <w:bookmarkStart w:id="3018" w:name="_Toc17759"/>
      <w:bookmarkStart w:id="3019" w:name="_Toc5000"/>
      <w:bookmarkStart w:id="3020" w:name="_Toc12066"/>
      <w:bookmarkStart w:id="3021" w:name="_Toc30511"/>
      <w:bookmarkStart w:id="3022" w:name="_Toc9880"/>
      <w:bookmarkStart w:id="3023" w:name="_Toc9280"/>
      <w:bookmarkStart w:id="3024" w:name="_Toc17588"/>
      <w:bookmarkStart w:id="3025" w:name="_Toc8602"/>
      <w:bookmarkStart w:id="3026" w:name="_Toc15434"/>
      <w:bookmarkStart w:id="3027" w:name="_Toc30227"/>
      <w:bookmarkStart w:id="3028" w:name="_Toc31790"/>
      <w:bookmarkStart w:id="3029" w:name="_Toc487900374"/>
      <w:r>
        <w:rPr>
          <w:rFonts w:hint="eastAsia" w:ascii="微软雅黑" w:hAnsi="微软雅黑" w:eastAsia="微软雅黑" w:cs="微软雅黑"/>
          <w:b/>
          <w:color w:val="auto"/>
          <w:sz w:val="20"/>
          <w:szCs w:val="20"/>
          <w:highlight w:val="none"/>
        </w:rPr>
        <w:t>2.21 履约保证金</w:t>
      </w:r>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p>
    <w:p w14:paraId="5B117BFE">
      <w:pPr>
        <w:shd w:val="clear"/>
        <w:spacing w:line="360" w:lineRule="exact"/>
        <w:ind w:firstLine="400" w:firstLineChars="200"/>
        <w:outlineLvl w:val="9"/>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2.21.1 采购文件要求乙方提交履约保证金的，乙方应按</w:t>
      </w:r>
      <w:r>
        <w:rPr>
          <w:rFonts w:hint="eastAsia" w:ascii="微软雅黑" w:hAnsi="微软雅黑" w:eastAsia="微软雅黑" w:cs="微软雅黑"/>
          <w:b/>
          <w:i/>
          <w:color w:val="auto"/>
          <w:sz w:val="20"/>
          <w:szCs w:val="20"/>
          <w:highlight w:val="none"/>
          <w:u w:val="single"/>
        </w:rPr>
        <w:t>合同专用条款</w:t>
      </w:r>
      <w:r>
        <w:rPr>
          <w:rFonts w:hint="eastAsia" w:ascii="微软雅黑" w:hAnsi="微软雅黑" w:eastAsia="微软雅黑" w:cs="微软雅黑"/>
          <w:color w:val="auto"/>
          <w:sz w:val="20"/>
          <w:szCs w:val="20"/>
          <w:highlight w:val="none"/>
        </w:rPr>
        <w:t>约定的方式，以支票、汇票、本票或者金融机构、担保机构出具的保函等非现金形式，提交不超过合同价10%的履约保证金；</w:t>
      </w:r>
    </w:p>
    <w:p w14:paraId="00DA8794">
      <w:pPr>
        <w:shd w:val="clear"/>
        <w:spacing w:line="360" w:lineRule="exact"/>
        <w:ind w:firstLine="400" w:firstLineChars="200"/>
        <w:outlineLvl w:val="9"/>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2.21.2  履约保证金在</w:t>
      </w:r>
      <w:r>
        <w:rPr>
          <w:rFonts w:hint="eastAsia" w:ascii="微软雅黑" w:hAnsi="微软雅黑" w:eastAsia="微软雅黑" w:cs="微软雅黑"/>
          <w:b/>
          <w:i/>
          <w:color w:val="auto"/>
          <w:sz w:val="20"/>
          <w:szCs w:val="20"/>
          <w:highlight w:val="none"/>
          <w:u w:val="single"/>
        </w:rPr>
        <w:t>合同专用条款</w:t>
      </w:r>
      <w:r>
        <w:rPr>
          <w:rFonts w:hint="eastAsia" w:ascii="微软雅黑" w:hAnsi="微软雅黑" w:eastAsia="微软雅黑" w:cs="微软雅黑"/>
          <w:color w:val="auto"/>
          <w:sz w:val="20"/>
          <w:szCs w:val="20"/>
          <w:highlight w:val="none"/>
        </w:rPr>
        <w:t>约定期间内或者货物质量保证期内不予退还或者应完全有效，前述约定期间届满或者货物质量保证期届满之日起</w:t>
      </w:r>
      <w:r>
        <w:rPr>
          <w:rFonts w:hint="eastAsia" w:ascii="微软雅黑" w:hAnsi="微软雅黑" w:eastAsia="微软雅黑" w:cs="微软雅黑"/>
          <w:color w:val="auto"/>
          <w:sz w:val="20"/>
          <w:szCs w:val="20"/>
          <w:highlight w:val="none"/>
          <w:u w:val="single"/>
        </w:rPr>
        <w:t xml:space="preserve">  </w:t>
      </w:r>
      <w:r>
        <w:rPr>
          <w:rFonts w:hint="eastAsia" w:ascii="微软雅黑" w:hAnsi="微软雅黑" w:eastAsia="微软雅黑" w:cs="微软雅黑"/>
          <w:color w:val="auto"/>
          <w:sz w:val="20"/>
          <w:szCs w:val="20"/>
          <w:highlight w:val="none"/>
        </w:rPr>
        <w:t>个工作日内，甲方应将履约保证金退还乙方；</w:t>
      </w:r>
    </w:p>
    <w:p w14:paraId="2F84D9A6">
      <w:pPr>
        <w:shd w:val="clear"/>
        <w:spacing w:line="360" w:lineRule="exact"/>
        <w:ind w:firstLine="400" w:firstLineChars="200"/>
        <w:outlineLvl w:val="9"/>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2.21.3 如果乙方不履行合同，履约保证金不予退还；如果乙方未能按合同约定全面履行义务，那么甲方有权从履约保证金中取得补偿或赔偿，同时不影响甲方要求乙方承担合同约定的超过履约保证金的违约责任的权利。</w:t>
      </w:r>
    </w:p>
    <w:bookmarkEnd w:id="3029"/>
    <w:p w14:paraId="1480C593">
      <w:pPr>
        <w:shd w:val="clear"/>
        <w:spacing w:line="360" w:lineRule="exact"/>
        <w:ind w:firstLine="400" w:firstLineChars="200"/>
        <w:outlineLvl w:val="9"/>
        <w:rPr>
          <w:rFonts w:hint="eastAsia" w:ascii="微软雅黑" w:hAnsi="微软雅黑" w:eastAsia="微软雅黑" w:cs="微软雅黑"/>
          <w:b/>
          <w:color w:val="auto"/>
          <w:sz w:val="20"/>
          <w:szCs w:val="20"/>
          <w:highlight w:val="none"/>
        </w:rPr>
      </w:pPr>
      <w:bookmarkStart w:id="3030" w:name="_Toc27561"/>
      <w:bookmarkStart w:id="3031" w:name="_Toc3020"/>
      <w:bookmarkStart w:id="3032" w:name="_Toc31089"/>
      <w:bookmarkStart w:id="3033" w:name="_Toc31950"/>
      <w:bookmarkStart w:id="3034" w:name="_Toc2720"/>
      <w:bookmarkStart w:id="3035" w:name="_Toc20802"/>
      <w:bookmarkStart w:id="3036" w:name="_Toc10477"/>
      <w:bookmarkStart w:id="3037" w:name="_Toc2082"/>
      <w:bookmarkStart w:id="3038" w:name="_Toc12034"/>
      <w:bookmarkStart w:id="3039" w:name="_Toc1606"/>
      <w:bookmarkStart w:id="3040" w:name="_Toc24006"/>
      <w:bookmarkStart w:id="3041" w:name="_Toc6885"/>
      <w:bookmarkStart w:id="3042" w:name="_Toc11103"/>
      <w:bookmarkStart w:id="3043" w:name="_Toc8495"/>
      <w:bookmarkStart w:id="3044" w:name="_Toc8867"/>
      <w:bookmarkStart w:id="3045" w:name="_Toc27563"/>
      <w:bookmarkStart w:id="3046" w:name="_Toc2916"/>
      <w:bookmarkStart w:id="3047" w:name="_Toc7161"/>
      <w:bookmarkStart w:id="3048" w:name="_Toc13582"/>
      <w:bookmarkStart w:id="3049" w:name="_Toc10551"/>
      <w:bookmarkStart w:id="3050" w:name="_Toc19890"/>
      <w:bookmarkStart w:id="3051" w:name="_Toc28671"/>
      <w:bookmarkStart w:id="3052" w:name="_Toc9042"/>
      <w:bookmarkStart w:id="3053" w:name="_Toc28897"/>
      <w:bookmarkStart w:id="3054" w:name="_Toc30496"/>
      <w:bookmarkStart w:id="3055" w:name="_Toc32479"/>
      <w:bookmarkStart w:id="3056" w:name="_Toc10796"/>
      <w:bookmarkStart w:id="3057" w:name="_Toc25691"/>
      <w:bookmarkStart w:id="3058" w:name="_Toc11632"/>
      <w:bookmarkStart w:id="3059" w:name="_Toc30847"/>
      <w:bookmarkStart w:id="3060" w:name="_Toc12607"/>
      <w:bookmarkStart w:id="3061" w:name="_Toc32408"/>
      <w:bookmarkStart w:id="3062" w:name="_Toc27735"/>
      <w:bookmarkStart w:id="3063" w:name="_Toc11644"/>
      <w:bookmarkStart w:id="3064" w:name="_Toc2442"/>
      <w:bookmarkStart w:id="3065" w:name="_Toc14001"/>
      <w:bookmarkStart w:id="3066" w:name="_Toc22496"/>
      <w:bookmarkStart w:id="3067" w:name="_Toc10801"/>
      <w:bookmarkStart w:id="3068" w:name="_Toc22821"/>
      <w:bookmarkStart w:id="3069" w:name="_Toc10736"/>
      <w:bookmarkStart w:id="3070" w:name="_Toc369"/>
      <w:bookmarkStart w:id="3071" w:name="_Toc25712"/>
      <w:r>
        <w:rPr>
          <w:rFonts w:hint="eastAsia" w:ascii="微软雅黑" w:hAnsi="微软雅黑" w:eastAsia="微软雅黑" w:cs="微软雅黑"/>
          <w:b/>
          <w:color w:val="auto"/>
          <w:sz w:val="20"/>
          <w:szCs w:val="20"/>
          <w:highlight w:val="none"/>
        </w:rPr>
        <w:t>2.22 合同份数</w:t>
      </w:r>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p>
    <w:p w14:paraId="626AEC2A">
      <w:pPr>
        <w:shd w:val="clear"/>
        <w:spacing w:line="360" w:lineRule="exact"/>
        <w:ind w:firstLine="400" w:firstLineChars="200"/>
        <w:outlineLvl w:val="9"/>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合同份数按</w:t>
      </w:r>
      <w:r>
        <w:rPr>
          <w:rFonts w:hint="eastAsia" w:ascii="微软雅黑" w:hAnsi="微软雅黑" w:eastAsia="微软雅黑" w:cs="微软雅黑"/>
          <w:b/>
          <w:i/>
          <w:color w:val="auto"/>
          <w:sz w:val="20"/>
          <w:szCs w:val="20"/>
          <w:highlight w:val="none"/>
          <w:u w:val="single"/>
        </w:rPr>
        <w:t>合同专用条款</w:t>
      </w:r>
      <w:r>
        <w:rPr>
          <w:rFonts w:hint="eastAsia" w:ascii="微软雅黑" w:hAnsi="微软雅黑" w:eastAsia="微软雅黑" w:cs="微软雅黑"/>
          <w:color w:val="auto"/>
          <w:sz w:val="20"/>
          <w:szCs w:val="20"/>
          <w:highlight w:val="none"/>
        </w:rPr>
        <w:t>规定，每份均具有同等法律效力。</w:t>
      </w:r>
    </w:p>
    <w:p w14:paraId="2D88A6C8">
      <w:pPr>
        <w:pStyle w:val="67"/>
        <w:shd w:val="clear"/>
        <w:spacing w:line="360" w:lineRule="exact"/>
        <w:ind w:firstLine="0"/>
        <w:jc w:val="center"/>
        <w:outlineLvl w:val="9"/>
        <w:rPr>
          <w:rFonts w:hint="eastAsia" w:ascii="微软雅黑" w:hAnsi="微软雅黑" w:eastAsia="微软雅黑" w:cs="微软雅黑"/>
          <w:b/>
          <w:color w:val="auto"/>
          <w:sz w:val="20"/>
          <w:szCs w:val="20"/>
          <w:highlight w:val="none"/>
        </w:rPr>
      </w:pPr>
      <w:bookmarkStart w:id="3072" w:name="_Toc331685784"/>
    </w:p>
    <w:p w14:paraId="3431E195">
      <w:pPr>
        <w:pStyle w:val="67"/>
        <w:shd w:val="clear"/>
        <w:spacing w:line="360" w:lineRule="exact"/>
        <w:ind w:firstLine="0"/>
        <w:jc w:val="center"/>
        <w:outlineLvl w:val="9"/>
        <w:rPr>
          <w:rFonts w:hint="eastAsia" w:ascii="微软雅黑" w:hAnsi="微软雅黑" w:eastAsia="微软雅黑" w:cs="微软雅黑"/>
          <w:b/>
          <w:color w:val="auto"/>
          <w:sz w:val="20"/>
          <w:szCs w:val="20"/>
          <w:highlight w:val="none"/>
        </w:rPr>
      </w:pPr>
    </w:p>
    <w:p w14:paraId="0A062F33">
      <w:pPr>
        <w:pStyle w:val="67"/>
        <w:shd w:val="clear"/>
        <w:spacing w:line="360" w:lineRule="exact"/>
        <w:ind w:firstLine="0"/>
        <w:jc w:val="center"/>
        <w:outlineLvl w:val="9"/>
        <w:rPr>
          <w:rFonts w:hint="eastAsia" w:ascii="微软雅黑" w:hAnsi="微软雅黑" w:eastAsia="微软雅黑" w:cs="微软雅黑"/>
          <w:b/>
          <w:color w:val="auto"/>
          <w:sz w:val="20"/>
          <w:szCs w:val="20"/>
          <w:highlight w:val="none"/>
        </w:rPr>
      </w:pPr>
    </w:p>
    <w:p w14:paraId="74F8D1FC">
      <w:pPr>
        <w:pStyle w:val="67"/>
        <w:shd w:val="clear"/>
        <w:spacing w:line="360" w:lineRule="exact"/>
        <w:ind w:firstLine="0"/>
        <w:jc w:val="center"/>
        <w:outlineLvl w:val="9"/>
        <w:rPr>
          <w:rFonts w:hint="eastAsia" w:ascii="微软雅黑" w:hAnsi="微软雅黑" w:eastAsia="微软雅黑" w:cs="微软雅黑"/>
          <w:b/>
          <w:color w:val="auto"/>
          <w:sz w:val="20"/>
          <w:szCs w:val="20"/>
          <w:highlight w:val="none"/>
        </w:rPr>
      </w:pPr>
    </w:p>
    <w:p w14:paraId="6C9D8BAA">
      <w:pPr>
        <w:pStyle w:val="67"/>
        <w:shd w:val="clear"/>
        <w:spacing w:line="360" w:lineRule="exact"/>
        <w:ind w:firstLine="0"/>
        <w:jc w:val="center"/>
        <w:outlineLvl w:val="9"/>
        <w:rPr>
          <w:rFonts w:hint="eastAsia" w:ascii="微软雅黑" w:hAnsi="微软雅黑" w:eastAsia="微软雅黑" w:cs="微软雅黑"/>
          <w:b/>
          <w:color w:val="auto"/>
          <w:sz w:val="20"/>
          <w:szCs w:val="20"/>
          <w:highlight w:val="none"/>
        </w:rPr>
      </w:pPr>
    </w:p>
    <w:p w14:paraId="0AB6BD0B">
      <w:pPr>
        <w:pStyle w:val="67"/>
        <w:shd w:val="clear"/>
        <w:spacing w:line="360" w:lineRule="exact"/>
        <w:ind w:firstLine="0"/>
        <w:jc w:val="center"/>
        <w:outlineLvl w:val="9"/>
        <w:rPr>
          <w:rFonts w:hint="eastAsia" w:ascii="微软雅黑" w:hAnsi="微软雅黑" w:eastAsia="微软雅黑" w:cs="微软雅黑"/>
          <w:b/>
          <w:color w:val="auto"/>
          <w:sz w:val="20"/>
          <w:szCs w:val="20"/>
          <w:highlight w:val="none"/>
        </w:rPr>
      </w:pPr>
    </w:p>
    <w:p w14:paraId="5B4EA757">
      <w:pPr>
        <w:outlineLvl w:val="9"/>
        <w:rPr>
          <w:rFonts w:hint="eastAsia" w:ascii="微软雅黑" w:hAnsi="微软雅黑" w:eastAsia="微软雅黑" w:cs="微软雅黑"/>
          <w:b/>
          <w:color w:val="auto"/>
          <w:sz w:val="20"/>
          <w:szCs w:val="20"/>
          <w:highlight w:val="none"/>
        </w:rPr>
      </w:pPr>
      <w:r>
        <w:rPr>
          <w:rFonts w:hint="eastAsia" w:ascii="微软雅黑" w:hAnsi="微软雅黑" w:eastAsia="微软雅黑" w:cs="微软雅黑"/>
          <w:b/>
          <w:color w:val="auto"/>
          <w:sz w:val="20"/>
          <w:szCs w:val="20"/>
          <w:highlight w:val="none"/>
        </w:rPr>
        <w:br w:type="page"/>
      </w:r>
    </w:p>
    <w:p w14:paraId="5639AD80">
      <w:pPr>
        <w:pStyle w:val="67"/>
        <w:shd w:val="clear"/>
        <w:spacing w:line="360" w:lineRule="exact"/>
        <w:ind w:firstLine="0"/>
        <w:jc w:val="center"/>
        <w:outlineLvl w:val="9"/>
        <w:rPr>
          <w:rFonts w:hint="eastAsia" w:ascii="微软雅黑" w:hAnsi="微软雅黑" w:eastAsia="微软雅黑" w:cs="微软雅黑"/>
          <w:b/>
          <w:color w:val="auto"/>
          <w:sz w:val="20"/>
          <w:szCs w:val="20"/>
          <w:highlight w:val="none"/>
        </w:rPr>
      </w:pPr>
      <w:r>
        <w:rPr>
          <w:rFonts w:hint="eastAsia" w:ascii="微软雅黑" w:hAnsi="微软雅黑" w:eastAsia="微软雅黑" w:cs="微软雅黑"/>
          <w:b/>
          <w:color w:val="auto"/>
          <w:sz w:val="20"/>
          <w:szCs w:val="20"/>
          <w:highlight w:val="none"/>
        </w:rPr>
        <w:t>第三部分  合同专用条款</w:t>
      </w:r>
      <w:bookmarkEnd w:id="3072"/>
    </w:p>
    <w:p w14:paraId="6B0DDB9A">
      <w:pPr>
        <w:shd w:val="clear"/>
        <w:spacing w:line="360" w:lineRule="exact"/>
        <w:ind w:firstLine="400" w:firstLineChars="200"/>
        <w:outlineLvl w:val="9"/>
        <w:rPr>
          <w:rFonts w:hint="eastAsia" w:ascii="微软雅黑" w:hAnsi="微软雅黑" w:eastAsia="微软雅黑" w:cs="微软雅黑"/>
          <w:color w:val="auto"/>
          <w:sz w:val="20"/>
          <w:szCs w:val="20"/>
          <w:highlight w:val="none"/>
        </w:rPr>
      </w:pPr>
      <w:r>
        <w:rPr>
          <w:rFonts w:hint="eastAsia" w:ascii="微软雅黑" w:hAnsi="微软雅黑" w:eastAsia="微软雅黑" w:cs="微软雅黑"/>
          <w:color w:val="auto"/>
          <w:sz w:val="20"/>
          <w:szCs w:val="20"/>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32"/>
        <w:tblW w:w="8434"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01"/>
        <w:gridCol w:w="7633"/>
      </w:tblGrid>
      <w:tr w14:paraId="101F36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801" w:type="dxa"/>
            <w:tcBorders>
              <w:left w:val="single" w:color="auto" w:sz="4" w:space="0"/>
            </w:tcBorders>
            <w:vAlign w:val="center"/>
          </w:tcPr>
          <w:p w14:paraId="0D379788">
            <w:pPr>
              <w:shd w:val="clear"/>
              <w:spacing w:line="360" w:lineRule="exact"/>
              <w:jc w:val="center"/>
              <w:outlineLvl w:val="9"/>
              <w:rPr>
                <w:rFonts w:hint="eastAsia" w:ascii="微软雅黑" w:hAnsi="微软雅黑" w:eastAsia="微软雅黑" w:cs="微软雅黑"/>
                <w:b/>
                <w:color w:val="auto"/>
                <w:sz w:val="20"/>
                <w:szCs w:val="20"/>
                <w:highlight w:val="none"/>
              </w:rPr>
            </w:pPr>
            <w:r>
              <w:rPr>
                <w:rFonts w:hint="eastAsia" w:ascii="微软雅黑" w:hAnsi="微软雅黑" w:eastAsia="微软雅黑" w:cs="微软雅黑"/>
                <w:b/>
                <w:color w:val="auto"/>
                <w:sz w:val="20"/>
                <w:szCs w:val="20"/>
                <w:highlight w:val="none"/>
              </w:rPr>
              <w:t>条款号</w:t>
            </w:r>
          </w:p>
        </w:tc>
        <w:tc>
          <w:tcPr>
            <w:tcW w:w="7633" w:type="dxa"/>
            <w:vAlign w:val="center"/>
          </w:tcPr>
          <w:p w14:paraId="3FBBF09D">
            <w:pPr>
              <w:shd w:val="clear"/>
              <w:spacing w:line="360" w:lineRule="exact"/>
              <w:jc w:val="center"/>
              <w:outlineLvl w:val="9"/>
              <w:rPr>
                <w:rFonts w:hint="eastAsia" w:ascii="微软雅黑" w:hAnsi="微软雅黑" w:eastAsia="微软雅黑" w:cs="微软雅黑"/>
                <w:b/>
                <w:color w:val="auto"/>
                <w:sz w:val="20"/>
                <w:szCs w:val="20"/>
                <w:highlight w:val="none"/>
              </w:rPr>
            </w:pPr>
            <w:r>
              <w:rPr>
                <w:rFonts w:hint="eastAsia" w:ascii="微软雅黑" w:hAnsi="微软雅黑" w:eastAsia="微软雅黑" w:cs="微软雅黑"/>
                <w:b/>
                <w:color w:val="auto"/>
                <w:sz w:val="20"/>
                <w:szCs w:val="20"/>
                <w:highlight w:val="none"/>
              </w:rPr>
              <w:t>约定内容</w:t>
            </w:r>
          </w:p>
        </w:tc>
      </w:tr>
      <w:tr w14:paraId="0F8EC1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01" w:type="dxa"/>
            <w:tcBorders>
              <w:left w:val="single" w:color="auto" w:sz="4" w:space="0"/>
            </w:tcBorders>
            <w:vAlign w:val="center"/>
          </w:tcPr>
          <w:p w14:paraId="1CF13411">
            <w:pPr>
              <w:shd w:val="clear"/>
              <w:spacing w:line="360" w:lineRule="exact"/>
              <w:outlineLvl w:val="9"/>
              <w:rPr>
                <w:rFonts w:hint="eastAsia" w:ascii="微软雅黑" w:hAnsi="微软雅黑" w:eastAsia="微软雅黑" w:cs="微软雅黑"/>
                <w:color w:val="auto"/>
                <w:sz w:val="20"/>
                <w:szCs w:val="20"/>
                <w:highlight w:val="none"/>
              </w:rPr>
            </w:pPr>
          </w:p>
        </w:tc>
        <w:tc>
          <w:tcPr>
            <w:tcW w:w="7633" w:type="dxa"/>
            <w:vAlign w:val="center"/>
          </w:tcPr>
          <w:p w14:paraId="5E8BFDD1">
            <w:pPr>
              <w:shd w:val="clear"/>
              <w:spacing w:line="360" w:lineRule="exact"/>
              <w:outlineLvl w:val="9"/>
              <w:rPr>
                <w:rFonts w:hint="eastAsia" w:ascii="微软雅黑" w:hAnsi="微软雅黑" w:eastAsia="微软雅黑" w:cs="微软雅黑"/>
                <w:color w:val="auto"/>
                <w:sz w:val="20"/>
                <w:szCs w:val="20"/>
                <w:highlight w:val="none"/>
              </w:rPr>
            </w:pPr>
          </w:p>
        </w:tc>
      </w:tr>
      <w:tr w14:paraId="091D26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01" w:type="dxa"/>
            <w:tcBorders>
              <w:left w:val="single" w:color="auto" w:sz="4" w:space="0"/>
            </w:tcBorders>
            <w:vAlign w:val="center"/>
          </w:tcPr>
          <w:p w14:paraId="6719F578">
            <w:pPr>
              <w:shd w:val="clear"/>
              <w:spacing w:line="360" w:lineRule="exact"/>
              <w:outlineLvl w:val="9"/>
              <w:rPr>
                <w:rFonts w:hint="eastAsia" w:ascii="微软雅黑" w:hAnsi="微软雅黑" w:eastAsia="微软雅黑" w:cs="微软雅黑"/>
                <w:color w:val="auto"/>
                <w:sz w:val="20"/>
                <w:szCs w:val="20"/>
                <w:highlight w:val="none"/>
              </w:rPr>
            </w:pPr>
          </w:p>
        </w:tc>
        <w:tc>
          <w:tcPr>
            <w:tcW w:w="7633" w:type="dxa"/>
            <w:vAlign w:val="center"/>
          </w:tcPr>
          <w:p w14:paraId="2E070FB2">
            <w:pPr>
              <w:shd w:val="clear"/>
              <w:spacing w:line="360" w:lineRule="exact"/>
              <w:outlineLvl w:val="9"/>
              <w:rPr>
                <w:rFonts w:hint="eastAsia" w:ascii="微软雅黑" w:hAnsi="微软雅黑" w:eastAsia="微软雅黑" w:cs="微软雅黑"/>
                <w:color w:val="auto"/>
                <w:sz w:val="20"/>
                <w:szCs w:val="20"/>
                <w:highlight w:val="none"/>
              </w:rPr>
            </w:pPr>
          </w:p>
        </w:tc>
      </w:tr>
      <w:tr w14:paraId="085F33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01" w:type="dxa"/>
            <w:tcBorders>
              <w:left w:val="single" w:color="auto" w:sz="4" w:space="0"/>
            </w:tcBorders>
            <w:vAlign w:val="center"/>
          </w:tcPr>
          <w:p w14:paraId="05955BB0">
            <w:pPr>
              <w:shd w:val="clear"/>
              <w:spacing w:line="360" w:lineRule="exact"/>
              <w:outlineLvl w:val="9"/>
              <w:rPr>
                <w:rFonts w:hint="eastAsia" w:ascii="微软雅黑" w:hAnsi="微软雅黑" w:eastAsia="微软雅黑" w:cs="微软雅黑"/>
                <w:color w:val="auto"/>
                <w:sz w:val="20"/>
                <w:szCs w:val="20"/>
                <w:highlight w:val="none"/>
              </w:rPr>
            </w:pPr>
          </w:p>
        </w:tc>
        <w:tc>
          <w:tcPr>
            <w:tcW w:w="7633" w:type="dxa"/>
            <w:vAlign w:val="center"/>
          </w:tcPr>
          <w:p w14:paraId="5FCD37CA">
            <w:pPr>
              <w:shd w:val="clear"/>
              <w:spacing w:line="360" w:lineRule="exact"/>
              <w:outlineLvl w:val="9"/>
              <w:rPr>
                <w:rFonts w:hint="eastAsia" w:ascii="微软雅黑" w:hAnsi="微软雅黑" w:eastAsia="微软雅黑" w:cs="微软雅黑"/>
                <w:color w:val="auto"/>
                <w:sz w:val="20"/>
                <w:szCs w:val="20"/>
                <w:highlight w:val="none"/>
              </w:rPr>
            </w:pPr>
          </w:p>
        </w:tc>
      </w:tr>
      <w:tr w14:paraId="72BEEC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01" w:type="dxa"/>
            <w:tcBorders>
              <w:left w:val="single" w:color="auto" w:sz="4" w:space="0"/>
            </w:tcBorders>
            <w:vAlign w:val="center"/>
          </w:tcPr>
          <w:p w14:paraId="50AC833C">
            <w:pPr>
              <w:shd w:val="clear"/>
              <w:spacing w:line="360" w:lineRule="exact"/>
              <w:outlineLvl w:val="9"/>
              <w:rPr>
                <w:rFonts w:hint="eastAsia" w:ascii="微软雅黑" w:hAnsi="微软雅黑" w:eastAsia="微软雅黑" w:cs="微软雅黑"/>
                <w:color w:val="auto"/>
                <w:sz w:val="20"/>
                <w:szCs w:val="20"/>
                <w:highlight w:val="none"/>
              </w:rPr>
            </w:pPr>
          </w:p>
        </w:tc>
        <w:tc>
          <w:tcPr>
            <w:tcW w:w="7633" w:type="dxa"/>
            <w:vAlign w:val="center"/>
          </w:tcPr>
          <w:p w14:paraId="1E736DB7">
            <w:pPr>
              <w:shd w:val="clear"/>
              <w:spacing w:line="360" w:lineRule="exact"/>
              <w:outlineLvl w:val="9"/>
              <w:rPr>
                <w:rFonts w:hint="eastAsia" w:ascii="微软雅黑" w:hAnsi="微软雅黑" w:eastAsia="微软雅黑" w:cs="微软雅黑"/>
                <w:color w:val="auto"/>
                <w:sz w:val="20"/>
                <w:szCs w:val="20"/>
                <w:highlight w:val="none"/>
              </w:rPr>
            </w:pPr>
          </w:p>
        </w:tc>
      </w:tr>
      <w:tr w14:paraId="363B67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01" w:type="dxa"/>
            <w:tcBorders>
              <w:left w:val="single" w:color="auto" w:sz="4" w:space="0"/>
            </w:tcBorders>
            <w:vAlign w:val="center"/>
          </w:tcPr>
          <w:p w14:paraId="68F40373">
            <w:pPr>
              <w:shd w:val="clear"/>
              <w:spacing w:line="360" w:lineRule="exact"/>
              <w:outlineLvl w:val="9"/>
              <w:rPr>
                <w:rFonts w:hint="eastAsia" w:ascii="微软雅黑" w:hAnsi="微软雅黑" w:eastAsia="微软雅黑" w:cs="微软雅黑"/>
                <w:color w:val="auto"/>
                <w:sz w:val="20"/>
                <w:szCs w:val="20"/>
                <w:highlight w:val="none"/>
              </w:rPr>
            </w:pPr>
          </w:p>
        </w:tc>
        <w:tc>
          <w:tcPr>
            <w:tcW w:w="7633" w:type="dxa"/>
            <w:vAlign w:val="center"/>
          </w:tcPr>
          <w:p w14:paraId="4B006AD0">
            <w:pPr>
              <w:shd w:val="clear"/>
              <w:spacing w:line="360" w:lineRule="exact"/>
              <w:outlineLvl w:val="9"/>
              <w:rPr>
                <w:rFonts w:hint="eastAsia" w:ascii="微软雅黑" w:hAnsi="微软雅黑" w:eastAsia="微软雅黑" w:cs="微软雅黑"/>
                <w:color w:val="auto"/>
                <w:sz w:val="20"/>
                <w:szCs w:val="20"/>
                <w:highlight w:val="none"/>
                <w:u w:val="single"/>
              </w:rPr>
            </w:pPr>
          </w:p>
        </w:tc>
      </w:tr>
      <w:tr w14:paraId="0A896E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01" w:type="dxa"/>
            <w:tcBorders>
              <w:left w:val="single" w:color="auto" w:sz="4" w:space="0"/>
            </w:tcBorders>
            <w:vAlign w:val="center"/>
          </w:tcPr>
          <w:p w14:paraId="3324A8A8">
            <w:pPr>
              <w:shd w:val="clear"/>
              <w:spacing w:line="360" w:lineRule="exact"/>
              <w:outlineLvl w:val="9"/>
              <w:rPr>
                <w:rFonts w:hint="eastAsia" w:ascii="微软雅黑" w:hAnsi="微软雅黑" w:eastAsia="微软雅黑" w:cs="微软雅黑"/>
                <w:color w:val="auto"/>
                <w:sz w:val="20"/>
                <w:szCs w:val="20"/>
                <w:highlight w:val="none"/>
              </w:rPr>
            </w:pPr>
          </w:p>
        </w:tc>
        <w:tc>
          <w:tcPr>
            <w:tcW w:w="7633" w:type="dxa"/>
            <w:vAlign w:val="center"/>
          </w:tcPr>
          <w:p w14:paraId="7D09D444">
            <w:pPr>
              <w:shd w:val="clear"/>
              <w:spacing w:line="360" w:lineRule="exact"/>
              <w:outlineLvl w:val="9"/>
              <w:rPr>
                <w:rFonts w:hint="eastAsia" w:ascii="微软雅黑" w:hAnsi="微软雅黑" w:eastAsia="微软雅黑" w:cs="微软雅黑"/>
                <w:color w:val="auto"/>
                <w:sz w:val="20"/>
                <w:szCs w:val="20"/>
                <w:highlight w:val="none"/>
              </w:rPr>
            </w:pPr>
          </w:p>
        </w:tc>
      </w:tr>
      <w:tr w14:paraId="0C11EC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01" w:type="dxa"/>
            <w:tcBorders>
              <w:left w:val="single" w:color="auto" w:sz="4" w:space="0"/>
            </w:tcBorders>
            <w:vAlign w:val="center"/>
          </w:tcPr>
          <w:p w14:paraId="71373DCD">
            <w:pPr>
              <w:shd w:val="clear"/>
              <w:spacing w:line="360" w:lineRule="exact"/>
              <w:outlineLvl w:val="9"/>
              <w:rPr>
                <w:rFonts w:hint="eastAsia" w:ascii="微软雅黑" w:hAnsi="微软雅黑" w:eastAsia="微软雅黑" w:cs="微软雅黑"/>
                <w:color w:val="auto"/>
                <w:sz w:val="20"/>
                <w:szCs w:val="20"/>
                <w:highlight w:val="none"/>
              </w:rPr>
            </w:pPr>
          </w:p>
        </w:tc>
        <w:tc>
          <w:tcPr>
            <w:tcW w:w="7633" w:type="dxa"/>
            <w:vAlign w:val="center"/>
          </w:tcPr>
          <w:p w14:paraId="71B846D6">
            <w:pPr>
              <w:shd w:val="clear"/>
              <w:spacing w:line="360" w:lineRule="exact"/>
              <w:outlineLvl w:val="9"/>
              <w:rPr>
                <w:rFonts w:hint="eastAsia" w:ascii="微软雅黑" w:hAnsi="微软雅黑" w:eastAsia="微软雅黑" w:cs="微软雅黑"/>
                <w:color w:val="auto"/>
                <w:sz w:val="20"/>
                <w:szCs w:val="20"/>
                <w:highlight w:val="none"/>
                <w:u w:val="single"/>
              </w:rPr>
            </w:pPr>
          </w:p>
        </w:tc>
      </w:tr>
      <w:tr w14:paraId="110258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01" w:type="dxa"/>
            <w:tcBorders>
              <w:left w:val="single" w:color="auto" w:sz="4" w:space="0"/>
            </w:tcBorders>
            <w:vAlign w:val="center"/>
          </w:tcPr>
          <w:p w14:paraId="219B33C6">
            <w:pPr>
              <w:shd w:val="clear"/>
              <w:spacing w:line="360" w:lineRule="exact"/>
              <w:outlineLvl w:val="9"/>
              <w:rPr>
                <w:rFonts w:hint="eastAsia" w:ascii="微软雅黑" w:hAnsi="微软雅黑" w:eastAsia="微软雅黑" w:cs="微软雅黑"/>
                <w:color w:val="auto"/>
                <w:sz w:val="20"/>
                <w:szCs w:val="20"/>
                <w:highlight w:val="none"/>
              </w:rPr>
            </w:pPr>
          </w:p>
        </w:tc>
        <w:tc>
          <w:tcPr>
            <w:tcW w:w="7633" w:type="dxa"/>
            <w:vAlign w:val="center"/>
          </w:tcPr>
          <w:p w14:paraId="1D9ABAB7">
            <w:pPr>
              <w:shd w:val="clear"/>
              <w:spacing w:line="360" w:lineRule="exact"/>
              <w:outlineLvl w:val="9"/>
              <w:rPr>
                <w:rFonts w:hint="eastAsia" w:ascii="微软雅黑" w:hAnsi="微软雅黑" w:eastAsia="微软雅黑" w:cs="微软雅黑"/>
                <w:color w:val="auto"/>
                <w:sz w:val="20"/>
                <w:szCs w:val="20"/>
                <w:highlight w:val="none"/>
              </w:rPr>
            </w:pPr>
          </w:p>
        </w:tc>
      </w:tr>
      <w:tr w14:paraId="62E83E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01" w:type="dxa"/>
            <w:tcBorders>
              <w:left w:val="single" w:color="auto" w:sz="4" w:space="0"/>
            </w:tcBorders>
            <w:vAlign w:val="center"/>
          </w:tcPr>
          <w:p w14:paraId="0C364741">
            <w:pPr>
              <w:shd w:val="clear"/>
              <w:spacing w:line="360" w:lineRule="exact"/>
              <w:outlineLvl w:val="9"/>
              <w:rPr>
                <w:rFonts w:hint="eastAsia" w:ascii="微软雅黑" w:hAnsi="微软雅黑" w:eastAsia="微软雅黑" w:cs="微软雅黑"/>
                <w:color w:val="auto"/>
                <w:sz w:val="20"/>
                <w:szCs w:val="20"/>
                <w:highlight w:val="none"/>
              </w:rPr>
            </w:pPr>
          </w:p>
        </w:tc>
        <w:tc>
          <w:tcPr>
            <w:tcW w:w="7633" w:type="dxa"/>
            <w:vAlign w:val="center"/>
          </w:tcPr>
          <w:p w14:paraId="080FC88C">
            <w:pPr>
              <w:shd w:val="clear"/>
              <w:spacing w:line="360" w:lineRule="exact"/>
              <w:outlineLvl w:val="9"/>
              <w:rPr>
                <w:rFonts w:hint="eastAsia" w:ascii="微软雅黑" w:hAnsi="微软雅黑" w:eastAsia="微软雅黑" w:cs="微软雅黑"/>
                <w:color w:val="auto"/>
                <w:sz w:val="20"/>
                <w:szCs w:val="20"/>
                <w:highlight w:val="none"/>
              </w:rPr>
            </w:pPr>
          </w:p>
        </w:tc>
      </w:tr>
    </w:tbl>
    <w:p w14:paraId="7F18A1C5">
      <w:pPr>
        <w:pStyle w:val="49"/>
        <w:jc w:val="center"/>
        <w:outlineLvl w:val="9"/>
        <w:rPr>
          <w:rFonts w:hint="eastAsia" w:ascii="微软雅黑" w:hAnsi="微软雅黑" w:eastAsia="微软雅黑" w:cs="微软雅黑"/>
          <w:color w:val="auto"/>
          <w:kern w:val="0"/>
          <w:sz w:val="24"/>
          <w:szCs w:val="24"/>
          <w:highlight w:val="none"/>
        </w:rPr>
      </w:pPr>
    </w:p>
    <w:p w14:paraId="1C0B78B0">
      <w:pPr>
        <w:outlineLvl w:val="9"/>
        <w:rPr>
          <w:rFonts w:hint="eastAsia" w:ascii="微软雅黑" w:hAnsi="微软雅黑" w:eastAsia="微软雅黑" w:cs="微软雅黑"/>
          <w:color w:val="auto"/>
          <w:sz w:val="22"/>
          <w:szCs w:val="22"/>
          <w:highlight w:val="none"/>
        </w:rPr>
      </w:pPr>
    </w:p>
    <w:sectPr>
      <w:headerReference r:id="rId8" w:type="default"/>
      <w:footerReference r:id="rId9" w:type="default"/>
      <w:pgSz w:w="11907" w:h="16840"/>
      <w:pgMar w:top="1474" w:right="1814" w:bottom="1474" w:left="1814" w:header="851" w:footer="851" w:gutter="0"/>
      <w:pgBorders>
        <w:top w:val="none" w:sz="0" w:space="0"/>
        <w:left w:val="none" w:sz="0" w:space="0"/>
        <w:bottom w:val="none" w:sz="0" w:space="0"/>
        <w:right w:val="none" w:sz="0" w:space="0"/>
      </w:pgBorders>
      <w:pgNumType w:fmt="decimal"/>
      <w:cols w:space="720" w:num="1"/>
      <w:docGrid w:linePitch="46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libri Light">
    <w:panose1 w:val="020F0302020204030204"/>
    <w:charset w:val="00"/>
    <w:family w:val="auto"/>
    <w:pitch w:val="default"/>
    <w:sig w:usb0="A00002EF" w:usb1="4000207B" w:usb2="00000000" w:usb3="00000000" w:csb0="2000019F" w:csb1="00000000"/>
  </w:font>
  <w:font w:name="微软雅黑">
    <w:panose1 w:val="020B0503020204020204"/>
    <w:charset w:val="86"/>
    <w:family w:val="swiss"/>
    <w:pitch w:val="default"/>
    <w:sig w:usb0="80000287" w:usb1="280F3C52" w:usb2="00000016" w:usb3="00000000" w:csb0="0004001F" w:csb1="00000000"/>
    <w:embedRegular r:id="rId1" w:fontKey="{16A0AFC0-AEA5-4EBC-B117-838C53F5DBA4}"/>
  </w:font>
  <w:font w:name="Arial Unicode MS">
    <w:altName w:val="宋体"/>
    <w:panose1 w:val="020B0604020202020204"/>
    <w:charset w:val="86"/>
    <w:family w:val="auto"/>
    <w:pitch w:val="default"/>
    <w:sig w:usb0="00000000" w:usb1="00000000" w:usb2="0000003F" w:usb3="00000000" w:csb0="603F01FF" w:csb1="FFFF0000"/>
  </w:font>
  <w:font w:name="pingfang sc">
    <w:altName w:val="宋体"/>
    <w:panose1 w:val="020B0400000000000000"/>
    <w:charset w:val="86"/>
    <w:family w:val="auto"/>
    <w:pitch w:val="default"/>
    <w:sig w:usb0="00000000" w:usb1="00000000" w:usb2="00000017" w:usb3="00000000" w:csb0="00040001" w:csb1="00000000"/>
  </w:font>
  <w:font w:name="Helvetica Neue">
    <w:altName w:val="Times New Roman"/>
    <w:panose1 w:val="00000000000000000000"/>
    <w:charset w:val="00"/>
    <w:family w:val="roman"/>
    <w:pitch w:val="default"/>
    <w:sig w:usb0="00000000" w:usb1="00000000" w:usb2="00000000" w:usb3="00000000" w:csb0="00000000" w:csb1="00000000"/>
  </w:font>
  <w:font w:name="Cambria">
    <w:panose1 w:val="02040503050406030204"/>
    <w:charset w:val="00"/>
    <w:family w:val="roman"/>
    <w:pitch w:val="default"/>
    <w:sig w:usb0="E00002FF" w:usb1="400004FF" w:usb2="00000000" w:usb3="00000000" w:csb0="2000019F" w:csb1="00000000"/>
  </w:font>
  <w:font w:name="Batang">
    <w:panose1 w:val="02030600000101010101"/>
    <w:charset w:val="81"/>
    <w:family w:val="roman"/>
    <w:pitch w:val="default"/>
    <w:sig w:usb0="B00002AF" w:usb1="69D77CFB" w:usb2="00000030" w:usb3="00000000" w:csb0="4008009F" w:csb1="DFD7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685D7B">
    <w:pPr>
      <w:pStyle w:val="21"/>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D04D03">
                          <w:pPr>
                            <w:pStyle w:val="21"/>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4FD04D03">
                    <w:pPr>
                      <w:pStyle w:val="21"/>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4125AC">
    <w:pPr>
      <w:pStyle w:val="21"/>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55D563">
                          <w:pPr>
                            <w:pStyle w:val="21"/>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4355D563">
                    <w:pPr>
                      <w:pStyle w:val="21"/>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46192F">
    <w:pPr>
      <w:pStyle w:val="21"/>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742842">
                          <w:pPr>
                            <w:pStyle w:val="21"/>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7742842">
                    <w:pPr>
                      <w:pStyle w:val="21"/>
                    </w:pPr>
                    <w:r>
                      <w:fldChar w:fldCharType="begin"/>
                    </w:r>
                    <w:r>
                      <w:instrText xml:space="preserve"> PAGE  \* MERGEFORMAT </w:instrText>
                    </w:r>
                    <w:r>
                      <w:fldChar w:fldCharType="separate"/>
                    </w:r>
                    <w:r>
                      <w:t>71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81FED5">
    <w:pPr>
      <w:pStyle w:val="23"/>
      <w:pBdr>
        <w:bottom w:val="double" w:color="auto" w:sz="8" w:space="0"/>
      </w:pBdr>
      <w:tabs>
        <w:tab w:val="left" w:pos="5704"/>
        <w:tab w:val="clear" w:pos="8306"/>
      </w:tabs>
      <w:jc w:val="left"/>
    </w:pPr>
    <w:r>
      <w:rPr>
        <w:rFonts w:hint="eastAsia"/>
      </w:rPr>
      <w:drawing>
        <wp:inline distT="0" distB="0" distL="0" distR="0">
          <wp:extent cx="2992755" cy="428625"/>
          <wp:effectExtent l="0" t="0" r="9525" b="13335"/>
          <wp:docPr id="1" name="图片 2" descr="7fb26b890cf49d76afa2453ec3c9120"/>
          <wp:cNvGraphicFramePr/>
          <a:graphic xmlns:a="http://schemas.openxmlformats.org/drawingml/2006/main">
            <a:graphicData uri="http://schemas.openxmlformats.org/drawingml/2006/picture">
              <pic:pic xmlns:pic="http://schemas.openxmlformats.org/drawingml/2006/picture">
                <pic:nvPicPr>
                  <pic:cNvPr id="1" name="图片 2" descr="7fb26b890cf49d76afa2453ec3c9120"/>
                  <pic:cNvPicPr/>
                </pic:nvPicPr>
                <pic:blipFill>
                  <a:blip r:embed="rId1" cstate="print"/>
                  <a:srcRect/>
                  <a:stretch>
                    <a:fillRect/>
                  </a:stretch>
                </pic:blipFill>
                <pic:spPr>
                  <a:xfrm>
                    <a:off x="0" y="0"/>
                    <a:ext cx="2992755" cy="429259"/>
                  </a:xfrm>
                  <a:prstGeom prst="rect">
                    <a:avLst/>
                  </a:prstGeom>
                  <a:ln>
                    <a:noFill/>
                  </a:ln>
                </pic:spPr>
              </pic:pic>
            </a:graphicData>
          </a:graphic>
        </wp:inline>
      </w:drawing>
    </w:r>
    <w:r>
      <w:rPr>
        <w:rFonts w:hint="eastAsia"/>
        <w:lang w:eastAsia="zh-CN"/>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C08EA2">
    <w:pPr>
      <w:pStyle w:val="23"/>
      <w:pBdr>
        <w:bottom w:val="double" w:color="auto" w:sz="8" w:space="0"/>
      </w:pBdr>
      <w:tabs>
        <w:tab w:val="left" w:pos="5704"/>
        <w:tab w:val="clear" w:pos="8306"/>
      </w:tabs>
      <w:jc w:val="left"/>
      <w:rPr>
        <w:rFonts w:hint="eastAsia" w:eastAsia="宋体"/>
        <w:lang w:eastAsia="zh-CN"/>
      </w:rPr>
    </w:pPr>
    <w:r>
      <w:rPr>
        <w:rFonts w:hint="eastAsia"/>
      </w:rPr>
      <w:drawing>
        <wp:inline distT="0" distB="0" distL="0" distR="0">
          <wp:extent cx="2992755" cy="428625"/>
          <wp:effectExtent l="0" t="0" r="9525" b="13335"/>
          <wp:docPr id="4100" name="图片 2" descr="7fb26b890cf49d76afa2453ec3c9120"/>
          <wp:cNvGraphicFramePr/>
          <a:graphic xmlns:a="http://schemas.openxmlformats.org/drawingml/2006/main">
            <a:graphicData uri="http://schemas.openxmlformats.org/drawingml/2006/picture">
              <pic:pic xmlns:pic="http://schemas.openxmlformats.org/drawingml/2006/picture">
                <pic:nvPicPr>
                  <pic:cNvPr id="4100" name="图片 2" descr="7fb26b890cf49d76afa2453ec3c9120"/>
                  <pic:cNvPicPr/>
                </pic:nvPicPr>
                <pic:blipFill>
                  <a:blip r:embed="rId1" cstate="print"/>
                  <a:srcRect/>
                  <a:stretch>
                    <a:fillRect/>
                  </a:stretch>
                </pic:blipFill>
                <pic:spPr>
                  <a:xfrm>
                    <a:off x="0" y="0"/>
                    <a:ext cx="2992755" cy="429259"/>
                  </a:xfrm>
                  <a:prstGeom prst="rect">
                    <a:avLst/>
                  </a:prstGeom>
                  <a:ln>
                    <a:noFill/>
                  </a:ln>
                </pic:spPr>
              </pic:pic>
            </a:graphicData>
          </a:graphic>
        </wp:inline>
      </w:drawing>
    </w:r>
    <w:r>
      <w:rPr>
        <w:rFonts w:hint="eastAsia"/>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D9C47A">
    <w:pPr>
      <w:pStyle w:val="23"/>
      <w:pBdr>
        <w:bottom w:val="double" w:color="auto" w:sz="8" w:space="0"/>
      </w:pBdr>
      <w:jc w:val="left"/>
    </w:pPr>
    <w:r>
      <w:rPr>
        <w:rFonts w:hint="eastAsia"/>
      </w:rPr>
      <w:drawing>
        <wp:inline distT="0" distB="0" distL="114300" distR="114300">
          <wp:extent cx="2992755" cy="429260"/>
          <wp:effectExtent l="0" t="0" r="9525" b="12700"/>
          <wp:docPr id="9" name="图片 9" descr="7fb26b890cf49d76afa2453ec3c9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7fb26b890cf49d76afa2453ec3c9120"/>
                  <pic:cNvPicPr>
                    <a:picLocks noChangeAspect="1"/>
                  </pic:cNvPicPr>
                </pic:nvPicPr>
                <pic:blipFill>
                  <a:blip r:embed="rId1"/>
                  <a:stretch>
                    <a:fillRect/>
                  </a:stretch>
                </pic:blipFill>
                <pic:spPr>
                  <a:xfrm>
                    <a:off x="0" y="0"/>
                    <a:ext cx="2992755" cy="42926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B79674">
    <w:pPr>
      <w:pStyle w:val="23"/>
      <w:pBdr>
        <w:bottom w:val="double" w:color="auto" w:sz="8" w:space="0"/>
      </w:pBdr>
      <w:jc w:val="left"/>
    </w:pPr>
    <w:r>
      <w:rPr>
        <w:rFonts w:hint="eastAsia"/>
      </w:rPr>
      <w:drawing>
        <wp:inline distT="0" distB="0" distL="0" distR="0">
          <wp:extent cx="2992755" cy="428625"/>
          <wp:effectExtent l="0" t="0" r="17145" b="8890"/>
          <wp:docPr id="4105" name="图片 4" descr="7fb26b890cf49d76afa2453ec3c9120"/>
          <wp:cNvGraphicFramePr/>
          <a:graphic xmlns:a="http://schemas.openxmlformats.org/drawingml/2006/main">
            <a:graphicData uri="http://schemas.openxmlformats.org/drawingml/2006/picture">
              <pic:pic xmlns:pic="http://schemas.openxmlformats.org/drawingml/2006/picture">
                <pic:nvPicPr>
                  <pic:cNvPr id="4105" name="图片 4" descr="7fb26b890cf49d76afa2453ec3c9120"/>
                  <pic:cNvPicPr/>
                </pic:nvPicPr>
                <pic:blipFill>
                  <a:blip r:embed="rId1" cstate="print"/>
                  <a:srcRect/>
                  <a:stretch>
                    <a:fillRect/>
                  </a:stretch>
                </pic:blipFill>
                <pic:spPr>
                  <a:xfrm>
                    <a:off x="0" y="0"/>
                    <a:ext cx="2992755" cy="429259"/>
                  </a:xfrm>
                  <a:prstGeom prst="rect">
                    <a:avLst/>
                  </a:prstGeom>
                  <a:ln>
                    <a:noFill/>
                  </a:ln>
                </pic:spPr>
              </pic:pic>
            </a:graphicData>
          </a:graphic>
        </wp:inline>
      </w:drawing>
    </w:r>
  </w:p>
  <w:p w14:paraId="7EAD272A">
    <w:pPr>
      <w:pStyle w:val="23"/>
      <w:pBdr>
        <w:bottom w:val="none" w:color="auto" w:sz="0" w:space="0"/>
      </w:pBd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483D67A"/>
    <w:multiLevelType w:val="singleLevel"/>
    <w:tmpl w:val="B483D67A"/>
    <w:lvl w:ilvl="0" w:tentative="0">
      <w:start w:val="7"/>
      <w:numFmt w:val="decimal"/>
      <w:suff w:val="nothing"/>
      <w:lvlText w:val="%1、"/>
      <w:lvlJc w:val="left"/>
    </w:lvl>
  </w:abstractNum>
  <w:abstractNum w:abstractNumId="1">
    <w:nsid w:val="B9D7F2EB"/>
    <w:multiLevelType w:val="singleLevel"/>
    <w:tmpl w:val="B9D7F2EB"/>
    <w:lvl w:ilvl="0" w:tentative="0">
      <w:start w:val="2"/>
      <w:numFmt w:val="decimal"/>
      <w:suff w:val="nothing"/>
      <w:lvlText w:val="%1、"/>
      <w:lvlJc w:val="left"/>
    </w:lvl>
  </w:abstractNum>
  <w:abstractNum w:abstractNumId="2">
    <w:nsid w:val="00000006"/>
    <w:multiLevelType w:val="multilevel"/>
    <w:tmpl w:val="00000006"/>
    <w:lvl w:ilvl="0" w:tentative="0">
      <w:start w:val="1"/>
      <w:numFmt w:val="upperLetter"/>
      <w:pStyle w:val="46"/>
      <w:lvlText w:val="%1."/>
      <w:lvlJc w:val="left"/>
      <w:pPr>
        <w:widowControl/>
        <w:tabs>
          <w:tab w:val="left" w:pos="752"/>
        </w:tabs>
        <w:ind w:left="752" w:hanging="468"/>
        <w:textAlignment w:val="baseline"/>
      </w:pPr>
    </w:lvl>
    <w:lvl w:ilvl="1" w:tentative="0">
      <w:start w:val="1"/>
      <w:numFmt w:val="decimal"/>
      <w:lvlText w:val="%1."/>
      <w:lvlJc w:val="left"/>
      <w:pPr>
        <w:widowControl/>
        <w:tabs>
          <w:tab w:val="left" w:pos="1724"/>
        </w:tabs>
        <w:ind w:left="1724" w:hanging="360"/>
        <w:textAlignment w:val="baseline"/>
      </w:pPr>
    </w:lvl>
    <w:lvl w:ilvl="2" w:tentative="0">
      <w:start w:val="1"/>
      <w:numFmt w:val="decimal"/>
      <w:lvlText w:val="%1."/>
      <w:lvlJc w:val="left"/>
      <w:pPr>
        <w:widowControl/>
        <w:tabs>
          <w:tab w:val="left" w:pos="644"/>
        </w:tabs>
        <w:ind w:left="644" w:hanging="360"/>
        <w:textAlignment w:val="baseline"/>
      </w:pPr>
    </w:lvl>
    <w:lvl w:ilvl="3" w:tentative="0">
      <w:start w:val="1"/>
      <w:numFmt w:val="decimal"/>
      <w:lvlText w:val="%1."/>
      <w:lvlJc w:val="left"/>
      <w:pPr>
        <w:widowControl/>
        <w:tabs>
          <w:tab w:val="left" w:pos="3164"/>
        </w:tabs>
        <w:ind w:left="3164" w:hanging="360"/>
        <w:textAlignment w:val="baseline"/>
      </w:pPr>
    </w:lvl>
    <w:lvl w:ilvl="4" w:tentative="0">
      <w:start w:val="1"/>
      <w:numFmt w:val="decimal"/>
      <w:lvlText w:val="%1."/>
      <w:lvlJc w:val="left"/>
      <w:pPr>
        <w:widowControl/>
        <w:tabs>
          <w:tab w:val="left" w:pos="3884"/>
        </w:tabs>
        <w:ind w:left="3884" w:hanging="360"/>
        <w:textAlignment w:val="baseline"/>
      </w:pPr>
    </w:lvl>
    <w:lvl w:ilvl="5" w:tentative="0">
      <w:start w:val="1"/>
      <w:numFmt w:val="decimal"/>
      <w:lvlText w:val="%1."/>
      <w:lvlJc w:val="left"/>
      <w:pPr>
        <w:widowControl/>
        <w:tabs>
          <w:tab w:val="left" w:pos="4604"/>
        </w:tabs>
        <w:ind w:left="4604" w:hanging="360"/>
        <w:textAlignment w:val="baseline"/>
      </w:pPr>
    </w:lvl>
    <w:lvl w:ilvl="6" w:tentative="0">
      <w:start w:val="1"/>
      <w:numFmt w:val="decimal"/>
      <w:lvlText w:val="%1."/>
      <w:lvlJc w:val="left"/>
      <w:pPr>
        <w:widowControl/>
        <w:tabs>
          <w:tab w:val="left" w:pos="5324"/>
        </w:tabs>
        <w:ind w:left="5324" w:hanging="360"/>
        <w:textAlignment w:val="baseline"/>
      </w:pPr>
    </w:lvl>
    <w:lvl w:ilvl="7" w:tentative="0">
      <w:start w:val="1"/>
      <w:numFmt w:val="decimal"/>
      <w:lvlText w:val="%1."/>
      <w:lvlJc w:val="left"/>
      <w:pPr>
        <w:widowControl/>
        <w:tabs>
          <w:tab w:val="left" w:pos="6044"/>
        </w:tabs>
        <w:ind w:left="6044" w:hanging="360"/>
        <w:textAlignment w:val="baseline"/>
      </w:pPr>
    </w:lvl>
    <w:lvl w:ilvl="8" w:tentative="0">
      <w:start w:val="1"/>
      <w:numFmt w:val="decimal"/>
      <w:lvlText w:val="%1."/>
      <w:lvlJc w:val="left"/>
      <w:pPr>
        <w:widowControl/>
        <w:tabs>
          <w:tab w:val="left" w:pos="6764"/>
        </w:tabs>
        <w:ind w:left="6764" w:hanging="360"/>
        <w:textAlignment w:val="baseline"/>
      </w:pPr>
    </w:lvl>
  </w:abstractNum>
  <w:abstractNum w:abstractNumId="3">
    <w:nsid w:val="00000008"/>
    <w:multiLevelType w:val="multilevel"/>
    <w:tmpl w:val="00000008"/>
    <w:lvl w:ilvl="0" w:tentative="0">
      <w:start w:val="1"/>
      <w:numFmt w:val="decimal"/>
      <w:lvlText w:val="%1"/>
      <w:lvlJc w:val="left"/>
      <w:pPr>
        <w:ind w:left="432" w:hanging="432"/>
      </w:pPr>
      <w:rPr>
        <w:rFonts w:hint="eastAsia"/>
      </w:rPr>
    </w:lvl>
    <w:lvl w:ilvl="1" w:tentative="0">
      <w:start w:val="1"/>
      <w:numFmt w:val="decimal"/>
      <w:pStyle w:val="86"/>
      <w:lvlText w:val="%1.%2"/>
      <w:lvlJc w:val="left"/>
      <w:pPr>
        <w:ind w:left="576" w:hanging="576"/>
      </w:pPr>
      <w:rPr>
        <w:rFonts w:hint="eastAsia"/>
        <w:b/>
        <w:i w:val="0"/>
      </w:rPr>
    </w:lvl>
    <w:lvl w:ilvl="2" w:tentative="0">
      <w:start w:val="1"/>
      <w:numFmt w:val="decimal"/>
      <w:lvlText w:val="%1.%2.%3"/>
      <w:lvlJc w:val="left"/>
      <w:pPr>
        <w:ind w:left="720" w:hanging="720"/>
      </w:pPr>
      <w:rPr>
        <w:rFonts w:hint="eastAsia"/>
      </w:rPr>
    </w:lvl>
    <w:lvl w:ilvl="3" w:tentative="0">
      <w:start w:val="1"/>
      <w:numFmt w:val="decimal"/>
      <w:lvlText w:val="%1.%2.%3.%4"/>
      <w:lvlJc w:val="left"/>
      <w:pPr>
        <w:ind w:left="864" w:hanging="864"/>
      </w:pPr>
      <w:rPr>
        <w:rFonts w:hint="eastAsia"/>
      </w:rPr>
    </w:lvl>
    <w:lvl w:ilvl="4" w:tentative="0">
      <w:start w:val="1"/>
      <w:numFmt w:val="decimal"/>
      <w:lvlText w:val="%1.%2.%3.%4.%5"/>
      <w:lvlJc w:val="left"/>
      <w:pPr>
        <w:ind w:left="1008" w:hanging="1008"/>
      </w:pPr>
      <w:rPr>
        <w:rFonts w:hint="eastAsia"/>
      </w:rPr>
    </w:lvl>
    <w:lvl w:ilvl="5" w:tentative="0">
      <w:start w:val="1"/>
      <w:numFmt w:val="decimal"/>
      <w:lvlText w:val="%1.%2.%3.%4.%5.%6"/>
      <w:lvlJc w:val="left"/>
      <w:pPr>
        <w:ind w:left="1152" w:hanging="1152"/>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abstractNum w:abstractNumId="4">
    <w:nsid w:val="3C5235E1"/>
    <w:multiLevelType w:val="singleLevel"/>
    <w:tmpl w:val="3C5235E1"/>
    <w:lvl w:ilvl="0" w:tentative="0">
      <w:start w:val="5"/>
      <w:numFmt w:val="decimal"/>
      <w:suff w:val="space"/>
      <w:lvlText w:val="第%1章"/>
      <w:lvlJc w:val="left"/>
    </w:lvl>
  </w:abstractNum>
  <w:abstractNum w:abstractNumId="5">
    <w:nsid w:val="47640673"/>
    <w:multiLevelType w:val="singleLevel"/>
    <w:tmpl w:val="47640673"/>
    <w:lvl w:ilvl="0" w:tentative="0">
      <w:start w:val="10"/>
      <w:numFmt w:val="decimal"/>
      <w:suff w:val="nothing"/>
      <w:lvlText w:val="%1、"/>
      <w:lvlJc w:val="left"/>
    </w:lvl>
  </w:abstractNum>
  <w:abstractNum w:abstractNumId="6">
    <w:nsid w:val="55828DFF"/>
    <w:multiLevelType w:val="multilevel"/>
    <w:tmpl w:val="55828DFF"/>
    <w:lvl w:ilvl="0" w:tentative="0">
      <w:start w:val="1"/>
      <w:numFmt w:val="decimal"/>
      <w:lvlText w:val="%1."/>
      <w:lvlJc w:val="left"/>
      <w:pPr>
        <w:tabs>
          <w:tab w:val="left" w:pos="432"/>
        </w:tabs>
        <w:ind w:left="432" w:hanging="432"/>
      </w:pPr>
      <w:rPr>
        <w:rFonts w:hint="default" w:ascii="Times New Roman" w:hAnsi="Times New Roman" w:cs="Times New Roman"/>
      </w:rPr>
    </w:lvl>
    <w:lvl w:ilvl="1" w:tentative="0">
      <w:start w:val="1"/>
      <w:numFmt w:val="decimal"/>
      <w:lvlText w:val="%1.%2."/>
      <w:lvlJc w:val="left"/>
      <w:pPr>
        <w:tabs>
          <w:tab w:val="left" w:pos="575"/>
        </w:tabs>
        <w:ind w:left="575" w:hanging="575"/>
      </w:pPr>
      <w:rPr>
        <w:rFonts w:hint="default" w:ascii="Times New Roman" w:hAnsi="Times New Roman" w:cs="Times New Roman"/>
        <w:lang w:val="en-US"/>
      </w:rPr>
    </w:lvl>
    <w:lvl w:ilvl="2" w:tentative="0">
      <w:start w:val="1"/>
      <w:numFmt w:val="decimal"/>
      <w:pStyle w:val="94"/>
      <w:lvlText w:val="%1.%2.%3."/>
      <w:lvlJc w:val="left"/>
      <w:pPr>
        <w:tabs>
          <w:tab w:val="left" w:pos="720"/>
        </w:tabs>
        <w:ind w:left="720" w:hanging="720"/>
      </w:pPr>
      <w:rPr>
        <w:rFonts w:hint="default" w:ascii="Times New Roman" w:hAnsi="Times New Roman" w:eastAsia="黑体" w:cs="Times New Roman"/>
        <w:b/>
        <w:bCs/>
        <w:i w:val="0"/>
        <w:iCs w:val="0"/>
        <w:caps w:val="0"/>
        <w:smallCaps w:val="0"/>
        <w:strike w:val="0"/>
        <w:dstrike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3" w:tentative="0">
      <w:start w:val="1"/>
      <w:numFmt w:val="decimal"/>
      <w:pStyle w:val="95"/>
      <w:lvlText w:val="%1.%2.%3.%4."/>
      <w:lvlJc w:val="left"/>
      <w:pPr>
        <w:tabs>
          <w:tab w:val="left" w:pos="864"/>
        </w:tabs>
        <w:ind w:left="864" w:hanging="864"/>
      </w:pPr>
      <w:rPr>
        <w:rFonts w:hint="default" w:ascii="Times New Roman" w:hAnsi="Times New Roman" w:eastAsia="黑体" w:cs="Times New Roman"/>
        <w:lang w:val="en-US"/>
      </w:rPr>
    </w:lvl>
    <w:lvl w:ilvl="4" w:tentative="0">
      <w:start w:val="1"/>
      <w:numFmt w:val="decimal"/>
      <w:lvlText w:val="%1.%2.%3.%4.%5."/>
      <w:lvlJc w:val="left"/>
      <w:pPr>
        <w:tabs>
          <w:tab w:val="left" w:pos="1008"/>
        </w:tabs>
        <w:ind w:left="1008" w:hanging="1008"/>
      </w:pPr>
      <w:rPr>
        <w:rFonts w:hint="default" w:ascii="Times New Roman" w:hAnsi="Times New Roman" w:cs="Times New Roman"/>
      </w:rPr>
    </w:lvl>
    <w:lvl w:ilvl="5" w:tentative="0">
      <w:start w:val="1"/>
      <w:numFmt w:val="decimal"/>
      <w:lvlText w:val="%1.%2.%3.%4.%5.%6."/>
      <w:lvlJc w:val="left"/>
      <w:pPr>
        <w:tabs>
          <w:tab w:val="left" w:pos="1151"/>
        </w:tabs>
        <w:ind w:left="1151" w:hanging="1151"/>
      </w:pPr>
      <w:rPr>
        <w:rFonts w:hint="default" w:ascii="Times New Roman" w:hAnsi="Times New Roman" w:cs="Times New Roman"/>
      </w:rPr>
    </w:lvl>
    <w:lvl w:ilvl="6" w:tentative="0">
      <w:start w:val="1"/>
      <w:numFmt w:val="decimal"/>
      <w:lvlText w:val="%1.%2.%3.%4.%5.%6.%7."/>
      <w:lvlJc w:val="left"/>
      <w:pPr>
        <w:tabs>
          <w:tab w:val="left" w:pos="1296"/>
        </w:tabs>
        <w:ind w:left="1296" w:hanging="1296"/>
      </w:pPr>
      <w:rPr>
        <w:rFonts w:hint="default" w:ascii="Times New Roman" w:hAnsi="Times New Roman" w:cs="Times New Roman"/>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583"/>
        </w:tabs>
        <w:ind w:left="1583" w:hanging="1583"/>
      </w:pPr>
      <w:rPr>
        <w:rFonts w:hint="default"/>
      </w:rPr>
    </w:lvl>
  </w:abstractNum>
  <w:abstractNum w:abstractNumId="7">
    <w:nsid w:val="56651B32"/>
    <w:multiLevelType w:val="singleLevel"/>
    <w:tmpl w:val="56651B32"/>
    <w:lvl w:ilvl="0" w:tentative="0">
      <w:start w:val="13"/>
      <w:numFmt w:val="decimal"/>
      <w:suff w:val="nothing"/>
      <w:lvlText w:val="%1、"/>
      <w:lvlJc w:val="left"/>
    </w:lvl>
  </w:abstractNum>
  <w:abstractNum w:abstractNumId="8">
    <w:nsid w:val="6005F10E"/>
    <w:multiLevelType w:val="singleLevel"/>
    <w:tmpl w:val="6005F10E"/>
    <w:lvl w:ilvl="0" w:tentative="0">
      <w:start w:val="15"/>
      <w:numFmt w:val="decimal"/>
      <w:suff w:val="space"/>
      <w:lvlText w:val="%1."/>
      <w:lvlJc w:val="left"/>
    </w:lvl>
  </w:abstractNum>
  <w:abstractNum w:abstractNumId="9">
    <w:nsid w:val="7F753344"/>
    <w:multiLevelType w:val="singleLevel"/>
    <w:tmpl w:val="7F753344"/>
    <w:lvl w:ilvl="0" w:tentative="0">
      <w:start w:val="1"/>
      <w:numFmt w:val="chineseCounting"/>
      <w:suff w:val="nothing"/>
      <w:lvlText w:val="%1、"/>
      <w:lvlJc w:val="left"/>
      <w:rPr>
        <w:rFonts w:hint="eastAsia"/>
      </w:rPr>
    </w:lvl>
  </w:abstractNum>
  <w:num w:numId="1">
    <w:abstractNumId w:val="2"/>
  </w:num>
  <w:num w:numId="2">
    <w:abstractNumId w:val="3"/>
  </w:num>
  <w:num w:numId="3">
    <w:abstractNumId w:val="6"/>
  </w:num>
  <w:num w:numId="4">
    <w:abstractNumId w:val="8"/>
  </w:num>
  <w:num w:numId="5">
    <w:abstractNumId w:val="0"/>
  </w:num>
  <w:num w:numId="6">
    <w:abstractNumId w:val="4"/>
  </w:num>
  <w:num w:numId="7">
    <w:abstractNumId w:val="9"/>
  </w:num>
  <w:num w:numId="8">
    <w:abstractNumId w:val="1"/>
  </w:num>
  <w:num w:numId="9">
    <w:abstractNumId w:val="5"/>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648365F"/>
    <w:rsid w:val="069468A4"/>
    <w:rsid w:val="07A019A5"/>
    <w:rsid w:val="0874152A"/>
    <w:rsid w:val="091C14FF"/>
    <w:rsid w:val="0A747118"/>
    <w:rsid w:val="0C5D1BA8"/>
    <w:rsid w:val="10490ACD"/>
    <w:rsid w:val="10AB083A"/>
    <w:rsid w:val="11052878"/>
    <w:rsid w:val="116972AB"/>
    <w:rsid w:val="12137217"/>
    <w:rsid w:val="13634FA1"/>
    <w:rsid w:val="16797F90"/>
    <w:rsid w:val="1A0538E9"/>
    <w:rsid w:val="1B7539B8"/>
    <w:rsid w:val="1D3704B6"/>
    <w:rsid w:val="1E71779F"/>
    <w:rsid w:val="1EDE2AC6"/>
    <w:rsid w:val="203A7603"/>
    <w:rsid w:val="210D26A3"/>
    <w:rsid w:val="23322420"/>
    <w:rsid w:val="24EC5DD1"/>
    <w:rsid w:val="26AE4AA3"/>
    <w:rsid w:val="2B3808F6"/>
    <w:rsid w:val="2C3C50E4"/>
    <w:rsid w:val="2CCD5845"/>
    <w:rsid w:val="2D200D0E"/>
    <w:rsid w:val="2E2B6CAE"/>
    <w:rsid w:val="2EA4529C"/>
    <w:rsid w:val="2EB427DD"/>
    <w:rsid w:val="2EEF550D"/>
    <w:rsid w:val="2F214B69"/>
    <w:rsid w:val="301858CD"/>
    <w:rsid w:val="317769B6"/>
    <w:rsid w:val="32D009ED"/>
    <w:rsid w:val="334868C9"/>
    <w:rsid w:val="35361CED"/>
    <w:rsid w:val="353A7E23"/>
    <w:rsid w:val="38195A9B"/>
    <w:rsid w:val="39E06119"/>
    <w:rsid w:val="3A3658FC"/>
    <w:rsid w:val="3DE334D3"/>
    <w:rsid w:val="3EA132AC"/>
    <w:rsid w:val="3F4E170B"/>
    <w:rsid w:val="3FB62E0C"/>
    <w:rsid w:val="3FE963F4"/>
    <w:rsid w:val="42C43F3A"/>
    <w:rsid w:val="45212CFA"/>
    <w:rsid w:val="4531764A"/>
    <w:rsid w:val="47072D52"/>
    <w:rsid w:val="48142CC0"/>
    <w:rsid w:val="4C6E6CAD"/>
    <w:rsid w:val="4DD20C3E"/>
    <w:rsid w:val="4ECC43FA"/>
    <w:rsid w:val="56B05694"/>
    <w:rsid w:val="5B3A26EB"/>
    <w:rsid w:val="5CAF2C65"/>
    <w:rsid w:val="5D2925A5"/>
    <w:rsid w:val="5F0E756A"/>
    <w:rsid w:val="62AE0E01"/>
    <w:rsid w:val="64392515"/>
    <w:rsid w:val="64441204"/>
    <w:rsid w:val="64821AF4"/>
    <w:rsid w:val="66216657"/>
    <w:rsid w:val="6BD10E4A"/>
    <w:rsid w:val="6BD277B9"/>
    <w:rsid w:val="6D934609"/>
    <w:rsid w:val="6DB12CE1"/>
    <w:rsid w:val="6DB77BCC"/>
    <w:rsid w:val="6DCF4191"/>
    <w:rsid w:val="728C4DDD"/>
    <w:rsid w:val="73076EFF"/>
    <w:rsid w:val="730C2694"/>
    <w:rsid w:val="73541345"/>
    <w:rsid w:val="73D21CD7"/>
    <w:rsid w:val="7600610B"/>
    <w:rsid w:val="763D100B"/>
    <w:rsid w:val="76897D88"/>
    <w:rsid w:val="768C4467"/>
    <w:rsid w:val="76BD0DA7"/>
    <w:rsid w:val="7DF95F9A"/>
    <w:rsid w:val="7E2C038E"/>
    <w:rsid w:val="7F877CDE"/>
    <w:rsid w:val="7FF66E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qFormat="1" w:unhideWhenUsed="0" w:uiPriority="99"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qFormat="1"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99"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108"/>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116"/>
    <w:qFormat/>
    <w:uiPriority w:val="0"/>
    <w:pPr>
      <w:keepNext/>
      <w:keepLines/>
      <w:autoSpaceDE w:val="0"/>
      <w:autoSpaceDN w:val="0"/>
      <w:adjustRightInd w:val="0"/>
      <w:spacing w:before="240" w:after="120" w:line="300" w:lineRule="auto"/>
      <w:jc w:val="center"/>
      <w:outlineLvl w:val="0"/>
    </w:pPr>
    <w:rPr>
      <w:rFonts w:ascii="宋体"/>
      <w:kern w:val="44"/>
      <w:sz w:val="32"/>
      <w:szCs w:val="20"/>
    </w:rPr>
  </w:style>
  <w:style w:type="paragraph" w:styleId="3">
    <w:name w:val="heading 2"/>
    <w:basedOn w:val="1"/>
    <w:next w:val="1"/>
    <w:qFormat/>
    <w:uiPriority w:val="0"/>
    <w:pPr>
      <w:keepNext/>
      <w:keepLines/>
      <w:autoSpaceDE w:val="0"/>
      <w:autoSpaceDN w:val="0"/>
      <w:adjustRightInd w:val="0"/>
      <w:spacing w:before="120" w:line="300" w:lineRule="auto"/>
      <w:jc w:val="center"/>
      <w:outlineLvl w:val="1"/>
    </w:pPr>
    <w:rPr>
      <w:rFonts w:ascii="Arial" w:hAnsi="Arial" w:eastAsia="黑体"/>
      <w:b/>
      <w:kern w:val="0"/>
      <w:sz w:val="30"/>
      <w:szCs w:val="20"/>
    </w:rPr>
  </w:style>
  <w:style w:type="paragraph" w:styleId="4">
    <w:name w:val="heading 3"/>
    <w:basedOn w:val="1"/>
    <w:next w:val="5"/>
    <w:qFormat/>
    <w:uiPriority w:val="0"/>
    <w:pPr>
      <w:spacing w:before="360" w:after="120"/>
      <w:jc w:val="left"/>
      <w:outlineLvl w:val="2"/>
    </w:pPr>
    <w:rPr>
      <w:rFonts w:ascii="宋体" w:hAnsi="Times New Roman" w:eastAsia="宋体"/>
      <w:sz w:val="24"/>
      <w:u w:val="single"/>
    </w:rPr>
  </w:style>
  <w:style w:type="paragraph" w:styleId="7">
    <w:name w:val="heading 4"/>
    <w:basedOn w:val="1"/>
    <w:next w:val="1"/>
    <w:qFormat/>
    <w:uiPriority w:val="0"/>
    <w:pPr>
      <w:keepNext/>
      <w:keepLines/>
      <w:spacing w:before="280" w:beforeAutospacing="0" w:after="290" w:afterAutospacing="0" w:line="372" w:lineRule="auto"/>
      <w:outlineLvl w:val="3"/>
    </w:pPr>
    <w:rPr>
      <w:rFonts w:ascii="Arial" w:hAnsi="Arial" w:eastAsia="黑体"/>
      <w:b/>
      <w:sz w:val="28"/>
    </w:rPr>
  </w:style>
  <w:style w:type="character" w:default="1" w:styleId="34">
    <w:name w:val="Default Paragraph Font"/>
    <w:qFormat/>
    <w:uiPriority w:val="1"/>
  </w:style>
  <w:style w:type="table" w:default="1" w:styleId="32">
    <w:name w:val="Normal Table"/>
    <w:qFormat/>
    <w:uiPriority w:val="99"/>
    <w:tblPr>
      <w:tblCellMar>
        <w:top w:w="0" w:type="dxa"/>
        <w:left w:w="108" w:type="dxa"/>
        <w:bottom w:w="0" w:type="dxa"/>
        <w:right w:w="108" w:type="dxa"/>
      </w:tblCellMar>
    </w:tblPr>
  </w:style>
  <w:style w:type="paragraph" w:styleId="5">
    <w:name w:val="Normal Indent"/>
    <w:basedOn w:val="1"/>
    <w:next w:val="6"/>
    <w:qFormat/>
    <w:uiPriority w:val="0"/>
    <w:pPr>
      <w:autoSpaceDE w:val="0"/>
      <w:autoSpaceDN w:val="0"/>
      <w:adjustRightInd w:val="0"/>
      <w:ind w:firstLine="420"/>
      <w:jc w:val="left"/>
    </w:pPr>
    <w:rPr>
      <w:rFonts w:ascii="宋体" w:hAnsi="Times New Roman"/>
      <w:kern w:val="0"/>
      <w:sz w:val="24"/>
      <w:szCs w:val="20"/>
    </w:rPr>
  </w:style>
  <w:style w:type="paragraph" w:styleId="6">
    <w:name w:val="toa heading"/>
    <w:basedOn w:val="1"/>
    <w:next w:val="1"/>
    <w:qFormat/>
    <w:uiPriority w:val="0"/>
    <w:pPr>
      <w:widowControl/>
      <w:spacing w:before="120"/>
      <w:ind w:firstLine="3584"/>
    </w:pPr>
  </w:style>
  <w:style w:type="paragraph" w:styleId="8">
    <w:name w:val="annotation text"/>
    <w:basedOn w:val="1"/>
    <w:link w:val="73"/>
    <w:qFormat/>
    <w:uiPriority w:val="0"/>
    <w:pPr>
      <w:jc w:val="left"/>
    </w:pPr>
  </w:style>
  <w:style w:type="paragraph" w:styleId="9">
    <w:name w:val="index 6"/>
    <w:basedOn w:val="1"/>
    <w:next w:val="1"/>
    <w:qFormat/>
    <w:uiPriority w:val="99"/>
    <w:pPr>
      <w:ind w:left="2100"/>
    </w:pPr>
  </w:style>
  <w:style w:type="paragraph" w:styleId="10">
    <w:name w:val="Body Text 3"/>
    <w:basedOn w:val="1"/>
    <w:qFormat/>
    <w:uiPriority w:val="99"/>
    <w:pPr>
      <w:spacing w:after="120"/>
    </w:pPr>
    <w:rPr>
      <w:sz w:val="16"/>
      <w:szCs w:val="16"/>
    </w:rPr>
  </w:style>
  <w:style w:type="paragraph" w:styleId="11">
    <w:name w:val="Body Text"/>
    <w:basedOn w:val="1"/>
    <w:next w:val="12"/>
    <w:qFormat/>
    <w:uiPriority w:val="0"/>
    <w:pPr>
      <w:tabs>
        <w:tab w:val="left" w:pos="567"/>
      </w:tabs>
      <w:spacing w:before="120" w:line="22" w:lineRule="atLeast"/>
    </w:pPr>
    <w:rPr>
      <w:rFonts w:ascii="宋体" w:hAnsi="宋体"/>
      <w:sz w:val="24"/>
    </w:rPr>
  </w:style>
  <w:style w:type="paragraph" w:styleId="12">
    <w:name w:val="Body Text First Indent"/>
    <w:basedOn w:val="11"/>
    <w:next w:val="1"/>
    <w:qFormat/>
    <w:uiPriority w:val="0"/>
    <w:pPr>
      <w:spacing w:after="120" w:line="240" w:lineRule="auto"/>
      <w:ind w:firstLine="420" w:firstLineChars="100"/>
    </w:pPr>
    <w:rPr>
      <w:rFonts w:ascii="Calibri" w:hAnsi="Calibri"/>
      <w:sz w:val="18"/>
      <w:szCs w:val="18"/>
    </w:rPr>
  </w:style>
  <w:style w:type="paragraph" w:styleId="13">
    <w:name w:val="Body Text Indent"/>
    <w:basedOn w:val="1"/>
    <w:next w:val="1"/>
    <w:qFormat/>
    <w:uiPriority w:val="0"/>
    <w:pPr>
      <w:spacing w:line="360" w:lineRule="auto"/>
      <w:ind w:firstLine="570"/>
    </w:pPr>
    <w:rPr>
      <w:rFonts w:ascii="Times New Roman" w:hAnsi="Times New Roman"/>
      <w:sz w:val="24"/>
    </w:rPr>
  </w:style>
  <w:style w:type="paragraph" w:styleId="14">
    <w:name w:val="toc 3"/>
    <w:basedOn w:val="1"/>
    <w:next w:val="1"/>
    <w:qFormat/>
    <w:uiPriority w:val="0"/>
    <w:pPr>
      <w:ind w:left="840" w:leftChars="400"/>
    </w:pPr>
  </w:style>
  <w:style w:type="paragraph" w:styleId="15">
    <w:name w:val="Plain Text"/>
    <w:basedOn w:val="1"/>
    <w:next w:val="16"/>
    <w:qFormat/>
    <w:uiPriority w:val="0"/>
    <w:rPr>
      <w:rFonts w:ascii="宋体" w:hAnsi="Courier New"/>
      <w:szCs w:val="20"/>
    </w:rPr>
  </w:style>
  <w:style w:type="paragraph" w:styleId="16">
    <w:name w:val="Subtitle"/>
    <w:next w:val="1"/>
    <w:qFormat/>
    <w:uiPriority w:val="0"/>
    <w:pPr>
      <w:wordWrap w:val="0"/>
      <w:spacing w:after="60"/>
      <w:jc w:val="center"/>
    </w:pPr>
    <w:rPr>
      <w:rFonts w:ascii="Calibri" w:hAnsi="Calibri" w:eastAsia="宋体" w:cs="Times New Roman"/>
      <w:sz w:val="24"/>
      <w:lang w:val="en-US" w:eastAsia="zh-CN" w:bidi="ar-SA"/>
    </w:rPr>
  </w:style>
  <w:style w:type="paragraph" w:styleId="17">
    <w:name w:val="toc 8"/>
    <w:basedOn w:val="1"/>
    <w:next w:val="1"/>
    <w:qFormat/>
    <w:uiPriority w:val="0"/>
    <w:pPr>
      <w:ind w:left="2940" w:leftChars="1400"/>
    </w:pPr>
  </w:style>
  <w:style w:type="paragraph" w:styleId="18">
    <w:name w:val="Date"/>
    <w:basedOn w:val="1"/>
    <w:next w:val="1"/>
    <w:qFormat/>
    <w:uiPriority w:val="0"/>
    <w:pPr>
      <w:ind w:left="100" w:leftChars="2500"/>
    </w:pPr>
    <w:rPr>
      <w:rFonts w:ascii="仿宋_GB2312" w:hAnsi="Courier New" w:eastAsia="仿宋_GB2312"/>
      <w:kern w:val="0"/>
      <w:sz w:val="24"/>
    </w:rPr>
  </w:style>
  <w:style w:type="paragraph" w:styleId="19">
    <w:name w:val="Body Text Indent 2"/>
    <w:basedOn w:val="1"/>
    <w:qFormat/>
    <w:uiPriority w:val="0"/>
    <w:pPr>
      <w:ind w:firstLine="360"/>
    </w:pPr>
    <w:rPr>
      <w:sz w:val="21"/>
    </w:rPr>
  </w:style>
  <w:style w:type="paragraph" w:styleId="20">
    <w:name w:val="Balloon Text"/>
    <w:basedOn w:val="1"/>
    <w:link w:val="72"/>
    <w:qFormat/>
    <w:uiPriority w:val="0"/>
    <w:rPr>
      <w:sz w:val="18"/>
      <w:szCs w:val="18"/>
    </w:rPr>
  </w:style>
  <w:style w:type="paragraph" w:styleId="21">
    <w:name w:val="footer"/>
    <w:basedOn w:val="1"/>
    <w:qFormat/>
    <w:uiPriority w:val="0"/>
    <w:pPr>
      <w:tabs>
        <w:tab w:val="center" w:pos="4153"/>
        <w:tab w:val="right" w:pos="8306"/>
      </w:tabs>
      <w:autoSpaceDE w:val="0"/>
      <w:autoSpaceDN w:val="0"/>
      <w:adjustRightInd w:val="0"/>
      <w:snapToGrid w:val="0"/>
      <w:jc w:val="left"/>
    </w:pPr>
    <w:rPr>
      <w:rFonts w:ascii="宋体" w:hAnsi="Times New Roman"/>
      <w:kern w:val="0"/>
      <w:sz w:val="18"/>
      <w:szCs w:val="20"/>
    </w:rPr>
  </w:style>
  <w:style w:type="paragraph" w:styleId="22">
    <w:name w:val="envelope return"/>
    <w:basedOn w:val="1"/>
    <w:qFormat/>
    <w:uiPriority w:val="0"/>
    <w:pPr>
      <w:snapToGrid w:val="0"/>
    </w:pPr>
    <w:rPr>
      <w:rFonts w:ascii="Arial" w:hAnsi="Arial"/>
    </w:rPr>
  </w:style>
  <w:style w:type="paragraph" w:styleId="23">
    <w:name w:val="header"/>
    <w:basedOn w:val="1"/>
    <w:qFormat/>
    <w:uiPriority w:val="0"/>
    <w:pPr>
      <w:pBdr>
        <w:bottom w:val="single" w:color="auto" w:sz="6" w:space="1"/>
      </w:pBdr>
      <w:tabs>
        <w:tab w:val="center" w:pos="4153"/>
        <w:tab w:val="right" w:pos="8306"/>
      </w:tabs>
      <w:snapToGrid w:val="0"/>
      <w:jc w:val="center"/>
    </w:pPr>
    <w:rPr>
      <w:rFonts w:ascii="Times New Roman" w:hAnsi="Times New Roman"/>
      <w:sz w:val="18"/>
      <w:szCs w:val="18"/>
    </w:rPr>
  </w:style>
  <w:style w:type="paragraph" w:styleId="24">
    <w:name w:val="toc 1"/>
    <w:basedOn w:val="1"/>
    <w:next w:val="1"/>
    <w:qFormat/>
    <w:uiPriority w:val="0"/>
    <w:rPr>
      <w:rFonts w:ascii="Times New Roman" w:hAnsi="Times New Roman"/>
    </w:rPr>
  </w:style>
  <w:style w:type="paragraph" w:styleId="25">
    <w:name w:val="footnote text"/>
    <w:basedOn w:val="1"/>
    <w:next w:val="11"/>
    <w:qFormat/>
    <w:uiPriority w:val="0"/>
    <w:pPr>
      <w:snapToGrid w:val="0"/>
      <w:jc w:val="left"/>
    </w:pPr>
    <w:rPr>
      <w:rFonts w:ascii="Times New Roman" w:hAnsi="Times New Roman"/>
      <w:sz w:val="18"/>
    </w:rPr>
  </w:style>
  <w:style w:type="paragraph" w:styleId="26">
    <w:name w:val="toc 2"/>
    <w:basedOn w:val="1"/>
    <w:next w:val="1"/>
    <w:qFormat/>
    <w:uiPriority w:val="0"/>
    <w:pPr>
      <w:ind w:left="420" w:leftChars="200"/>
    </w:pPr>
    <w:rPr>
      <w:rFonts w:ascii="Times New Roman" w:hAnsi="Times New Roman"/>
    </w:rPr>
  </w:style>
  <w:style w:type="paragraph" w:styleId="27">
    <w:name w:val="HTML Preformatted"/>
    <w:basedOn w:val="1"/>
    <w:qFormat/>
    <w:uiPriority w:val="0"/>
    <w:pPr>
      <w:widowControl/>
      <w:spacing w:line="360" w:lineRule="auto"/>
    </w:pPr>
    <w:rPr>
      <w:rFonts w:ascii="Courier New" w:hAnsi="Courier New"/>
      <w:sz w:val="20"/>
      <w:szCs w:val="20"/>
    </w:rPr>
  </w:style>
  <w:style w:type="paragraph" w:styleId="28">
    <w:name w:val="Normal (Web)"/>
    <w:basedOn w:val="1"/>
    <w:qFormat/>
    <w:uiPriority w:val="0"/>
    <w:pPr>
      <w:spacing w:beforeAutospacing="1" w:afterAutospacing="1"/>
      <w:jc w:val="left"/>
    </w:pPr>
    <w:rPr>
      <w:kern w:val="0"/>
      <w:sz w:val="24"/>
    </w:rPr>
  </w:style>
  <w:style w:type="paragraph" w:styleId="29">
    <w:name w:val="Title"/>
    <w:basedOn w:val="1"/>
    <w:next w:val="1"/>
    <w:qFormat/>
    <w:uiPriority w:val="10"/>
    <w:pPr>
      <w:spacing w:before="240" w:after="60"/>
      <w:jc w:val="center"/>
      <w:outlineLvl w:val="0"/>
    </w:pPr>
    <w:rPr>
      <w:rFonts w:ascii="Calibri Light" w:hAnsi="Calibri Light" w:eastAsia="宋体" w:cs="宋体"/>
      <w:b/>
      <w:bCs/>
      <w:sz w:val="32"/>
      <w:szCs w:val="32"/>
    </w:rPr>
  </w:style>
  <w:style w:type="paragraph" w:styleId="30">
    <w:name w:val="annotation subject"/>
    <w:basedOn w:val="8"/>
    <w:next w:val="8"/>
    <w:link w:val="74"/>
    <w:qFormat/>
    <w:uiPriority w:val="0"/>
    <w:rPr>
      <w:b/>
      <w:bCs/>
    </w:rPr>
  </w:style>
  <w:style w:type="paragraph" w:styleId="31">
    <w:name w:val="Body Text First Indent 2"/>
    <w:basedOn w:val="13"/>
    <w:next w:val="12"/>
    <w:qFormat/>
    <w:uiPriority w:val="0"/>
    <w:pPr>
      <w:ind w:firstLine="420" w:firstLineChars="200"/>
    </w:pPr>
  </w:style>
  <w:style w:type="table" w:styleId="33">
    <w:name w:val="Table Grid"/>
    <w:basedOn w:val="3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5">
    <w:name w:val="Strong"/>
    <w:basedOn w:val="34"/>
    <w:qFormat/>
    <w:uiPriority w:val="0"/>
    <w:rPr>
      <w:b/>
      <w:bCs/>
    </w:rPr>
  </w:style>
  <w:style w:type="character" w:styleId="36">
    <w:name w:val="page number"/>
    <w:basedOn w:val="34"/>
    <w:qFormat/>
    <w:uiPriority w:val="0"/>
    <w:rPr>
      <w:rFonts w:ascii="Times New Roman" w:hAnsi="Times New Roman" w:eastAsia="宋体" w:cs="Times New Roman"/>
    </w:rPr>
  </w:style>
  <w:style w:type="character" w:styleId="37">
    <w:name w:val="Emphasis"/>
    <w:qFormat/>
    <w:uiPriority w:val="20"/>
    <w:rPr>
      <w:i/>
      <w:iCs/>
    </w:rPr>
  </w:style>
  <w:style w:type="character" w:styleId="38">
    <w:name w:val="Hyperlink"/>
    <w:basedOn w:val="34"/>
    <w:qFormat/>
    <w:uiPriority w:val="0"/>
    <w:rPr>
      <w:color w:val="0000FF"/>
      <w:u w:val="single"/>
    </w:rPr>
  </w:style>
  <w:style w:type="character" w:styleId="39">
    <w:name w:val="annotation reference"/>
    <w:basedOn w:val="34"/>
    <w:qFormat/>
    <w:uiPriority w:val="0"/>
    <w:rPr>
      <w:sz w:val="21"/>
      <w:szCs w:val="21"/>
    </w:rPr>
  </w:style>
  <w:style w:type="character" w:styleId="40">
    <w:name w:val="HTML Sample"/>
    <w:basedOn w:val="34"/>
    <w:qFormat/>
    <w:uiPriority w:val="0"/>
    <w:rPr>
      <w:rFonts w:ascii="Courier New" w:hAnsi="Courier New"/>
    </w:rPr>
  </w:style>
  <w:style w:type="paragraph" w:customStyle="1" w:styleId="41">
    <w:name w:val="_Style 2"/>
    <w:basedOn w:val="1"/>
    <w:next w:val="1"/>
    <w:qFormat/>
    <w:uiPriority w:val="0"/>
    <w:pPr>
      <w:ind w:firstLine="200" w:firstLineChars="200"/>
    </w:pPr>
    <w:rPr>
      <w:rFonts w:ascii="Calibri" w:hAnsi="Calibri"/>
      <w:sz w:val="28"/>
      <w:szCs w:val="22"/>
    </w:rPr>
  </w:style>
  <w:style w:type="paragraph" w:customStyle="1" w:styleId="42">
    <w:name w:val="Default"/>
    <w:qFormat/>
    <w:uiPriority w:val="0"/>
    <w:pPr>
      <w:widowControl w:val="0"/>
      <w:autoSpaceDE w:val="0"/>
      <w:autoSpaceDN w:val="0"/>
    </w:pPr>
    <w:rPr>
      <w:rFonts w:ascii="宋体" w:hAnsi="Calibri" w:eastAsia="宋体" w:cs="宋体"/>
      <w:color w:val="000000"/>
      <w:sz w:val="24"/>
      <w:szCs w:val="24"/>
      <w:lang w:val="en-US" w:eastAsia="zh-CN" w:bidi="ar-SA"/>
    </w:rPr>
  </w:style>
  <w:style w:type="paragraph" w:customStyle="1" w:styleId="43">
    <w:name w:val="大标题"/>
    <w:basedOn w:val="1"/>
    <w:next w:val="31"/>
    <w:qFormat/>
    <w:uiPriority w:val="0"/>
    <w:pPr>
      <w:jc w:val="center"/>
    </w:pPr>
    <w:rPr>
      <w:rFonts w:ascii="Arial" w:hAnsi="Arial" w:eastAsia="宋体" w:cs="Times New Roman"/>
      <w:b/>
      <w:sz w:val="28"/>
      <w:szCs w:val="24"/>
    </w:rPr>
  </w:style>
  <w:style w:type="paragraph" w:customStyle="1" w:styleId="44">
    <w:name w:val="正文王森"/>
    <w:basedOn w:val="1"/>
    <w:qFormat/>
    <w:uiPriority w:val="0"/>
    <w:pPr>
      <w:spacing w:line="360" w:lineRule="auto"/>
      <w:ind w:firstLine="480" w:firstLineChars="200"/>
    </w:pPr>
    <w:rPr>
      <w:rFonts w:ascii="黑体" w:hAnsi="黑体" w:eastAsia="黑体"/>
      <w:sz w:val="24"/>
    </w:rPr>
  </w:style>
  <w:style w:type="paragraph" w:customStyle="1" w:styleId="45">
    <w:name w:val="List2"/>
    <w:basedOn w:val="1"/>
    <w:qFormat/>
    <w:uiPriority w:val="0"/>
    <w:pPr>
      <w:widowControl/>
      <w:ind w:left="100" w:leftChars="200" w:hanging="200" w:hangingChars="200"/>
      <w:contextualSpacing/>
      <w:textAlignment w:val="baseline"/>
    </w:pPr>
  </w:style>
  <w:style w:type="paragraph" w:customStyle="1" w:styleId="46">
    <w:name w:val="Heading3"/>
    <w:basedOn w:val="1"/>
    <w:next w:val="1"/>
    <w:qFormat/>
    <w:uiPriority w:val="0"/>
    <w:pPr>
      <w:keepNext/>
      <w:numPr>
        <w:ilvl w:val="0"/>
        <w:numId w:val="1"/>
      </w:numPr>
      <w:jc w:val="both"/>
      <w:textAlignment w:val="baseline"/>
    </w:pPr>
    <w:rPr>
      <w:rFonts w:cs="Times New Roman"/>
      <w:b/>
      <w:bCs/>
      <w:kern w:val="2"/>
      <w:sz w:val="28"/>
      <w:szCs w:val="24"/>
      <w:lang w:val="en-US" w:eastAsia="zh-CN" w:bidi="ar-SA"/>
    </w:rPr>
  </w:style>
  <w:style w:type="paragraph" w:customStyle="1" w:styleId="47">
    <w:name w:val="BodyText"/>
    <w:basedOn w:val="1"/>
    <w:qFormat/>
    <w:uiPriority w:val="0"/>
    <w:pPr>
      <w:spacing w:after="120"/>
    </w:pPr>
  </w:style>
  <w:style w:type="character" w:customStyle="1" w:styleId="48">
    <w:name w:val="标题 1 Char"/>
    <w:link w:val="2"/>
    <w:qFormat/>
    <w:uiPriority w:val="0"/>
    <w:rPr>
      <w:rFonts w:ascii="宋体"/>
      <w:b/>
      <w:kern w:val="44"/>
      <w:sz w:val="32"/>
      <w:szCs w:val="20"/>
    </w:rPr>
  </w:style>
  <w:style w:type="paragraph" w:customStyle="1" w:styleId="49">
    <w:name w:val="No Spacing_3b93350b-94da-44fa-8143-641484b951a0"/>
    <w:link w:val="66"/>
    <w:qFormat/>
    <w:uiPriority w:val="1"/>
    <w:pPr>
      <w:widowControl w:val="0"/>
      <w:jc w:val="both"/>
    </w:pPr>
    <w:rPr>
      <w:rFonts w:ascii="Calibri" w:hAnsi="Calibri" w:eastAsia="宋体" w:cs="Times New Roman"/>
      <w:kern w:val="2"/>
      <w:sz w:val="21"/>
      <w:szCs w:val="24"/>
      <w:lang w:val="en-US" w:eastAsia="zh-CN" w:bidi="ar-SA"/>
    </w:rPr>
  </w:style>
  <w:style w:type="character" w:customStyle="1" w:styleId="50">
    <w:name w:val="NormalCharacter"/>
    <w:link w:val="1"/>
    <w:qFormat/>
    <w:uiPriority w:val="0"/>
    <w:rPr>
      <w:rFonts w:ascii="Calibri" w:hAnsi="Calibri" w:eastAsia="宋体" w:cs="Times New Roman"/>
      <w:kern w:val="2"/>
      <w:sz w:val="21"/>
      <w:szCs w:val="24"/>
      <w:lang w:val="en-US" w:eastAsia="zh-CN" w:bidi="ar-SA"/>
    </w:rPr>
  </w:style>
  <w:style w:type="paragraph" w:customStyle="1" w:styleId="51">
    <w:name w:val="图例"/>
    <w:basedOn w:val="1"/>
    <w:qFormat/>
    <w:uiPriority w:val="0"/>
    <w:pPr>
      <w:spacing w:before="120" w:after="120" w:line="360" w:lineRule="auto"/>
      <w:jc w:val="center"/>
    </w:pPr>
    <w:rPr>
      <w:rFonts w:eastAsia="仿宋_GB2312"/>
      <w:b/>
      <w:sz w:val="24"/>
    </w:rPr>
  </w:style>
  <w:style w:type="paragraph" w:customStyle="1" w:styleId="52">
    <w:name w:val="列出段落1"/>
    <w:basedOn w:val="1"/>
    <w:qFormat/>
    <w:uiPriority w:val="0"/>
    <w:pPr>
      <w:ind w:firstLine="420" w:firstLineChars="200"/>
    </w:pPr>
  </w:style>
  <w:style w:type="paragraph" w:customStyle="1" w:styleId="53">
    <w:name w:val="List Paragraph_7aecd6e6-fc70-4df6-be05-ef790174fbad"/>
    <w:basedOn w:val="1"/>
    <w:qFormat/>
    <w:uiPriority w:val="34"/>
    <w:pPr>
      <w:ind w:firstLine="420" w:firstLineChars="200"/>
    </w:pPr>
  </w:style>
  <w:style w:type="paragraph" w:customStyle="1" w:styleId="54">
    <w:name w:val="正文-manu"/>
    <w:basedOn w:val="1"/>
    <w:qFormat/>
    <w:uiPriority w:val="0"/>
    <w:pPr>
      <w:spacing w:line="300" w:lineRule="auto"/>
    </w:pPr>
    <w:rPr>
      <w:b/>
      <w:snapToGrid w:val="0"/>
      <w:kern w:val="0"/>
      <w:sz w:val="24"/>
      <w:szCs w:val="20"/>
    </w:rPr>
  </w:style>
  <w:style w:type="character" w:customStyle="1" w:styleId="55">
    <w:name w:val="font01"/>
    <w:basedOn w:val="34"/>
    <w:qFormat/>
    <w:uiPriority w:val="0"/>
    <w:rPr>
      <w:rFonts w:hint="default" w:ascii="Arial" w:hAnsi="Arial" w:cs="Arial"/>
      <w:color w:val="000000"/>
      <w:sz w:val="22"/>
      <w:szCs w:val="22"/>
      <w:u w:val="none"/>
    </w:rPr>
  </w:style>
  <w:style w:type="character" w:customStyle="1" w:styleId="56">
    <w:name w:val="font41"/>
    <w:basedOn w:val="34"/>
    <w:qFormat/>
    <w:uiPriority w:val="0"/>
    <w:rPr>
      <w:rFonts w:hint="eastAsia" w:ascii="宋体" w:hAnsi="宋体" w:eastAsia="宋体" w:cs="宋体"/>
      <w:color w:val="000000"/>
      <w:sz w:val="22"/>
      <w:szCs w:val="22"/>
      <w:u w:val="none"/>
    </w:rPr>
  </w:style>
  <w:style w:type="character" w:customStyle="1" w:styleId="57">
    <w:name w:val="font51"/>
    <w:basedOn w:val="34"/>
    <w:qFormat/>
    <w:uiPriority w:val="0"/>
    <w:rPr>
      <w:rFonts w:hint="eastAsia" w:ascii="宋体" w:hAnsi="宋体" w:eastAsia="宋体" w:cs="宋体"/>
      <w:color w:val="000000"/>
      <w:sz w:val="22"/>
      <w:szCs w:val="22"/>
      <w:u w:val="none"/>
    </w:rPr>
  </w:style>
  <w:style w:type="character" w:customStyle="1" w:styleId="58">
    <w:name w:val="font31"/>
    <w:basedOn w:val="34"/>
    <w:qFormat/>
    <w:uiPriority w:val="0"/>
    <w:rPr>
      <w:rFonts w:hint="default" w:ascii="Arial" w:hAnsi="Arial" w:cs="Arial"/>
      <w:b/>
      <w:color w:val="000000"/>
      <w:sz w:val="22"/>
      <w:szCs w:val="22"/>
      <w:u w:val="none"/>
    </w:rPr>
  </w:style>
  <w:style w:type="character" w:customStyle="1" w:styleId="59">
    <w:name w:val="font91"/>
    <w:basedOn w:val="34"/>
    <w:qFormat/>
    <w:uiPriority w:val="0"/>
    <w:rPr>
      <w:rFonts w:hint="default" w:ascii="Arial" w:hAnsi="Arial" w:cs="Arial"/>
      <w:color w:val="000000"/>
      <w:sz w:val="22"/>
      <w:szCs w:val="22"/>
      <w:u w:val="none"/>
    </w:rPr>
  </w:style>
  <w:style w:type="character" w:customStyle="1" w:styleId="60">
    <w:name w:val="font81"/>
    <w:basedOn w:val="34"/>
    <w:qFormat/>
    <w:uiPriority w:val="0"/>
    <w:rPr>
      <w:rFonts w:hint="eastAsia" w:ascii="宋体" w:hAnsi="宋体" w:eastAsia="宋体" w:cs="宋体"/>
      <w:color w:val="000000"/>
      <w:sz w:val="22"/>
      <w:szCs w:val="22"/>
      <w:u w:val="none"/>
    </w:rPr>
  </w:style>
  <w:style w:type="character" w:customStyle="1" w:styleId="61">
    <w:name w:val="font21"/>
    <w:basedOn w:val="34"/>
    <w:qFormat/>
    <w:uiPriority w:val="0"/>
    <w:rPr>
      <w:rFonts w:ascii="微软雅黑" w:hAnsi="微软雅黑" w:eastAsia="微软雅黑" w:cs="微软雅黑"/>
      <w:b/>
      <w:color w:val="000000"/>
      <w:sz w:val="24"/>
      <w:szCs w:val="24"/>
      <w:u w:val="none"/>
    </w:rPr>
  </w:style>
  <w:style w:type="character" w:customStyle="1" w:styleId="62">
    <w:name w:val="font61"/>
    <w:basedOn w:val="34"/>
    <w:qFormat/>
    <w:uiPriority w:val="0"/>
    <w:rPr>
      <w:rFonts w:hint="default" w:ascii="Times New Roman" w:hAnsi="Times New Roman" w:cs="Times New Roman"/>
      <w:b/>
      <w:color w:val="000000"/>
      <w:sz w:val="24"/>
      <w:szCs w:val="24"/>
      <w:u w:val="none"/>
    </w:rPr>
  </w:style>
  <w:style w:type="character" w:customStyle="1" w:styleId="63">
    <w:name w:val="font71"/>
    <w:basedOn w:val="34"/>
    <w:qFormat/>
    <w:uiPriority w:val="0"/>
    <w:rPr>
      <w:rFonts w:hint="eastAsia" w:ascii="微软雅黑" w:hAnsi="微软雅黑" w:eastAsia="微软雅黑" w:cs="微软雅黑"/>
      <w:color w:val="000000"/>
      <w:sz w:val="24"/>
      <w:szCs w:val="24"/>
      <w:u w:val="none"/>
    </w:rPr>
  </w:style>
  <w:style w:type="character" w:customStyle="1" w:styleId="64">
    <w:name w:val="font101"/>
    <w:basedOn w:val="34"/>
    <w:qFormat/>
    <w:uiPriority w:val="0"/>
    <w:rPr>
      <w:rFonts w:hint="default" w:ascii="Times New Roman" w:hAnsi="Times New Roman" w:cs="Times New Roman"/>
      <w:color w:val="000000"/>
      <w:sz w:val="24"/>
      <w:szCs w:val="24"/>
      <w:u w:val="none"/>
    </w:rPr>
  </w:style>
  <w:style w:type="paragraph" w:customStyle="1" w:styleId="65">
    <w:name w:val="_Style 1"/>
    <w:basedOn w:val="1"/>
    <w:qFormat/>
    <w:uiPriority w:val="34"/>
    <w:pPr>
      <w:ind w:firstLine="420" w:firstLineChars="200"/>
    </w:pPr>
  </w:style>
  <w:style w:type="character" w:customStyle="1" w:styleId="66">
    <w:name w:val="无间隔 Char"/>
    <w:link w:val="49"/>
    <w:qFormat/>
    <w:uiPriority w:val="1"/>
    <w:rPr>
      <w:rFonts w:ascii="Calibri" w:hAnsi="Calibri" w:eastAsia="宋体" w:cs="Times New Roman"/>
      <w:kern w:val="2"/>
      <w:sz w:val="21"/>
      <w:szCs w:val="24"/>
      <w:lang w:val="en-US" w:eastAsia="zh-CN" w:bidi="ar-SA"/>
    </w:rPr>
  </w:style>
  <w:style w:type="paragraph" w:customStyle="1" w:styleId="67">
    <w:name w:val="正文缩进1"/>
    <w:basedOn w:val="1"/>
    <w:qFormat/>
    <w:uiPriority w:val="0"/>
    <w:pPr>
      <w:autoSpaceDE w:val="0"/>
      <w:autoSpaceDN w:val="0"/>
      <w:adjustRightInd w:val="0"/>
      <w:ind w:firstLine="420"/>
      <w:jc w:val="left"/>
    </w:pPr>
    <w:rPr>
      <w:rFonts w:ascii="宋体"/>
      <w:kern w:val="0"/>
      <w:sz w:val="24"/>
      <w:szCs w:val="20"/>
    </w:rPr>
  </w:style>
  <w:style w:type="paragraph" w:customStyle="1" w:styleId="68">
    <w:name w:val="索引 11"/>
    <w:basedOn w:val="1"/>
    <w:next w:val="1"/>
    <w:qFormat/>
    <w:uiPriority w:val="0"/>
    <w:pPr>
      <w:spacing w:line="360" w:lineRule="auto"/>
    </w:pPr>
    <w:rPr>
      <w:rFonts w:ascii="仿宋_GB2312" w:eastAsia="仿宋_GB2312"/>
      <w:sz w:val="24"/>
      <w:szCs w:val="20"/>
    </w:rPr>
  </w:style>
  <w:style w:type="paragraph" w:customStyle="1" w:styleId="69">
    <w:name w:val="纯文本1"/>
    <w:basedOn w:val="1"/>
    <w:qFormat/>
    <w:uiPriority w:val="0"/>
    <w:rPr>
      <w:rFonts w:ascii="宋体" w:hAnsi="Courier New"/>
      <w:kern w:val="0"/>
      <w:sz w:val="20"/>
      <w:szCs w:val="20"/>
    </w:rPr>
  </w:style>
  <w:style w:type="paragraph" w:customStyle="1" w:styleId="70">
    <w:name w:val="段"/>
    <w:next w:val="1"/>
    <w:qFormat/>
    <w:uiPriority w:val="0"/>
    <w:pPr>
      <w:autoSpaceDE w:val="0"/>
      <w:autoSpaceDN w:val="0"/>
      <w:ind w:firstLine="420" w:firstLineChars="200"/>
      <w:jc w:val="both"/>
    </w:pPr>
    <w:rPr>
      <w:rFonts w:ascii="宋体" w:hAnsi="Calibri" w:eastAsia="宋体" w:cs="Times New Roman"/>
      <w:kern w:val="2"/>
      <w:sz w:val="21"/>
      <w:szCs w:val="21"/>
      <w:lang w:val="en-US" w:eastAsia="zh-CN" w:bidi="ar-SA"/>
    </w:rPr>
  </w:style>
  <w:style w:type="paragraph" w:customStyle="1" w:styleId="71">
    <w:name w:val="石墨文档正文"/>
    <w:qFormat/>
    <w:uiPriority w:val="0"/>
    <w:rPr>
      <w:rFonts w:ascii="微软雅黑" w:hAnsi="微软雅黑" w:eastAsia="微软雅黑" w:cs="微软雅黑"/>
      <w:sz w:val="24"/>
      <w:szCs w:val="24"/>
      <w:lang w:val="en-US" w:eastAsia="zh-CN" w:bidi="ar-SA"/>
    </w:rPr>
  </w:style>
  <w:style w:type="character" w:customStyle="1" w:styleId="72">
    <w:name w:val="批注框文本 Char"/>
    <w:basedOn w:val="34"/>
    <w:link w:val="20"/>
    <w:qFormat/>
    <w:uiPriority w:val="0"/>
    <w:rPr>
      <w:kern w:val="2"/>
      <w:sz w:val="18"/>
      <w:szCs w:val="18"/>
    </w:rPr>
  </w:style>
  <w:style w:type="character" w:customStyle="1" w:styleId="73">
    <w:name w:val="批注文字 Char"/>
    <w:basedOn w:val="34"/>
    <w:link w:val="8"/>
    <w:qFormat/>
    <w:uiPriority w:val="0"/>
    <w:rPr>
      <w:kern w:val="2"/>
      <w:sz w:val="21"/>
      <w:szCs w:val="24"/>
    </w:rPr>
  </w:style>
  <w:style w:type="character" w:customStyle="1" w:styleId="74">
    <w:name w:val="批注主题 Char"/>
    <w:basedOn w:val="73"/>
    <w:link w:val="30"/>
    <w:qFormat/>
    <w:uiPriority w:val="0"/>
    <w:rPr>
      <w:b/>
      <w:bCs/>
      <w:kern w:val="2"/>
      <w:sz w:val="21"/>
      <w:szCs w:val="24"/>
    </w:rPr>
  </w:style>
  <w:style w:type="paragraph" w:customStyle="1" w:styleId="75">
    <w:name w:val="CL标准正文首行缩进2字"/>
    <w:qFormat/>
    <w:uiPriority w:val="0"/>
    <w:pPr>
      <w:widowControl w:val="0"/>
      <w:spacing w:line="360" w:lineRule="auto"/>
      <w:ind w:firstLine="200"/>
      <w:jc w:val="both"/>
    </w:pPr>
    <w:rPr>
      <w:rFonts w:ascii="Arial" w:hAnsi="Arial" w:eastAsia="宋体" w:cs="Arial Unicode MS"/>
      <w:color w:val="000000"/>
      <w:kern w:val="2"/>
      <w:sz w:val="21"/>
      <w:szCs w:val="21"/>
      <w:u w:color="000000"/>
      <w:lang w:val="en-US" w:eastAsia="zh-CN" w:bidi="ar-SA"/>
    </w:rPr>
  </w:style>
  <w:style w:type="table" w:customStyle="1" w:styleId="76">
    <w:name w:val="Table Normal1"/>
    <w:qFormat/>
    <w:uiPriority w:val="0"/>
    <w:rPr>
      <w:rFonts w:ascii="Times New Roman" w:hAnsi="Times New Roman" w:cs="Times New Roman"/>
    </w:rPr>
    <w:tblPr>
      <w:tblCellMar>
        <w:top w:w="0" w:type="dxa"/>
        <w:left w:w="0" w:type="dxa"/>
        <w:bottom w:w="0" w:type="dxa"/>
        <w:right w:w="0" w:type="dxa"/>
      </w:tblCellMar>
    </w:tblPr>
  </w:style>
  <w:style w:type="paragraph" w:customStyle="1" w:styleId="77">
    <w:name w:val="样式 首行缩进:  2 字符"/>
    <w:basedOn w:val="1"/>
    <w:qFormat/>
    <w:uiPriority w:val="0"/>
    <w:pPr>
      <w:spacing w:line="360" w:lineRule="auto"/>
      <w:ind w:firstLine="480" w:firstLineChars="200"/>
      <w:jc w:val="left"/>
    </w:pPr>
    <w:rPr>
      <w:rFonts w:ascii="宋体" w:hAnsi="宋体" w:cs="宋体"/>
      <w:color w:val="000000"/>
      <w:sz w:val="24"/>
      <w:szCs w:val="20"/>
    </w:rPr>
  </w:style>
  <w:style w:type="paragraph" w:customStyle="1" w:styleId="78">
    <w:name w:val="p1"/>
    <w:basedOn w:val="1"/>
    <w:qFormat/>
    <w:uiPriority w:val="0"/>
    <w:pPr>
      <w:spacing w:before="0" w:beforeAutospacing="0" w:after="0" w:afterAutospacing="0"/>
      <w:ind w:left="0" w:right="0"/>
      <w:jc w:val="left"/>
    </w:pPr>
    <w:rPr>
      <w:rFonts w:ascii="pingfang sc" w:hAnsi="pingfang sc" w:eastAsia="pingfang sc" w:cs="pingfang sc"/>
      <w:kern w:val="0"/>
      <w:sz w:val="26"/>
      <w:szCs w:val="26"/>
      <w:lang w:val="en-US" w:eastAsia="zh-CN"/>
    </w:rPr>
  </w:style>
  <w:style w:type="character" w:customStyle="1" w:styleId="79">
    <w:name w:val="s1"/>
    <w:basedOn w:val="34"/>
    <w:qFormat/>
    <w:uiPriority w:val="0"/>
    <w:rPr>
      <w:rFonts w:ascii="pingfang sc" w:hAnsi="pingfang sc" w:eastAsia="pingfang sc" w:cs="pingfang sc"/>
      <w:sz w:val="40"/>
      <w:szCs w:val="40"/>
    </w:rPr>
  </w:style>
  <w:style w:type="character" w:customStyle="1" w:styleId="80">
    <w:name w:val="trans"/>
    <w:qFormat/>
    <w:uiPriority w:val="99"/>
  </w:style>
  <w:style w:type="paragraph" w:customStyle="1" w:styleId="81">
    <w:name w:val="正文 A"/>
    <w:qFormat/>
    <w:uiPriority w:val="0"/>
    <w:pPr>
      <w:keepNext w:val="0"/>
      <w:keepLines w:val="0"/>
      <w:pageBreakBefore w:val="0"/>
      <w:framePr w:wrap="around" w:vAnchor="margin" w:hAnchor="text" w:yAlign="inline"/>
      <w:widowControl w:val="0"/>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bidi w:val="0"/>
      <w:spacing w:before="0" w:beforeAutospacing="0" w:after="0" w:afterAutospacing="0" w:line="240" w:lineRule="auto"/>
      <w:ind w:left="0" w:right="0" w:firstLine="0"/>
      <w:jc w:val="both"/>
      <w:outlineLvl w:val="9"/>
    </w:pPr>
    <w:rPr>
      <w:rFonts w:ascii="Times New Roman" w:hAnsi="Times New Roman" w:eastAsia="Arial Unicode MS" w:cs="Arial Unicode MS"/>
      <w:color w:val="000000"/>
      <w:spacing w:val="0"/>
      <w:w w:val="100"/>
      <w:kern w:val="2"/>
      <w:position w:val="0"/>
      <w:sz w:val="21"/>
      <w:szCs w:val="21"/>
      <w:u w:val="none" w:color="000000"/>
      <w:shd w:val="clear" w:color="auto" w:fill="auto"/>
      <w:vertAlign w:val="baseline"/>
      <w:lang w:val="en-US"/>
    </w:rPr>
  </w:style>
  <w:style w:type="paragraph" w:customStyle="1" w:styleId="82">
    <w:name w:val="页眉与页脚"/>
    <w:qFormat/>
    <w:uiPriority w:val="0"/>
    <w:pPr>
      <w:keepNext w:val="0"/>
      <w:keepLines w:val="0"/>
      <w:pageBreakBefore w:val="0"/>
      <w:framePr w:wrap="around" w:vAnchor="margin" w:hAnchor="text" w:yAlign="inline"/>
      <w:widowControl/>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tabs>
        <w:tab w:val="right" w:pos="9020"/>
      </w:tabs>
      <w:suppressAutoHyphens w:val="0"/>
      <w:bidi w:val="0"/>
      <w:spacing w:before="0" w:beforeAutospacing="0" w:after="0" w:afterAutospacing="0" w:line="240" w:lineRule="auto"/>
      <w:ind w:left="0" w:right="0" w:firstLine="0"/>
      <w:jc w:val="left"/>
      <w:outlineLvl w:val="9"/>
    </w:pPr>
    <w:rPr>
      <w:rFonts w:ascii="Helvetica Neue" w:hAnsi="Helvetica Neue" w:eastAsia="Arial Unicode MS" w:cs="Arial Unicode MS"/>
      <w:color w:val="000000"/>
      <w:spacing w:val="0"/>
      <w:w w:val="100"/>
      <w:kern w:val="0"/>
      <w:position w:val="0"/>
      <w:sz w:val="24"/>
      <w:szCs w:val="24"/>
      <w:u w:val="none" w:color="auto"/>
      <w:shd w:val="clear" w:color="auto" w:fill="auto"/>
      <w:vertAlign w:val="baseline"/>
    </w:rPr>
  </w:style>
  <w:style w:type="character" w:customStyle="1" w:styleId="83">
    <w:name w:val="PageNumber"/>
    <w:qFormat/>
    <w:uiPriority w:val="99"/>
    <w:rPr>
      <w:rFonts w:cs="Times New Roman"/>
    </w:rPr>
  </w:style>
  <w:style w:type="paragraph" w:customStyle="1" w:styleId="84">
    <w:name w:val="样式1"/>
    <w:basedOn w:val="3"/>
    <w:qFormat/>
    <w:uiPriority w:val="0"/>
    <w:pPr>
      <w:spacing w:before="100" w:beforeAutospacing="1" w:after="100" w:afterAutospacing="1"/>
      <w:ind w:right="100" w:rightChars="100"/>
    </w:pPr>
    <w:rPr>
      <w:sz w:val="21"/>
    </w:rPr>
  </w:style>
  <w:style w:type="paragraph" w:customStyle="1" w:styleId="85">
    <w:name w:val="UserStyle_15"/>
    <w:basedOn w:val="86"/>
    <w:qFormat/>
    <w:uiPriority w:val="0"/>
    <w:pPr>
      <w:keepNext/>
      <w:widowControl/>
      <w:numPr>
        <w:ilvl w:val="1"/>
        <w:numId w:val="2"/>
      </w:numPr>
      <w:spacing w:before="100" w:beforeAutospacing="1" w:after="100" w:afterAutospacing="1"/>
      <w:ind w:left="1710" w:right="100" w:rightChars="100"/>
      <w:textAlignment w:val="baseline"/>
    </w:pPr>
    <w:rPr>
      <w:rFonts w:ascii="Cambria" w:hAnsi="Cambria" w:cs="Times New Roman"/>
      <w:sz w:val="21"/>
      <w:szCs w:val="28"/>
      <w:lang w:bidi="ar-SA"/>
    </w:rPr>
  </w:style>
  <w:style w:type="paragraph" w:customStyle="1" w:styleId="86">
    <w:name w:val="Heading2"/>
    <w:basedOn w:val="1"/>
    <w:next w:val="1"/>
    <w:qFormat/>
    <w:uiPriority w:val="0"/>
    <w:pPr>
      <w:keepNext/>
      <w:widowControl/>
      <w:numPr>
        <w:ilvl w:val="1"/>
        <w:numId w:val="2"/>
      </w:numPr>
      <w:spacing w:before="240" w:after="60"/>
      <w:textAlignment w:val="baseline"/>
    </w:pPr>
    <w:rPr>
      <w:rFonts w:ascii="Cambria" w:hAnsi="Cambria" w:cs="Times New Roman"/>
      <w:b/>
      <w:bCs/>
      <w:i/>
      <w:iCs/>
      <w:sz w:val="28"/>
      <w:szCs w:val="28"/>
      <w:lang w:bidi="ar-SA"/>
    </w:rPr>
  </w:style>
  <w:style w:type="character" w:customStyle="1" w:styleId="87">
    <w:name w:val="UserStyle_2"/>
    <w:link w:val="88"/>
    <w:qFormat/>
    <w:uiPriority w:val="0"/>
    <w:rPr>
      <w:kern w:val="0"/>
      <w:sz w:val="20"/>
      <w:szCs w:val="24"/>
      <w:lang w:val="en-US" w:eastAsia="zh-CN" w:bidi="ar-SA"/>
    </w:rPr>
  </w:style>
  <w:style w:type="paragraph" w:customStyle="1" w:styleId="88">
    <w:name w:val="UserStyle_3"/>
    <w:basedOn w:val="1"/>
    <w:link w:val="87"/>
    <w:qFormat/>
    <w:uiPriority w:val="0"/>
    <w:pPr>
      <w:jc w:val="both"/>
      <w:textAlignment w:val="baseline"/>
    </w:pPr>
    <w:rPr>
      <w:kern w:val="0"/>
      <w:sz w:val="20"/>
      <w:szCs w:val="24"/>
      <w:lang w:val="en-US" w:eastAsia="zh-CN" w:bidi="ar-SA"/>
    </w:rPr>
  </w:style>
  <w:style w:type="paragraph" w:customStyle="1" w:styleId="89">
    <w:name w:val="List Paragraph1"/>
    <w:basedOn w:val="1"/>
    <w:qFormat/>
    <w:uiPriority w:val="0"/>
    <w:pPr>
      <w:ind w:firstLine="420" w:firstLineChars="200"/>
    </w:pPr>
  </w:style>
  <w:style w:type="paragraph" w:customStyle="1" w:styleId="90">
    <w:name w:val="List Paragraph"/>
    <w:basedOn w:val="1"/>
    <w:qFormat/>
    <w:uiPriority w:val="34"/>
    <w:pPr>
      <w:ind w:firstLine="420" w:firstLineChars="200"/>
    </w:pPr>
  </w:style>
  <w:style w:type="paragraph" w:customStyle="1" w:styleId="91">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92">
    <w:name w:val="xl41"/>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Times New Roman"/>
      <w:kern w:val="0"/>
      <w:sz w:val="24"/>
      <w:szCs w:val="24"/>
    </w:rPr>
  </w:style>
  <w:style w:type="paragraph" w:customStyle="1" w:styleId="93">
    <w:name w:val="TOC Heading"/>
    <w:basedOn w:val="2"/>
    <w:next w:val="1"/>
    <w:unhideWhenUsed/>
    <w:qFormat/>
    <w:uiPriority w:val="39"/>
    <w:pPr>
      <w:widowControl/>
      <w:numPr>
        <w:ilvl w:val="0"/>
        <w:numId w:val="0"/>
      </w:numPr>
      <w:spacing w:before="480" w:after="0" w:line="276" w:lineRule="auto"/>
      <w:jc w:val="left"/>
      <w:outlineLvl w:val="9"/>
    </w:pPr>
    <w:rPr>
      <w:rFonts w:ascii="Cambria" w:hAnsi="Cambria"/>
      <w:color w:val="365F91"/>
      <w:kern w:val="0"/>
      <w:sz w:val="28"/>
      <w:szCs w:val="28"/>
    </w:rPr>
  </w:style>
  <w:style w:type="paragraph" w:customStyle="1" w:styleId="94">
    <w:name w:val="标题33"/>
    <w:basedOn w:val="4"/>
    <w:next w:val="44"/>
    <w:qFormat/>
    <w:uiPriority w:val="0"/>
    <w:pPr>
      <w:numPr>
        <w:ilvl w:val="2"/>
        <w:numId w:val="3"/>
      </w:numPr>
      <w:tabs>
        <w:tab w:val="clear" w:pos="720"/>
      </w:tabs>
    </w:pPr>
    <w:rPr>
      <w:rFonts w:hAnsi="黑体" w:eastAsia="黑体"/>
      <w:sz w:val="30"/>
      <w:szCs w:val="30"/>
    </w:rPr>
  </w:style>
  <w:style w:type="paragraph" w:customStyle="1" w:styleId="95">
    <w:name w:val="标题44"/>
    <w:basedOn w:val="7"/>
    <w:next w:val="44"/>
    <w:qFormat/>
    <w:uiPriority w:val="0"/>
    <w:pPr>
      <w:numPr>
        <w:ilvl w:val="3"/>
        <w:numId w:val="3"/>
      </w:numPr>
    </w:pPr>
    <w:rPr>
      <w:sz w:val="30"/>
      <w:szCs w:val="30"/>
    </w:rPr>
  </w:style>
  <w:style w:type="paragraph" w:customStyle="1" w:styleId="96">
    <w:name w:val="表格文字"/>
    <w:basedOn w:val="1"/>
    <w:qFormat/>
    <w:uiPriority w:val="0"/>
    <w:pPr>
      <w:spacing w:before="25" w:after="25"/>
      <w:jc w:val="left"/>
    </w:pPr>
    <w:rPr>
      <w:bCs/>
      <w:spacing w:val="10"/>
      <w:kern w:val="0"/>
      <w:sz w:val="24"/>
    </w:rPr>
  </w:style>
  <w:style w:type="paragraph" w:customStyle="1" w:styleId="97">
    <w:name w:val="p0"/>
    <w:basedOn w:val="1"/>
    <w:qFormat/>
    <w:uiPriority w:val="0"/>
    <w:pPr>
      <w:widowControl/>
    </w:pPr>
    <w:rPr>
      <w:kern w:val="0"/>
      <w:szCs w:val="21"/>
    </w:rPr>
  </w:style>
  <w:style w:type="character" w:customStyle="1" w:styleId="98">
    <w:name w:val="font11"/>
    <w:basedOn w:val="34"/>
    <w:qFormat/>
    <w:uiPriority w:val="0"/>
    <w:rPr>
      <w:rFonts w:hint="eastAsia" w:ascii="宋体" w:hAnsi="宋体" w:eastAsia="宋体" w:cs="宋体"/>
      <w:color w:val="333333"/>
      <w:sz w:val="24"/>
      <w:szCs w:val="24"/>
      <w:u w:val="none"/>
    </w:rPr>
  </w:style>
  <w:style w:type="table" w:customStyle="1" w:styleId="99">
    <w:name w:val="Table Normal"/>
    <w:unhideWhenUsed/>
    <w:qFormat/>
    <w:uiPriority w:val="0"/>
    <w:tblPr>
      <w:tblCellMar>
        <w:top w:w="0" w:type="dxa"/>
        <w:left w:w="0" w:type="dxa"/>
        <w:bottom w:w="0" w:type="dxa"/>
        <w:right w:w="0" w:type="dxa"/>
      </w:tblCellMar>
    </w:tblPr>
  </w:style>
  <w:style w:type="paragraph" w:customStyle="1" w:styleId="100">
    <w:name w:val="ParaAttribute13"/>
    <w:qFormat/>
    <w:uiPriority w:val="0"/>
    <w:pPr>
      <w:widowControl w:val="0"/>
      <w:wordWrap w:val="0"/>
      <w:ind w:left="-106"/>
    </w:pPr>
    <w:rPr>
      <w:rFonts w:ascii="Times New Roman" w:hAnsi="Times New Roman" w:eastAsia="Batang" w:cs="Times New Roman"/>
      <w:sz w:val="21"/>
      <w:szCs w:val="22"/>
      <w:lang w:val="en-US" w:eastAsia="zh-CN" w:bidi="ar-SA"/>
    </w:rPr>
  </w:style>
  <w:style w:type="character" w:customStyle="1" w:styleId="101">
    <w:name w:val="CharAttribute0"/>
    <w:qFormat/>
    <w:uiPriority w:val="0"/>
    <w:rPr>
      <w:rFonts w:ascii="Times New Roman" w:eastAsia="宋体"/>
      <w:sz w:val="21"/>
    </w:rPr>
  </w:style>
  <w:style w:type="paragraph" w:customStyle="1" w:styleId="102">
    <w:name w:val="p15"/>
    <w:basedOn w:val="1"/>
    <w:qFormat/>
    <w:uiPriority w:val="0"/>
    <w:pPr>
      <w:widowControl/>
    </w:pPr>
    <w:rPr>
      <w:kern w:val="0"/>
      <w:szCs w:val="21"/>
    </w:rPr>
  </w:style>
  <w:style w:type="paragraph" w:customStyle="1" w:styleId="103">
    <w:name w:val="列出段落2"/>
    <w:basedOn w:val="1"/>
    <w:qFormat/>
    <w:uiPriority w:val="34"/>
    <w:pPr>
      <w:ind w:firstLine="420" w:firstLineChars="200"/>
    </w:pPr>
    <w:rPr>
      <w:kern w:val="0"/>
      <w:sz w:val="20"/>
    </w:rPr>
  </w:style>
  <w:style w:type="character" w:customStyle="1" w:styleId="104">
    <w:name w:val="font131"/>
    <w:basedOn w:val="34"/>
    <w:qFormat/>
    <w:uiPriority w:val="0"/>
    <w:rPr>
      <w:rFonts w:hint="eastAsia" w:ascii="宋体" w:hAnsi="宋体" w:eastAsia="宋体" w:cs="宋体"/>
      <w:b/>
      <w:bCs/>
      <w:color w:val="000000"/>
      <w:sz w:val="22"/>
      <w:szCs w:val="22"/>
      <w:u w:val="none"/>
    </w:rPr>
  </w:style>
  <w:style w:type="character" w:customStyle="1" w:styleId="105">
    <w:name w:val="Book Title"/>
    <w:basedOn w:val="34"/>
    <w:qFormat/>
    <w:uiPriority w:val="33"/>
    <w:rPr>
      <w:b/>
      <w:bCs/>
      <w:smallCaps/>
      <w:spacing w:val="5"/>
    </w:rPr>
  </w:style>
  <w:style w:type="paragraph" w:customStyle="1" w:styleId="106">
    <w:name w:val="NormalIndent"/>
    <w:basedOn w:val="1"/>
    <w:qFormat/>
    <w:uiPriority w:val="0"/>
    <w:pPr>
      <w:ind w:firstLine="420" w:firstLineChars="200"/>
      <w:jc w:val="both"/>
      <w:textAlignment w:val="baseline"/>
    </w:pPr>
  </w:style>
  <w:style w:type="paragraph" w:customStyle="1" w:styleId="107">
    <w:name w:val="UserStyle_4"/>
    <w:basedOn w:val="1"/>
    <w:qFormat/>
    <w:uiPriority w:val="0"/>
    <w:pPr>
      <w:ind w:firstLine="420" w:firstLineChars="200"/>
      <w:jc w:val="both"/>
      <w:textAlignment w:val="baseline"/>
    </w:pPr>
    <w:rPr>
      <w:rFonts w:ascii="Calibri" w:hAnsi="Calibri"/>
      <w:kern w:val="2"/>
      <w:sz w:val="21"/>
      <w:szCs w:val="22"/>
      <w:lang w:val="en-US" w:eastAsia="zh-CN" w:bidi="ar-SA"/>
    </w:rPr>
  </w:style>
  <w:style w:type="character" w:customStyle="1" w:styleId="108">
    <w:name w:val="UserStyle_0"/>
    <w:link w:val="1"/>
    <w:qFormat/>
    <w:uiPriority w:val="0"/>
    <w:rPr>
      <w:kern w:val="2"/>
      <w:sz w:val="21"/>
      <w:szCs w:val="24"/>
      <w:lang w:val="en-US" w:eastAsia="zh-CN" w:bidi="ar-SA"/>
    </w:rPr>
  </w:style>
  <w:style w:type="paragraph" w:customStyle="1" w:styleId="109">
    <w:name w:val="普通(网站)1"/>
    <w:basedOn w:val="1"/>
    <w:qFormat/>
    <w:uiPriority w:val="2"/>
    <w:pPr>
      <w:spacing w:before="75" w:after="75"/>
      <w:ind w:left="0" w:right="0" w:firstLine="0"/>
      <w:jc w:val="left"/>
    </w:pPr>
    <w:rPr>
      <w:kern w:val="0"/>
      <w:sz w:val="24"/>
      <w:lang w:val="en-US" w:eastAsia="zh-CN" w:bidi="ar"/>
    </w:rPr>
  </w:style>
  <w:style w:type="character" w:customStyle="1" w:styleId="110">
    <w:name w:val="font112"/>
    <w:basedOn w:val="34"/>
    <w:qFormat/>
    <w:uiPriority w:val="0"/>
    <w:rPr>
      <w:rFonts w:ascii="微软雅黑" w:hAnsi="微软雅黑" w:eastAsia="微软雅黑" w:cs="微软雅黑"/>
      <w:color w:val="000000"/>
      <w:sz w:val="18"/>
      <w:szCs w:val="18"/>
      <w:u w:val="none"/>
    </w:rPr>
  </w:style>
  <w:style w:type="character" w:customStyle="1" w:styleId="111">
    <w:name w:val="font121"/>
    <w:basedOn w:val="34"/>
    <w:qFormat/>
    <w:uiPriority w:val="0"/>
    <w:rPr>
      <w:rFonts w:ascii="宋体" w:hAnsi="宋体" w:eastAsia="宋体" w:cs="宋体"/>
      <w:color w:val="000000"/>
      <w:sz w:val="24"/>
      <w:szCs w:val="24"/>
      <w:u w:val="none"/>
    </w:rPr>
  </w:style>
  <w:style w:type="character" w:customStyle="1" w:styleId="112">
    <w:name w:val="font141"/>
    <w:basedOn w:val="34"/>
    <w:qFormat/>
    <w:uiPriority w:val="0"/>
    <w:rPr>
      <w:rFonts w:hint="default" w:ascii="Times New Roman" w:hAnsi="Times New Roman" w:cs="Times New Roman"/>
      <w:color w:val="000000"/>
      <w:sz w:val="20"/>
      <w:szCs w:val="20"/>
      <w:u w:val="none"/>
    </w:rPr>
  </w:style>
  <w:style w:type="character" w:customStyle="1" w:styleId="113">
    <w:name w:val="font151"/>
    <w:basedOn w:val="34"/>
    <w:qFormat/>
    <w:uiPriority w:val="0"/>
    <w:rPr>
      <w:rFonts w:ascii="宋体" w:hAnsi="宋体" w:eastAsia="宋体" w:cs="宋体"/>
      <w:color w:val="000000"/>
      <w:sz w:val="18"/>
      <w:szCs w:val="18"/>
      <w:u w:val="none"/>
    </w:rPr>
  </w:style>
  <w:style w:type="character" w:customStyle="1" w:styleId="114">
    <w:name w:val="font111"/>
    <w:basedOn w:val="34"/>
    <w:qFormat/>
    <w:uiPriority w:val="0"/>
    <w:rPr>
      <w:rFonts w:ascii="微软雅黑" w:hAnsi="微软雅黑" w:eastAsia="微软雅黑" w:cs="微软雅黑"/>
      <w:color w:val="000000"/>
      <w:sz w:val="18"/>
      <w:szCs w:val="18"/>
      <w:u w:val="none"/>
    </w:rPr>
  </w:style>
  <w:style w:type="character" w:customStyle="1" w:styleId="115">
    <w:name w:val="font132"/>
    <w:basedOn w:val="34"/>
    <w:qFormat/>
    <w:uiPriority w:val="0"/>
    <w:rPr>
      <w:rFonts w:ascii="宋体" w:hAnsi="宋体" w:eastAsia="宋体" w:cs="宋体"/>
      <w:color w:val="000000"/>
      <w:sz w:val="20"/>
      <w:szCs w:val="20"/>
      <w:u w:val="none"/>
    </w:rPr>
  </w:style>
  <w:style w:type="character" w:customStyle="1" w:styleId="116">
    <w:name w:val="Heading 1 Char"/>
    <w:link w:val="2"/>
    <w:qFormat/>
    <w:uiPriority w:val="0"/>
    <w:rPr>
      <w:rFonts w:ascii="宋体"/>
      <w:kern w:val="44"/>
      <w:sz w:val="32"/>
      <w:szCs w:val="20"/>
    </w:rPr>
  </w:style>
  <w:style w:type="paragraph" w:customStyle="1" w:styleId="117">
    <w:name w:val="Table Text"/>
    <w:basedOn w:val="1"/>
    <w:semiHidden/>
    <w:qFormat/>
    <w:uiPriority w:val="0"/>
    <w:rPr>
      <w:rFonts w:ascii="宋体" w:hAnsi="宋体" w:eastAsia="宋体" w:cs="宋体"/>
      <w:sz w:val="24"/>
      <w:szCs w:val="24"/>
      <w:lang w:val="en-US" w:eastAsia="en-US" w:bidi="ar-SA"/>
    </w:rPr>
  </w:style>
  <w:style w:type="paragraph" w:customStyle="1" w:styleId="118">
    <w:name w:val="列表段落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133</Pages>
  <Words>5748</Words>
  <Characters>6194</Characters>
  <Lines>0</Lines>
  <Paragraphs>2159</Paragraphs>
  <TotalTime>39</TotalTime>
  <ScaleCrop>false</ScaleCrop>
  <LinksUpToDate>false</LinksUpToDate>
  <CharactersWithSpaces>6558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2021-06-24T03:44:00Z</dcterms:created>
  <dc:creator>WPS_1542621076</dc:creator>
  <cp:lastModifiedBy>温柔似水淹死你</cp:lastModifiedBy>
  <cp:lastPrinted>2024-09-15T03:26:00Z</cp:lastPrinted>
  <dcterms:modified xsi:type="dcterms:W3CDTF">2026-04-07T10:34:48Z</dcterms:modified>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F5F0AD802D264A16898C81E2836F6549_13</vt:lpwstr>
  </property>
  <property fmtid="{D5CDD505-2E9C-101B-9397-08002B2CF9AE}" pid="4" name="KSOTemplateDocerSaveRecord">
    <vt:lpwstr>eyJoZGlkIjoiNjYyMzU5YzU4OGExZTFmMjk5NTg0OWI1YzdjZjA1MTUiLCJ1c2VySWQiOiI1NjE4MzkxOTIifQ==</vt:lpwstr>
  </property>
</Properties>
</file>